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46BB9" w:rsidRPr="00793CC1" w:rsidRDefault="00F46BB9" w:rsidP="00793CC1">
      <w:pPr>
        <w:tabs>
          <w:tab w:val="left" w:pos="993"/>
        </w:tabs>
        <w:spacing w:after="140"/>
        <w:rPr>
          <w:rFonts w:asciiTheme="minorHAnsi" w:hAnsiTheme="minorHAnsi"/>
          <w:sz w:val="24"/>
          <w:szCs w:val="24"/>
        </w:rPr>
      </w:pPr>
    </w:p>
    <w:p w:rsidR="00F6661B" w:rsidRPr="00793CC1" w:rsidRDefault="007E4F90" w:rsidP="00793CC1">
      <w:pPr>
        <w:tabs>
          <w:tab w:val="left" w:pos="993"/>
        </w:tabs>
        <w:spacing w:after="140"/>
        <w:jc w:val="center"/>
        <w:rPr>
          <w:rFonts w:asciiTheme="minorHAnsi" w:hAnsiTheme="minorHAnsi"/>
          <w:b/>
          <w:color w:val="1D4387"/>
          <w:sz w:val="24"/>
          <w:szCs w:val="24"/>
        </w:rPr>
      </w:pPr>
      <w:r w:rsidRPr="00793CC1">
        <w:rPr>
          <w:rFonts w:asciiTheme="minorHAnsi" w:hAnsiTheme="minorHAnsi"/>
          <w:b/>
          <w:color w:val="1D4387"/>
          <w:sz w:val="24"/>
          <w:szCs w:val="24"/>
        </w:rPr>
        <w:t>C.24</w:t>
      </w:r>
      <w:r w:rsidR="00AD1B0C">
        <w:rPr>
          <w:rFonts w:asciiTheme="minorHAnsi" w:hAnsiTheme="minorHAnsi"/>
          <w:b/>
          <w:color w:val="1D4387"/>
          <w:sz w:val="24"/>
          <w:szCs w:val="24"/>
        </w:rPr>
        <w:t>61</w:t>
      </w:r>
    </w:p>
    <w:p w:rsidR="002C30B5" w:rsidRPr="00793CC1" w:rsidRDefault="002C30B5" w:rsidP="002C30B5">
      <w:pPr>
        <w:pStyle w:val="NormaleWeb"/>
        <w:shd w:val="clear" w:color="auto" w:fill="FFFFFF"/>
        <w:tabs>
          <w:tab w:val="left" w:pos="993"/>
        </w:tabs>
        <w:jc w:val="center"/>
        <w:rPr>
          <w:rFonts w:asciiTheme="minorHAnsi" w:hAnsiTheme="minorHAnsi" w:cs="Arial"/>
          <w:color w:val="000000" w:themeColor="text1"/>
        </w:rPr>
      </w:pPr>
      <w:r w:rsidRPr="00793CC1">
        <w:rPr>
          <w:rFonts w:asciiTheme="minorHAnsi" w:hAnsiTheme="minorHAnsi" w:cs="Arial"/>
          <w:bCs/>
          <w:color w:val="000000" w:themeColor="text1"/>
        </w:rPr>
        <w:t>DISEGNO DI LEGGE</w:t>
      </w:r>
    </w:p>
    <w:p w:rsidR="002C30B5" w:rsidRPr="00AD1B0C" w:rsidRDefault="002C30B5" w:rsidP="002C30B5">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C.2461 - Conversione in legge del decreto-legge 8 aprile 2020, n. 23, </w:t>
      </w:r>
      <w:proofErr w:type="gramStart"/>
      <w:r w:rsidRPr="00AD1B0C">
        <w:rPr>
          <w:rFonts w:cs="Times New Roman"/>
          <w:color w:val="auto"/>
          <w:sz w:val="24"/>
          <w:szCs w:val="24"/>
          <w:lang w:eastAsia="en-US"/>
        </w:rPr>
        <w:t>recante misure urgenti</w:t>
      </w:r>
      <w:proofErr w:type="gramEnd"/>
      <w:r w:rsidRPr="00AD1B0C">
        <w:rPr>
          <w:rFonts w:cs="Times New Roman"/>
          <w:color w:val="auto"/>
          <w:sz w:val="24"/>
          <w:szCs w:val="24"/>
          <w:lang w:eastAsia="en-US"/>
        </w:rPr>
        <w:t xml:space="preserve"> in materia di accesso al credito e di adempimenti fiscali per le imprese, di poteri speciali nei settori strategici, nonché interventi in materia di salute e lavoro, di proroga di termini amministrativi e processuali</w:t>
      </w:r>
    </w:p>
    <w:p w:rsidR="002C30B5" w:rsidRDefault="002C30B5" w:rsidP="002C30B5">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r w:rsidRPr="00EF5680">
        <w:rPr>
          <w:rFonts w:asciiTheme="minorHAnsi" w:eastAsia="Times New Roman" w:hAnsiTheme="minorHAnsi" w:cs="Times New Roman"/>
          <w:bCs/>
          <w:i/>
          <w:color w:val="000000" w:themeColor="text1"/>
          <w:sz w:val="24"/>
          <w:szCs w:val="24"/>
        </w:rPr>
        <w:t xml:space="preserve">Nella </w:t>
      </w:r>
      <w:r>
        <w:rPr>
          <w:rFonts w:asciiTheme="minorHAnsi" w:eastAsia="Times New Roman" w:hAnsiTheme="minorHAnsi" w:cs="Times New Roman"/>
          <w:bCs/>
          <w:i/>
          <w:color w:val="000000" w:themeColor="text1"/>
          <w:sz w:val="24"/>
          <w:szCs w:val="24"/>
        </w:rPr>
        <w:t>seduta di</w:t>
      </w:r>
      <w:r w:rsidRPr="00EF5680">
        <w:rPr>
          <w:rFonts w:asciiTheme="minorHAnsi" w:eastAsia="Times New Roman" w:hAnsiTheme="minorHAnsi" w:cs="Times New Roman"/>
          <w:bCs/>
          <w:i/>
          <w:color w:val="000000" w:themeColor="text1"/>
          <w:sz w:val="24"/>
          <w:szCs w:val="24"/>
        </w:rPr>
        <w:t xml:space="preserve"> </w:t>
      </w:r>
      <w:r>
        <w:rPr>
          <w:rFonts w:asciiTheme="minorHAnsi" w:eastAsia="Times New Roman" w:hAnsiTheme="minorHAnsi" w:cs="Times New Roman"/>
          <w:bCs/>
          <w:i/>
          <w:color w:val="000000" w:themeColor="text1"/>
          <w:sz w:val="24"/>
          <w:szCs w:val="24"/>
        </w:rPr>
        <w:t xml:space="preserve">giovedì 21 maggio 2020, le Commissioni riunite VI e X della Camera hanno proseguito e </w:t>
      </w:r>
      <w:proofErr w:type="gramStart"/>
      <w:r>
        <w:rPr>
          <w:rFonts w:asciiTheme="minorHAnsi" w:eastAsia="Times New Roman" w:hAnsiTheme="minorHAnsi" w:cs="Times New Roman"/>
          <w:bCs/>
          <w:i/>
          <w:color w:val="000000" w:themeColor="text1"/>
          <w:sz w:val="24"/>
          <w:szCs w:val="24"/>
        </w:rPr>
        <w:t>concluso</w:t>
      </w:r>
      <w:proofErr w:type="gramEnd"/>
      <w:r>
        <w:rPr>
          <w:rFonts w:asciiTheme="minorHAnsi" w:eastAsia="Times New Roman" w:hAnsiTheme="minorHAnsi" w:cs="Times New Roman"/>
          <w:bCs/>
          <w:i/>
          <w:color w:val="000000" w:themeColor="text1"/>
          <w:sz w:val="24"/>
          <w:szCs w:val="24"/>
        </w:rPr>
        <w:t xml:space="preserve"> l’esame del provvedimento. </w:t>
      </w:r>
    </w:p>
    <w:p w:rsidR="00EE4D49" w:rsidRPr="002C30B5" w:rsidRDefault="002C30B5" w:rsidP="00793CC1">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r>
        <w:rPr>
          <w:rFonts w:asciiTheme="minorHAnsi" w:eastAsia="Times New Roman" w:hAnsiTheme="minorHAnsi" w:cs="Times New Roman"/>
          <w:bCs/>
          <w:i/>
          <w:color w:val="000000" w:themeColor="text1"/>
          <w:sz w:val="24"/>
          <w:szCs w:val="24"/>
        </w:rPr>
        <w:t xml:space="preserve">Si riporta </w:t>
      </w:r>
      <w:r>
        <w:rPr>
          <w:rFonts w:asciiTheme="minorHAnsi" w:eastAsia="Times New Roman" w:hAnsiTheme="minorHAnsi" w:cs="Times New Roman"/>
          <w:bCs/>
          <w:i/>
          <w:color w:val="000000" w:themeColor="text1"/>
          <w:sz w:val="24"/>
          <w:szCs w:val="24"/>
        </w:rPr>
        <w:t>l’aggiornamento dell’articolato con</w:t>
      </w:r>
      <w:r>
        <w:rPr>
          <w:rFonts w:asciiTheme="minorHAnsi" w:eastAsia="Times New Roman" w:hAnsiTheme="minorHAnsi" w:cs="Times New Roman"/>
          <w:bCs/>
          <w:i/>
          <w:color w:val="000000" w:themeColor="text1"/>
          <w:sz w:val="24"/>
          <w:szCs w:val="24"/>
        </w:rPr>
        <w:t xml:space="preserve"> le modifiche apportate dalle Commissioni riunite</w:t>
      </w:r>
      <w:r>
        <w:rPr>
          <w:rFonts w:asciiTheme="minorHAnsi" w:eastAsia="Times New Roman" w:hAnsiTheme="minorHAnsi" w:cs="Times New Roman"/>
          <w:bCs/>
          <w:i/>
          <w:color w:val="000000" w:themeColor="text1"/>
          <w:sz w:val="24"/>
          <w:szCs w:val="24"/>
        </w:rPr>
        <w:t xml:space="preserve"> e, al termine,</w:t>
      </w:r>
      <w:r>
        <w:rPr>
          <w:rFonts w:asciiTheme="minorHAnsi" w:eastAsia="Times New Roman" w:hAnsiTheme="minorHAnsi" w:cs="Times New Roman"/>
          <w:bCs/>
          <w:i/>
          <w:color w:val="000000" w:themeColor="text1"/>
          <w:sz w:val="24"/>
          <w:szCs w:val="24"/>
        </w:rPr>
        <w:t xml:space="preserve"> le correzioni di forma approvate.</w:t>
      </w:r>
    </w:p>
    <w:p w:rsidR="00EF5680" w:rsidRPr="002C30B5" w:rsidRDefault="00EE4D49" w:rsidP="002C30B5">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30B5">
        <w:rPr>
          <w:rFonts w:asciiTheme="minorHAnsi" w:eastAsia="Times New Roman" w:hAnsiTheme="minorHAnsi" w:cs="Times New Roman"/>
          <w:bCs/>
          <w:color w:val="000000" w:themeColor="text1"/>
          <w:sz w:val="24"/>
          <w:szCs w:val="24"/>
        </w:rPr>
        <w:t>Le modifiche introdotte dagli emendamenti approvati si riportano in</w:t>
      </w:r>
      <w:r w:rsidRPr="00793CC1">
        <w:rPr>
          <w:rFonts w:asciiTheme="minorHAnsi" w:eastAsia="Times New Roman" w:hAnsiTheme="minorHAnsi" w:cs="Times New Roman"/>
          <w:b/>
          <w:bCs/>
          <w:color w:val="000000" w:themeColor="text1"/>
          <w:sz w:val="24"/>
          <w:szCs w:val="24"/>
        </w:rPr>
        <w:t xml:space="preserve"> </w:t>
      </w:r>
      <w:r w:rsidR="002C30B5" w:rsidRPr="002C30B5">
        <w:rPr>
          <w:rFonts w:asciiTheme="minorHAnsi" w:eastAsia="Times New Roman" w:hAnsiTheme="minorHAnsi" w:cs="Times New Roman"/>
          <w:bCs/>
          <w:color w:val="000000" w:themeColor="text1"/>
          <w:sz w:val="24"/>
          <w:szCs w:val="24"/>
        </w:rPr>
        <w:t>carattere</w:t>
      </w:r>
      <w:r w:rsidR="002C30B5">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rPr>
        <w:t xml:space="preserve">grassetto, </w:t>
      </w:r>
      <w:r w:rsidRPr="002C30B5">
        <w:rPr>
          <w:rFonts w:asciiTheme="minorHAnsi" w:eastAsia="Times New Roman" w:hAnsiTheme="minorHAnsi" w:cs="Times New Roman"/>
          <w:bCs/>
          <w:color w:val="000000" w:themeColor="text1"/>
          <w:sz w:val="24"/>
          <w:szCs w:val="24"/>
        </w:rPr>
        <w:t>mentre le soppressioni (sostituzioni comprese) si riportano</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strike/>
          <w:color w:val="000000" w:themeColor="text1"/>
          <w:sz w:val="24"/>
          <w:szCs w:val="24"/>
          <w:shd w:val="clear" w:color="auto" w:fill="FFFB01"/>
        </w:rPr>
        <w:t>evidenziate</w:t>
      </w:r>
      <w:r w:rsidRPr="00793CC1">
        <w:rPr>
          <w:rFonts w:asciiTheme="minorHAnsi" w:eastAsia="Times New Roman" w:hAnsiTheme="minorHAnsi" w:cs="Times New Roman"/>
          <w:b/>
          <w:bCs/>
          <w:color w:val="000000" w:themeColor="text1"/>
          <w:sz w:val="24"/>
          <w:szCs w:val="24"/>
        </w:rPr>
        <w:t xml:space="preserve">. </w:t>
      </w:r>
      <w:r w:rsidRPr="002C30B5">
        <w:rPr>
          <w:rFonts w:asciiTheme="minorHAnsi" w:eastAsia="Times New Roman" w:hAnsiTheme="minorHAnsi" w:cs="Times New Roman"/>
          <w:bCs/>
          <w:color w:val="000000" w:themeColor="text1"/>
          <w:sz w:val="24"/>
          <w:szCs w:val="24"/>
        </w:rPr>
        <w:t>I subemendamenti approvati si evidenziano facendo uso del colore</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shd w:val="clear" w:color="auto" w:fill="FF2500"/>
        </w:rPr>
        <w:t>rosso</w:t>
      </w:r>
      <w:r w:rsidRPr="00793CC1">
        <w:rPr>
          <w:rFonts w:asciiTheme="minorHAnsi" w:eastAsia="Times New Roman" w:hAnsiTheme="minorHAnsi" w:cs="Times New Roman"/>
          <w:b/>
          <w:bCs/>
          <w:color w:val="000000" w:themeColor="text1"/>
          <w:sz w:val="24"/>
          <w:szCs w:val="24"/>
        </w:rPr>
        <w:t xml:space="preserve">. </w:t>
      </w:r>
      <w:r w:rsidRPr="002C30B5">
        <w:rPr>
          <w:rFonts w:asciiTheme="minorHAnsi" w:eastAsia="Times New Roman" w:hAnsiTheme="minorHAnsi" w:cs="Times New Roman"/>
          <w:bCs/>
          <w:color w:val="000000" w:themeColor="text1"/>
          <w:sz w:val="24"/>
          <w:szCs w:val="24"/>
        </w:rPr>
        <w:t>A piè di pagina si riportano i riferimenti della proposta di modifica approvata.</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 1.</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È convertito in legge il decreto-legge 8 aprile 2020, n. 23, recante misure urgenti in materia di accesso al credito e di adempimenti fiscali per le imprese, di poteri speciali nei settori strategici, nonché interventi in materia di salute e lavoro, di proroga di termini amministrativi e processuali.</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La presente legge entra in vigore il giorno successivo a quello della sua pubblicazione nella Gazzetta Ufficiale.</w:t>
      </w:r>
    </w:p>
    <w:p w:rsidR="00AD1B0C" w:rsidRPr="00793CC1" w:rsidRDefault="00AD1B0C" w:rsidP="00AD1B0C">
      <w:pPr>
        <w:pStyle w:val="NormaleWeb"/>
        <w:shd w:val="clear" w:color="auto" w:fill="FFFFFF"/>
        <w:tabs>
          <w:tab w:val="left" w:pos="993"/>
        </w:tabs>
        <w:jc w:val="center"/>
        <w:rPr>
          <w:rFonts w:asciiTheme="minorHAnsi" w:hAnsiTheme="minorHAnsi" w:cs="Arial"/>
          <w:color w:val="000000" w:themeColor="text1"/>
        </w:rPr>
      </w:pPr>
      <w:bookmarkStart w:id="0" w:name="_GoBack"/>
      <w:bookmarkEnd w:id="0"/>
      <w:r>
        <w:rPr>
          <w:rFonts w:asciiTheme="minorHAnsi" w:hAnsiTheme="minorHAnsi" w:cs="Arial"/>
          <w:bCs/>
          <w:color w:val="000000" w:themeColor="text1"/>
        </w:rPr>
        <w:t>DECRETO LEGGE</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Decreto-legge 8 aprile 2020, n. 23, pubblicato nella Gazzetta Ufficiale n. 94 dell'8 aprile 2020*.</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Misure urgenti in materia di accesso al credito e di adempimenti fiscali per le imprese, di poteri speciali nei settori strategici, nonché interventi in materia di salute e lavoro, di proroga di termini amministrativi e processuali.</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Si veda anche l'Avviso di rettifica pubblicato nella Gazzetta Ufficiale n. 95 del 9 aprile 2020</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Capo I</w:t>
      </w: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MISURE DI ACCESSO AL CREDITO PER LE IMPRESE</w:t>
      </w:r>
    </w:p>
    <w:p w:rsidR="00AD1B0C" w:rsidRPr="00AD1B0C" w:rsidRDefault="00AD1B0C" w:rsidP="00AD1B0C">
      <w:pPr>
        <w:spacing w:after="160" w:line="259" w:lineRule="auto"/>
        <w:jc w:val="center"/>
        <w:rPr>
          <w:rFonts w:cs="Times New Roman"/>
          <w:color w:val="auto"/>
          <w:sz w:val="24"/>
          <w:szCs w:val="24"/>
          <w:lang w:eastAsia="en-US"/>
        </w:rPr>
      </w:pP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1.</w:t>
      </w: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(Misure temporanee per il sostegno alla liquidità delle imprese)</w:t>
      </w:r>
    </w:p>
    <w:p w:rsidR="00AD1B0C" w:rsidRPr="00AD1B0C" w:rsidRDefault="00AD1B0C" w:rsidP="00AD1B0C">
      <w:pPr>
        <w:spacing w:after="160" w:line="259" w:lineRule="auto"/>
        <w:jc w:val="both"/>
        <w:rPr>
          <w:rFonts w:cs="Times New Roman"/>
          <w:color w:val="auto"/>
          <w:sz w:val="24"/>
          <w:szCs w:val="24"/>
          <w:lang w:eastAsia="en-US"/>
        </w:rPr>
      </w:pPr>
    </w:p>
    <w:p w:rsidR="0004407E" w:rsidRPr="000749BB" w:rsidRDefault="00AD1B0C" w:rsidP="0004407E">
      <w:pPr>
        <w:jc w:val="both"/>
        <w:rPr>
          <w:b/>
          <w:color w:val="000000" w:themeColor="text1"/>
          <w:sz w:val="24"/>
          <w:szCs w:val="24"/>
        </w:rPr>
      </w:pPr>
      <w:r w:rsidRPr="00AD1B0C">
        <w:rPr>
          <w:rFonts w:cs="Times New Roman"/>
          <w:color w:val="auto"/>
          <w:sz w:val="24"/>
          <w:szCs w:val="24"/>
          <w:lang w:eastAsia="en-US"/>
        </w:rPr>
        <w:t>  1. Al fine di assicurare la necessaria liquidità alle imprese con sede in Italia, colpite dall'epidemia COVID-19, diverse dalle banche e da altri soggetti autorizzati all'esercizio del credito, SACE S.p.A. concede fino al 31 dicembre 2020 garanzie, in conformità con la normativa europea in tema di aiuti di Stato e nel rispetto dei criteri e delle condizioni previste dai commi da 2 a 11, in favore di banche, di istituzioni finanziarie nazionali e internazionali e degli altri soggetti abilitati all'esercizio del credito in Italia, per finanziamenti sotto qualsiasi forma alle suddette imprese. Gli impegni assunti dalla SACE S.p.A. ai sensi del presente comma non superano l'importo complessivo massimo di 200 miliardi di euro, di cui almeno 30 miliardi sono destinati a supporto di piccole e medie imprese come definite dalla Raccomandazione della Commissione europea n. 2003/361/CE, ivi inclusi i lavoratori autonomi e i liberi professionisti titolari di partita IVA</w:t>
      </w:r>
      <w:r w:rsidR="00E34094">
        <w:rPr>
          <w:rFonts w:cs="Times New Roman"/>
          <w:color w:val="auto"/>
          <w:sz w:val="24"/>
          <w:szCs w:val="24"/>
          <w:lang w:eastAsia="en-US"/>
        </w:rPr>
        <w:t xml:space="preserve"> </w:t>
      </w:r>
      <w:r w:rsidR="00E34094" w:rsidRPr="000749BB">
        <w:rPr>
          <w:b/>
          <w:color w:val="000000" w:themeColor="text1"/>
          <w:sz w:val="24"/>
          <w:szCs w:val="24"/>
        </w:rPr>
        <w:t xml:space="preserve">nonché le associazioni professionali </w:t>
      </w:r>
      <w:r w:rsidR="00E34094">
        <w:rPr>
          <w:b/>
          <w:color w:val="000000" w:themeColor="text1"/>
          <w:sz w:val="24"/>
          <w:szCs w:val="24"/>
        </w:rPr>
        <w:t>e le società tra professionisti</w:t>
      </w:r>
      <w:r w:rsidR="008C6A11">
        <w:rPr>
          <w:rStyle w:val="Rimandonotaapidipagina"/>
          <w:b/>
          <w:color w:val="000000" w:themeColor="text1"/>
          <w:sz w:val="24"/>
          <w:szCs w:val="24"/>
        </w:rPr>
        <w:footnoteReference w:id="1"/>
      </w:r>
      <w:r w:rsidRPr="00AD1B0C">
        <w:rPr>
          <w:rFonts w:cs="Times New Roman"/>
          <w:color w:val="auto"/>
          <w:sz w:val="24"/>
          <w:szCs w:val="24"/>
          <w:lang w:eastAsia="en-US"/>
        </w:rPr>
        <w:t>, che abbiano pienamente utilizzato la loro capacità di accesso al Fondo di cui all'articolo 2, comma 100, lettera a), della legge 23 dicembre 1996, n. 662</w:t>
      </w:r>
      <w:r w:rsidR="0004407E" w:rsidRPr="000749BB">
        <w:rPr>
          <w:b/>
          <w:color w:val="000000" w:themeColor="text1"/>
          <w:sz w:val="24"/>
          <w:szCs w:val="24"/>
        </w:rPr>
        <w:t>, nonché alle garanzie concesse ai sensi dell'articolo 17, comma 2, del decreto legislativo 29 marzo 2004, n. 102.</w:t>
      </w:r>
      <w:r w:rsidR="0004407E">
        <w:rPr>
          <w:rStyle w:val="Rimandonotaapidipagina"/>
          <w:b/>
          <w:color w:val="000000" w:themeColor="text1"/>
          <w:sz w:val="24"/>
          <w:szCs w:val="24"/>
        </w:rPr>
        <w:footnoteReference w:id="2"/>
      </w:r>
    </w:p>
    <w:p w:rsidR="00AD1B0C" w:rsidRDefault="00AD1B0C" w:rsidP="00AD1B0C">
      <w:pPr>
        <w:spacing w:after="160" w:line="259" w:lineRule="auto"/>
        <w:jc w:val="both"/>
        <w:rPr>
          <w:b/>
          <w:color w:val="000000" w:themeColor="text1"/>
          <w:sz w:val="24"/>
          <w:szCs w:val="24"/>
        </w:rPr>
      </w:pPr>
      <w:r w:rsidRPr="00AD1B0C">
        <w:rPr>
          <w:rFonts w:cs="Times New Roman"/>
          <w:color w:val="auto"/>
          <w:sz w:val="24"/>
          <w:szCs w:val="24"/>
          <w:lang w:eastAsia="en-US"/>
        </w:rPr>
        <w:t>.</w:t>
      </w:r>
      <w:r w:rsidR="00375658" w:rsidRPr="00375658">
        <w:rPr>
          <w:b/>
          <w:color w:val="000000" w:themeColor="text1"/>
          <w:sz w:val="24"/>
          <w:szCs w:val="24"/>
        </w:rPr>
        <w:t xml:space="preserve"> </w:t>
      </w:r>
      <w:r w:rsidR="00375658" w:rsidRPr="002756C5">
        <w:rPr>
          <w:b/>
          <w:color w:val="000000" w:themeColor="text1"/>
          <w:sz w:val="24"/>
          <w:szCs w:val="24"/>
        </w:rPr>
        <w:t xml:space="preserve">1-bis. Dalle garanzie per finanziamenti di cui al presente articolo sono in ogni caso escluse le società che controllano direttamente o indirettamente, ai sensi dell'articolo 2359 del codice civile, una società residente in un Paese o in un territorio non cooperativo a fini fiscali, ovvero che sia controllata, direttamente o indirettamente, ai sensi dell'articolo 2359 del codice civile, da una società residente in un Paese o in un territorio non cooperativo a fini fiscali. Per Paese o territorio non </w:t>
      </w:r>
      <w:r w:rsidR="00375658" w:rsidRPr="002756C5">
        <w:rPr>
          <w:b/>
          <w:color w:val="000000" w:themeColor="text1"/>
          <w:sz w:val="24"/>
          <w:szCs w:val="24"/>
        </w:rPr>
        <w:lastRenderedPageBreak/>
        <w:t>cooperativo a fini fiscali si intendono le giurisdizioni individuate nell'allegato I della lista UE delle giurisdizioni non cooperative ai fini fiscali, adottata con conclusioni del Consiglio dell'Unione europea. La condizione di cui al presente comma non si applica se la società dimostra che il soggetto non residente svolge un'attività economica effettiva, mediante l'impiego di personale, attrezzature, attivi e locali. Ai fini del presente comma, il contribuente può interpellare l'Agenzia delle entrate ai sensi dell'articolo 11, comma 1, lettera b), della legge 27 luglio 2000, n. 212.</w:t>
      </w:r>
      <w:r w:rsidR="00375658">
        <w:rPr>
          <w:rStyle w:val="Rimandonotaapidipagina"/>
          <w:b/>
          <w:color w:val="000000" w:themeColor="text1"/>
          <w:sz w:val="24"/>
          <w:szCs w:val="24"/>
        </w:rPr>
        <w:footnoteReference w:id="3"/>
      </w:r>
    </w:p>
    <w:p w:rsidR="007B2AF0" w:rsidRPr="00224886" w:rsidRDefault="007B2AF0" w:rsidP="007B2AF0">
      <w:pPr>
        <w:jc w:val="both"/>
        <w:rPr>
          <w:b/>
          <w:color w:val="000000" w:themeColor="text1"/>
          <w:sz w:val="24"/>
          <w:szCs w:val="24"/>
        </w:rPr>
      </w:pPr>
      <w:r w:rsidRPr="00224886">
        <w:rPr>
          <w:b/>
          <w:color w:val="000000" w:themeColor="text1"/>
          <w:sz w:val="24"/>
          <w:szCs w:val="24"/>
        </w:rPr>
        <w:t>1-bis. Le disposizioni del presente articolo si applicano, in quanto compatibili, anche alle cessioni di crediti con garanzia di solvenza prestata dal cedente effettuate, dopo la data di entrata in vigore della legge di conversione del presente decreto, dalle imprese di cui al comma 1 del presente articolo, anche ai sensi della legge 21 febbraio 1991, n. 52, a banche e a intermediari finanziari iscritti all'albo previsto dall'articolo 106 del testo unico delle leggi in materia bancaria e creditizia, di cui al decreto legislativo 1o settembre 1993, n. 385. I limiti di importo del prestito di cui al comma 2, lettera c), e le percentuali di copertura della garanzia di cui al comma 2, lettera d), sono riferiti all'importo del corrispettivo pagato al cedente per la cessione dei crediti. Con decreto di natura non regolamentare del Ministro dell'economia e delle finanze possono essere stabilite modalità attuative e operative nonché ulteriori elementi e requisiti integrativi per l'esecuzione delle operazioni di cui al presente comma. La procedura e la documentazione necessaria per il rilascio della garanzia ai sensi del presente comma sono ulteriormente specificate dalla SACE S.p.A.</w:t>
      </w:r>
      <w:r>
        <w:rPr>
          <w:rStyle w:val="Rimandonotaapidipagina"/>
          <w:b/>
          <w:color w:val="000000" w:themeColor="text1"/>
          <w:sz w:val="24"/>
          <w:szCs w:val="24"/>
        </w:rPr>
        <w:footnoteReference w:id="4"/>
      </w:r>
    </w:p>
    <w:p w:rsidR="007B2AF0" w:rsidRPr="00AD1B0C" w:rsidRDefault="007B2AF0"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Le garanzie di cui al comma 1 sono rilasciate alle seguenti condizioni:</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   a) la garanzia è rilasciata entro il 31 dicembre 2020, per finanziamenti di durata non superiore a 6 anni, con la possibilità per le imprese di avvalersi di un preammortamento di durata fino a </w:t>
      </w:r>
      <w:r w:rsidRPr="00E12D33">
        <w:rPr>
          <w:rFonts w:cs="Times New Roman"/>
          <w:strike/>
          <w:color w:val="auto"/>
          <w:sz w:val="24"/>
          <w:szCs w:val="24"/>
          <w:highlight w:val="yellow"/>
          <w:lang w:eastAsia="en-US"/>
        </w:rPr>
        <w:t>24 mesi</w:t>
      </w:r>
      <w:r w:rsidR="00E12D33">
        <w:rPr>
          <w:rFonts w:cs="Times New Roman"/>
          <w:color w:val="auto"/>
          <w:sz w:val="24"/>
          <w:szCs w:val="24"/>
          <w:lang w:eastAsia="en-US"/>
        </w:rPr>
        <w:t xml:space="preserve"> </w:t>
      </w:r>
      <w:r w:rsidR="00E12D33" w:rsidRPr="002756C5">
        <w:rPr>
          <w:b/>
          <w:color w:val="000000" w:themeColor="text1"/>
          <w:sz w:val="24"/>
          <w:szCs w:val="24"/>
        </w:rPr>
        <w:t>36 mesi</w:t>
      </w:r>
      <w:r w:rsidR="00533418">
        <w:rPr>
          <w:rStyle w:val="Rimandonotaapidipagina"/>
          <w:b/>
          <w:color w:val="000000" w:themeColor="text1"/>
          <w:sz w:val="24"/>
          <w:szCs w:val="24"/>
        </w:rPr>
        <w:footnoteReference w:id="5"/>
      </w:r>
      <w:r w:rsidRPr="00AD1B0C">
        <w:rPr>
          <w:rFonts w:cs="Times New Roman"/>
          <w:color w:val="auto"/>
          <w:sz w:val="24"/>
          <w:szCs w:val="24"/>
          <w:lang w:eastAsia="en-US"/>
        </w:rPr>
        <w:t>;</w:t>
      </w:r>
    </w:p>
    <w:p w:rsidR="00AD1B0C" w:rsidRPr="00AD1B0C" w:rsidRDefault="00AD1B0C" w:rsidP="00AD1B0C">
      <w:pPr>
        <w:spacing w:after="160" w:line="259" w:lineRule="auto"/>
        <w:jc w:val="both"/>
        <w:rPr>
          <w:rFonts w:cs="Times New Roman"/>
          <w:color w:val="auto"/>
          <w:sz w:val="24"/>
          <w:szCs w:val="24"/>
          <w:lang w:eastAsia="en-US"/>
        </w:rPr>
      </w:pPr>
    </w:p>
    <w:p w:rsid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   b) al 31 dicembre 2019 l'impresa beneficiaria non rientrava nella categoria delle imprese in difficoltà ai sensi del Regolamento (UE) n. 651/2014 della Commissione, del 17 giugno 2014, del Regolamento (UE) n. 702/2014 del 25 giugno 2014 e del Regolamento (UE) n. 1388/2014 del 16 dicembre 2014, e alla data del 29 febbraio 2020 non risultava presente tra le esposizioni deteriorate presso il sistema bancario, </w:t>
      </w:r>
      <w:r w:rsidRPr="000F53CD">
        <w:rPr>
          <w:rFonts w:cs="Times New Roman"/>
          <w:strike/>
          <w:color w:val="auto"/>
          <w:sz w:val="24"/>
          <w:szCs w:val="24"/>
          <w:highlight w:val="yellow"/>
          <w:lang w:eastAsia="en-US"/>
        </w:rPr>
        <w:t>come definite ai sensi della normativa europea</w:t>
      </w:r>
      <w:r w:rsidR="000F53CD">
        <w:rPr>
          <w:rFonts w:cs="Times New Roman"/>
          <w:color w:val="auto"/>
          <w:sz w:val="24"/>
          <w:szCs w:val="24"/>
          <w:lang w:eastAsia="en-US"/>
        </w:rPr>
        <w:t xml:space="preserve"> </w:t>
      </w:r>
      <w:r w:rsidR="000F53CD" w:rsidRPr="002756C5">
        <w:rPr>
          <w:b/>
          <w:color w:val="000000" w:themeColor="text1"/>
          <w:sz w:val="24"/>
          <w:szCs w:val="24"/>
        </w:rPr>
        <w:t>come rilevabili dal soggetto finanziatore</w:t>
      </w:r>
      <w:r w:rsidR="000F53CD">
        <w:rPr>
          <w:rStyle w:val="Rimandonotaapidipagina"/>
          <w:b/>
          <w:color w:val="000000" w:themeColor="text1"/>
          <w:sz w:val="24"/>
          <w:szCs w:val="24"/>
        </w:rPr>
        <w:footnoteReference w:id="6"/>
      </w:r>
      <w:r w:rsidRPr="00AD1B0C">
        <w:rPr>
          <w:rFonts w:cs="Times New Roman"/>
          <w:color w:val="auto"/>
          <w:sz w:val="24"/>
          <w:szCs w:val="24"/>
          <w:lang w:eastAsia="en-US"/>
        </w:rPr>
        <w:t>;</w:t>
      </w:r>
    </w:p>
    <w:p w:rsidR="00830635" w:rsidRPr="002756C5" w:rsidRDefault="00830635" w:rsidP="00830635">
      <w:pPr>
        <w:jc w:val="both"/>
        <w:rPr>
          <w:b/>
          <w:color w:val="000000" w:themeColor="text1"/>
          <w:sz w:val="24"/>
          <w:szCs w:val="24"/>
        </w:rPr>
      </w:pPr>
      <w:r w:rsidRPr="002756C5">
        <w:rPr>
          <w:b/>
          <w:color w:val="000000" w:themeColor="text1"/>
          <w:sz w:val="24"/>
          <w:szCs w:val="24"/>
        </w:rPr>
        <w:t>b-bis) nella definizione del rapporto debito/patrimonio netto contabile registrato negli ultimi due anni dall'impresa, che non può essere superiore a 7,5, così come indicato dal punto 1) della lettera e) del comma 18 dell'articolo 2 del Regolamento (UE) n. 651/2014 della Commissione del 17 giugno 2014, parametro indispensabile per la definizione di «impresa in difficoltà», vengono inclusi, nel calcolo del patrimonio, i crediti non prescritti, certi, liquidi ed esigibili, maturati nei confronti delle amministrazioni pubbliche di cui all'articolo 1, comma 2, del decreto legislativo 30 marzo 2001, n. 165, per somministrazione, forniture e appalti, certificati ai sensi dell'articolo 9, comma 3-bis, del decreto-legge 29 novembre 2008, n. 185, convertito, con modificazioni, dalla legge 28 gennaio 2009, n. 2, e le certificazioni richiamate all'articolo 9, comma 3-ter, lettera b), ultimo periodo, del medesimo decreto, recanti la data prevista per il pagamento, emesse mediante l'apposita piattaforma elettronica.</w:t>
      </w:r>
      <w:r>
        <w:rPr>
          <w:rStyle w:val="Rimandonotaapidipagina"/>
          <w:b/>
          <w:color w:val="000000" w:themeColor="text1"/>
          <w:sz w:val="24"/>
          <w:szCs w:val="24"/>
        </w:rPr>
        <w:footnoteReference w:id="7"/>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   c) l'importo del prestito assistito da garanzia non è superiore al maggiore tra i seguenti elementi:</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25 per cento del fatturato annuo dell'impresa relativi al 2019, come risultante dal bilancio ovvero dalla dichiarazione fiscale;</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    2) il doppio dei costi del personale dell'impresa relativi al 2019, come risultanti dal bilancio ovvero da dati certificati se l'impresa non ha approvato il bilancio; qualora l'impresa abbia iniziato la </w:t>
      </w:r>
      <w:r w:rsidRPr="00AD1B0C">
        <w:rPr>
          <w:rFonts w:cs="Times New Roman"/>
          <w:color w:val="auto"/>
          <w:sz w:val="24"/>
          <w:szCs w:val="24"/>
          <w:lang w:eastAsia="en-US"/>
        </w:rPr>
        <w:lastRenderedPageBreak/>
        <w:t>propria attività successivamente al 31 dicembre 2018, si fa riferimento ai costi del personale attesi per i primi due anni di attività, come documentato e attestato dal rappresentante legale dell'impresa;</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   d) la garanzia, in concorso paritetico e proporzionale tra garante e garantito nelle perdite per mancato rimborso del finanziamento, copre il:</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90 per cento dell'importo del finanziamento per imprese con meno di 5000 dipendenti in Italia e valore del fatturato fino a 1,5 miliardi di euro;</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80 per cento dell'importo del finanziamento per imprese con valore del fatturato tra 1,5 miliardi e 5 miliardi di euro o con più di 5000 dipendenti in Italia;</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70 per cento per le imprese con valore del fatturato superiore a 5 miliardi di euro;</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   e) le commissioni annuali dovute dalle imprese per il rilascio della garanzia sono le seguenti:</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per i finanziamenti di piccole e medie imprese sono corrisposti, in rapporto all'importo garantito, 25 punti base durante il primo anno, 50 punti base durante il secondo e terzo anno, 100 punti base durante il quarto, quinto e sesto anno;</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per i finanziamenti di imprese diverse dalle piccole e medie imprese sono corrisposti, in rapporto all'importo garantito, 50 punti base durante il primo anno, 100 punti base durante il secondo e terzo anno, 200 punti base durante il quarto, quinto e sesto anno;</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   f) la garanzia è a prima richiesta, esplicita, irrevocabile, e conforme ai requisiti previsti dalla normativa di vigilanza prudenziale ai fini della migliore mitigazione del rischio;</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   g) la garanzia copre nuovi finanziamenti concessi all'impresa successivamente all'entrata in vigore del presente decreto, per capitale, interessi ed oneri accessori fino all'importo massimo garantito;</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   h) le commissioni devono essere limitate al recupero dei costi e il costo dei finanziamenti coperti dalla garanzia deve essere inferiore al costo che sarebbe stato richiesto dal soggetto o dai soggetti eroganti per operazioni con le medesime caratteristiche ma prive della garanzia, come documentato e attestato dal rappresentante legale dei suddetti soggetti eroganti. Tale minor costo deve essere almeno uguale alla differenza tra il costo che sarebbe stato richiesto dal soggetto o dai soggetti eroganti per operazioni con le medesime caratteristiche ma prive della garanzia, come documentato e attestato dal rappresentante legale dei suddetti soggetti eroganti, ed il costo effettivamente applicato all'impresa;</w:t>
      </w:r>
    </w:p>
    <w:p w:rsidR="00AD1B0C" w:rsidRPr="00AD1B0C" w:rsidRDefault="00AD1B0C" w:rsidP="00AD1B0C">
      <w:pPr>
        <w:spacing w:after="160" w:line="259" w:lineRule="auto"/>
        <w:jc w:val="both"/>
        <w:rPr>
          <w:rFonts w:cs="Times New Roman"/>
          <w:color w:val="auto"/>
          <w:sz w:val="24"/>
          <w:szCs w:val="24"/>
          <w:lang w:eastAsia="en-US"/>
        </w:rPr>
      </w:pPr>
    </w:p>
    <w:p w:rsidR="00DF6578" w:rsidRPr="002756C5" w:rsidRDefault="00AD1B0C" w:rsidP="00DF6578">
      <w:pPr>
        <w:jc w:val="both"/>
        <w:rPr>
          <w:b/>
          <w:color w:val="000000" w:themeColor="text1"/>
          <w:sz w:val="24"/>
          <w:szCs w:val="24"/>
        </w:rPr>
      </w:pPr>
      <w:r w:rsidRPr="00AD1B0C">
        <w:rPr>
          <w:rFonts w:cs="Times New Roman"/>
          <w:color w:val="auto"/>
          <w:sz w:val="24"/>
          <w:szCs w:val="24"/>
          <w:lang w:eastAsia="en-US"/>
        </w:rPr>
        <w:t>   </w:t>
      </w:r>
      <w:r w:rsidRPr="0077462B">
        <w:rPr>
          <w:rFonts w:cs="Times New Roman"/>
          <w:strike/>
          <w:color w:val="auto"/>
          <w:sz w:val="24"/>
          <w:szCs w:val="24"/>
          <w:highlight w:val="yellow"/>
          <w:lang w:eastAsia="en-US"/>
        </w:rPr>
        <w:t>i) l'impresa che beneficia della garanzia assume l'impegno che essa, nonché ogni altra impresa con sede in Italia che faccia parte del medesimo gruppo cui la prima appartiene, non approvi la distribuzione di dividendi o il riacquisto di azioni nel corso del 2020;</w:t>
      </w:r>
      <w:r w:rsidR="00DF6578" w:rsidRPr="00DF6578">
        <w:rPr>
          <w:rFonts w:cs="Times New Roman"/>
          <w:color w:val="auto"/>
          <w:sz w:val="24"/>
          <w:szCs w:val="24"/>
          <w:lang w:eastAsia="en-US"/>
        </w:rPr>
        <w:t xml:space="preserve"> </w:t>
      </w:r>
      <w:r w:rsidR="00DF6578" w:rsidRPr="002756C5">
        <w:rPr>
          <w:b/>
          <w:color w:val="000000" w:themeColor="text1"/>
          <w:sz w:val="24"/>
          <w:szCs w:val="24"/>
        </w:rPr>
        <w:t>Qualora le suddette imprese abbiano già distribuito dividendi o riacquistato azioni al momento della richiesta del finanziamento, l'impegno anzidetto viene assunto dall'impresa per i 12 mesi successivi al momento della richiesta.</w:t>
      </w:r>
      <w:r w:rsidR="00DF6578">
        <w:rPr>
          <w:rStyle w:val="Rimandonotaapidipagina"/>
          <w:b/>
          <w:color w:val="000000" w:themeColor="text1"/>
          <w:sz w:val="24"/>
          <w:szCs w:val="24"/>
        </w:rPr>
        <w:footnoteReference w:id="8"/>
      </w:r>
    </w:p>
    <w:p w:rsidR="00AD1B0C" w:rsidRDefault="00AD1B0C" w:rsidP="00AD1B0C">
      <w:pPr>
        <w:spacing w:after="160" w:line="259" w:lineRule="auto"/>
        <w:jc w:val="both"/>
        <w:rPr>
          <w:rFonts w:cs="Times New Roman"/>
          <w:color w:val="auto"/>
          <w:sz w:val="24"/>
          <w:szCs w:val="24"/>
          <w:lang w:eastAsia="en-US"/>
        </w:rPr>
      </w:pPr>
    </w:p>
    <w:p w:rsidR="0077462B" w:rsidRPr="002756C5" w:rsidRDefault="0077462B" w:rsidP="0077462B">
      <w:pPr>
        <w:jc w:val="both"/>
        <w:rPr>
          <w:b/>
          <w:color w:val="000000" w:themeColor="text1"/>
          <w:sz w:val="24"/>
          <w:szCs w:val="24"/>
        </w:rPr>
      </w:pPr>
      <w:r w:rsidRPr="002756C5">
        <w:rPr>
          <w:b/>
          <w:color w:val="000000" w:themeColor="text1"/>
          <w:sz w:val="24"/>
          <w:szCs w:val="24"/>
        </w:rPr>
        <w:t>i) L'impresa che beneficia della garanzia assume l'impegno che essa, nonché ogni altra impresa con sede in Italia che faccia parte del medesimo gruppo cui la prima appartiene, comprese quelle soggette alla direzione e coordinamento da parte della medesima, non approvi la distribuzione di dividendi o il riacquisto di azioni nel corso del 2020.</w:t>
      </w:r>
      <w:r w:rsidR="00994F45">
        <w:rPr>
          <w:rStyle w:val="Rimandonotaapidipagina"/>
          <w:b/>
          <w:color w:val="000000" w:themeColor="text1"/>
          <w:sz w:val="24"/>
          <w:szCs w:val="24"/>
        </w:rPr>
        <w:footnoteReference w:id="9"/>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   l) l'impresa che beneficia della garanzia assume l'impegno a gestire i livelli occupazionali attraverso accordi sindacali;</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   m) il soggetto finanziatore deve dimostrare che ad esito del rilascio del finanziamento coperto da garanzia l'ammontare complessivo delle esposizioni nei confronti del soggetto finanziato risulta superiore all'ammontare di esposizioni detenute alla data di entrata in vigore del presente decreto, corretto per le riduzioni delle esposizioni intervenute tra le due date in conseguenza del regolamento contrattuale stabilito tra le parti prima dell'entrata in vigore del presente decreto;</w:t>
      </w:r>
    </w:p>
    <w:p w:rsidR="00AD1B0C" w:rsidRPr="00AD1B0C" w:rsidRDefault="00AD1B0C" w:rsidP="00AD1B0C">
      <w:pPr>
        <w:spacing w:after="160" w:line="259" w:lineRule="auto"/>
        <w:jc w:val="both"/>
        <w:rPr>
          <w:rFonts w:cs="Times New Roman"/>
          <w:color w:val="auto"/>
          <w:sz w:val="24"/>
          <w:szCs w:val="24"/>
          <w:lang w:eastAsia="en-US"/>
        </w:rPr>
      </w:pPr>
    </w:p>
    <w:p w:rsidR="0034367D" w:rsidRDefault="00AD1B0C" w:rsidP="0034367D">
      <w:pPr>
        <w:jc w:val="both"/>
        <w:rPr>
          <w:color w:val="000000" w:themeColor="text1"/>
          <w:sz w:val="24"/>
          <w:szCs w:val="24"/>
        </w:rPr>
      </w:pPr>
      <w:r w:rsidRPr="00AD1B0C">
        <w:rPr>
          <w:rFonts w:cs="Times New Roman"/>
          <w:color w:val="auto"/>
          <w:sz w:val="24"/>
          <w:szCs w:val="24"/>
          <w:lang w:eastAsia="en-US"/>
        </w:rPr>
        <w:t>   n) il finanziamento coperto dalla garanzia deve essere destinato a sostenere costi del personale</w:t>
      </w:r>
      <w:r w:rsidR="00525326">
        <w:rPr>
          <w:rFonts w:cs="Times New Roman"/>
          <w:color w:val="auto"/>
          <w:sz w:val="24"/>
          <w:szCs w:val="24"/>
          <w:lang w:eastAsia="en-US"/>
        </w:rPr>
        <w:t xml:space="preserve"> </w:t>
      </w:r>
      <w:r w:rsidR="00525326" w:rsidRPr="002756C5">
        <w:rPr>
          <w:b/>
          <w:color w:val="000000" w:themeColor="text1"/>
          <w:sz w:val="24"/>
          <w:szCs w:val="24"/>
        </w:rPr>
        <w:t xml:space="preserve">dei canoni di locazione </w:t>
      </w:r>
      <w:r w:rsidR="00525326">
        <w:rPr>
          <w:b/>
          <w:color w:val="000000" w:themeColor="text1"/>
          <w:sz w:val="24"/>
          <w:szCs w:val="24"/>
        </w:rPr>
        <w:t>o di affitto di ramo d'azienda</w:t>
      </w:r>
      <w:r w:rsidR="00525326">
        <w:rPr>
          <w:rStyle w:val="Rimandonotaapidipagina"/>
          <w:b/>
          <w:color w:val="000000" w:themeColor="text1"/>
          <w:sz w:val="24"/>
          <w:szCs w:val="24"/>
        </w:rPr>
        <w:footnoteReference w:id="10"/>
      </w:r>
      <w:r w:rsidRPr="00AD1B0C">
        <w:rPr>
          <w:rFonts w:cs="Times New Roman"/>
          <w:color w:val="auto"/>
          <w:sz w:val="24"/>
          <w:szCs w:val="24"/>
          <w:lang w:eastAsia="en-US"/>
        </w:rPr>
        <w:t>, investimenti o capitale circolante impiegati in stabilimenti produttivi e attività imprenditoriali che siano localizzati in Italia, come documentato e attestato dal rappresentante legale dell'impresa beneficiaria</w:t>
      </w:r>
      <w:r w:rsidR="0034367D">
        <w:rPr>
          <w:rFonts w:cs="Times New Roman"/>
          <w:color w:val="auto"/>
          <w:sz w:val="24"/>
          <w:szCs w:val="24"/>
          <w:lang w:eastAsia="en-US"/>
        </w:rPr>
        <w:t xml:space="preserve"> </w:t>
      </w:r>
      <w:r w:rsidR="0034367D" w:rsidRPr="002756C5">
        <w:rPr>
          <w:b/>
          <w:color w:val="000000" w:themeColor="text1"/>
          <w:sz w:val="24"/>
          <w:szCs w:val="24"/>
        </w:rPr>
        <w:t>e che le medesime imprese si impegnino a non delocalizzare le produzioni</w:t>
      </w:r>
      <w:r w:rsidR="0005286F">
        <w:rPr>
          <w:rStyle w:val="Rimandonotaapidipagina"/>
          <w:b/>
          <w:color w:val="000000" w:themeColor="text1"/>
          <w:sz w:val="24"/>
          <w:szCs w:val="24"/>
        </w:rPr>
        <w:footnoteReference w:id="11"/>
      </w:r>
      <w:r w:rsidR="0034367D" w:rsidRPr="0005286F">
        <w:rPr>
          <w:color w:val="000000" w:themeColor="text1"/>
          <w:sz w:val="24"/>
          <w:szCs w:val="24"/>
        </w:rPr>
        <w:t>.</w:t>
      </w:r>
    </w:p>
    <w:p w:rsidR="003F43DE" w:rsidRPr="002756C5" w:rsidRDefault="003F43DE" w:rsidP="0034367D">
      <w:pPr>
        <w:jc w:val="both"/>
        <w:rPr>
          <w:b/>
          <w:color w:val="000000" w:themeColor="text1"/>
          <w:sz w:val="24"/>
          <w:szCs w:val="24"/>
        </w:rPr>
      </w:pPr>
      <w:r w:rsidRPr="003A07A9">
        <w:rPr>
          <w:b/>
          <w:color w:val="000000" w:themeColor="text1"/>
          <w:sz w:val="24"/>
          <w:szCs w:val="24"/>
        </w:rPr>
        <w:t>n-bis) il finanziamento di cui alla lettera n) deve essere altresì destinato, in misura non superiore al 20 per cento dell'importo erogato, al pagamento di rate di finanziamenti, scadute o in scadenza nel periodo emergenziale, ovvero dal 1o marzo 2020 al 31 dicembre 2020, per le quali il rimborso sia reso oggettivamente impossibile come conseguenza della diffusione dell'epidemia da COVID-19 o delle misure dirette alla prevenzione e al contenimento della stessa, a condizione che l'impossibilità oggettiva del rimborso sia attestata dal rappresentante legale dell'impresa beneficiaria ai sensi dell'articolo 47 del testo unico delle disposizioni legislative e regolamentari in materia di documentazione amministrativa, di cui al decreto del Presidente della Repubblica 28 dicembre 2000, n. 445.</w:t>
      </w:r>
      <w:r>
        <w:rPr>
          <w:rStyle w:val="Rimandonotaapidipagina"/>
          <w:b/>
          <w:color w:val="000000" w:themeColor="text1"/>
          <w:sz w:val="24"/>
          <w:szCs w:val="24"/>
        </w:rPr>
        <w:footnoteReference w:id="12"/>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  3. Ai fini dell'individuazione del limite di importo garantito indicato dal comma 2, lettera c), si fa riferimento al valore del fatturato in Italia e dei costi del personale sostenuti in Italia da parte dell'impresa ovvero su base consolidata qualora l'impresa appartenga ad un gruppo. L'impresa richiedente è tenuta a comunicare alla banca finanziatrice tale valore. Ai fini della verifica del suddetto </w:t>
      </w:r>
      <w:r w:rsidRPr="00AD1B0C">
        <w:rPr>
          <w:rFonts w:cs="Times New Roman"/>
          <w:color w:val="auto"/>
          <w:sz w:val="24"/>
          <w:szCs w:val="24"/>
          <w:lang w:eastAsia="en-US"/>
        </w:rPr>
        <w:lastRenderedPageBreak/>
        <w:t>limite, qualora la medesima impresa sia beneficiaria di più finanziamenti assistiti dalla garanzia di cui al presente articolo ovvero di altra garanzia pubblica, gli importi di detti finanziamenti si cumulano. Qualora la medesima impresa, ovvero il medesimo gruppo quando la prima è parte di un gruppo, siano beneficiari di più finanziamenti assistiti dalla garanzia di cui al comma 1, gli importi di detti finanziamenti si cumulano.</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  4. Ai fini dell'individuazione della percentuale di garanzia indicata dal comma 2, lettera d), si fa riferimento al valore su base consolidata del fatturato e dei costi del personale del gruppo, qualora l'impresa beneficiaria sia parte di un gruppo. L'impresa richiedente è tenuta a comunicare alla banca finanziatrice tale valore. Le percentuali indicate al comma 2, lettera d) si applicano sull'importo residuo dovuto, in caso di ammortamento progressivo del finanziamento.</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  5. Sulle obbligazioni di SACE S.p.A. derivanti dalle garanzie disciplinate dal comma 1</w:t>
      </w:r>
      <w:r w:rsidR="0039147F">
        <w:rPr>
          <w:rFonts w:cs="Times New Roman"/>
          <w:color w:val="auto"/>
          <w:sz w:val="24"/>
          <w:szCs w:val="24"/>
          <w:lang w:eastAsia="en-US"/>
        </w:rPr>
        <w:t xml:space="preserve"> </w:t>
      </w:r>
      <w:r w:rsidR="0039147F" w:rsidRPr="00224886">
        <w:rPr>
          <w:b/>
          <w:color w:val="000000" w:themeColor="text1"/>
          <w:sz w:val="24"/>
          <w:szCs w:val="24"/>
        </w:rPr>
        <w:t>e dal comma 1-bis</w:t>
      </w:r>
      <w:r w:rsidR="0039147F">
        <w:rPr>
          <w:rStyle w:val="Rimandonotaapidipagina"/>
          <w:b/>
          <w:color w:val="000000" w:themeColor="text1"/>
          <w:sz w:val="24"/>
          <w:szCs w:val="24"/>
        </w:rPr>
        <w:footnoteReference w:id="13"/>
      </w:r>
      <w:r w:rsidRPr="00AD1B0C">
        <w:rPr>
          <w:rFonts w:cs="Times New Roman"/>
          <w:color w:val="auto"/>
          <w:sz w:val="24"/>
          <w:szCs w:val="24"/>
          <w:lang w:eastAsia="en-US"/>
        </w:rPr>
        <w:t>, è accordata di diritto la garanzia dello Stato a prima richiesta e senza regresso, la cui operatività sarà registrata da SACE S.p.A. con gestione separata. La garanzia dello Stato è esplicita, incondizionata, irrevocabile e si estende al rimborso del capitale, al pagamento degli interessi e ad ogni altro onere accessorio, al netto delle commissioni ricevute per le medesime garanzie. SACE S.p.A. svolge anche per conto del Ministero dell'economia e delle finanze le attività relative all'escussione della garanzia e al recupero dei crediti, che può altresì delegare alle banche, alle istituzioni finanziarie nazionali e internazionali e agli altri soggetti abilitati all'esercizio del credito in Italia. SACE S.p.A. opera con la dovuta diligenza professionale. Con decreto del Ministro dell'economia e delle finanze possono essere impartiti a SACE S.p.A. indirizzi sulla gestione dell'attività di rilascio delle garanzie e sulla verifica, al fine dell'escussione della garanzia dello Stato, del rispetto dei suddetti indirizzi e dei criteri e condizioni previsti dal presente articolo.</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  6. Per il rilascio delle garanzie che coprono finanziamenti in favore di imprese con meno di 5000 dipendenti in Italia e con valore del fatturato inferiore a 1,5 miliardi di euro, sulla base dei dati risultanti da bilancio ovvero di dati certificati con riferimento alla data di entrata in vigore del presente decreto se l'impresa non ha approvato il bilancio, si applica la seguente procedura semplificata, come ulteriormente specificata sul piano procedurale e documentale da SACE S.p.A., fermo quanto previsto dal comma 9:</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   a) l'impresa interessata all'erogazione di un finanziamento garantito da SACE S.p.A. presenta a un soggetto finanziatore, che può operare ed eventualmente erogare anche in modo coordinato con altri finanziatori, la domanda di finanziamento garantito dallo Stato;</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in caso di esito positivo della delibera di erogazione del finanziamento da parte dei suddetti soggetti, questi ultimi trasmettono la richiesta di emissione della garanzia a SACE S.p.A. e quest'ultima processa la richiesta, verificando l'esito positivo del processo deliberativo del soggetto finanziatore ed emettendo un codice unico identificativo del finanziamento e della garanzia;</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   c) il soggetto finanziatore procede al rilascio del finanziamento assistito dalla garanzia concessa dalla SACE S.p.A.</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  7. Qualora l'impresa beneficiaria abbia dipendenti o fatturato superiori alle soglie indicate dal comma 6, il rilascio della garanzia e del corrispondente codice unico è subordinato altresì alla decisione assunta con decreto del Ministro dell'economia e delle finanze, sentito il Ministro dello sviluppo economico, adottato sulla base dell'istruttoria trasmessa da SACE S.p.A., tenendo in considerazione il ruolo che l'impresa che beneficia della garanzia svolge rispetto alle seguenti aree e profili in Italia:</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contributo allo sviluppo tecnologico;</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appartenenza alla rete logistica e dei rifornimenti;</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   c) incidenza su infrastrutture critiche e strategiche;</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   d) impatto sui livelli occupazionali e mercato del lavoro;</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   e) peso specifico nell'ambito di una filiera produttiva strategica.</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  8. Con il decreto di cui al comma 7 possono essere elevate le percentuali di cui al comma 2, lettera d), fino al limite di percentuale immediatamente superiore a quello ivi previsto, subordinatamente al rispetto di specifici impegni e condizioni in capo all'impresa beneficiaria indicati nella decisione, in relazione alle aree e ai profili di cui al comma 7.</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  9. I soggetti finanziatori forniscono un rendiconto periodico a SACE S.p.A., con i contenuti, la cadenza e le modalità da quest'ultima indicati, al fine di riscontrare il rispetto da parte dei soggetti finanziati e degli stessi soggetti finanziatori degli impegni e delle condizioni previsti ai sensi del presente articolo. SACE S.p.A. ne riferisce periodicamente al Ministero dell'economia e delle finanze.</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  10. Con decreto del Ministro dell'economia e delle finanze, possono essere disciplinate ulteriori modalità attuative e operative, ed eventuali elementi e requisiti integrativi, per l'esecuzione delle operazioni di cui ai commi da 1 a 9.</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  11. In caso di modifiche della Comunicazione della Commissione europea del 19 marzo 2020 recante un «Quadro temporaneo per le misure di aiuto di Stato a sostegno dell'economia nell'attuale emergenza del COVID-19», condizioni e requisiti indicati ai commi da 2 a 8 possono essere conseguentemente adeguati con decreto del Ministro dell'economia e delle Finanze, di concerto con il Ministro dello sviluppo economico.</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  12. L'efficacia dei commi da 1 a 9 è subordinata all'approvazione della Commissione Europea ai sensi dell'articolo 108 del Trattato sul funzionamento dell'Unione Europea.</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  13. Fermo restando il limite complessivo massimo di cui al comma 1, con decreto del Ministro dell'economia e delle finanze può essere concessa, in conformità con la normativa dell'Unione europea, la garanzia dello Stato su esposizioni assunte o da assumere da Cassa depositi e prestiti S.p.A. (CDP S.p.A.) entro il 31 dicembre 2020 derivanti da garanzie, anche nella forma di garanzie di prima perdita, su portafogli di finanziamenti concessi, in qualsiasi forma, da banche e da altri soggetti abilitati all'esercizio del credito in Italia alle imprese con sede in Italia che hanno sofferto una riduzione del fatturato a causa dell'emergenza epidemiologica da «COVID-19» e che prevedano modalità tali da assicurare la concessione da parte dei soggetti finanziatori di nuovi finanziamenti in funzione dell'ammontare del capitale regolamentare liberato per effetto delle garanzie stesse. La garanzia è a prima richiesta, incondizionata, esplicita, irrevocabile, e conforme ai requisiti previsti dalla normativa di vigilanza prudenziale ai fini della migliore mitigazione del rischio.</w:t>
      </w:r>
    </w:p>
    <w:p w:rsidR="00A34AE9" w:rsidRDefault="00AD1B0C" w:rsidP="00A34AE9">
      <w:pPr>
        <w:jc w:val="both"/>
        <w:rPr>
          <w:color w:val="000000" w:themeColor="text1"/>
          <w:sz w:val="24"/>
          <w:szCs w:val="24"/>
        </w:rPr>
      </w:pPr>
      <w:r w:rsidRPr="00AD1B0C">
        <w:rPr>
          <w:rFonts w:cs="Times New Roman"/>
          <w:color w:val="auto"/>
          <w:sz w:val="24"/>
          <w:szCs w:val="24"/>
          <w:lang w:eastAsia="en-US"/>
        </w:rPr>
        <w:t xml:space="preserve">  14. È istituito nello stato di previsione del Ministero dell'economia e delle finanze, un fondo a copertura delle garanzie concesse ai sensi dei commi 5 e 13, nonché di quelle concesse ai sensi dell'articolo 6, comma 14-bis, del decreto-legge 30 settembre 2003, n. 269, convertito, con modificazioni, dalla legge 24 novembre 2003, n. 326, con una dotazione iniziale di 1.000 milioni di euro </w:t>
      </w:r>
      <w:r w:rsidRPr="00AD1B0C">
        <w:rPr>
          <w:rFonts w:cs="Times New Roman"/>
          <w:color w:val="auto"/>
          <w:sz w:val="24"/>
          <w:szCs w:val="24"/>
          <w:lang w:eastAsia="en-US"/>
        </w:rPr>
        <w:lastRenderedPageBreak/>
        <w:t>per</w:t>
      </w:r>
      <w:r w:rsidR="00971381">
        <w:rPr>
          <w:rFonts w:cs="Times New Roman"/>
          <w:color w:val="auto"/>
          <w:sz w:val="24"/>
          <w:szCs w:val="24"/>
          <w:lang w:eastAsia="en-US"/>
        </w:rPr>
        <w:t xml:space="preserve"> l'anno 2020. Al relativo onere</w:t>
      </w:r>
      <w:r w:rsidR="00971381" w:rsidRPr="00A30F5D">
        <w:rPr>
          <w:b/>
          <w:color w:val="000000" w:themeColor="text1"/>
          <w:sz w:val="24"/>
          <w:szCs w:val="24"/>
        </w:rPr>
        <w:t>, pari a 1.000 milioni di euro per l'anno 2020,</w:t>
      </w:r>
      <w:r w:rsidR="00971381">
        <w:rPr>
          <w:rStyle w:val="Rimandonotaapidipagina"/>
          <w:b/>
          <w:color w:val="000000" w:themeColor="text1"/>
          <w:sz w:val="24"/>
          <w:szCs w:val="24"/>
        </w:rPr>
        <w:footnoteReference w:id="14"/>
      </w:r>
      <w:r w:rsidR="00971381">
        <w:rPr>
          <w:b/>
          <w:color w:val="000000" w:themeColor="text1"/>
          <w:sz w:val="24"/>
          <w:szCs w:val="24"/>
        </w:rPr>
        <w:t xml:space="preserve"> </w:t>
      </w:r>
      <w:r w:rsidRPr="00AD1B0C">
        <w:rPr>
          <w:rFonts w:cs="Times New Roman"/>
          <w:color w:val="auto"/>
          <w:sz w:val="24"/>
          <w:szCs w:val="24"/>
          <w:lang w:eastAsia="en-US"/>
        </w:rPr>
        <w:t>si provvede mediante versamento all'entrata del bilancio dello Stato, per un corrispondente importo, delle risorse disponibili sulla contabilità speciale di cui all'articolo 37, comma 6, del decreto-legge 24 aprile 2014, n. 66, convertito, con modificazioni, dalla legge 23 giugno 2014, n. 89. Per la gestione del fondo è autorizzata l'apertura di apposito conto</w:t>
      </w:r>
      <w:r w:rsidR="00A34AE9">
        <w:rPr>
          <w:rFonts w:cs="Times New Roman"/>
          <w:color w:val="auto"/>
          <w:sz w:val="24"/>
          <w:szCs w:val="24"/>
          <w:lang w:eastAsia="en-US"/>
        </w:rPr>
        <w:t xml:space="preserve"> corrente di tesoreria centrale </w:t>
      </w:r>
      <w:r w:rsidR="00A34AE9" w:rsidRPr="00A30F5D">
        <w:rPr>
          <w:b/>
          <w:color w:val="000000" w:themeColor="text1"/>
          <w:sz w:val="24"/>
          <w:szCs w:val="24"/>
        </w:rPr>
        <w:t>intestato a SACE S.p.A. su cui sono versate le commissioni incassate ai sensi del comma 2, lettera e) al netto dei costi di gestione sostenuti da SACE S.p.A. per le attività svolte ai sensi del presente articolo risultanti dalla contabilità di SACE S.p.A., salvo conguaglio all'esito dell'approvazione del bilancio</w:t>
      </w:r>
      <w:r w:rsidR="00A34AE9">
        <w:rPr>
          <w:rStyle w:val="Rimandonotaapidipagina"/>
          <w:b/>
          <w:color w:val="000000" w:themeColor="text1"/>
          <w:sz w:val="24"/>
          <w:szCs w:val="24"/>
        </w:rPr>
        <w:footnoteReference w:id="15"/>
      </w:r>
      <w:r w:rsidR="00A34AE9" w:rsidRPr="00A34AE9">
        <w:rPr>
          <w:color w:val="000000" w:themeColor="text1"/>
          <w:sz w:val="24"/>
          <w:szCs w:val="24"/>
        </w:rPr>
        <w:t>.</w:t>
      </w:r>
    </w:p>
    <w:p w:rsidR="00B20235" w:rsidRPr="003A07A9" w:rsidRDefault="00B20235" w:rsidP="00B20235">
      <w:pPr>
        <w:jc w:val="both"/>
        <w:rPr>
          <w:b/>
          <w:color w:val="000000" w:themeColor="text1"/>
          <w:sz w:val="24"/>
          <w:szCs w:val="24"/>
        </w:rPr>
      </w:pPr>
      <w:r w:rsidRPr="003A07A9">
        <w:rPr>
          <w:b/>
          <w:color w:val="000000" w:themeColor="text1"/>
          <w:sz w:val="24"/>
          <w:szCs w:val="24"/>
        </w:rPr>
        <w:t>14-bis. Al fine di assicurare la necessaria liquidità alle imprese indicate al comma 1, SACE S.p.A. concede, fino al 31 dicembre 2020, garanzie in conformità con la normativa dell'Unione europea in tema di aiuti di Stato e nel rispetto dei criteri e delle condizioni previste nel presente articolo in favore di banche, istituzioni finanziarie nazionali e internazionali e altri soggetti che sottoscrivono in Italia prestiti obbligazionari o altri titoli di debito emessi dalle suddette imprese a cui sia attribuito un rating da parte di una primaria agenzia di rating almeno pari a BB- o equivalente. Gli impegni assunti dalla SACE S.p.A. ai sensi del presente comma, unitamente a quelli assunti ai sensi del comma 1, non devono superare l'importo complessivo massimo di 200 miliardi di euro.</w:t>
      </w:r>
    </w:p>
    <w:p w:rsidR="00B20235" w:rsidRPr="003A07A9" w:rsidRDefault="00B20235" w:rsidP="00B20235">
      <w:pPr>
        <w:jc w:val="both"/>
        <w:rPr>
          <w:b/>
          <w:color w:val="000000" w:themeColor="text1"/>
          <w:sz w:val="24"/>
          <w:szCs w:val="24"/>
        </w:rPr>
      </w:pPr>
      <w:r w:rsidRPr="003A07A9">
        <w:rPr>
          <w:b/>
          <w:color w:val="000000" w:themeColor="text1"/>
          <w:sz w:val="24"/>
          <w:szCs w:val="24"/>
        </w:rPr>
        <w:t>  14-ter. Fermo restando quanto previsto dal comma 14-bis, qualora il rating attribuito sia inferiore a BBB- i sottoscrittori originari dei prestiti obbligazionari o dei titoli di debito si obbligano a mantenere una quota pari ad almeno il 30 per cento del valore dell'emissione per l'intera durata della stessa.</w:t>
      </w:r>
    </w:p>
    <w:p w:rsidR="00B20235" w:rsidRPr="003A07A9" w:rsidRDefault="00B20235" w:rsidP="00B20235">
      <w:pPr>
        <w:jc w:val="both"/>
        <w:rPr>
          <w:b/>
          <w:color w:val="000000" w:themeColor="text1"/>
          <w:sz w:val="24"/>
          <w:szCs w:val="24"/>
        </w:rPr>
      </w:pPr>
      <w:r w:rsidRPr="003A07A9">
        <w:rPr>
          <w:b/>
          <w:color w:val="000000" w:themeColor="text1"/>
          <w:sz w:val="24"/>
          <w:szCs w:val="24"/>
        </w:rPr>
        <w:t xml:space="preserve">  14-quater. Alle garanzie di cui ai commi 14-bis e 14-ter si applicano, in quanto compatibili, le disposizioni dei commi 2, 3, 4, 8, 9, 10, 11 e 12. Con riferimento al comma 2, lettera b), nel caso di emissioni obbligazionarie organizzate da soggetti diversi da banche, istituzioni finanziarie nazionali e internazionali o altri soggetti abilitati all'esercizio del credito, l'impresa emittente fornisce a SACE S.p.A. una certificazione che attesta che alla data del 29 febbraio 2020 la stessa non risultava presente tra le esposizioni deteriorate presso il sistema bancario, come definite ai sensi della normativa dell'Unione europea. Con riferimento al comma 9, i sottoscrittori dei prestiti obbligazionari o dei titoli di debito nominano un rappresentante comune che fornisce un rendiconto periodico a </w:t>
      </w:r>
      <w:r w:rsidRPr="003A07A9">
        <w:rPr>
          <w:b/>
          <w:color w:val="000000" w:themeColor="text1"/>
          <w:sz w:val="24"/>
          <w:szCs w:val="24"/>
        </w:rPr>
        <w:lastRenderedPageBreak/>
        <w:t>SACE S.p.A., con i contenuti, la cadenza e le modalità da quest'ultima indicati, al fine di riscontrare il rispetto da parte dell'impresa emittente e dei sottoscrittori degli impegni e delle condizioni previsti.</w:t>
      </w:r>
    </w:p>
    <w:p w:rsidR="00B20235" w:rsidRPr="003A07A9" w:rsidRDefault="00B20235" w:rsidP="00B20235">
      <w:pPr>
        <w:jc w:val="both"/>
        <w:rPr>
          <w:b/>
          <w:color w:val="000000" w:themeColor="text1"/>
          <w:sz w:val="24"/>
          <w:szCs w:val="24"/>
        </w:rPr>
      </w:pPr>
      <w:r w:rsidRPr="003A07A9">
        <w:rPr>
          <w:b/>
          <w:color w:val="000000" w:themeColor="text1"/>
          <w:sz w:val="24"/>
          <w:szCs w:val="24"/>
        </w:rPr>
        <w:t>  14-quinquies. Alle obbligazioni di SACE S.p.A. derivanti dalle garanzie disciplinate dal presente articolo è accordata di diritto la garanzia dello Stato a prima richiesta e senza regresso, la cui operatività sarà registrata da SACE S.p.A. con gestione separata. La garanzia dello Stato è esplicita, incondizionata, irrevocabile e si estende al rimborso del capitale, al pagamento degli interessi e ad ogni altro onere accessorio, al netto delle commissioni ricevute per le medesime garanzie. SACE S.p.A. svolge, anche per conto del Ministero dell'economia e delle finanze, le attività relative all'escussione della garanzia e al recupero dei crediti, che può altresì delegare alle banche, alle istituzioni finanziarie nazionali e internazionali e agli altri soggetti abilitati all'esercizio del credito in Italia. SACE S.p.A. opera con la dovuta diligenza professionale. Con decreto del Ministro dell'economia e delle finanze possono essere impartiti a SACE S.p.A. indirizzi sulla gestione dell'attività di rilascio delle garanzie e sulla verifica, al fine dell'escussione della garanzia dello Stato, del rispetto dei suddetti indirizzi e dei criteri e condizioni previsti dal presente articolo.</w:t>
      </w:r>
    </w:p>
    <w:p w:rsidR="00B20235" w:rsidRPr="003A07A9" w:rsidRDefault="00B20235" w:rsidP="00B20235">
      <w:pPr>
        <w:jc w:val="both"/>
        <w:rPr>
          <w:b/>
          <w:color w:val="000000" w:themeColor="text1"/>
          <w:sz w:val="24"/>
          <w:szCs w:val="24"/>
        </w:rPr>
      </w:pPr>
      <w:r w:rsidRPr="003A07A9">
        <w:rPr>
          <w:b/>
          <w:color w:val="000000" w:themeColor="text1"/>
          <w:sz w:val="24"/>
          <w:szCs w:val="24"/>
        </w:rPr>
        <w:t>  14-sexies. Il rilascio delle garanzie di cui ai commi 14-bis e 14-ter da parte di SACE S.p.A., con l'emissione del corrispondente codice unico identificativo di cui al comma 6, lettera b), nel caso di emissione di importo uguale o superiore a euro 100 milioni ovvero nel caso in cui è richiesto, ai sensi del comma 8, l'incremento della percentuale di copertura di cui al comma 2, lettera d), è subordinato alla decisione assunta con decreto del Ministro dell'economia e delle finanze, sentito il Ministro dello sviluppo economico, adottato sulla base dell'istruttoria trasmessa da SACE S.p.A., tenendo anche in considerazione il ruolo che l'impresa emittente svolge rispetto alle seguenti aree e profili in Italia:</w:t>
      </w:r>
    </w:p>
    <w:p w:rsidR="00B20235" w:rsidRPr="003A07A9" w:rsidRDefault="00B20235" w:rsidP="00B20235">
      <w:pPr>
        <w:jc w:val="both"/>
        <w:rPr>
          <w:b/>
          <w:color w:val="000000" w:themeColor="text1"/>
          <w:sz w:val="24"/>
          <w:szCs w:val="24"/>
        </w:rPr>
      </w:pPr>
      <w:r w:rsidRPr="003A07A9">
        <w:rPr>
          <w:b/>
          <w:color w:val="000000" w:themeColor="text1"/>
          <w:sz w:val="24"/>
          <w:szCs w:val="24"/>
        </w:rPr>
        <w:t>   a) contributo allo sviluppo tecnologico;</w:t>
      </w:r>
    </w:p>
    <w:p w:rsidR="00B20235" w:rsidRPr="003A07A9" w:rsidRDefault="00B20235" w:rsidP="00B20235">
      <w:pPr>
        <w:jc w:val="both"/>
        <w:rPr>
          <w:b/>
          <w:color w:val="000000" w:themeColor="text1"/>
          <w:sz w:val="24"/>
          <w:szCs w:val="24"/>
        </w:rPr>
      </w:pPr>
      <w:r w:rsidRPr="003A07A9">
        <w:rPr>
          <w:b/>
          <w:color w:val="000000" w:themeColor="text1"/>
          <w:sz w:val="24"/>
          <w:szCs w:val="24"/>
        </w:rPr>
        <w:t>   b) appartenenza alla rete logistica e dei rifornimenti;</w:t>
      </w:r>
    </w:p>
    <w:p w:rsidR="00B20235" w:rsidRPr="003A07A9" w:rsidRDefault="00B20235" w:rsidP="00B20235">
      <w:pPr>
        <w:jc w:val="both"/>
        <w:rPr>
          <w:b/>
          <w:color w:val="000000" w:themeColor="text1"/>
          <w:sz w:val="24"/>
          <w:szCs w:val="24"/>
        </w:rPr>
      </w:pPr>
      <w:r w:rsidRPr="003A07A9">
        <w:rPr>
          <w:b/>
          <w:color w:val="000000" w:themeColor="text1"/>
          <w:sz w:val="24"/>
          <w:szCs w:val="24"/>
        </w:rPr>
        <w:t>   c) incidenza su infrastrutture critiche e strategiche;</w:t>
      </w:r>
    </w:p>
    <w:p w:rsidR="00B20235" w:rsidRPr="003A07A9" w:rsidRDefault="00B20235" w:rsidP="00B20235">
      <w:pPr>
        <w:jc w:val="both"/>
        <w:rPr>
          <w:b/>
          <w:color w:val="000000" w:themeColor="text1"/>
          <w:sz w:val="24"/>
          <w:szCs w:val="24"/>
        </w:rPr>
      </w:pPr>
      <w:r w:rsidRPr="003A07A9">
        <w:rPr>
          <w:b/>
          <w:color w:val="000000" w:themeColor="text1"/>
          <w:sz w:val="24"/>
          <w:szCs w:val="24"/>
        </w:rPr>
        <w:t>   d) impatto sui livelli occupazionali e sul mercato del lavoro;</w:t>
      </w:r>
    </w:p>
    <w:p w:rsidR="00B20235" w:rsidRDefault="00B20235" w:rsidP="00B20235">
      <w:pPr>
        <w:jc w:val="both"/>
        <w:rPr>
          <w:b/>
          <w:color w:val="000000" w:themeColor="text1"/>
          <w:sz w:val="24"/>
          <w:szCs w:val="24"/>
        </w:rPr>
      </w:pPr>
      <w:r w:rsidRPr="003A07A9">
        <w:rPr>
          <w:b/>
          <w:color w:val="000000" w:themeColor="text1"/>
          <w:sz w:val="24"/>
          <w:szCs w:val="24"/>
        </w:rPr>
        <w:t>   e) rilevanza specifica nell'ambito di una filiera produttiva strategica.</w:t>
      </w:r>
      <w:r>
        <w:rPr>
          <w:rStyle w:val="Rimandonotaapidipagina"/>
          <w:b/>
          <w:color w:val="000000" w:themeColor="text1"/>
          <w:sz w:val="24"/>
          <w:szCs w:val="24"/>
        </w:rPr>
        <w:footnoteReference w:id="16"/>
      </w:r>
    </w:p>
    <w:p w:rsidR="0028362B" w:rsidRDefault="0028362B" w:rsidP="00B20235">
      <w:pPr>
        <w:jc w:val="both"/>
        <w:rPr>
          <w:b/>
          <w:color w:val="000000" w:themeColor="text1"/>
          <w:sz w:val="24"/>
          <w:szCs w:val="24"/>
        </w:rPr>
      </w:pPr>
    </w:p>
    <w:p w:rsidR="0028362B" w:rsidRPr="003A07A9" w:rsidRDefault="0028362B" w:rsidP="0028362B">
      <w:pPr>
        <w:jc w:val="center"/>
        <w:rPr>
          <w:b/>
          <w:color w:val="000000" w:themeColor="text1"/>
          <w:sz w:val="24"/>
          <w:szCs w:val="24"/>
        </w:rPr>
      </w:pPr>
      <w:r w:rsidRPr="003A07A9">
        <w:rPr>
          <w:b/>
          <w:color w:val="000000" w:themeColor="text1"/>
          <w:sz w:val="24"/>
          <w:szCs w:val="24"/>
        </w:rPr>
        <w:t>Art. 1-bis</w:t>
      </w:r>
    </w:p>
    <w:p w:rsidR="0028362B" w:rsidRPr="003A07A9" w:rsidRDefault="0028362B" w:rsidP="0028362B">
      <w:pPr>
        <w:jc w:val="center"/>
        <w:rPr>
          <w:b/>
          <w:color w:val="000000" w:themeColor="text1"/>
          <w:sz w:val="24"/>
          <w:szCs w:val="24"/>
        </w:rPr>
      </w:pPr>
      <w:r w:rsidRPr="003A07A9">
        <w:rPr>
          <w:b/>
          <w:color w:val="000000" w:themeColor="text1"/>
          <w:sz w:val="24"/>
          <w:szCs w:val="24"/>
        </w:rPr>
        <w:t>(Dichiarazione sostitutiva per le richieste di nuovi finanziamenti)</w:t>
      </w:r>
    </w:p>
    <w:p w:rsidR="0028362B" w:rsidRPr="003A07A9" w:rsidRDefault="0028362B" w:rsidP="0028362B">
      <w:pPr>
        <w:jc w:val="both"/>
        <w:rPr>
          <w:b/>
          <w:color w:val="000000" w:themeColor="text1"/>
          <w:sz w:val="24"/>
          <w:szCs w:val="24"/>
        </w:rPr>
      </w:pPr>
    </w:p>
    <w:p w:rsidR="0028362B" w:rsidRPr="003A07A9" w:rsidRDefault="0028362B" w:rsidP="0028362B">
      <w:pPr>
        <w:jc w:val="both"/>
        <w:rPr>
          <w:b/>
          <w:color w:val="000000" w:themeColor="text1"/>
          <w:sz w:val="24"/>
          <w:szCs w:val="24"/>
        </w:rPr>
      </w:pPr>
      <w:r w:rsidRPr="003A07A9">
        <w:rPr>
          <w:b/>
          <w:color w:val="000000" w:themeColor="text1"/>
          <w:sz w:val="24"/>
          <w:szCs w:val="24"/>
        </w:rPr>
        <w:t>  1. Le richieste di nuovi finanziamenti effettuati ai sensi dell'articolo 1 devono essere integrate da una dichiarazione sostitutiva dell'atto di notorietà, ai sensi dell'articolo 47 del testo unico delle disposizioni legislative e regolamentari in materia di documentazione amministrativa, di cui al decreto del Presidente della Repubblica 28 dicembre 2000, n. 445, con la quale il titolare o il legale rappresentante dell'impresa richiedente, sotto la propria responsabilità, dichiara:</w:t>
      </w:r>
    </w:p>
    <w:p w:rsidR="0028362B" w:rsidRPr="003A07A9" w:rsidRDefault="0028362B" w:rsidP="0028362B">
      <w:pPr>
        <w:jc w:val="both"/>
        <w:rPr>
          <w:b/>
          <w:color w:val="000000" w:themeColor="text1"/>
          <w:sz w:val="24"/>
          <w:szCs w:val="24"/>
        </w:rPr>
      </w:pPr>
      <w:r w:rsidRPr="003A07A9">
        <w:rPr>
          <w:b/>
          <w:color w:val="000000" w:themeColor="text1"/>
          <w:sz w:val="24"/>
          <w:szCs w:val="24"/>
        </w:rPr>
        <w:t>   a) che l'attività d'impresa è stata limitata o interrotta dall'emergenza epidemiologica COVID-19 o dagli effetti derivanti dalle misure di prevenzione e contenimento connesse alla medesima emergenza e che prima di tale emergenza sussisteva una situazione di continuità aziendale;</w:t>
      </w:r>
    </w:p>
    <w:p w:rsidR="0028362B" w:rsidRPr="003A07A9" w:rsidRDefault="0028362B" w:rsidP="0028362B">
      <w:pPr>
        <w:jc w:val="both"/>
        <w:rPr>
          <w:b/>
          <w:color w:val="000000" w:themeColor="text1"/>
          <w:sz w:val="24"/>
          <w:szCs w:val="24"/>
        </w:rPr>
      </w:pPr>
      <w:r w:rsidRPr="003A07A9">
        <w:rPr>
          <w:b/>
          <w:color w:val="000000" w:themeColor="text1"/>
          <w:sz w:val="24"/>
          <w:szCs w:val="24"/>
        </w:rPr>
        <w:t>   b) che i dati aziendali forniti su richiesta dell'intermediario finanziario sono veritieri e completi;</w:t>
      </w:r>
    </w:p>
    <w:p w:rsidR="0028362B" w:rsidRPr="003A07A9" w:rsidRDefault="0028362B" w:rsidP="0028362B">
      <w:pPr>
        <w:jc w:val="both"/>
        <w:rPr>
          <w:b/>
          <w:color w:val="000000" w:themeColor="text1"/>
          <w:sz w:val="24"/>
          <w:szCs w:val="24"/>
        </w:rPr>
      </w:pPr>
      <w:r w:rsidRPr="003A07A9">
        <w:rPr>
          <w:b/>
          <w:color w:val="000000" w:themeColor="text1"/>
          <w:sz w:val="24"/>
          <w:szCs w:val="24"/>
        </w:rPr>
        <w:t>   c) che, ai sensi dell'articolo 1, comma 2, lettera n), il finanziamento coperto dalla garanzia è richiesto per sostenere costi del personale, investimenti o capitale circolante impiegati in stabilimenti produttivi e attività imprenditoriali che sono localizzati in Italia;</w:t>
      </w:r>
    </w:p>
    <w:p w:rsidR="0028362B" w:rsidRPr="003A07A9" w:rsidRDefault="0028362B" w:rsidP="0028362B">
      <w:pPr>
        <w:jc w:val="both"/>
        <w:rPr>
          <w:b/>
          <w:color w:val="000000" w:themeColor="text1"/>
          <w:sz w:val="24"/>
          <w:szCs w:val="24"/>
        </w:rPr>
      </w:pPr>
      <w:r w:rsidRPr="003A07A9">
        <w:rPr>
          <w:b/>
          <w:color w:val="000000" w:themeColor="text1"/>
          <w:sz w:val="24"/>
          <w:szCs w:val="24"/>
        </w:rPr>
        <w:t>   d) che è consapevole che i finanziamenti saranno accreditati esclusivamente sul conto corrente dedicato i cui dati sono contestualmente indicati;</w:t>
      </w:r>
    </w:p>
    <w:p w:rsidR="0028362B" w:rsidRPr="003A07A9" w:rsidRDefault="0028362B" w:rsidP="0028362B">
      <w:pPr>
        <w:jc w:val="both"/>
        <w:rPr>
          <w:b/>
          <w:color w:val="000000" w:themeColor="text1"/>
          <w:sz w:val="24"/>
          <w:szCs w:val="24"/>
        </w:rPr>
      </w:pPr>
      <w:r w:rsidRPr="003A07A9">
        <w:rPr>
          <w:b/>
          <w:color w:val="000000" w:themeColor="text1"/>
          <w:sz w:val="24"/>
          <w:szCs w:val="24"/>
        </w:rPr>
        <w:t>   e) che il titolare o il legale rappresentante istante, nonché i soggetti indicati all'articolo 85, commi 1 e 2, del codice delle leggi antimafia e delle misure di prevenzione, di cui al decreto legislativo 6 settembre 2011, n. 159, non si trovano nelle condizioni ostative previste dall'articolo 67 del medesimo codice di cui al decreto legislativo n. 159 del 2011;</w:t>
      </w:r>
    </w:p>
    <w:p w:rsidR="0028362B" w:rsidRPr="003A07A9" w:rsidRDefault="0028362B" w:rsidP="0028362B">
      <w:pPr>
        <w:jc w:val="both"/>
        <w:rPr>
          <w:b/>
          <w:color w:val="000000" w:themeColor="text1"/>
          <w:sz w:val="24"/>
          <w:szCs w:val="24"/>
        </w:rPr>
      </w:pPr>
      <w:r w:rsidRPr="003A07A9">
        <w:rPr>
          <w:b/>
          <w:color w:val="000000" w:themeColor="text1"/>
          <w:sz w:val="24"/>
          <w:szCs w:val="24"/>
        </w:rPr>
        <w:t>   f) che nei confronti del titolare o del legale rappresentante non è intervenuta condanna definitiva, negli ultimi cinque anni, per reati commessi in violazione delle norme per la repressione dell'evasione fiscale in materia di imposte sui redditi e sul valore aggiunto nei casi in cui sia stata applicata la pena accessoria di cui all'articolo 12, comma 2, del decreto legislativo 10 marzo 2000, n. 74.</w:t>
      </w:r>
    </w:p>
    <w:p w:rsidR="0028362B" w:rsidRPr="003A07A9" w:rsidRDefault="0028362B" w:rsidP="0028362B">
      <w:pPr>
        <w:jc w:val="both"/>
        <w:rPr>
          <w:b/>
          <w:color w:val="000000" w:themeColor="text1"/>
          <w:sz w:val="24"/>
          <w:szCs w:val="24"/>
        </w:rPr>
      </w:pPr>
    </w:p>
    <w:p w:rsidR="0028362B" w:rsidRPr="003A07A9" w:rsidRDefault="0028362B" w:rsidP="0028362B">
      <w:pPr>
        <w:jc w:val="both"/>
        <w:rPr>
          <w:b/>
          <w:color w:val="000000" w:themeColor="text1"/>
          <w:sz w:val="24"/>
          <w:szCs w:val="24"/>
        </w:rPr>
      </w:pPr>
      <w:r w:rsidRPr="003A07A9">
        <w:rPr>
          <w:b/>
          <w:color w:val="000000" w:themeColor="text1"/>
          <w:sz w:val="24"/>
          <w:szCs w:val="24"/>
        </w:rPr>
        <w:lastRenderedPageBreak/>
        <w:t>  2. Non appena ricevuta l'autodichiarazione di cui al comma 1 il soggetto al quale è chiesto il finanziamento la trasmette tempestivamente a SACE S.p.A.</w:t>
      </w:r>
    </w:p>
    <w:p w:rsidR="0028362B" w:rsidRPr="003A07A9" w:rsidRDefault="0028362B" w:rsidP="0028362B">
      <w:pPr>
        <w:jc w:val="both"/>
        <w:rPr>
          <w:b/>
          <w:color w:val="000000" w:themeColor="text1"/>
          <w:sz w:val="24"/>
          <w:szCs w:val="24"/>
        </w:rPr>
      </w:pPr>
      <w:r w:rsidRPr="003A07A9">
        <w:rPr>
          <w:b/>
          <w:color w:val="000000" w:themeColor="text1"/>
          <w:sz w:val="24"/>
          <w:szCs w:val="24"/>
        </w:rPr>
        <w:t>  3. L'operatività sul conto corrente dedicato di cui al comma 1, lettera d), è condizionata all'indicazione nella causale del pagamento della locuzione: «sostegno ai sensi del decreto-legge n. 23 del 2020».</w:t>
      </w:r>
    </w:p>
    <w:p w:rsidR="0028362B" w:rsidRPr="003A07A9" w:rsidRDefault="0028362B" w:rsidP="0028362B">
      <w:pPr>
        <w:jc w:val="both"/>
        <w:rPr>
          <w:b/>
          <w:color w:val="000000" w:themeColor="text1"/>
          <w:sz w:val="24"/>
          <w:szCs w:val="24"/>
        </w:rPr>
      </w:pPr>
      <w:r w:rsidRPr="003A07A9">
        <w:rPr>
          <w:b/>
          <w:color w:val="000000" w:themeColor="text1"/>
          <w:sz w:val="24"/>
          <w:szCs w:val="24"/>
        </w:rPr>
        <w:t>  4. Per la prevenzione dei tentativi di infiltrazioni criminali, con protocollo d'intesa sottoscritto tra il Ministero dell'interno, il Ministero dell'economia e delle finanze e SACE S.p.A. sono disciplinati i controlli di cui al libro II del codice di cui al decreto legislativo 6 settembre 2011, n. 159, anche attraverso procedure semplificate.</w:t>
      </w:r>
    </w:p>
    <w:p w:rsidR="0028362B" w:rsidRPr="003A07A9" w:rsidRDefault="0028362B" w:rsidP="0028362B">
      <w:pPr>
        <w:jc w:val="both"/>
        <w:rPr>
          <w:b/>
          <w:color w:val="000000" w:themeColor="text1"/>
          <w:sz w:val="24"/>
          <w:szCs w:val="24"/>
        </w:rPr>
      </w:pPr>
      <w:r w:rsidRPr="003A07A9">
        <w:rPr>
          <w:b/>
          <w:color w:val="000000" w:themeColor="text1"/>
          <w:sz w:val="24"/>
          <w:szCs w:val="24"/>
        </w:rPr>
        <w:t>  5. Fermi restando gli obblighi di segnalazione previsti dalla normativa antiriciclaggio, per la verifica degli elementi attestati dalla dichiarazione sostitutiva prevista dal presente articolo il soggetto che eroga il finanziamento non è tenuto a svolgere accertamenti ulteriori rispetto alla verifica formale di quanto dichiarato. Le disposizioni del presente comma si applicano anche alle dichiarazioni sostitutive allegate alle richieste di finanziamento e di garanzia effettuate ai sensi dell'articolo 13.</w:t>
      </w:r>
    </w:p>
    <w:p w:rsidR="00B20235" w:rsidRPr="00A30F5D" w:rsidRDefault="0028362B" w:rsidP="00A34AE9">
      <w:pPr>
        <w:jc w:val="both"/>
        <w:rPr>
          <w:b/>
          <w:color w:val="000000" w:themeColor="text1"/>
          <w:sz w:val="24"/>
          <w:szCs w:val="24"/>
        </w:rPr>
      </w:pPr>
      <w:r w:rsidRPr="003A07A9">
        <w:rPr>
          <w:b/>
          <w:color w:val="000000" w:themeColor="text1"/>
          <w:sz w:val="24"/>
          <w:szCs w:val="24"/>
        </w:rPr>
        <w:t>  6. Le disposizioni del presente articolo si applicano, in quanto compatibili, anche ai soggetti che svolgono, anche in forma associata, un'attività professionale autonoma.</w:t>
      </w:r>
      <w:r>
        <w:rPr>
          <w:rStyle w:val="Rimandonotaapidipagina"/>
          <w:b/>
          <w:color w:val="000000" w:themeColor="text1"/>
          <w:sz w:val="24"/>
          <w:szCs w:val="24"/>
        </w:rPr>
        <w:footnoteReference w:id="17"/>
      </w:r>
    </w:p>
    <w:p w:rsidR="00AD1B0C" w:rsidRPr="00AD1B0C" w:rsidRDefault="00AD1B0C" w:rsidP="00AD1B0C">
      <w:pPr>
        <w:spacing w:after="160" w:line="259" w:lineRule="auto"/>
        <w:jc w:val="both"/>
        <w:rPr>
          <w:rFonts w:cs="Times New Roman"/>
          <w:color w:val="auto"/>
          <w:sz w:val="24"/>
          <w:szCs w:val="24"/>
          <w:lang w:eastAsia="en-US"/>
        </w:rPr>
      </w:pPr>
    </w:p>
    <w:p w:rsidR="00C31801" w:rsidRPr="007E05D3" w:rsidRDefault="00C31801" w:rsidP="00C31801">
      <w:pPr>
        <w:jc w:val="center"/>
        <w:rPr>
          <w:b/>
          <w:color w:val="000000" w:themeColor="text1"/>
          <w:sz w:val="24"/>
          <w:szCs w:val="24"/>
        </w:rPr>
      </w:pPr>
      <w:r w:rsidRPr="007E05D3">
        <w:rPr>
          <w:b/>
          <w:color w:val="000000" w:themeColor="text1"/>
          <w:sz w:val="24"/>
          <w:szCs w:val="24"/>
        </w:rPr>
        <w:t>Art. 1-bis.</w:t>
      </w:r>
    </w:p>
    <w:p w:rsidR="00C31801" w:rsidRPr="007E05D3" w:rsidRDefault="00C31801" w:rsidP="00C31801">
      <w:pPr>
        <w:jc w:val="center"/>
        <w:rPr>
          <w:b/>
          <w:color w:val="000000" w:themeColor="text1"/>
          <w:sz w:val="24"/>
          <w:szCs w:val="24"/>
        </w:rPr>
      </w:pPr>
      <w:r w:rsidRPr="007E05D3">
        <w:rPr>
          <w:b/>
          <w:color w:val="000000" w:themeColor="text1"/>
          <w:sz w:val="24"/>
          <w:szCs w:val="24"/>
        </w:rPr>
        <w:t>(Semplificazione delle procedure di liquidazione degli aiuti alla pesca)</w:t>
      </w:r>
    </w:p>
    <w:p w:rsidR="00C31801" w:rsidRPr="007E05D3" w:rsidRDefault="00C31801" w:rsidP="00C31801">
      <w:pPr>
        <w:jc w:val="both"/>
        <w:rPr>
          <w:b/>
          <w:color w:val="000000" w:themeColor="text1"/>
          <w:sz w:val="24"/>
          <w:szCs w:val="24"/>
        </w:rPr>
      </w:pPr>
    </w:p>
    <w:p w:rsidR="00C31801" w:rsidRPr="007E05D3" w:rsidRDefault="00C31801" w:rsidP="00C31801">
      <w:pPr>
        <w:jc w:val="both"/>
        <w:rPr>
          <w:b/>
          <w:color w:val="000000" w:themeColor="text1"/>
          <w:sz w:val="24"/>
          <w:szCs w:val="24"/>
        </w:rPr>
      </w:pPr>
      <w:r w:rsidRPr="007E05D3">
        <w:rPr>
          <w:b/>
          <w:color w:val="000000" w:themeColor="text1"/>
          <w:sz w:val="24"/>
          <w:szCs w:val="24"/>
        </w:rPr>
        <w:lastRenderedPageBreak/>
        <w:t>  1. Al fine di assicurare liquidità alle imprese della pesca e dell'acquacoltura colpite dall'emergenza sanitaria derivante dal COVID-19, entro quindici giorni dalla data di entrata in vigore della legge di conversione del presente decreto per gli anni 2017 e 2018 ed entro novanta giorni dalla medesima data per l'anno 2019, sono concluse le procedure di erogazione degli aiuti di cui all'articolo 33, paragrafo 1, lettera c), del regolamento (UE) n. 508/2014 del Parlamento europeo e del Consiglio, del 15 maggio 2014, per le giornate di arresto temporaneo obbligatorio.</w:t>
      </w:r>
    </w:p>
    <w:p w:rsidR="00C31801" w:rsidRPr="007E05D3" w:rsidRDefault="00C31801" w:rsidP="00C31801">
      <w:pPr>
        <w:jc w:val="both"/>
        <w:rPr>
          <w:b/>
          <w:color w:val="000000" w:themeColor="text1"/>
          <w:sz w:val="24"/>
          <w:szCs w:val="24"/>
        </w:rPr>
      </w:pPr>
      <w:r w:rsidRPr="007E05D3">
        <w:rPr>
          <w:b/>
          <w:color w:val="000000" w:themeColor="text1"/>
          <w:sz w:val="24"/>
          <w:szCs w:val="24"/>
        </w:rPr>
        <w:t>  2. La presenza all'interno della graduatoria adottata con provvedimento del Ministero delle politiche agricole alimentari e forestali dei soggetti ammessi ed aventi diritto a seguito delle verifiche operate dall'amministrazione dà diritto al beneficiario di ricevere la liquidazione dell'aiuto concesso mediante ricorso al sistema bancario, fermo restando il pagamento, a carico dello stesso beneficiario, delle spese e degli oneri relativi all'erogazione della somma da parte del sistema bancario.</w:t>
      </w:r>
    </w:p>
    <w:p w:rsidR="00C31801" w:rsidRPr="007E05D3" w:rsidRDefault="00C31801" w:rsidP="00C31801">
      <w:pPr>
        <w:jc w:val="both"/>
        <w:rPr>
          <w:b/>
          <w:color w:val="000000" w:themeColor="text1"/>
          <w:sz w:val="24"/>
          <w:szCs w:val="24"/>
        </w:rPr>
      </w:pPr>
      <w:r w:rsidRPr="007E05D3">
        <w:rPr>
          <w:b/>
          <w:color w:val="000000" w:themeColor="text1"/>
          <w:sz w:val="24"/>
          <w:szCs w:val="24"/>
        </w:rPr>
        <w:t>  3. Entro sessanta giorni dalla presentazione delle domande, sono altresì concluse le procedure di erogazione delle indennità per le giornate di sospensione delle attività di pesca causate dall'emergenza COVID-19 per l'annualità 2020.</w:t>
      </w:r>
      <w:r>
        <w:rPr>
          <w:rStyle w:val="Rimandonotaapidipagina"/>
          <w:b/>
          <w:color w:val="000000" w:themeColor="text1"/>
          <w:sz w:val="24"/>
          <w:szCs w:val="24"/>
        </w:rPr>
        <w:footnoteReference w:id="18"/>
      </w:r>
    </w:p>
    <w:p w:rsidR="00C31801" w:rsidRDefault="00C31801" w:rsidP="00AD1B0C">
      <w:pPr>
        <w:spacing w:after="160" w:line="259" w:lineRule="auto"/>
        <w:jc w:val="center"/>
        <w:rPr>
          <w:rFonts w:cs="Times New Roman"/>
          <w:color w:val="auto"/>
          <w:sz w:val="24"/>
          <w:szCs w:val="24"/>
          <w:lang w:eastAsia="en-US"/>
        </w:rPr>
      </w:pP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2.</w:t>
      </w: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(Misure per il sostegno all'esportazione, all'internazionalizzazione e agli investimenti delle imprese)</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All'articolo 6 del decreto-legge 30 settembre 2003, n. 269, convertito, con modificazioni, dalla legge 24 novembre 2003, n. 326, sono apportate le seguenti modificazioni:</w:t>
      </w:r>
    </w:p>
    <w:p w:rsidR="00AD1B0C" w:rsidRPr="00AD1B0C" w:rsidRDefault="00AD1B0C" w:rsidP="00AD1B0C">
      <w:pPr>
        <w:spacing w:after="160" w:line="259" w:lineRule="auto"/>
        <w:jc w:val="both"/>
        <w:rPr>
          <w:rFonts w:cs="Times New Roman"/>
          <w:color w:val="auto"/>
          <w:sz w:val="24"/>
          <w:szCs w:val="24"/>
          <w:lang w:eastAsia="en-US"/>
        </w:rPr>
      </w:pPr>
    </w:p>
    <w:p w:rsidR="00AD1B0C" w:rsidRPr="00DC03D0" w:rsidRDefault="00AD1B0C" w:rsidP="00DC03D0">
      <w:pPr>
        <w:jc w:val="both"/>
        <w:rPr>
          <w:b/>
          <w:color w:val="000000" w:themeColor="text1"/>
          <w:sz w:val="24"/>
          <w:szCs w:val="24"/>
        </w:rPr>
      </w:pPr>
      <w:r w:rsidRPr="00AD1B0C">
        <w:rPr>
          <w:rFonts w:cs="Times New Roman"/>
          <w:color w:val="auto"/>
          <w:sz w:val="24"/>
          <w:szCs w:val="24"/>
          <w:lang w:eastAsia="en-US"/>
        </w:rPr>
        <w:t>   a) al comma 9, dopo il primo periodo, è inserito il seguente: «SACE S.p.A. favorisce l'internazionalizzazione del settore produttivo italiano, privilegiando gli impegni nei settori strategici per l'economia italiana in termini di livelli occupazionali e ricadute per il sistema economico del Paese, nonché gli impegni per operazioni destinate a Paesi strategici per l'Italia.</w:t>
      </w:r>
      <w:r w:rsidR="00DC03D0">
        <w:rPr>
          <w:rFonts w:cs="Times New Roman"/>
          <w:color w:val="auto"/>
          <w:sz w:val="24"/>
          <w:szCs w:val="24"/>
          <w:lang w:eastAsia="en-US"/>
        </w:rPr>
        <w:t xml:space="preserve"> </w:t>
      </w:r>
      <w:r w:rsidR="00DC03D0" w:rsidRPr="00DE004D">
        <w:rPr>
          <w:b/>
          <w:color w:val="000000" w:themeColor="text1"/>
          <w:sz w:val="24"/>
          <w:szCs w:val="24"/>
        </w:rPr>
        <w:t xml:space="preserve">Ai fini </w:t>
      </w:r>
      <w:r w:rsidR="00DC03D0" w:rsidRPr="00DE004D">
        <w:rPr>
          <w:b/>
          <w:color w:val="000000" w:themeColor="text1"/>
          <w:sz w:val="24"/>
          <w:szCs w:val="24"/>
        </w:rPr>
        <w:lastRenderedPageBreak/>
        <w:t xml:space="preserve">dell'internazionalizzazione sono da considerare strategici anche </w:t>
      </w:r>
      <w:r w:rsidR="00564A0B" w:rsidRPr="00564A0B">
        <w:rPr>
          <w:b/>
          <w:color w:val="000000" w:themeColor="text1"/>
          <w:sz w:val="24"/>
          <w:szCs w:val="24"/>
          <w:highlight w:val="red"/>
        </w:rPr>
        <w:t xml:space="preserve">la filiera agricola </w:t>
      </w:r>
      <w:proofErr w:type="gramStart"/>
      <w:r w:rsidR="00564A0B" w:rsidRPr="00564A0B">
        <w:rPr>
          <w:b/>
          <w:color w:val="000000" w:themeColor="text1"/>
          <w:sz w:val="24"/>
          <w:szCs w:val="24"/>
          <w:highlight w:val="red"/>
        </w:rPr>
        <w:t>nazionale</w:t>
      </w:r>
      <w:r w:rsidR="00564A0B" w:rsidRPr="00DE004D">
        <w:rPr>
          <w:b/>
          <w:color w:val="000000" w:themeColor="text1"/>
          <w:sz w:val="24"/>
          <w:szCs w:val="24"/>
        </w:rPr>
        <w:t xml:space="preserve"> </w:t>
      </w:r>
      <w:r w:rsidR="00564A0B">
        <w:rPr>
          <w:rStyle w:val="Rimandonotaapidipagina"/>
          <w:b/>
          <w:color w:val="000000" w:themeColor="text1"/>
          <w:sz w:val="24"/>
          <w:szCs w:val="24"/>
        </w:rPr>
        <w:footnoteReference w:id="19"/>
      </w:r>
      <w:r w:rsidR="00DC03D0" w:rsidRPr="00564A0B">
        <w:rPr>
          <w:b/>
          <w:strike/>
          <w:color w:val="000000" w:themeColor="text1"/>
          <w:sz w:val="24"/>
          <w:szCs w:val="24"/>
          <w:highlight w:val="red"/>
        </w:rPr>
        <w:t>il</w:t>
      </w:r>
      <w:proofErr w:type="gramEnd"/>
      <w:r w:rsidR="00DC03D0" w:rsidRPr="00564A0B">
        <w:rPr>
          <w:b/>
          <w:strike/>
          <w:color w:val="000000" w:themeColor="text1"/>
          <w:sz w:val="24"/>
          <w:szCs w:val="24"/>
          <w:highlight w:val="red"/>
        </w:rPr>
        <w:t xml:space="preserve"> settore del turismo</w:t>
      </w:r>
      <w:r w:rsidR="00564A0B">
        <w:rPr>
          <w:b/>
          <w:color w:val="000000" w:themeColor="text1"/>
          <w:sz w:val="24"/>
          <w:szCs w:val="24"/>
        </w:rPr>
        <w:t xml:space="preserve"> </w:t>
      </w:r>
      <w:r w:rsidR="00564A0B" w:rsidRPr="00DE004D">
        <w:rPr>
          <w:b/>
          <w:color w:val="000000" w:themeColor="text1"/>
          <w:sz w:val="24"/>
          <w:szCs w:val="24"/>
        </w:rPr>
        <w:t>i settori del turismo e dell'agroalimentare italiano</w:t>
      </w:r>
      <w:r w:rsidR="00564A0B">
        <w:rPr>
          <w:rStyle w:val="Rimandonotaapidipagina"/>
          <w:b/>
          <w:color w:val="000000" w:themeColor="text1"/>
          <w:sz w:val="24"/>
          <w:szCs w:val="24"/>
        </w:rPr>
        <w:footnoteReference w:id="20"/>
      </w:r>
      <w:r w:rsidR="00DC03D0" w:rsidRPr="00DE004D">
        <w:rPr>
          <w:b/>
          <w:color w:val="000000" w:themeColor="text1"/>
          <w:sz w:val="24"/>
          <w:szCs w:val="24"/>
        </w:rPr>
        <w:t xml:space="preserve">, </w:t>
      </w:r>
      <w:r w:rsidR="0037282C" w:rsidRPr="0037282C">
        <w:rPr>
          <w:b/>
          <w:color w:val="000000" w:themeColor="text1"/>
          <w:sz w:val="24"/>
          <w:szCs w:val="24"/>
          <w:highlight w:val="red"/>
        </w:rPr>
        <w:t>il settore del tessile, della moda e degli accessori,</w:t>
      </w:r>
      <w:r w:rsidR="0037282C">
        <w:rPr>
          <w:rStyle w:val="Rimandonotaapidipagina"/>
          <w:b/>
          <w:color w:val="000000" w:themeColor="text1"/>
          <w:sz w:val="24"/>
          <w:szCs w:val="24"/>
          <w:highlight w:val="red"/>
        </w:rPr>
        <w:footnoteReference w:id="21"/>
      </w:r>
      <w:r w:rsidR="0037282C">
        <w:rPr>
          <w:b/>
          <w:color w:val="000000" w:themeColor="text1"/>
          <w:sz w:val="24"/>
          <w:szCs w:val="24"/>
        </w:rPr>
        <w:t xml:space="preserve"> </w:t>
      </w:r>
      <w:r w:rsidR="00DC03D0" w:rsidRPr="00DE004D">
        <w:rPr>
          <w:b/>
          <w:color w:val="000000" w:themeColor="text1"/>
          <w:sz w:val="24"/>
          <w:szCs w:val="24"/>
        </w:rPr>
        <w:t>le fiere,</w:t>
      </w:r>
      <w:r w:rsidR="009968B3">
        <w:rPr>
          <w:b/>
          <w:color w:val="000000" w:themeColor="text1"/>
          <w:sz w:val="24"/>
          <w:szCs w:val="24"/>
        </w:rPr>
        <w:t xml:space="preserve"> </w:t>
      </w:r>
      <w:r w:rsidR="009968B3" w:rsidRPr="00F6464F">
        <w:rPr>
          <w:b/>
          <w:color w:val="000000" w:themeColor="text1"/>
          <w:sz w:val="24"/>
          <w:szCs w:val="24"/>
        </w:rPr>
        <w:t xml:space="preserve"> </w:t>
      </w:r>
      <w:r w:rsidR="009968B3" w:rsidRPr="009968B3">
        <w:rPr>
          <w:b/>
          <w:color w:val="000000" w:themeColor="text1"/>
          <w:sz w:val="24"/>
          <w:szCs w:val="24"/>
          <w:highlight w:val="red"/>
        </w:rPr>
        <w:t>lo sviluppo di piattaforme per la vendita online dei prodotti del made in Italy,</w:t>
      </w:r>
      <w:r w:rsidR="009968B3">
        <w:rPr>
          <w:rStyle w:val="Rimandonotaapidipagina"/>
          <w:b/>
          <w:color w:val="000000" w:themeColor="text1"/>
          <w:sz w:val="24"/>
          <w:szCs w:val="24"/>
        </w:rPr>
        <w:footnoteReference w:id="22"/>
      </w:r>
      <w:r w:rsidR="00DC03D0" w:rsidRPr="00DE004D">
        <w:rPr>
          <w:b/>
          <w:color w:val="000000" w:themeColor="text1"/>
          <w:sz w:val="24"/>
          <w:szCs w:val="24"/>
        </w:rPr>
        <w:t xml:space="preserve"> </w:t>
      </w:r>
      <w:proofErr w:type="gramStart"/>
      <w:r w:rsidR="00DC03D0" w:rsidRPr="00DE004D">
        <w:rPr>
          <w:b/>
          <w:color w:val="000000" w:themeColor="text1"/>
          <w:sz w:val="24"/>
          <w:szCs w:val="24"/>
        </w:rPr>
        <w:t>i</w:t>
      </w:r>
      <w:proofErr w:type="gramEnd"/>
      <w:r w:rsidR="00DC03D0" w:rsidRPr="00DE004D">
        <w:rPr>
          <w:b/>
          <w:color w:val="000000" w:themeColor="text1"/>
          <w:sz w:val="24"/>
          <w:szCs w:val="24"/>
        </w:rPr>
        <w:t xml:space="preserve"> congressi </w:t>
      </w:r>
      <w:r w:rsidR="007E050F" w:rsidRPr="00F6464F">
        <w:rPr>
          <w:b/>
          <w:color w:val="000000" w:themeColor="text1"/>
          <w:sz w:val="24"/>
          <w:szCs w:val="24"/>
        </w:rPr>
        <w:t xml:space="preserve">, </w:t>
      </w:r>
      <w:r w:rsidR="007E050F" w:rsidRPr="004F3B9F">
        <w:rPr>
          <w:b/>
          <w:color w:val="000000" w:themeColor="text1"/>
          <w:sz w:val="24"/>
          <w:szCs w:val="24"/>
          <w:highlight w:val="red"/>
        </w:rPr>
        <w:t>le camere di commercio italiane all'estero</w:t>
      </w:r>
      <w:r w:rsidR="007E050F">
        <w:rPr>
          <w:rStyle w:val="Rimandonotaapidipagina"/>
          <w:b/>
          <w:color w:val="000000" w:themeColor="text1"/>
          <w:sz w:val="24"/>
          <w:szCs w:val="24"/>
        </w:rPr>
        <w:footnoteReference w:id="23"/>
      </w:r>
      <w:r w:rsidR="007E050F">
        <w:rPr>
          <w:b/>
          <w:color w:val="000000" w:themeColor="text1"/>
          <w:sz w:val="24"/>
          <w:szCs w:val="24"/>
        </w:rPr>
        <w:t xml:space="preserve"> </w:t>
      </w:r>
      <w:proofErr w:type="gramStart"/>
      <w:r w:rsidR="00DC03D0" w:rsidRPr="00DE004D">
        <w:rPr>
          <w:b/>
          <w:color w:val="000000" w:themeColor="text1"/>
          <w:sz w:val="24"/>
          <w:szCs w:val="24"/>
        </w:rPr>
        <w:t>e</w:t>
      </w:r>
      <w:proofErr w:type="gramEnd"/>
      <w:r w:rsidR="00DC03D0" w:rsidRPr="00DE004D">
        <w:rPr>
          <w:b/>
          <w:color w:val="000000" w:themeColor="text1"/>
          <w:sz w:val="24"/>
          <w:szCs w:val="24"/>
        </w:rPr>
        <w:t xml:space="preserve"> gli eventi </w:t>
      </w:r>
      <w:r w:rsidR="004F3B9F" w:rsidRPr="004F3B9F">
        <w:rPr>
          <w:b/>
          <w:color w:val="000000" w:themeColor="text1"/>
          <w:sz w:val="24"/>
          <w:szCs w:val="24"/>
          <w:highlight w:val="red"/>
        </w:rPr>
        <w:t>, anche digitali,</w:t>
      </w:r>
      <w:r w:rsidR="004F3B9F">
        <w:rPr>
          <w:rStyle w:val="Rimandonotaapidipagina"/>
          <w:b/>
          <w:color w:val="000000" w:themeColor="text1"/>
          <w:sz w:val="24"/>
          <w:szCs w:val="24"/>
        </w:rPr>
        <w:footnoteReference w:id="24"/>
      </w:r>
      <w:r w:rsidR="004F3B9F">
        <w:rPr>
          <w:b/>
          <w:color w:val="000000" w:themeColor="text1"/>
          <w:sz w:val="24"/>
          <w:szCs w:val="24"/>
        </w:rPr>
        <w:t xml:space="preserve"> </w:t>
      </w:r>
      <w:r w:rsidR="00DC03D0" w:rsidRPr="00DE004D">
        <w:rPr>
          <w:b/>
          <w:color w:val="000000" w:themeColor="text1"/>
          <w:sz w:val="24"/>
          <w:szCs w:val="24"/>
        </w:rPr>
        <w:t>rivolti a sostenere lo svilup</w:t>
      </w:r>
      <w:r w:rsidR="00DC03D0">
        <w:rPr>
          <w:b/>
          <w:color w:val="000000" w:themeColor="text1"/>
          <w:sz w:val="24"/>
          <w:szCs w:val="24"/>
        </w:rPr>
        <w:t xml:space="preserve">po dei mercati </w:t>
      </w:r>
      <w:r w:rsidR="00DC03D0" w:rsidRPr="004F3B9F">
        <w:rPr>
          <w:b/>
          <w:strike/>
          <w:color w:val="000000" w:themeColor="text1"/>
          <w:sz w:val="24"/>
          <w:szCs w:val="24"/>
          <w:highlight w:val="red"/>
        </w:rPr>
        <w:t>e la formazione</w:t>
      </w:r>
      <w:r w:rsidR="00DC03D0" w:rsidRPr="004F3B9F">
        <w:rPr>
          <w:b/>
          <w:color w:val="000000" w:themeColor="text1"/>
          <w:sz w:val="24"/>
          <w:szCs w:val="24"/>
          <w:highlight w:val="red"/>
        </w:rPr>
        <w:t>.</w:t>
      </w:r>
      <w:r w:rsidR="002F1EE7">
        <w:rPr>
          <w:rStyle w:val="Rimandonotaapidipagina"/>
          <w:b/>
          <w:color w:val="000000" w:themeColor="text1"/>
          <w:sz w:val="24"/>
          <w:szCs w:val="24"/>
        </w:rPr>
        <w:footnoteReference w:id="25"/>
      </w:r>
      <w:proofErr w:type="gramStart"/>
      <w:r w:rsidR="004F3B9F" w:rsidRPr="00F6464F">
        <w:rPr>
          <w:b/>
          <w:color w:val="000000" w:themeColor="text1"/>
          <w:sz w:val="24"/>
          <w:szCs w:val="24"/>
        </w:rPr>
        <w:t xml:space="preserve">, </w:t>
      </w:r>
      <w:proofErr w:type="gramEnd"/>
      <w:r w:rsidR="004F3B9F" w:rsidRPr="007E1E10">
        <w:rPr>
          <w:b/>
          <w:color w:val="000000" w:themeColor="text1"/>
          <w:sz w:val="24"/>
          <w:szCs w:val="24"/>
          <w:highlight w:val="red"/>
        </w:rPr>
        <w:t>la formazione e il made in Italy nei settori dello sport, della cultura, dell'arte, della cinematografia, della musica, della moda, del design e dell'agroalimentare.</w:t>
      </w:r>
      <w:r w:rsidR="004F3B9F">
        <w:rPr>
          <w:rStyle w:val="Rimandonotaapidipagina"/>
          <w:b/>
          <w:color w:val="000000" w:themeColor="text1"/>
          <w:sz w:val="24"/>
          <w:szCs w:val="24"/>
        </w:rPr>
        <w:footnoteReference w:id="26"/>
      </w:r>
      <w:r w:rsidRPr="00AD1B0C">
        <w:rPr>
          <w:rFonts w:cs="Times New Roman"/>
          <w:color w:val="auto"/>
          <w:sz w:val="24"/>
          <w:szCs w:val="24"/>
          <w:lang w:eastAsia="en-US"/>
        </w:rPr>
        <w:t>»;</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i commi 9-bis, 9-ter, 9-quater, 9-quinquies, 9-sexies, 9-septies e 9-octies sono sostituiti dai seguenti:</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   «9-bis. SACE S.p.A. assume gli impegni derivanti dall'attività assicurativa e di garanzia dei rischi definiti non di mercato dalla normativa dell'Unione Europea, di cui al comma 9, nella misura del dieci per cento del capitale e degli interessi di ciascun impegno. Il novanta per cento dei medesimi impegni è assunto dallo Stato in conformità con il presente articolo, senza vincolo di solidarietà. La legge di bilancio definisce i limiti cumulati di assunzione degli impegni da parte di SACE S.p.A. e del Ministero dell'economia e delle finanze, per conto dello Stato, sulla base del piano di attività deliberato dal Comitato di cui al comma 9-sexies e approvato dal Comitato interministeriale per la programmazione economica.</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   9-ter. SACE S.p.A. rilascia le garanzie e le coperture assicurative da cui derivano gli impegni di cui al comma 9-bis in nome proprio e per conto dello Stato. Il rilascio delle garanzie e delle coperture assicurative che sono in grado di determinare elevati rischi di concentrazione verso singole controparti, gruppi di controparti connesse o paesi di destinazione, rispetto al portafoglio complessivamente assicurato da SACE S.p.A. e dal Ministero dell'economia e delle finanze, è preventivamente autorizzato con decreto del Ministro dell'economia e delle finanze, sentito il Comitato per il sostegno pubblico all'esportazione istituito ai sensi del comma 9-sexies. Le garanzie e le coperture assicurative prevedono che la richiesta di indennizzo e qualsiasi comunicazione o istanza sono rivolte unicamente a SACE S.p.A.</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   9-quater. A decorrere dall'anno 2020 nello stato di previsione del Ministero dell'economia e delle finanze è istituito un fondo a copertura degli impegni assunti dallo Stato ai sensi del presente articolo. Tale fondo è alimentato con i premi riscossi da SACE S.p.A. per conto del Ministero dell'economia e delle finanze, al netto delle commissioni trattenute da SACE S.p.A., come determinate dalla convenzione di cui al comma 9-quinquies. I premi di cui al periodo precedente sono versati all'entrata del bilancio dello Stato per la successiva riassegnazione in spesa al predetto fondo. La gestione del fondo è affidata a SACE S.p.A. che opera secondo adeguati standard prudenziali di gestione del rischio. Il Ministero dell'economia e delle finanze impartisce indirizzi a SACE S.p.A. sulla gestione del fondo. Per la gestione del fondo è autorizzata l'apertura di apposito conto corrente di tesoreria centrale.</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   9-quinquies. Il Ministero dell'economia e delle finanze e SACE S.p.A. disciplinano con convenzione, di durata decennale, approvata con delibera del Comitato interministeriale per la programmazione economica, su proposta del Ministro dell'economia e delle finanze di concerto con il Ministro degli affari esteri e della cooperazione internazionale, e sottoposta alla registrazione della Corte dei conti:</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lo svolgimento da parte di SACE S.p.A. dell'attività istruttoria delle operazioni da cui derivano gli impegni da assumere ai sensi del comma 9-bis;</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   b) le procedure per il rilascio delle garanzie e delle coperture assicurative da parte di SACE S.p.A. quando non è prevista l'autorizzazione preventiva del Ministro dell'economia e delle finanze ai sensi del comma 9-ter;</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   c) la gestione, anche per conto del Ministero dell'economia e delle finanze, degli impegni in essere, ivi inclusi l'esercizio, a tutela dei diritti di SACE S.p.A. e del Ministero dell'economia e delle finanze, delle facoltà previste nella polizza di assicurazione, nonché la gestione delle fasi successive al pagamento dell'indennizzo, incluse le modalità di esercizio dei diritti nei confronti del debitore e l'attività di recupero dei crediti;</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   d) le modalità con le quali è richiesto al Ministero dell'economia e delle finanze il pagamento dell'indennizzo per la quota di pertinenza e le modalità di escussione della garanzia dello Stato relativa agli impegni assunti da SACE S.p.A., nonché la remunerazione della garanzia stessa;</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   e) le modalità di informazione preventiva al Ministero dell'economia e delle finanze e al Ministro degli affari esteri e della cooperazione internazionale in ordine alle deliberazioni dell'organo competente di SACE S.p.A. relative agli impegni da assumere o assunti, alle altre decisioni aziendali rilevanti ai fini dell'assunzione di impegni, incluso il sistema aziendale di deleghe decisionali, alla gestione degli impegni in essere e delle richieste di indennizzo;</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   f) la trasmissione periodica e a richiesta di informazioni da parte di SACE S.p.A. al Comitato di cui al comma 9-sexies e al Comitato interministeriale per la programmazione economica, riguardo all'andamento delle operazioni a cui si riferiscono gli impegni assunti dallo Stato ai sensi del comma 9-bis;</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   g) ogni altra modalità operativa rilevante ai fini dell'assunzione e gestione degli impegni di cui al comma 9-bis;</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   h) le modalità di gestione da parte di SACE S.p.A. del fondo di cui al comma 9-quater e degli attivi in cui sono investite le riserve tecniche, sulla base delle indicazioni del Ministero dell'economia e delle finanze;</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   i) le modalità di trasferimento al Ministero dell'economia e delle finanze dei premi riscossi da SACE S.p.A. per conto di questo ai sensi del comma 9-quater, al netto delle commissioni trattenute da SACE S.p.A., e la determinazione delle suddette commissioni;</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   l) l'eventuale definizione di un livello di patrimonializzazione minimo.</w:t>
      </w:r>
    </w:p>
    <w:p w:rsidR="00AD1B0C" w:rsidRPr="00AD1B0C" w:rsidRDefault="00AD1B0C" w:rsidP="00AD1B0C">
      <w:pPr>
        <w:spacing w:after="160" w:line="259" w:lineRule="auto"/>
        <w:jc w:val="both"/>
        <w:rPr>
          <w:rFonts w:cs="Times New Roman"/>
          <w:color w:val="auto"/>
          <w:sz w:val="24"/>
          <w:szCs w:val="24"/>
          <w:lang w:eastAsia="en-US"/>
        </w:rPr>
      </w:pPr>
    </w:p>
    <w:p w:rsidR="00786639" w:rsidRPr="00786639" w:rsidRDefault="00AD1B0C" w:rsidP="00786639">
      <w:pPr>
        <w:jc w:val="both"/>
        <w:rPr>
          <w:color w:val="000000" w:themeColor="text1"/>
          <w:sz w:val="24"/>
          <w:szCs w:val="24"/>
        </w:rPr>
      </w:pPr>
      <w:r w:rsidRPr="00AD1B0C">
        <w:rPr>
          <w:rFonts w:cs="Times New Roman"/>
          <w:color w:val="auto"/>
          <w:sz w:val="24"/>
          <w:szCs w:val="24"/>
          <w:lang w:eastAsia="en-US"/>
        </w:rPr>
        <w:t xml:space="preserve">   9-sexies. È istituito presso il Ministero dell'economia e delle finanze il Comitato per il sostegno finanziario pubblico all'esportazione. Il Comitato è copresieduto dal Direttore Generale del Tesoro o da un suo delegato, e dal Direttore generale competente del Ministero degli affari esteri e della cooperazione internazionale ed è composto da sei membri, oltre i copresidenti. I componenti del Comitato, ed i rispettivi supplenti che, in caso di impedimento, li sostituiscono, sono nominati con decreto del Ministro dell'economia e delle finanze, sulla base delle designazioni effettuate, rispettivamente, dal Ministero dell'economia e delle finanze, dal Ministero degli affari esteri e della cooperazione internazionale, dal Ministero dell'interno, dal Ministero dello sviluppo economico, dal Ministero della difesa e del Ministero delle politiche agricole, alimentari e forestali. Ciascun componente partecipa alla riunione con diritto di voto. Il presidente del Comitato può invitare a partecipare alle riunioni, senza diritto di voto, rappresentanti di altri enti o istituzioni, pubblici e privati secondo le materie all'ordine del giorno. Per lo svolgimento delle proprie attività, il Comitato può avvalersi dell'ausilio delle amministrazioni componenti il Comitato e può richiedere pareri all'IVASS su specifiche questioni ed operazioni. Il funzionamento del Comitato è disciplinato con decreto del Ministro dell'economia e delle finanze, sentite le amministrazioni componenti il Comitato. Il Ministero dell'economia e delle finanze – Dipartimento del tesoro, Direzione VI – assicura le funzioni di segreteria del Comitato. La partecipazione al Comitato non dà diritto ad emolumenti. </w:t>
      </w:r>
      <w:r w:rsidRPr="00786639">
        <w:rPr>
          <w:rFonts w:cs="Times New Roman"/>
          <w:strike/>
          <w:color w:val="auto"/>
          <w:sz w:val="24"/>
          <w:szCs w:val="24"/>
          <w:highlight w:val="yellow"/>
          <w:lang w:eastAsia="en-US"/>
        </w:rPr>
        <w:t>Dall'istituzione del Comitato non devono derivare nuovi o maggiori oneri per la finanza pubblica e per il suo funzionamento ci si avvale delle risorse umane, finanziarie e strumentali iscritte in bilancio a legislazione vigente</w:t>
      </w:r>
      <w:r w:rsidR="00786639">
        <w:rPr>
          <w:rFonts w:cs="Times New Roman"/>
          <w:color w:val="auto"/>
          <w:sz w:val="24"/>
          <w:szCs w:val="24"/>
          <w:lang w:eastAsia="en-US"/>
        </w:rPr>
        <w:t xml:space="preserve"> </w:t>
      </w:r>
      <w:r w:rsidR="00786639" w:rsidRPr="00F33854">
        <w:rPr>
          <w:b/>
          <w:color w:val="000000" w:themeColor="text1"/>
          <w:sz w:val="24"/>
          <w:szCs w:val="24"/>
        </w:rPr>
        <w:t>Ai componenti del Comitato non spettano compensi, indennità o emolumenti comunque d</w:t>
      </w:r>
      <w:r w:rsidR="00786639">
        <w:rPr>
          <w:b/>
          <w:color w:val="000000" w:themeColor="text1"/>
          <w:sz w:val="24"/>
          <w:szCs w:val="24"/>
        </w:rPr>
        <w:t>enominati, né rimborsi di spese</w:t>
      </w:r>
      <w:r w:rsidR="00786639">
        <w:rPr>
          <w:rStyle w:val="Rimandonotaapidipagina"/>
          <w:b/>
          <w:color w:val="000000" w:themeColor="text1"/>
          <w:sz w:val="24"/>
          <w:szCs w:val="24"/>
        </w:rPr>
        <w:footnoteReference w:id="27"/>
      </w:r>
      <w:r w:rsidR="00786639">
        <w:rPr>
          <w:color w:val="000000" w:themeColor="text1"/>
          <w:sz w:val="24"/>
          <w:szCs w:val="24"/>
        </w:rPr>
        <w:t>.</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   9-septies. Il Comitato di cui al comma 9-sexies, su proposta di SACE S.p.A., delibera il piano annuale di attività di cui al comma 9-bis, che definisce l'ammontare progettato di operazioni da assicurare, suddivise per aree geografiche e macro-settori, evidenziando l'importo delle operazioni da sottoporre all'autorizzazione preventiva del Ministro dell'economia e delle finanze ai sensi del comma 9-ter, nonché il sistema dei limiti di rischio (Risk Appetite Framework – “RAF”), che definisce, in linea con le migliori pratiche del settore bancario e assicurativo, la propensione al rischio, le soglie di tolleranza, con particolare riguardo alle operazioni che possono determinare elevati rischi di concentrazione verso singole controparti, gruppi di controparti connesse o paesi di destinazione, le politiche di governo dei rischi nonché i processi di riferimento necessari per definirli e attuarli. Il piano annuale di attività e il sistema degli limiti di rischio sono approvati, su proposta del Ministro dell'economia e delle finanze di concerto con il Ministro degli affari esteri e della cooperazione internazionale, con delibera del Comitato interministeriale per la programmazione economica (CIPE).</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   9-octies. Il Comitato per il sostegno finanziario pubblico all'esportazione, in aggiunta alle funzioni di cui al comma 9-septies, esprime il parere di competenza per l'autorizzazione da rilasciarsi con decreto del Ministro dell'economia e delle finanze, nei casi di cui al comma 9-ter, su istanza di SACE S.p.A., verificata la conformità dell'operazione deliberata da SACE S.p.A. e del relativo impegno assicurativo al piano di attività, al RAF e alla convenzione, nonché il rispetto dei limiti indicati al comma 9-bis. Il decreto del Ministro è sottoposto al controllo preventivo di legittimità e alla registrazione della Corte dei conti. Il Comitato esamina ogni elemento rilevante ai fini del funzionamento del sistema di sostegno pubblico all'esportazione e all'internazionalizzazione, anche predisponendo relazioni e formulando proposte.»;</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   c) dopo il comma 14, è inserito il seguente: «14-bis. Ai fini del sostegno e rilancio dell'economia, SACE S.p.A. è abilitata a rilasciare, a condizioni di mercato e in conformità alla normativa dell'Unione Europea, garanzie sotto qualsiasi forma, ivi incluse controgaranzie verso i confidi, in favore di banche, di istituzioni finanziarie nazionali e internazionali e degli altri soggetti abilitati all'esercizio del credito in Italia, per finanziamenti sotto qualsiasi forma concessi alle imprese con sede in Italia, entro l'importo complessivo massimo di 200 miliardi di euro. L'attività di cui al presente comma è svolta con contabilità separata rispetto alle attività di cui al comma 9. È accordata di diritto per gli impegni assunti ai sensi del presente comma la garanzia dello Stato a prima richiesta a favore di SACE S.p.A. Non è ammesso il ricorso diretto dei soggetti finanziatori alla garanzia dello Stato. Con decreto del Ministro dell'economia e delle finanze di concerto con il Ministro degli affari esteri e della cooperazione internazionale e con il Ministro dello sviluppo economico, sono definiti criteri, modalità e condizioni del rilascio da parte di SACE S.p.A. delle garanzie di cui al presente comma e dell'operatività della garanzia dello Stato, in conformità con la normativa dell'Unione europea, e sono altresì individuate le attività che SACE S.p.A. svolge per conto del Ministero dell'economia e delle finanze.</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Gli impegni assunti e le operazioni deliberate dal consiglio di amministrazione di SACE S.p.A. nonché le garanzie rilasciate dallo Stato prima della data di entrata in vigore del presente decreto sulla base delle norme previgenti rispetto a quelle modificate dal comma 1, lettera b), del presente articolo, e delle disposizioni primarie e secondarie relative o collegate, restano regolate dalle medesime norme e dalle medesime disposizioni, salvo quanto previsto ai commi 4, 5 e 6 del presente articolo.</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Gli impegni assunti e le operazioni deliberate dal consiglio di amministrazione di SACE S.p.A. nonché le garanzie rilasciate dallo Stato nel periodo intercorrente tra la data di entrata in vigore del presente decreto e il 31 dicembre 2020, sono e restano regolate dalle norme e dalle convenzioni vigenti alla data del 7 aprile 2020, salvo quanto previsto ai commi 4, 5 e 7 del presente articolo. Il Comitato di cui al comma 9-sexies dell'articolo 6 del decreto-legge 30 settembre 2003, n. 269 convertito, con modificazioni, dalla legge 24 novembre 2003, n. 32, come modificato ai sensi del comma 1, una volta completata la procedura di nomina dei suoi componenti con decreto del Ministro dell'economia e delle finanze, sostituisce il Comitato di cui al decreto del Ministro dell'economia e delle finanze del 13 febbraio 2015, n. 3245 e successive modificazioni. A decorrere dal 1° gennaio 2021 si applicano le disposizioni in base alle quali gli impegni derivanti dall'attività assicurativa e di garanzia dei rischi definiti non di mercato dalla normativa dell'Unione Europea sono assunti da SACE S.p.A. e dallo Stato nella misura rispettivamente del dieci per cento e del novanta per cento del capitale e degli interessi di ciascun impegno, secondo quanto previsto dall'articolo 6 del decreto legge n. 269 del 2003, come dal comma 1 del presente articolo. Le risorse del fondo istituito ai sensi del previgente articolo 6, comma 9-bis, del decreto-legge n. 269 del 2003, confluiscono nel fondo istituito ai sensi dell'articolo 6, comma 9-quater del decreto legge n. 269 del 2003 come modificato dal comma 1 del presente articolo.</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  4. Per effetto della presente disposizione sono garantite dallo Stato, ai sensi e per gli effetti di cui all'articolo 6, comma 9-bis e seguenti, del decreto-legge 30 settembre 2003, n. 269, convertito, con modificazioni, dalla legge 24 novembre 2003, n. 326, come vigente alla data del 6 aprile 2020, le seguenti operazioni nel settore crocieristico, specificamente indicate nella tabella allegata che costituisce parte integrante del presente decreto:</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operazioni già autorizzate, ai sensi dell'articolo 2 della delibera CIPE n. 75/2019;</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operazioni ammissibili alla garanzia ai sensi dell'articolo 1, comma 2, della Delibera CIPE n. 75/2019, le cui istanze sono state già presentate da SACE S.p.A.;</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   c) ulteriori operazioni deliberate da SACE S.p.A., entro la data di entrata in vigore del presente decreto-legge, fino all'importo massimo di 2,6 miliardi di euro.</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  5. Il Ministro dell'economia e delle finanze, per l'anno 2020, salvo quanto previsto dal comma 4, è autorizzato a rilasciare la garanzia dello Stato in favore di SACE S.p.A., di cui all'articolo 6, comma 9-bis, del decreto-legge 30 settembre 2003, n. 269, convertito, con modificazioni, dalla legge 24 novembre 2003, n. 326, come vigente alla data del 6 aprile 2020, con concessione del limite speciale di cui all'articolo 7.8 della Convenzione approvata con decreto del Presidente del Consiglio dei ministri 20 novembre 2014, entro i seguenti limiti:</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per il settore crocieristico, la garanzia dello Stato in favore di SACE S.p.A. su nuove operazioni deliberate nel corso dell'anno 2020, escluse quelle di cui alla lettera a) del comma 4 non può eccedere l'importo massimo in termini di flusso di tre miliardi di euro; il totale dell'esposizione cumulata conservata da SACE S.p.A. e di quella ceduta allo Stato sul settore non può eccedere la quota massima del 40 per cento dell'intero portafoglio rischi in essere complessivamente conservato da SACE S.p.A. e ceduto allo Stato;</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per il settore difesa, la garanzia dello Stato in favore di SACE S.p.A. su nuove operazioni, esclusivamente con controparte sovrana, deliberate nel corso dell'anno 2020 non può eccedere l'importo massimo in termini di flusso di cinque miliardi euro; il totale dell'esposizione cumulata conservata da SACE S.p.A. e di quella ceduta allo Stato sul settore non può eccedere la quota massima del 29 per cento dell'intero portafoglio rischi in essere complessivamente conservato da SACE S.p.A. e ceduto allo Stato. La garanzia dello Stato è rilasciata, con decreto del Ministro dell'economia e delle finanze, su istanza di SACE S.p.A., previo parere dell'IVASS – espresso entro 15 giorni dalla richiesta – limitatamente alla congruità del premio riconosciuto allo Stato, nel principio della condivisione dei rischi e tenuto conto dei necessari accantonamenti prudenziali alla luce del nuovo scenario di rischiosità sistemica e di una maggiore concentrazione, a valere sulla dotazione del fondo di cui all'articolo 6, comma 9-bis, del decreto-legge 30 settembre 2003, n. 269, convertito, con modificazioni, dalla legge 24 novembre 2003, n. 326, vigente alla data del 6 aprile 2020.</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  6. Alla data di entrata in vigore del presente decreto, è riassicurato dallo Stato il novanta per cento degli impegni in essere a tale data assunti da SACE S.p.A. derivanti dall'attività assicurativa e di garanzia dei rischi definiti non di mercato dalla normativa dell'Unione Europea, ad esclusione di quelli per i quali </w:t>
      </w:r>
      <w:r w:rsidRPr="00AD1B0C">
        <w:rPr>
          <w:rFonts w:cs="Times New Roman"/>
          <w:color w:val="auto"/>
          <w:sz w:val="24"/>
          <w:szCs w:val="24"/>
          <w:lang w:eastAsia="en-US"/>
        </w:rPr>
        <w:lastRenderedPageBreak/>
        <w:t>è già stata presentata la richiesta di indennizzo o per i quali è stata comunicata a SACE S.p.A. il verificarsi, o la minaccia che si verifichi, un evento generatore di sinistro o un rischio incombente di sinistro, nonché di quelli per i quali è stata rilasciata garanzia dello Stato prima dell'entrata in vigore del presente decreto- ovvero ai sensi dei commi 4 e 5. Il novanta per cento degli attivi in cui sono investite le riserve tecniche è trasferito da SACE S.p.A. al Ministero dell'economia e delle finanze. La gestione di tali attivi è affidata a SACE S.p.A. che si attiene agli indirizzi del Ministero dell'economia e delle finanze. Entro sei mesi dalla data di entrata in vigore del presente decreto legge, il Ministero dell'economia e delle finanze e SACE S.p.A. possono procedere ad una verifica della coerenza tra ammontare delle riserve tecniche trasferite e la riassicurazione dello Stato, tenuto conto dell'assenza di remunerazione di questa.</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  7. Il novanta per cento degli impegni assunti da SACE S.p.A. nel periodo intercorrente tra la data di entrata in vigore del presente decreto e il 31 dicembre 2020, ad esclusione di quelli di cui ai commi 4 e 5, può essere riassicurato con decreto del Ministro dell'economia e delle finanze, che approva altresì la forma di remunerazione concordata con SACE S.p.A., sentito il Comitato di cui all'articolo 6, comma 9-sexies, del decreto legge 30 settembre 2003, n. 269, convertito in legge, con modificazioni, dall'articolo 1, comma 1, della legge 24 novembre 2003, n. 326, come modificato dal comma 1 del presente articolo. La remunerazione della riassicurazione di cui al periodo precedente è versata all'entrata del bilancio dello Stato per essere riassegnata in spesa ed essere versata sul conto di tesoreria istituito dal previgente articolo 6, comma 9-bis del decreto-legge n. 269 del 2003.».</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  8. Ai fini del calcolo della percentuale per la quale è prevista la riassicurazione ai sensi dei commi 6 e 7 si computa anche la quota degli impegni garantiti dallo Stato ai sensi dell'articolo 6, comma 9-bis, del decreto-legge n. 269 del 2003, come vigente alla data del 6 aprile 2020, in modo che per ogni impegno, esclusa la quota riassicurata da terzi, la riassicurazione di cui ai commi 6 e 7 sia pari alla misura del novanta per cento degli impegni assunti da SACE S.p.A.</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  9. Entro dieci giorni dalla data dell'entrata in vigore del presente decreto, SACE S.p.A. trasmette al Ministero dell'economia e delle finanze una relazione dettagliata sul capitale e la dotazione patrimoniale che si renderanno disponibili in seguito alle disposizioni di cui al presente articolo, al fine della valutazione sull'impiego di tali risorse per il sostegno alle imprese.</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  10. Ai fini della predisposizione dello schema di convenzione, il Ministero dell'economia e delle finanze può affidare, con apposito disciplinare, a società a totale partecipazione pubblica un incarico di studio, consulenza, valutazione e assistenza. Al relativo onere nel limite massimo di 100.000 euro per l'anno 2020, si provvede mediante corrispondente riduzione dello stanziamento del fondo speciale di parte corrente iscritto, ai fini del bilancio triennale 2020-2022, nell'ambito del programma «Fondi di riserva e speciali» della missione «Fondi da ripartire» dello stato di previsione del Ministero </w:t>
      </w:r>
      <w:r w:rsidRPr="00AD1B0C">
        <w:rPr>
          <w:rFonts w:cs="Times New Roman"/>
          <w:color w:val="auto"/>
          <w:sz w:val="24"/>
          <w:szCs w:val="24"/>
          <w:lang w:eastAsia="en-US"/>
        </w:rPr>
        <w:lastRenderedPageBreak/>
        <w:t>dell'economia e delle finanze per l'anno 2020, allo scopo parzialmente utilizzando l'accantonamento relativo al medesimo Ministero.</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  11. L'articolo 53 del decreto-legge 17 marzo 2020, n. 18, è abrogato.</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3.</w:t>
      </w: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(SACE S.p.A.)</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SACE S.p.A. concorda con Cassa depositi e prestiti S.p.A. (CDP S.p.A.) le strategie industriali e commerciali al fine di massimizzare le sinergie di gruppo e aumentare l'efficacia del sistema di sostegno all'esportazione e all'internazionalizzazione delle imprese e di rilancio dell'economia.</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In considerazione del ruolo strategico di SACE S.p.A. per l'attuazione delle misure di sostegno all'esportazione e all'internazionalizzazione delle imprese e di rilancio degli investimenti:</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CDP S.p.A. concorda preventivamente con il Ministero dell'economia e delle finanze, sentito il Ministero degli affari esteri e della cooperazione internazionale, l'esercizio dei diritti di voto derivanti dalla partecipazione in SACE S.p.A.; per le deliberazioni di nomina degli organi sociali, il Ministero dell'economia e delle finanze agisce di concerto con il Ministero degli affari esteri e della cooperazione internazionale;</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CDP S.p.A. consulta preventivamente il Ministero dell'economia e delle finanze in merito ad operazioni di gestione della partecipazione in SACE S.p.A. diverse da quella di cui alla lettera a);</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   c) SACE S.p.A. non è soggetta all'attività di direzione e coordinamento di CDP S.p.A.;</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   d) SACE S.p.A. consulta preventivamente il Ministero dell'economia e delle finanze in ordine alle decisioni aziendali rilevanti ai fini dell'efficace attuazione delle misure di rilancio degli investimenti, con particolare riferimento alle decisioni relative all'assunzione di impegni e al recupero dei crediti;</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   e) SACE S.p.A. consulta preventivamente il Ministero dell'economia e delle finanze e il Ministero degli affari esteri e della cooperazione internazionale in ordine alle decisioni aziendali rilevanti ai fini dell'efficace attuazione delle misure di sostegno all'internazionalizzazione delle imprese, con particolare riferimento alle decisioni relative all'assunzione di impegni e al recupero dei crediti;</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   f) SACE S.p.A., nella predisposizione del piano annuale di attività, tiene conto delle linee guida e di indirizzo strategico in materia di promozione e internazionalizzazione delle imprese assunte dalla cabina di regia co-presieduta dal Ministro degli affari esteri e della cooperazione internazionale e dal Ministro dello sviluppo economico, di cui all'articolo 14, comma 18-bis del decreto legge 6 luglio 2011, n. 98, convertito, con modificazioni, dalla legge 15 luglio 2011, n.111.</w:t>
      </w:r>
    </w:p>
    <w:p w:rsidR="00AD1B0C" w:rsidRPr="00AD1B0C" w:rsidRDefault="00AD1B0C" w:rsidP="00AD1B0C">
      <w:pPr>
        <w:spacing w:after="160" w:line="259" w:lineRule="auto"/>
        <w:jc w:val="both"/>
        <w:rPr>
          <w:rFonts w:cs="Times New Roman"/>
          <w:color w:val="auto"/>
          <w:sz w:val="24"/>
          <w:szCs w:val="24"/>
          <w:lang w:eastAsia="en-US"/>
        </w:rPr>
      </w:pPr>
    </w:p>
    <w:p w:rsid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Restano fermi i poteri del Ministro degli affari esteri e della cooperazione internazionale nei confronti di Simest S.p.A., ai sensi di quanto previsto dall'articolo 2, comma 10, del decreto-legge 21 settembre 2019, n. 104, convertito, con modificazioni, dalla legge 18 novembre 2019, n. 132.</w:t>
      </w:r>
    </w:p>
    <w:p w:rsidR="00FA77CE" w:rsidRDefault="00FA77CE" w:rsidP="00AD1B0C">
      <w:pPr>
        <w:spacing w:after="160" w:line="259" w:lineRule="auto"/>
        <w:jc w:val="both"/>
        <w:rPr>
          <w:rFonts w:cs="Times New Roman"/>
          <w:color w:val="auto"/>
          <w:sz w:val="24"/>
          <w:szCs w:val="24"/>
          <w:lang w:eastAsia="en-US"/>
        </w:rPr>
      </w:pPr>
    </w:p>
    <w:p w:rsidR="00FA77CE" w:rsidRPr="00F6464F" w:rsidRDefault="00FA77CE" w:rsidP="00FA77CE">
      <w:pPr>
        <w:jc w:val="both"/>
        <w:rPr>
          <w:b/>
          <w:color w:val="000000" w:themeColor="text1"/>
          <w:sz w:val="24"/>
          <w:szCs w:val="24"/>
        </w:rPr>
      </w:pPr>
      <w:r w:rsidRPr="00F6464F">
        <w:rPr>
          <w:b/>
          <w:color w:val="000000" w:themeColor="text1"/>
          <w:sz w:val="24"/>
          <w:szCs w:val="24"/>
        </w:rPr>
        <w:t>  3-bis. La commissione di vigilanza prevista dall'articolo 3 del testo unico delle leggi riguardanti l'Amministrazione della Cassa dei depositi e prestiti, di cui al regio decreto 2 gennaio 1913, n. 453, può avvalersi, d'intesa con i Presidenti delle Camere, delle necessarie risorse strumentali a supporto delle funzioni ad essa attribuite.</w:t>
      </w:r>
      <w:r>
        <w:rPr>
          <w:rStyle w:val="Rimandonotaapidipagina"/>
          <w:b/>
          <w:color w:val="000000" w:themeColor="text1"/>
          <w:sz w:val="24"/>
          <w:szCs w:val="24"/>
        </w:rPr>
        <w:footnoteReference w:id="28"/>
      </w:r>
    </w:p>
    <w:p w:rsidR="00FA77CE" w:rsidRPr="00AD1B0C" w:rsidRDefault="00FA77CE"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Capo II</w:t>
      </w: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MISURE URGENTI PER GARANTIRE LA CONTINUITÀ DELLE IMPRESE COLPITE DALL'EMERGENZA COVID-19</w:t>
      </w:r>
    </w:p>
    <w:p w:rsidR="00AD1B0C" w:rsidRPr="00AD1B0C" w:rsidRDefault="00AD1B0C" w:rsidP="00AD1B0C">
      <w:pPr>
        <w:spacing w:after="160" w:line="259" w:lineRule="auto"/>
        <w:jc w:val="center"/>
        <w:rPr>
          <w:rFonts w:cs="Times New Roman"/>
          <w:color w:val="auto"/>
          <w:sz w:val="24"/>
          <w:szCs w:val="24"/>
          <w:lang w:eastAsia="en-US"/>
        </w:rPr>
      </w:pP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4.</w:t>
      </w: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(Sottoscrizione contratti e comunicazioni in modo semplificato)</w:t>
      </w:r>
    </w:p>
    <w:p w:rsidR="00AD1B0C" w:rsidRPr="00AD1B0C" w:rsidRDefault="00AD1B0C" w:rsidP="00AD1B0C">
      <w:pPr>
        <w:spacing w:after="160" w:line="259" w:lineRule="auto"/>
        <w:jc w:val="both"/>
        <w:rPr>
          <w:rFonts w:cs="Times New Roman"/>
          <w:color w:val="auto"/>
          <w:sz w:val="24"/>
          <w:szCs w:val="24"/>
          <w:lang w:eastAsia="en-US"/>
        </w:rPr>
      </w:pPr>
    </w:p>
    <w:p w:rsid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Ai fini degli articoli 117, 125-bis, 126-quinquies e 126-quinquiesdecies del decreto legislativo 1° settembre 1993, n. 385, ferme restando le previsioni sulle tecniche di conclusione dei contratti mediante strumenti informativi o telematici, i contratti, conclusi con la clientela al dettaglio come definita dalle disposizioni della Banca d'Italia in materia di trasparenza delle operazioni e dei servizi bancari e finanziari, nel periodo compreso tra la data di entrata in vigore del presente decreto ed il termine dello stato di emergenza deliberato dal Consiglio dei ministri in data 31 gennaio 2020 soddisfano il requisito ed hanno l'efficacia di cui all'articolo 20, comma 1-bis, primo periodo, del decreto legislativo 7 marzo 2005, n. 82, anche se il cliente esprime il proprio consenso mediante il proprio indirizzo di posta elettronica non certificata o con altro strumento idoneo, a condizione che questi siano accompagnati da copia di un documento di riconoscimento in corso di validità del contraente, facciano riferimento ad un contratto identificabile in modo certo e siano conservati insieme al contratto medesimo con modalità tali da garantirne la sicurezza, l'integrità e l'immodificabilità. Il requisito della consegna di copia del contratto è soddisfatto mediante la messa a disposizione del cliente di copia del testo del contratto su supporto durevole; l'intermediario consegna copia cartacea del contratto al cliente alla prima occasione utile successiva al termine dello stato di emergenza. Il cliente può usare il medesimo strumento impiegato per esprimere il consenso al contratto anche per esercitare il diritto di recesso previsto dalla legge.</w:t>
      </w:r>
    </w:p>
    <w:p w:rsidR="00897768" w:rsidRDefault="00897768" w:rsidP="00AD1B0C">
      <w:pPr>
        <w:spacing w:after="160" w:line="259" w:lineRule="auto"/>
        <w:jc w:val="both"/>
        <w:rPr>
          <w:rFonts w:cs="Times New Roman"/>
          <w:color w:val="auto"/>
          <w:sz w:val="24"/>
          <w:szCs w:val="24"/>
          <w:lang w:eastAsia="en-US"/>
        </w:rPr>
      </w:pPr>
    </w:p>
    <w:p w:rsidR="00897768" w:rsidRPr="00F33854" w:rsidRDefault="00897768" w:rsidP="00897768">
      <w:pPr>
        <w:jc w:val="center"/>
        <w:rPr>
          <w:b/>
          <w:color w:val="000000" w:themeColor="text1"/>
          <w:sz w:val="24"/>
          <w:szCs w:val="24"/>
        </w:rPr>
      </w:pPr>
      <w:r w:rsidRPr="00F33854">
        <w:rPr>
          <w:b/>
          <w:color w:val="000000" w:themeColor="text1"/>
          <w:sz w:val="24"/>
          <w:szCs w:val="24"/>
        </w:rPr>
        <w:t>Art. 4-bis.</w:t>
      </w:r>
    </w:p>
    <w:p w:rsidR="00897768" w:rsidRPr="00F33854" w:rsidRDefault="00897768" w:rsidP="00897768">
      <w:pPr>
        <w:jc w:val="center"/>
        <w:rPr>
          <w:b/>
          <w:color w:val="000000" w:themeColor="text1"/>
          <w:sz w:val="24"/>
          <w:szCs w:val="24"/>
        </w:rPr>
      </w:pPr>
      <w:r w:rsidRPr="00F33854">
        <w:rPr>
          <w:b/>
          <w:color w:val="000000" w:themeColor="text1"/>
          <w:sz w:val="24"/>
          <w:szCs w:val="24"/>
        </w:rPr>
        <w:t>(Inserimento di nuove attività nella lista di cui all'articolo 1, comma 53, della legge 6 novembre 2012, n. 190)</w:t>
      </w:r>
    </w:p>
    <w:p w:rsidR="00897768" w:rsidRPr="00F33854" w:rsidRDefault="00897768" w:rsidP="00897768">
      <w:pPr>
        <w:jc w:val="center"/>
        <w:rPr>
          <w:b/>
          <w:color w:val="000000" w:themeColor="text1"/>
          <w:sz w:val="24"/>
          <w:szCs w:val="24"/>
        </w:rPr>
      </w:pPr>
    </w:p>
    <w:p w:rsidR="00897768" w:rsidRPr="00F33854" w:rsidRDefault="00897768" w:rsidP="00897768">
      <w:pPr>
        <w:jc w:val="both"/>
        <w:rPr>
          <w:b/>
          <w:color w:val="000000" w:themeColor="text1"/>
          <w:sz w:val="24"/>
          <w:szCs w:val="24"/>
        </w:rPr>
      </w:pPr>
      <w:r w:rsidRPr="00F33854">
        <w:rPr>
          <w:b/>
          <w:color w:val="000000" w:themeColor="text1"/>
          <w:sz w:val="24"/>
          <w:szCs w:val="24"/>
        </w:rPr>
        <w:t>  1. All'articolo 1, comma 53, della legge 6 novembre 2012, n. 190, sono apportate le seguenti modificazioni:</w:t>
      </w:r>
    </w:p>
    <w:p w:rsidR="00897768" w:rsidRPr="00F33854" w:rsidRDefault="00897768" w:rsidP="00897768">
      <w:pPr>
        <w:jc w:val="both"/>
        <w:rPr>
          <w:b/>
          <w:color w:val="000000" w:themeColor="text1"/>
          <w:sz w:val="24"/>
          <w:szCs w:val="24"/>
        </w:rPr>
      </w:pPr>
      <w:r w:rsidRPr="00F33854">
        <w:rPr>
          <w:b/>
          <w:color w:val="000000" w:themeColor="text1"/>
          <w:sz w:val="24"/>
          <w:szCs w:val="24"/>
        </w:rPr>
        <w:t>    1) le lettere a) e b) sono soppresse;</w:t>
      </w:r>
    </w:p>
    <w:p w:rsidR="00897768" w:rsidRPr="00F33854" w:rsidRDefault="00897768" w:rsidP="00897768">
      <w:pPr>
        <w:jc w:val="both"/>
        <w:rPr>
          <w:b/>
          <w:color w:val="000000" w:themeColor="text1"/>
          <w:sz w:val="24"/>
          <w:szCs w:val="24"/>
        </w:rPr>
      </w:pPr>
      <w:r w:rsidRPr="00F33854">
        <w:rPr>
          <w:b/>
          <w:color w:val="000000" w:themeColor="text1"/>
          <w:sz w:val="24"/>
          <w:szCs w:val="24"/>
        </w:rPr>
        <w:t>    2) dopo la lettera i), sono aggiunte le seguenti:</w:t>
      </w:r>
    </w:p>
    <w:p w:rsidR="00897768" w:rsidRPr="00F33854" w:rsidRDefault="00897768" w:rsidP="00897768">
      <w:pPr>
        <w:jc w:val="both"/>
        <w:rPr>
          <w:b/>
          <w:color w:val="000000" w:themeColor="text1"/>
          <w:sz w:val="24"/>
          <w:szCs w:val="24"/>
        </w:rPr>
      </w:pPr>
      <w:r w:rsidRPr="00F33854">
        <w:rPr>
          <w:b/>
          <w:color w:val="000000" w:themeColor="text1"/>
          <w:sz w:val="24"/>
          <w:szCs w:val="24"/>
        </w:rPr>
        <w:t>   </w:t>
      </w:r>
      <w:proofErr w:type="gramStart"/>
      <w:r w:rsidRPr="00F33854">
        <w:rPr>
          <w:b/>
          <w:color w:val="000000" w:themeColor="text1"/>
          <w:sz w:val="24"/>
          <w:szCs w:val="24"/>
        </w:rPr>
        <w:t>«</w:t>
      </w:r>
      <w:proofErr w:type="gramEnd"/>
      <w:r w:rsidRPr="00F33854">
        <w:rPr>
          <w:b/>
          <w:color w:val="000000" w:themeColor="text1"/>
          <w:sz w:val="24"/>
          <w:szCs w:val="24"/>
        </w:rPr>
        <w:t> i-bis) servizi funerari e cimiteriali;</w:t>
      </w:r>
    </w:p>
    <w:p w:rsidR="00897768" w:rsidRPr="00F33854" w:rsidRDefault="00897768" w:rsidP="00897768">
      <w:pPr>
        <w:jc w:val="both"/>
        <w:rPr>
          <w:b/>
          <w:color w:val="000000" w:themeColor="text1"/>
          <w:sz w:val="24"/>
          <w:szCs w:val="24"/>
        </w:rPr>
      </w:pPr>
      <w:r w:rsidRPr="00F33854">
        <w:rPr>
          <w:b/>
          <w:color w:val="000000" w:themeColor="text1"/>
          <w:sz w:val="24"/>
          <w:szCs w:val="24"/>
        </w:rPr>
        <w:t>   i-ter</w:t>
      </w:r>
      <w:proofErr w:type="gramStart"/>
      <w:r w:rsidRPr="00F33854">
        <w:rPr>
          <w:b/>
          <w:color w:val="000000" w:themeColor="text1"/>
          <w:sz w:val="24"/>
          <w:szCs w:val="24"/>
        </w:rPr>
        <w:t>)</w:t>
      </w:r>
      <w:proofErr w:type="gramEnd"/>
      <w:r w:rsidRPr="00F33854">
        <w:rPr>
          <w:b/>
          <w:color w:val="000000" w:themeColor="text1"/>
          <w:sz w:val="24"/>
          <w:szCs w:val="24"/>
        </w:rPr>
        <w:t xml:space="preserve"> ristorazione, gestione mense e catering;</w:t>
      </w:r>
    </w:p>
    <w:p w:rsidR="00897768" w:rsidRDefault="00897768" w:rsidP="00897768">
      <w:pPr>
        <w:spacing w:after="160" w:line="259" w:lineRule="auto"/>
        <w:jc w:val="both"/>
        <w:rPr>
          <w:b/>
          <w:color w:val="000000" w:themeColor="text1"/>
          <w:sz w:val="24"/>
          <w:szCs w:val="24"/>
        </w:rPr>
      </w:pPr>
      <w:r w:rsidRPr="00F33854">
        <w:rPr>
          <w:b/>
          <w:color w:val="000000" w:themeColor="text1"/>
          <w:sz w:val="24"/>
          <w:szCs w:val="24"/>
        </w:rPr>
        <w:lastRenderedPageBreak/>
        <w:t xml:space="preserve">   i-quater) servizi ambientali, ivi comprese le attività di raccolta, trasporto, nazionale e transfrontaliero, anche per conto di terzi, trattamento e smaltimento dei rifiuti, </w:t>
      </w:r>
      <w:proofErr w:type="gramStart"/>
      <w:r w:rsidRPr="00F33854">
        <w:rPr>
          <w:b/>
          <w:color w:val="000000" w:themeColor="text1"/>
          <w:sz w:val="24"/>
          <w:szCs w:val="24"/>
        </w:rPr>
        <w:t>nonché</w:t>
      </w:r>
      <w:proofErr w:type="gramEnd"/>
      <w:r w:rsidRPr="00F33854">
        <w:rPr>
          <w:b/>
          <w:color w:val="000000" w:themeColor="text1"/>
          <w:sz w:val="24"/>
          <w:szCs w:val="24"/>
        </w:rPr>
        <w:t xml:space="preserve"> le attività di risanamento, bonifica e gli altri servizi connessi alla gestione dei rifiuti.».</w:t>
      </w:r>
      <w:r>
        <w:rPr>
          <w:rStyle w:val="Rimandonotaapidipagina"/>
          <w:b/>
          <w:color w:val="000000" w:themeColor="text1"/>
          <w:sz w:val="24"/>
          <w:szCs w:val="24"/>
        </w:rPr>
        <w:footnoteReference w:id="29"/>
      </w:r>
    </w:p>
    <w:p w:rsidR="007F6AB0" w:rsidRDefault="007F6AB0" w:rsidP="00897768">
      <w:pPr>
        <w:spacing w:after="160" w:line="259" w:lineRule="auto"/>
        <w:jc w:val="both"/>
        <w:rPr>
          <w:b/>
          <w:color w:val="000000" w:themeColor="text1"/>
          <w:sz w:val="24"/>
          <w:szCs w:val="24"/>
        </w:rPr>
      </w:pPr>
    </w:p>
    <w:p w:rsidR="007F6AB0" w:rsidRDefault="007F6AB0" w:rsidP="00897768">
      <w:pPr>
        <w:spacing w:after="160" w:line="259" w:lineRule="auto"/>
        <w:jc w:val="both"/>
        <w:rPr>
          <w:b/>
          <w:color w:val="000000" w:themeColor="text1"/>
          <w:sz w:val="24"/>
          <w:szCs w:val="24"/>
        </w:rPr>
      </w:pPr>
    </w:p>
    <w:p w:rsidR="007F6AB0" w:rsidRDefault="007F6AB0" w:rsidP="00897768">
      <w:pPr>
        <w:spacing w:after="160" w:line="259" w:lineRule="auto"/>
        <w:jc w:val="both"/>
        <w:rPr>
          <w:b/>
          <w:color w:val="000000" w:themeColor="text1"/>
          <w:sz w:val="24"/>
          <w:szCs w:val="24"/>
        </w:rPr>
      </w:pPr>
    </w:p>
    <w:p w:rsidR="007F6AB0" w:rsidRPr="00F33854" w:rsidRDefault="007F6AB0" w:rsidP="007F6AB0">
      <w:pPr>
        <w:jc w:val="center"/>
        <w:rPr>
          <w:b/>
          <w:color w:val="000000" w:themeColor="text1"/>
          <w:sz w:val="24"/>
          <w:szCs w:val="24"/>
          <w:lang w:val="en-US"/>
        </w:rPr>
      </w:pPr>
      <w:r w:rsidRPr="00F33854">
        <w:rPr>
          <w:b/>
          <w:color w:val="000000" w:themeColor="text1"/>
          <w:sz w:val="24"/>
          <w:szCs w:val="24"/>
          <w:lang w:val="en-US"/>
        </w:rPr>
        <w:t>Art. 4-bis.</w:t>
      </w:r>
    </w:p>
    <w:p w:rsidR="007F6AB0" w:rsidRPr="00F33854" w:rsidRDefault="007F6AB0" w:rsidP="007F6AB0">
      <w:pPr>
        <w:jc w:val="center"/>
        <w:rPr>
          <w:b/>
          <w:color w:val="000000" w:themeColor="text1"/>
          <w:sz w:val="24"/>
          <w:szCs w:val="24"/>
          <w:lang w:val="en-US"/>
        </w:rPr>
      </w:pPr>
      <w:r w:rsidRPr="00F33854">
        <w:rPr>
          <w:b/>
          <w:color w:val="000000" w:themeColor="text1"/>
          <w:sz w:val="24"/>
          <w:szCs w:val="24"/>
          <w:lang w:val="en-US"/>
        </w:rPr>
        <w:t>(Target annuali di PFU)</w:t>
      </w:r>
    </w:p>
    <w:p w:rsidR="007F6AB0" w:rsidRPr="00F33854" w:rsidRDefault="007F6AB0" w:rsidP="007F6AB0">
      <w:pPr>
        <w:jc w:val="both"/>
        <w:rPr>
          <w:b/>
          <w:color w:val="000000" w:themeColor="text1"/>
          <w:sz w:val="24"/>
          <w:szCs w:val="24"/>
          <w:lang w:val="en-US"/>
        </w:rPr>
      </w:pPr>
    </w:p>
    <w:p w:rsidR="007F6AB0" w:rsidRPr="00F33854" w:rsidRDefault="007F6AB0" w:rsidP="007F6AB0">
      <w:pPr>
        <w:jc w:val="both"/>
        <w:rPr>
          <w:b/>
          <w:color w:val="000000" w:themeColor="text1"/>
          <w:sz w:val="24"/>
          <w:szCs w:val="24"/>
        </w:rPr>
      </w:pPr>
      <w:r w:rsidRPr="00F33854">
        <w:rPr>
          <w:b/>
          <w:color w:val="000000" w:themeColor="text1"/>
          <w:sz w:val="24"/>
          <w:szCs w:val="24"/>
        </w:rPr>
        <w:t>  1. Alla luce della situazione emergenziale derivante dalla pandemia COVID-19 e le misure adottate per contenerla, in quanto incidenti su attività commerciali e spostamenti delle persone, gli obiettivi di gestione di quantitativi di pneumatici fuori uso su base annuale, come disposti ai sensi dell'articolo 228, comma 1, del decreto legislativo n. 152 del 2006, pari a quelli immessi sul mercato e destinati alla vendita nell'anno precedente, per l'anno in corso sono parametrati al biennio 2020-2021; conseguentemente la verifica delle quantità di pneumatici fuori uso gestite dai soggetti obbligati si misura computando gli pneumatici immessi sul mercato e destinati alla vendita nel biennio 2019-2020.</w:t>
      </w:r>
      <w:r>
        <w:rPr>
          <w:rStyle w:val="Rimandonotaapidipagina"/>
          <w:b/>
          <w:color w:val="000000" w:themeColor="text1"/>
          <w:sz w:val="24"/>
          <w:szCs w:val="24"/>
        </w:rPr>
        <w:footnoteReference w:id="30"/>
      </w:r>
    </w:p>
    <w:p w:rsidR="007F6AB0" w:rsidRPr="00AD1B0C" w:rsidRDefault="007F6AB0" w:rsidP="00897768">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5.</w:t>
      </w: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lastRenderedPageBreak/>
        <w:t>(Differimento dell'entrata in vigore del Codice della crisi d'impresa e dell'insolvenza di cui al decreto legislativo 12 gennaio 2019, n. 14)</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All'articolo 389 del decreto legislativo 12 gennaio 2019, n. 14, il comma 1 è sostituito dal seguente:</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Il presente decreto entra in vigore il 1 settembre 2021, salvo quanto previsto al comma 2.».</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6.</w:t>
      </w: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temporanee in materia di riduzione del capitale)</w:t>
      </w:r>
    </w:p>
    <w:p w:rsidR="00AD1B0C" w:rsidRPr="00AD1B0C" w:rsidRDefault="00AD1B0C" w:rsidP="00AD1B0C">
      <w:pPr>
        <w:spacing w:after="160" w:line="259" w:lineRule="auto"/>
        <w:jc w:val="center"/>
        <w:rPr>
          <w:rFonts w:cs="Times New Roman"/>
          <w:color w:val="auto"/>
          <w:sz w:val="24"/>
          <w:szCs w:val="24"/>
          <w:lang w:eastAsia="en-US"/>
        </w:rPr>
      </w:pPr>
    </w:p>
    <w:p w:rsid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A decorrere dalla data di entrata in vigore del presente decreto e fino alla data del 31 dicembre 2020 per le fattispecie verificatesi nel corso degli esercizi chiusi entro la predetta data non si applicano gli articoli 2446, commi secondo e terzo, 2447, 2482-bis, commi quarto, quinto e sesto, e 2482-ter del codice civile. Per lo stesso periodo non opera la causa di scioglimento della società per riduzione o perdita del capitale sociale di cui agli articoli 2484, primo comma, numero 4), e 2545-duodecies del codice civile.</w:t>
      </w:r>
    </w:p>
    <w:p w:rsidR="008A08A2" w:rsidRPr="00F6464F" w:rsidRDefault="008A08A2" w:rsidP="008A08A2">
      <w:pPr>
        <w:jc w:val="both"/>
        <w:rPr>
          <w:b/>
          <w:color w:val="000000" w:themeColor="text1"/>
          <w:sz w:val="24"/>
          <w:szCs w:val="24"/>
        </w:rPr>
      </w:pPr>
      <w:r w:rsidRPr="00F6464F">
        <w:rPr>
          <w:b/>
          <w:color w:val="000000" w:themeColor="text1"/>
          <w:sz w:val="24"/>
          <w:szCs w:val="24"/>
        </w:rPr>
        <w:t>1-bis. In via eccezionale, solo per la chiusura dei bilanci di esercizio 2020, i costi fissi di gestione sostenuti dalle imprese, possono essere capitalizzati ed ammortizzati sulla base del principio contabile OIC 24 per la valutazione delle immobilizzazioni immateriali, nello stesso periodo temporale del finanziamento ottenuto con le garanzie dello Stato per gli interventi di cui all'articolo 1 comma 2 lettera d).</w:t>
      </w:r>
      <w:r w:rsidR="001E773C">
        <w:rPr>
          <w:rStyle w:val="Rimandonotaapidipagina"/>
          <w:b/>
          <w:color w:val="000000" w:themeColor="text1"/>
          <w:sz w:val="24"/>
          <w:szCs w:val="24"/>
        </w:rPr>
        <w:footnoteReference w:id="31"/>
      </w:r>
    </w:p>
    <w:p w:rsidR="001E773C" w:rsidRPr="007863F2" w:rsidRDefault="001E773C" w:rsidP="001E773C">
      <w:pPr>
        <w:jc w:val="center"/>
        <w:rPr>
          <w:b/>
          <w:color w:val="000000" w:themeColor="text1"/>
          <w:sz w:val="24"/>
          <w:szCs w:val="24"/>
        </w:rPr>
      </w:pPr>
      <w:r w:rsidRPr="007863F2">
        <w:rPr>
          <w:b/>
          <w:color w:val="000000" w:themeColor="text1"/>
          <w:sz w:val="24"/>
          <w:szCs w:val="24"/>
        </w:rPr>
        <w:t>Art. 6-bis.</w:t>
      </w:r>
    </w:p>
    <w:p w:rsidR="001E773C" w:rsidRPr="007863F2" w:rsidRDefault="001E773C" w:rsidP="001E773C">
      <w:pPr>
        <w:jc w:val="both"/>
        <w:rPr>
          <w:b/>
          <w:color w:val="000000" w:themeColor="text1"/>
          <w:sz w:val="24"/>
          <w:szCs w:val="24"/>
        </w:rPr>
      </w:pPr>
    </w:p>
    <w:p w:rsidR="001E773C" w:rsidRPr="007863F2" w:rsidRDefault="001E773C" w:rsidP="001E773C">
      <w:pPr>
        <w:jc w:val="both"/>
        <w:rPr>
          <w:b/>
          <w:color w:val="000000" w:themeColor="text1"/>
          <w:sz w:val="24"/>
          <w:szCs w:val="24"/>
        </w:rPr>
      </w:pPr>
      <w:r w:rsidRPr="007863F2">
        <w:rPr>
          <w:b/>
          <w:color w:val="000000" w:themeColor="text1"/>
          <w:sz w:val="24"/>
          <w:szCs w:val="24"/>
        </w:rPr>
        <w:lastRenderedPageBreak/>
        <w:t>  1. Al fine di sostenere i settori alberghiero e termale, i soggetti indicati nell'articolo 73, comma 1, lettere a) e b), del testo unico delle imposte sui redditi, di cui al decreto del Presidente della Repubblica 22 dicembre 1986, n. 917, operanti nei settori alberghiero e termale che non adottano i principi contabili internazionali nella redazione del bilancio, possono, anche in deroga all'articolo 426 del codice civile e ad ogni altra disposizione di legge vigente in materia, rivalutare i beni di impresa e le partecipazioni di cui alla Sezione II del Capo I della legge 21 novembre 2000, n. 342, ad esclusione degli immobili alla cui produzione o al cui scambio è diretta l'attività di impresa, risultanti dal bilancio dell'esercizio in corso al 31 dicembre 2019.</w:t>
      </w:r>
    </w:p>
    <w:p w:rsidR="001E773C" w:rsidRPr="007863F2" w:rsidRDefault="001E773C" w:rsidP="001E773C">
      <w:pPr>
        <w:jc w:val="both"/>
        <w:rPr>
          <w:b/>
          <w:color w:val="000000" w:themeColor="text1"/>
          <w:sz w:val="24"/>
          <w:szCs w:val="24"/>
        </w:rPr>
      </w:pPr>
      <w:r w:rsidRPr="007863F2">
        <w:rPr>
          <w:b/>
          <w:color w:val="000000" w:themeColor="text1"/>
          <w:sz w:val="24"/>
          <w:szCs w:val="24"/>
        </w:rPr>
        <w:t>  2. La rivalutazione deve essere eseguita in uno od entrambi i bilanci o rendiconti relativi ai due esercizi successivi a quello di cui al comma 1, deve riguardare tutti i beni appartenenti alla stessa categoria omogenea e deve essere annotata nel relativo inventario e nella nota integrativa.</w:t>
      </w:r>
    </w:p>
    <w:p w:rsidR="001E773C" w:rsidRPr="007863F2" w:rsidRDefault="001E773C" w:rsidP="001E773C">
      <w:pPr>
        <w:jc w:val="both"/>
        <w:rPr>
          <w:b/>
          <w:color w:val="000000" w:themeColor="text1"/>
          <w:sz w:val="24"/>
          <w:szCs w:val="24"/>
        </w:rPr>
      </w:pPr>
      <w:r w:rsidRPr="007863F2">
        <w:rPr>
          <w:b/>
          <w:color w:val="000000" w:themeColor="text1"/>
          <w:sz w:val="24"/>
          <w:szCs w:val="24"/>
        </w:rPr>
        <w:t>  3. Sui maggiori valori dei beni e delle partecipazioni iscritti in bilancio di cui al comma 2 non è dovuta alcuna imposta sostitutiva od altra imposta. Il maggior valore attribuito ai beni ed alle partecipazioni si considera riconosciuto, ai fini delle imposte sui redditi e dell'imposta regionale sulle attività produttive, a decorrere dall'esercizio nel cui bilancio la rivalutazione è eseguita.</w:t>
      </w:r>
    </w:p>
    <w:p w:rsidR="001E773C" w:rsidRPr="007863F2" w:rsidRDefault="001E773C" w:rsidP="001E773C">
      <w:pPr>
        <w:jc w:val="both"/>
        <w:rPr>
          <w:b/>
          <w:color w:val="000000" w:themeColor="text1"/>
          <w:sz w:val="24"/>
          <w:szCs w:val="24"/>
        </w:rPr>
      </w:pPr>
      <w:r w:rsidRPr="007863F2">
        <w:rPr>
          <w:b/>
          <w:color w:val="000000" w:themeColor="text1"/>
          <w:sz w:val="24"/>
          <w:szCs w:val="24"/>
        </w:rPr>
        <w:t>  4. Il saldo attivo risultante dalle rivalutazioni eseguite deve essere imputato al capitale o accantonato in una speciale riserva designata con riferimento alla presente previsione normativa, con esclusione di ogni diversa utilizzazione.</w:t>
      </w:r>
    </w:p>
    <w:p w:rsidR="001E773C" w:rsidRPr="007863F2" w:rsidRDefault="001E773C" w:rsidP="001E773C">
      <w:pPr>
        <w:jc w:val="both"/>
        <w:rPr>
          <w:b/>
          <w:color w:val="000000" w:themeColor="text1"/>
          <w:sz w:val="24"/>
          <w:szCs w:val="24"/>
        </w:rPr>
      </w:pPr>
      <w:r w:rsidRPr="007863F2">
        <w:rPr>
          <w:b/>
          <w:color w:val="000000" w:themeColor="text1"/>
          <w:sz w:val="24"/>
          <w:szCs w:val="24"/>
        </w:rPr>
        <w:t>  5. Il saldo attivo della rivalutazione può essere affrancato, in tutto o in parte, con l'applicazione in capo alla società di un'imposta sostitutiva delle imposte sui redditi, dell'imposta regionale sulle attività produttive e di eventuali addizionali nella misura del 10 per cento, da versare con le modalità indicate all'articolo 1, comma 701 della legge 27 dicembre 2019, n. 160.</w:t>
      </w:r>
    </w:p>
    <w:p w:rsidR="001E773C" w:rsidRPr="007863F2" w:rsidRDefault="001E773C" w:rsidP="001E773C">
      <w:pPr>
        <w:jc w:val="both"/>
        <w:rPr>
          <w:b/>
          <w:color w:val="000000" w:themeColor="text1"/>
          <w:sz w:val="24"/>
          <w:szCs w:val="24"/>
        </w:rPr>
      </w:pPr>
      <w:r w:rsidRPr="007863F2">
        <w:rPr>
          <w:b/>
          <w:color w:val="000000" w:themeColor="text1"/>
          <w:sz w:val="24"/>
          <w:szCs w:val="24"/>
        </w:rPr>
        <w:t>  6. Nel caso di cessione a titolo oneroso, di assegnazione al socio di destinazione a finalità estranee all'esercizio dell'impresa ovvero al consumo personale o familiare dell'imprenditore dei beni rivalutati in data anteriore a quella di inizio del quarto esercizio successivo a quello nel cui bilancio la rivalutazione è stata eseguita, ai fini della determinazione delle plusvalenze o minusvalenze si ha riguardo al costo del bene prima della rivalutazione.</w:t>
      </w:r>
    </w:p>
    <w:p w:rsidR="001E773C" w:rsidRPr="007863F2" w:rsidRDefault="001E773C" w:rsidP="001E773C">
      <w:pPr>
        <w:jc w:val="both"/>
        <w:rPr>
          <w:b/>
          <w:color w:val="000000" w:themeColor="text1"/>
          <w:sz w:val="24"/>
          <w:szCs w:val="24"/>
        </w:rPr>
      </w:pPr>
      <w:r w:rsidRPr="007863F2">
        <w:rPr>
          <w:b/>
          <w:color w:val="000000" w:themeColor="text1"/>
          <w:sz w:val="24"/>
          <w:szCs w:val="24"/>
        </w:rPr>
        <w:t xml:space="preserve">  7. Si applicano, in quanto compatibili, le disposizioni degli articoli 11, 13, 14 e 15 della legge 21 novembre 2000, n. 342, quelle del regolamento di cui al decreto del Ministro delle finanze 13 aprile 2001, n. 162, nonché quelle del regolamento di cui al decreto del Ministro dell'economia e delle </w:t>
      </w:r>
      <w:r w:rsidRPr="007863F2">
        <w:rPr>
          <w:b/>
          <w:color w:val="000000" w:themeColor="text1"/>
          <w:sz w:val="24"/>
          <w:szCs w:val="24"/>
        </w:rPr>
        <w:lastRenderedPageBreak/>
        <w:t>finanze 19 aprile 2002, n. 86, e dei commi 475, 477 e 478 dell'articolo 1 della legge 30 dicembre 2004, n. 311.</w:t>
      </w:r>
    </w:p>
    <w:p w:rsidR="001E773C" w:rsidRPr="007863F2" w:rsidRDefault="001E773C" w:rsidP="001E773C">
      <w:pPr>
        <w:jc w:val="both"/>
        <w:rPr>
          <w:b/>
          <w:color w:val="000000" w:themeColor="text1"/>
          <w:sz w:val="24"/>
          <w:szCs w:val="24"/>
        </w:rPr>
      </w:pPr>
      <w:r w:rsidRPr="007863F2">
        <w:rPr>
          <w:b/>
          <w:color w:val="000000" w:themeColor="text1"/>
          <w:sz w:val="24"/>
          <w:szCs w:val="24"/>
        </w:rPr>
        <w:t>  8. Le previsioni di cui all'articolo 14, comma 1, della legge 21 novembre 2000, n. 342, supplicano anche ai soggetti che redigono il bilancio in base ai principi contabili internazionali di cui al regolamento (CE) n. 1606 del 2002 del Parlamento europeo e del Consiglio, del 19 luglio 2002, anche con riferimento alle partecipazioni, in società ed enti, costituenti immobilizzazioni finanziarle ai sensi dell'alticcio 85, comma 3-bis, del testo unico delle imposte sui redditi, di cui al decreto del Presidente della Repubblica 22 dicembre 1986, n. 917. Per tali soggetti, per l'importo corrispondente ai maggiori valori oggetto di riallineamento è vincolata una riserva in sospensione d'imposta ai fini fiscali che può essere affrancata ai sensi del comma 5.</w:t>
      </w:r>
    </w:p>
    <w:p w:rsidR="001E773C" w:rsidRPr="007863F2" w:rsidRDefault="001E773C" w:rsidP="001E773C">
      <w:pPr>
        <w:jc w:val="both"/>
        <w:rPr>
          <w:b/>
          <w:color w:val="000000" w:themeColor="text1"/>
          <w:sz w:val="24"/>
          <w:szCs w:val="24"/>
        </w:rPr>
      </w:pPr>
      <w:r w:rsidRPr="007863F2">
        <w:rPr>
          <w:b/>
          <w:color w:val="000000" w:themeColor="text1"/>
          <w:sz w:val="24"/>
          <w:szCs w:val="24"/>
        </w:rPr>
        <w:t>  9. Nel caso in cui i soggetti individuati al comma 1 abbiano esercitato la facoltà di cui all'articolo 1, commi 696 e seguenti della legge 27 dicembre 2019, n. 160, gli effetti della rivalutazione e dell'eventuale affrancamento del saldo attivo ai fini delle imposte sui redditi e dell'imposta regionale sulle attività produttive si producono a decorrere dall'ultimo bilancio o rendiconto dell'esercizio in corso alla data del 31 dicembre 2020.</w:t>
      </w:r>
      <w:r>
        <w:rPr>
          <w:rStyle w:val="Rimandonotaapidipagina"/>
          <w:b/>
          <w:color w:val="000000" w:themeColor="text1"/>
          <w:sz w:val="24"/>
          <w:szCs w:val="24"/>
        </w:rPr>
        <w:footnoteReference w:id="32"/>
      </w:r>
    </w:p>
    <w:p w:rsidR="008A08A2" w:rsidRPr="00AD1B0C" w:rsidRDefault="008A08A2"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7.</w:t>
      </w: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temporanee sui princìpi di redazione del bilancio)</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Nella redazione del bilancio di esercizio in corso al 31 dicembre 2020, la valutazione delle voci nella prospettiva della continuazione dell'attività di cui all'articolo 2423-bis, comma primo, n. 1), del codice civile può comunque essere operata se risulta sussistente nell'ultimo bilancio di esercizio chiuso in data anteriore al 23 febbraio 2020, fatta salva la previsione di cui all'articolo 106 del decreto legge 17 marzo 2020, n. 18. Il criterio di valutazione è specificamente illustrato nella nota informativa anche mediante il richiamo delle risultanze del bilancio precedente.</w:t>
      </w:r>
    </w:p>
    <w:p w:rsid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  2. Le disposizioni di cui al comma 1 si applicano anche ai bilanci chiusi entro il 23 febbraio 2020 e non ancora approvati.</w:t>
      </w:r>
    </w:p>
    <w:p w:rsidR="008018CC" w:rsidRPr="007863F2" w:rsidRDefault="008018CC" w:rsidP="008018CC">
      <w:pPr>
        <w:jc w:val="both"/>
        <w:rPr>
          <w:b/>
          <w:color w:val="000000" w:themeColor="text1"/>
          <w:sz w:val="24"/>
          <w:szCs w:val="24"/>
        </w:rPr>
      </w:pPr>
      <w:r w:rsidRPr="007863F2">
        <w:rPr>
          <w:b/>
          <w:color w:val="000000" w:themeColor="text1"/>
          <w:sz w:val="24"/>
          <w:szCs w:val="24"/>
        </w:rPr>
        <w:t>  2-bis. All'articolo 106, comma 1, del decreto-legge 17 marzo 2020, n. 18, convertito, con modificazioni, dalla legge 24 aprile 2020, n. 27, è aggiunto, in fine, il seguente periodo: «È facoltà delle società cooperative che applicano l'articolo 2540 del codice civile di convocare l'assemblea generale dei soci delegati entro il 30 settembre 2020».</w:t>
      </w:r>
      <w:r>
        <w:rPr>
          <w:rStyle w:val="Rimandonotaapidipagina"/>
          <w:b/>
          <w:color w:val="000000" w:themeColor="text1"/>
          <w:sz w:val="24"/>
          <w:szCs w:val="24"/>
        </w:rPr>
        <w:footnoteReference w:id="33"/>
      </w:r>
    </w:p>
    <w:p w:rsidR="008018CC" w:rsidRPr="00AD1B0C" w:rsidRDefault="008018C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8.</w:t>
      </w: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temporanee in materia di finanziamenti alle società)</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Ai finanziamenti effettuati a favore delle società dalla data di entrata in vigore del presente decreto e sino alla data del 31 dicembre 2020 non si applicano gli articoli 2467 e 2497 quinquies del codice civile.</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9.</w:t>
      </w: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in materia di concordato preventivo e di accordi di ristrutturazione)</w:t>
      </w:r>
    </w:p>
    <w:p w:rsidR="00AD1B0C" w:rsidRPr="00AD1B0C" w:rsidRDefault="00AD1B0C" w:rsidP="00AD1B0C">
      <w:pPr>
        <w:spacing w:after="160" w:line="259" w:lineRule="auto"/>
        <w:jc w:val="both"/>
        <w:rPr>
          <w:rFonts w:cs="Times New Roman"/>
          <w:color w:val="auto"/>
          <w:sz w:val="24"/>
          <w:szCs w:val="24"/>
          <w:lang w:eastAsia="en-US"/>
        </w:rPr>
      </w:pPr>
    </w:p>
    <w:p w:rsidR="00B56886" w:rsidRDefault="00AD1B0C" w:rsidP="00AD1B0C">
      <w:pPr>
        <w:spacing w:after="160" w:line="259" w:lineRule="auto"/>
        <w:jc w:val="both"/>
        <w:rPr>
          <w:rFonts w:cs="Times New Roman"/>
          <w:strike/>
          <w:color w:val="auto"/>
          <w:sz w:val="24"/>
          <w:szCs w:val="24"/>
          <w:lang w:eastAsia="en-US"/>
        </w:rPr>
      </w:pPr>
      <w:r w:rsidRPr="00AD1B0C">
        <w:rPr>
          <w:rFonts w:cs="Times New Roman"/>
          <w:color w:val="auto"/>
          <w:sz w:val="24"/>
          <w:szCs w:val="24"/>
          <w:lang w:eastAsia="en-US"/>
        </w:rPr>
        <w:t>  </w:t>
      </w:r>
      <w:r w:rsidRPr="00B56886">
        <w:rPr>
          <w:rFonts w:cs="Times New Roman"/>
          <w:strike/>
          <w:color w:val="auto"/>
          <w:sz w:val="24"/>
          <w:szCs w:val="24"/>
          <w:highlight w:val="yellow"/>
          <w:lang w:eastAsia="en-US"/>
        </w:rPr>
        <w:t>1. I termini di adempimento dei concordati preventivi e degli accordi di ristrutturazione omologati aventi scadenza nel periodo tra il 23 febbraio 2020 e il 31 dicembre 2021 sono prorogati di sei mesi.</w:t>
      </w:r>
      <w:r w:rsidR="00B56886">
        <w:rPr>
          <w:rFonts w:cs="Times New Roman"/>
          <w:strike/>
          <w:color w:val="auto"/>
          <w:sz w:val="24"/>
          <w:szCs w:val="24"/>
          <w:lang w:eastAsia="en-US"/>
        </w:rPr>
        <w:t xml:space="preserve"> </w:t>
      </w:r>
    </w:p>
    <w:p w:rsidR="00AD1B0C" w:rsidRPr="00B56886" w:rsidRDefault="00B56886" w:rsidP="00AD1B0C">
      <w:pPr>
        <w:spacing w:after="160" w:line="259" w:lineRule="auto"/>
        <w:jc w:val="both"/>
        <w:rPr>
          <w:rFonts w:cs="Times New Roman"/>
          <w:strike/>
          <w:color w:val="auto"/>
          <w:sz w:val="24"/>
          <w:szCs w:val="24"/>
          <w:lang w:eastAsia="en-US"/>
        </w:rPr>
      </w:pPr>
      <w:r w:rsidRPr="002921FF">
        <w:rPr>
          <w:b/>
          <w:color w:val="000000" w:themeColor="text1"/>
          <w:sz w:val="24"/>
          <w:szCs w:val="24"/>
        </w:rPr>
        <w:lastRenderedPageBreak/>
        <w:t xml:space="preserve">1. I termini di adempimento dei concordati preventivi, degli accordi di ristrutturazione, degli accordi di composizione della crisi e dei piani del consumatore omologati aventi scadenza in data successiva al 23 febbraio </w:t>
      </w:r>
      <w:r>
        <w:rPr>
          <w:b/>
          <w:color w:val="000000" w:themeColor="text1"/>
          <w:sz w:val="24"/>
          <w:szCs w:val="24"/>
        </w:rPr>
        <w:t>2020 sono prorogati di sei mesi.</w:t>
      </w:r>
      <w:r>
        <w:rPr>
          <w:rStyle w:val="Rimandonotaapidipagina"/>
          <w:b/>
          <w:color w:val="000000" w:themeColor="text1"/>
          <w:sz w:val="24"/>
          <w:szCs w:val="24"/>
        </w:rPr>
        <w:footnoteReference w:id="34"/>
      </w:r>
    </w:p>
    <w:p w:rsidR="00AD1B0C" w:rsidRPr="00AD1B0C" w:rsidRDefault="00AD1B0C" w:rsidP="007F1389">
      <w:pPr>
        <w:jc w:val="both"/>
        <w:rPr>
          <w:rFonts w:cs="Times New Roman"/>
          <w:color w:val="auto"/>
          <w:sz w:val="24"/>
          <w:szCs w:val="24"/>
          <w:lang w:eastAsia="en-US"/>
        </w:rPr>
      </w:pPr>
      <w:r w:rsidRPr="00AD1B0C">
        <w:rPr>
          <w:rFonts w:cs="Times New Roman"/>
          <w:color w:val="auto"/>
          <w:sz w:val="24"/>
          <w:szCs w:val="24"/>
          <w:lang w:eastAsia="en-US"/>
        </w:rPr>
        <w:t xml:space="preserve">  2. </w:t>
      </w:r>
      <w:r w:rsidRPr="007F1389">
        <w:rPr>
          <w:rFonts w:cs="Times New Roman"/>
          <w:strike/>
          <w:color w:val="auto"/>
          <w:sz w:val="24"/>
          <w:szCs w:val="24"/>
          <w:highlight w:val="yellow"/>
          <w:lang w:eastAsia="en-US"/>
        </w:rPr>
        <w:t>Nei procedimenti per l'omologazione del concordato preventivo e degli accordi di ristrutturazione</w:t>
      </w:r>
      <w:r w:rsidRPr="00AD1B0C">
        <w:rPr>
          <w:rFonts w:cs="Times New Roman"/>
          <w:color w:val="auto"/>
          <w:sz w:val="24"/>
          <w:szCs w:val="24"/>
          <w:lang w:eastAsia="en-US"/>
        </w:rPr>
        <w:t xml:space="preserve"> </w:t>
      </w:r>
      <w:r w:rsidR="007F1389" w:rsidRPr="00E00C1D">
        <w:rPr>
          <w:b/>
          <w:color w:val="000000" w:themeColor="text1"/>
          <w:sz w:val="24"/>
          <w:szCs w:val="24"/>
        </w:rPr>
        <w:t>Nei procedimenti di concordato preventivo e per l'omologazione de</w:t>
      </w:r>
      <w:r w:rsidR="007F1389">
        <w:rPr>
          <w:b/>
          <w:color w:val="000000" w:themeColor="text1"/>
          <w:sz w:val="24"/>
          <w:szCs w:val="24"/>
        </w:rPr>
        <w:t>gli accordi di ristrutturazione</w:t>
      </w:r>
      <w:r w:rsidR="007F1389">
        <w:rPr>
          <w:rStyle w:val="Rimandonotaapidipagina"/>
          <w:b/>
          <w:color w:val="000000" w:themeColor="text1"/>
          <w:sz w:val="24"/>
          <w:szCs w:val="24"/>
        </w:rPr>
        <w:footnoteReference w:id="35"/>
      </w:r>
      <w:r w:rsidR="007F1389">
        <w:rPr>
          <w:b/>
          <w:color w:val="000000" w:themeColor="text1"/>
          <w:sz w:val="24"/>
          <w:szCs w:val="24"/>
        </w:rPr>
        <w:t xml:space="preserve"> </w:t>
      </w:r>
      <w:r w:rsidRPr="00AD1B0C">
        <w:rPr>
          <w:rFonts w:cs="Times New Roman"/>
          <w:color w:val="auto"/>
          <w:sz w:val="24"/>
          <w:szCs w:val="24"/>
          <w:lang w:eastAsia="en-US"/>
        </w:rPr>
        <w:t>pendenti alla data del 23 febbraio 2020 il debitore può presentare, sino all'udienza fissata per l'omologa, istanza al tribunale per la concessione di un termine non superiore a novanta giorni per il deposito di un nuovo piano e di una nuova proposta di concordato ai sensi dell'articolo 161 del regio decreto 16 marzo 1942, n. 267 o di un nuovo accordo di ristrutturazione ai sensi dell'articolo 182-bis del regio decreto 16 marzo 1942, n. 267. Il termine decorre dalla data del decreto con cui il Tribunale assegna il termine e non è prorogabile. L'istanza è inammissibile se presentata nell'ambito di un procedimento di concordato preventivo nel corso del quale è già stata tenuta l'adunanza dei creditori ma non sono state raggiunte le maggioranze stabilite dall'articolo 177 del regio decreto 16 marzo 1942, n. 267.</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Quando il debitore intende modificare unicamente i termini di adempimento del concordato preventivo o dell'accordo di ristrutturazione deposita sino all'udienza fissata per l'omologa una memoria contenente l'indicazione dei nuovi termini, depositando altresì la documentazione che comprova la necessità della modifica dei termini. Il differimento dei termini non può essere superiore di sei mesi rispetto alle scadenze originarie. Nel procedimento per omologa del concordato preventivo il Tribunale acquisisce il parere del Commissario giudiziale. Il Tribunale, riscontrata la sussistenza dei presupposti di cui agli articoli 180 o 182-bis del regio decreto 16 marzo 1942, n. 267, procede all'omologa, dando espressamente atto delle nuove scadenze.</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  4. Il debitore che ha ottenuto la concessione del termine di cui all'articolo 161, comma sesto, del regio decreto 16 marzo 1942, n. 267, che sia già stato prorogato dal Tribunale, può, prima della scadenza, presentare istanza per la concessione di una ulteriore proroga sino a novanta giorni, anche nei casi in cui è stato depositato ricorso per la dichiarazione di fallimento. L'istanza indica gli elementi </w:t>
      </w:r>
      <w:r w:rsidRPr="00AD1B0C">
        <w:rPr>
          <w:rFonts w:cs="Times New Roman"/>
          <w:color w:val="auto"/>
          <w:sz w:val="24"/>
          <w:szCs w:val="24"/>
          <w:lang w:eastAsia="en-US"/>
        </w:rPr>
        <w:lastRenderedPageBreak/>
        <w:t>che rendono necessaria la concessione della proroga con specifico riferimento ai fatti sopravvenuti per effetto dell'emergenza epidemiologica COVID-19. Il Tribunale, acquisito il parere del Commissario giudiziale se nominato, concede la proroga quando ritiene che l'istanza si basa su concreti e giustificati motivi. Si applica l'articolo 161, commi settimo e ottavo, del regio decreto 16 marzo 1942, n. 267.</w:t>
      </w:r>
    </w:p>
    <w:p w:rsid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  5. L'istanza di cui al comma 4 può essere presentata dal debitore che ha ottenuto la concessione del termine di cui all'articolo 182-bis, comma settimo, del regio decreto 16 marzo 1942, n. 267. Il Tribunale provvede in camera di consiglio omessi gli adempimenti previsti dall'articolo 182-bis, comma settimo, primo periodo, del regio decreto 16 marzo 1942, n. 267 e concede la proroga quando ritiene che l'istanza si basa su concreti e giustificati motivi e che continuano a sussistere i presupposti per pervenire a un accordo di ristrutturazione dei debiti con le maggioranze di cui all'articolo 182-bis, primo comma del regio decreto 16 marzo 1942, n. 267.</w:t>
      </w:r>
    </w:p>
    <w:p w:rsidR="009F54CA" w:rsidRPr="00E00C1D" w:rsidRDefault="009F54CA" w:rsidP="009F54CA">
      <w:pPr>
        <w:jc w:val="both"/>
        <w:rPr>
          <w:b/>
          <w:color w:val="000000" w:themeColor="text1"/>
          <w:sz w:val="24"/>
          <w:szCs w:val="24"/>
        </w:rPr>
      </w:pPr>
      <w:r w:rsidRPr="00E00C1D">
        <w:rPr>
          <w:b/>
          <w:color w:val="000000" w:themeColor="text1"/>
          <w:sz w:val="24"/>
          <w:szCs w:val="24"/>
        </w:rPr>
        <w:t>5-bis. Il debitore che, entro la data dei 31 dicembre 2021, ha ottenuto la concessione dei termini di cui agli articoli 161, sesto comma, o 182-bis, settimo comma, del regio decreto 16 marzo 1942, n. 267, può, entro i suddetti termini, depositare atto di rinuncia alla procedura, dichiarando di avere predisposto un piano di risanamento ai sensi dell'articolo 67, terzo comma, lettera d), del regio decreto 16 marzo 1942, n. 267, pubblicato nel registro delle imprese, e depositando la documentazione relativa alla pubblicazione medesima. Il Tribunale, verificata la completezza e regolarità della documentazione, dichiara la improcedibilità del ricorso presentato ai sensi degli articoli 161, sesto comma, o 182-bis, settimo comma, del regio decreto 16 marzo 1942, n. 267.</w:t>
      </w:r>
    </w:p>
    <w:p w:rsidR="009F54CA" w:rsidRPr="00AD1B0C" w:rsidRDefault="009F54CA" w:rsidP="009F54CA">
      <w:pPr>
        <w:spacing w:after="160" w:line="259" w:lineRule="auto"/>
        <w:jc w:val="both"/>
        <w:rPr>
          <w:rFonts w:cs="Times New Roman"/>
          <w:color w:val="auto"/>
          <w:sz w:val="24"/>
          <w:szCs w:val="24"/>
          <w:lang w:eastAsia="en-US"/>
        </w:rPr>
      </w:pPr>
      <w:r w:rsidRPr="00E00C1D">
        <w:rPr>
          <w:b/>
          <w:color w:val="000000" w:themeColor="text1"/>
          <w:sz w:val="24"/>
          <w:szCs w:val="24"/>
        </w:rPr>
        <w:t>  5-ter. Il disposto di cui all'articolo 161, decimo comma, regio decreto 16 marzo 1942, n. 267, non si applica ai ricorsi ai sensi dell'articolo 161, sesto comma, depositati entro il 31 dicembre 2020</w:t>
      </w:r>
      <w:r>
        <w:rPr>
          <w:b/>
          <w:color w:val="000000" w:themeColor="text1"/>
          <w:sz w:val="24"/>
          <w:szCs w:val="24"/>
        </w:rPr>
        <w:t>.</w:t>
      </w:r>
      <w:r>
        <w:rPr>
          <w:rStyle w:val="Rimandonotaapidipagina"/>
          <w:b/>
          <w:color w:val="000000" w:themeColor="text1"/>
          <w:sz w:val="24"/>
          <w:szCs w:val="24"/>
        </w:rPr>
        <w:footnoteReference w:id="36"/>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10.</w:t>
      </w: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temporanee in materia di ricorsi e richieste per la dichiarazione di fallimento e dello stato di insolvenza)</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  1. Tutti i ricorsi ai sensi degli articoli 15 e 195 del regio decreto 16 marzo 1942, n. 267 e 3 del decreto legislativo 8 luglio 1999, n. 270 depositati nel periodo tra il 9 marzo 2020 ed il 30 giugno 2020 sono improcedibili.</w:t>
      </w:r>
    </w:p>
    <w:p w:rsidR="00AD1B0C" w:rsidRDefault="00AD1B0C" w:rsidP="00AD1B0C">
      <w:pPr>
        <w:spacing w:after="160" w:line="259" w:lineRule="auto"/>
        <w:jc w:val="both"/>
        <w:rPr>
          <w:rFonts w:cs="Times New Roman"/>
          <w:strike/>
          <w:color w:val="auto"/>
          <w:sz w:val="24"/>
          <w:szCs w:val="24"/>
          <w:lang w:eastAsia="en-US"/>
        </w:rPr>
      </w:pPr>
      <w:r w:rsidRPr="00AD1B0C">
        <w:rPr>
          <w:rFonts w:cs="Times New Roman"/>
          <w:color w:val="auto"/>
          <w:sz w:val="24"/>
          <w:szCs w:val="24"/>
          <w:lang w:eastAsia="en-US"/>
        </w:rPr>
        <w:t>  </w:t>
      </w:r>
      <w:r w:rsidRPr="00283BD7">
        <w:rPr>
          <w:rFonts w:cs="Times New Roman"/>
          <w:strike/>
          <w:color w:val="auto"/>
          <w:sz w:val="24"/>
          <w:szCs w:val="24"/>
          <w:highlight w:val="yellow"/>
          <w:lang w:eastAsia="en-US"/>
        </w:rPr>
        <w:t>2. Le disposizioni di cui al comma 1 non si applicano alla richiesta presentata dal pubblico ministero quando nella medesima è fatta domanda di emissione dei provvedimenti di cui all'articolo 15, comma ottavo, del regio decreto 16 marzo 1942, n. 267.</w:t>
      </w:r>
    </w:p>
    <w:p w:rsidR="00283BD7" w:rsidRPr="00E00C1D" w:rsidRDefault="00283BD7" w:rsidP="00283BD7">
      <w:pPr>
        <w:jc w:val="both"/>
        <w:rPr>
          <w:b/>
          <w:color w:val="000000" w:themeColor="text1"/>
          <w:sz w:val="24"/>
          <w:szCs w:val="24"/>
        </w:rPr>
      </w:pPr>
      <w:r w:rsidRPr="00E00C1D">
        <w:rPr>
          <w:b/>
          <w:color w:val="000000" w:themeColor="text1"/>
          <w:sz w:val="24"/>
          <w:szCs w:val="24"/>
        </w:rPr>
        <w:t>2. Le disposizioni del comma 1 non si applicano:</w:t>
      </w:r>
    </w:p>
    <w:p w:rsidR="00283BD7" w:rsidRPr="00E00C1D" w:rsidRDefault="00283BD7" w:rsidP="00283BD7">
      <w:pPr>
        <w:jc w:val="both"/>
        <w:rPr>
          <w:b/>
          <w:color w:val="000000" w:themeColor="text1"/>
          <w:sz w:val="24"/>
          <w:szCs w:val="24"/>
        </w:rPr>
      </w:pPr>
      <w:r w:rsidRPr="00E00C1D">
        <w:rPr>
          <w:b/>
          <w:color w:val="000000" w:themeColor="text1"/>
          <w:sz w:val="24"/>
          <w:szCs w:val="24"/>
        </w:rPr>
        <w:t>   a) al ricorso presentato dall'imprenditore in proprio, quando l'insolvenza non è conseguenza dell'epidemia da COVID-19;</w:t>
      </w:r>
    </w:p>
    <w:p w:rsidR="00283BD7" w:rsidRPr="00E00C1D" w:rsidRDefault="00283BD7" w:rsidP="00283BD7">
      <w:pPr>
        <w:jc w:val="both"/>
        <w:rPr>
          <w:b/>
          <w:color w:val="000000" w:themeColor="text1"/>
          <w:sz w:val="24"/>
          <w:szCs w:val="24"/>
        </w:rPr>
      </w:pPr>
      <w:r w:rsidRPr="00E00C1D">
        <w:rPr>
          <w:b/>
          <w:color w:val="000000" w:themeColor="text1"/>
          <w:sz w:val="24"/>
          <w:szCs w:val="24"/>
        </w:rPr>
        <w:t>   b) all'istanza di fallimento da chiunque formulata ai sensi degli articoli 162, secondo comma, 173, secondo e terzo comma, e 180, settimo comma, del regio decreto 16 marzo 1942, n. 267;</w:t>
      </w:r>
    </w:p>
    <w:p w:rsidR="00283BD7" w:rsidRPr="00E00C1D" w:rsidRDefault="00283BD7" w:rsidP="00283BD7">
      <w:pPr>
        <w:jc w:val="both"/>
        <w:rPr>
          <w:b/>
          <w:color w:val="000000" w:themeColor="text1"/>
          <w:sz w:val="24"/>
          <w:szCs w:val="24"/>
        </w:rPr>
      </w:pPr>
    </w:p>
    <w:p w:rsidR="00283BD7" w:rsidRPr="00E00C1D" w:rsidRDefault="00283BD7" w:rsidP="00283BD7">
      <w:pPr>
        <w:jc w:val="both"/>
        <w:rPr>
          <w:b/>
          <w:color w:val="000000" w:themeColor="text1"/>
          <w:sz w:val="24"/>
          <w:szCs w:val="24"/>
        </w:rPr>
      </w:pPr>
      <w:r w:rsidRPr="00E00C1D">
        <w:rPr>
          <w:b/>
          <w:color w:val="000000" w:themeColor="text1"/>
          <w:sz w:val="24"/>
          <w:szCs w:val="24"/>
        </w:rPr>
        <w:t xml:space="preserve">  3) alla richiesta presentata dal pubblico ministero quando nella medesima è fatta domanda di emissione dei provvedimenti di cui all'articolo 15, ottavo comma, del regio decreto 16 marzo 1942, n. 267, o quando la richiesta è presentata ai sensi dell'articolo 7, numero 1), del medesimo </w:t>
      </w:r>
      <w:r>
        <w:rPr>
          <w:b/>
          <w:color w:val="000000" w:themeColor="text1"/>
          <w:sz w:val="24"/>
          <w:szCs w:val="24"/>
        </w:rPr>
        <w:t>regio decreto n. 267 del 1942.</w:t>
      </w:r>
      <w:r>
        <w:rPr>
          <w:rStyle w:val="Rimandonotaapidipagina"/>
          <w:b/>
          <w:color w:val="000000" w:themeColor="text1"/>
          <w:sz w:val="24"/>
          <w:szCs w:val="24"/>
        </w:rPr>
        <w:footnoteReference w:id="37"/>
      </w:r>
    </w:p>
    <w:p w:rsidR="00283BD7" w:rsidRPr="00283BD7" w:rsidRDefault="00283BD7" w:rsidP="00AD1B0C">
      <w:pPr>
        <w:spacing w:after="160" w:line="259" w:lineRule="auto"/>
        <w:jc w:val="both"/>
        <w:rPr>
          <w:rFonts w:cs="Times New Roman"/>
          <w:strike/>
          <w:color w:val="auto"/>
          <w:sz w:val="24"/>
          <w:szCs w:val="24"/>
          <w:lang w:eastAsia="en-US"/>
        </w:rPr>
      </w:pPr>
    </w:p>
    <w:p w:rsidR="00AD1B0C" w:rsidRDefault="00AD1B0C" w:rsidP="00AD1B0C">
      <w:pPr>
        <w:spacing w:after="160" w:line="259" w:lineRule="auto"/>
        <w:jc w:val="both"/>
        <w:rPr>
          <w:rFonts w:cs="Times New Roman"/>
          <w:strike/>
          <w:color w:val="auto"/>
          <w:sz w:val="24"/>
          <w:szCs w:val="24"/>
          <w:lang w:eastAsia="en-US"/>
        </w:rPr>
      </w:pPr>
      <w:r w:rsidRPr="00AD1B0C">
        <w:rPr>
          <w:rFonts w:cs="Times New Roman"/>
          <w:color w:val="auto"/>
          <w:sz w:val="24"/>
          <w:szCs w:val="24"/>
          <w:lang w:eastAsia="en-US"/>
        </w:rPr>
        <w:t>  </w:t>
      </w:r>
      <w:r w:rsidRPr="007739F3">
        <w:rPr>
          <w:rFonts w:cs="Times New Roman"/>
          <w:strike/>
          <w:color w:val="auto"/>
          <w:sz w:val="24"/>
          <w:szCs w:val="24"/>
          <w:highlight w:val="yellow"/>
          <w:lang w:eastAsia="en-US"/>
        </w:rPr>
        <w:t>3. Quando alla dichiarazione di improcedibilità dei ricorsi presentati nel periodo di cui al comma 1 fa seguito la dichiarazione di fallimento, il periodo di cui al comma 1 non viene computato nei termini di cui agli articoli 10 e 69 bis del regio decreto 16 marzo 1942, n. 267.</w:t>
      </w:r>
    </w:p>
    <w:p w:rsidR="007739F3" w:rsidRPr="007739F3" w:rsidRDefault="007739F3" w:rsidP="00AD1B0C">
      <w:pPr>
        <w:spacing w:after="160" w:line="259" w:lineRule="auto"/>
        <w:jc w:val="both"/>
        <w:rPr>
          <w:rFonts w:cs="Times New Roman"/>
          <w:strike/>
          <w:color w:val="auto"/>
          <w:sz w:val="24"/>
          <w:szCs w:val="24"/>
          <w:lang w:eastAsia="en-US"/>
        </w:rPr>
      </w:pPr>
      <w:r w:rsidRPr="00E00C1D">
        <w:rPr>
          <w:b/>
          <w:color w:val="000000" w:themeColor="text1"/>
          <w:sz w:val="24"/>
          <w:szCs w:val="24"/>
        </w:rPr>
        <w:t xml:space="preserve">3. Quando alla dichiarazione di improcedibilità dei ricorsi presentati nel periodo di cui al comma 1 fa seguito, entro il 30 settembre 2020, la dichiarazione di fallimento, il periodo di cui al comma 1 non </w:t>
      </w:r>
      <w:r w:rsidRPr="00E00C1D">
        <w:rPr>
          <w:b/>
          <w:color w:val="000000" w:themeColor="text1"/>
          <w:sz w:val="24"/>
          <w:szCs w:val="24"/>
        </w:rPr>
        <w:lastRenderedPageBreak/>
        <w:t>viene computato nei termini di cui agli articoli 10, 64, 65, 67, primo e secondo comma, 69-bis e 147 del regio decreto 16 marzo 1942, n. 267.</w:t>
      </w:r>
      <w:r>
        <w:rPr>
          <w:rStyle w:val="Rimandonotaapidipagina"/>
          <w:b/>
          <w:color w:val="000000" w:themeColor="text1"/>
          <w:sz w:val="24"/>
          <w:szCs w:val="24"/>
        </w:rPr>
        <w:footnoteReference w:id="38"/>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11.</w:t>
      </w: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(Sospensione dei termini di scadenza dei titoli di credito)</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  1. Fermo restando quanto previsto ai commi 2 e 3, i termini di scadenza ricadenti o decorrenti nel periodo dal 9 marzo 2020 al </w:t>
      </w:r>
      <w:r w:rsidRPr="00DC19C1">
        <w:rPr>
          <w:rFonts w:cs="Times New Roman"/>
          <w:color w:val="000000" w:themeColor="text1"/>
          <w:sz w:val="24"/>
          <w:szCs w:val="24"/>
          <w:highlight w:val="yellow"/>
          <w:lang w:eastAsia="en-US"/>
        </w:rPr>
        <w:t>30 aprile 2020</w:t>
      </w:r>
      <w:r w:rsidR="00DC19C1" w:rsidRPr="00DC19C1">
        <w:rPr>
          <w:rFonts w:cs="Times New Roman"/>
          <w:color w:val="000000" w:themeColor="text1"/>
          <w:sz w:val="24"/>
          <w:szCs w:val="24"/>
          <w:lang w:eastAsia="en-US"/>
        </w:rPr>
        <w:t xml:space="preserve"> </w:t>
      </w:r>
      <w:r w:rsidR="00DC19C1" w:rsidRPr="00D06905">
        <w:rPr>
          <w:b/>
          <w:color w:val="000000" w:themeColor="text1"/>
          <w:sz w:val="24"/>
          <w:szCs w:val="24"/>
        </w:rPr>
        <w:t>31 agosto 2020</w:t>
      </w:r>
      <w:r w:rsidR="00DC19C1">
        <w:rPr>
          <w:rStyle w:val="Rimandonotaapidipagina"/>
          <w:b/>
          <w:color w:val="000000" w:themeColor="text1"/>
          <w:sz w:val="24"/>
          <w:szCs w:val="24"/>
        </w:rPr>
        <w:footnoteReference w:id="39"/>
      </w:r>
      <w:r w:rsidRPr="00AD1B0C">
        <w:rPr>
          <w:rFonts w:cs="Times New Roman"/>
          <w:color w:val="auto"/>
          <w:sz w:val="24"/>
          <w:szCs w:val="24"/>
          <w:lang w:eastAsia="en-US"/>
        </w:rPr>
        <w:t>, relativi a vaglia cambiari, cambiali e altri titoli di credito emessi prima della data di entrata in vigore della presente decreto, e ad ogni altro atto avente efficacia esecutiva a quella stessa data sono sospesi per lo stesso periodo. La sospensione opera a favore dei debitori e obbligati anche in via di regresso o di garanzia, salva la facoltà degli stessi di rinunciarvi espressamente.</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L'assegno presentato al pagamento durante il periodo di sospensione è pagabile nel giorno di presentazione. La sospensione di cui al comma 1 opera su:</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i termini per la presentazione al pagamento;</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i termini per la levata del protesto o delle constatazioni equivalenti;</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   c) i termini previsti all'articolo 9, comma 2, lettere a) e b), della legge 15 dicembre 1990, n. 386, nonché all'articolo 9-bis, comma 2, della medesima legge n. 386 del 1990;</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   d) il termine per il pagamento tardivo dell'assegno previsto dall'articolo 8, comma 1, della stessa legge n. 386 del 1990.</w:t>
      </w:r>
    </w:p>
    <w:p w:rsidR="00AD1B0C" w:rsidRPr="00AD1B0C" w:rsidRDefault="00AD1B0C" w:rsidP="00AD1B0C">
      <w:pPr>
        <w:spacing w:after="160" w:line="259" w:lineRule="auto"/>
        <w:jc w:val="both"/>
        <w:rPr>
          <w:rFonts w:cs="Times New Roman"/>
          <w:color w:val="auto"/>
          <w:sz w:val="24"/>
          <w:szCs w:val="24"/>
          <w:lang w:eastAsia="en-US"/>
        </w:rPr>
      </w:pPr>
    </w:p>
    <w:p w:rsidR="00AD1B0C" w:rsidRPr="00175EC9" w:rsidRDefault="00AD1B0C" w:rsidP="00AD1B0C">
      <w:pPr>
        <w:spacing w:after="160" w:line="259" w:lineRule="auto"/>
        <w:jc w:val="both"/>
        <w:rPr>
          <w:rFonts w:cs="Times New Roman"/>
          <w:strike/>
          <w:color w:val="auto"/>
          <w:sz w:val="24"/>
          <w:szCs w:val="24"/>
          <w:lang w:eastAsia="en-US"/>
        </w:rPr>
      </w:pPr>
      <w:r w:rsidRPr="00AD1B0C">
        <w:rPr>
          <w:rFonts w:cs="Times New Roman"/>
          <w:color w:val="auto"/>
          <w:sz w:val="24"/>
          <w:szCs w:val="24"/>
          <w:lang w:eastAsia="en-US"/>
        </w:rPr>
        <w:t>  </w:t>
      </w:r>
      <w:r w:rsidRPr="00175EC9">
        <w:rPr>
          <w:rFonts w:cs="Times New Roman"/>
          <w:strike/>
          <w:color w:val="auto"/>
          <w:sz w:val="24"/>
          <w:szCs w:val="24"/>
          <w:highlight w:val="yellow"/>
          <w:lang w:eastAsia="en-US"/>
        </w:rPr>
        <w:t>3. I protesti o le constatazioni equivalenti levati dal 9 marzo 2020 fino alla data di entrata in vigore del presente decreto non sono trasmessi dai pubblici ufficiali alle Camere di Commercio; ove già pubblicati le Camere di commercio provvedono d'ufficio alla loro cancellazione. Con riferimento allo stesso periodo sono sospese le informative al Prefetto di cui all'articolo 8-bis, commi 1 e 2, della legge 15 dicembre 1990, n. 386.</w:t>
      </w:r>
    </w:p>
    <w:p w:rsidR="00175EC9" w:rsidRPr="00AD1B0C" w:rsidRDefault="00175EC9" w:rsidP="00AD1B0C">
      <w:pPr>
        <w:spacing w:after="160" w:line="259" w:lineRule="auto"/>
        <w:jc w:val="both"/>
        <w:rPr>
          <w:rFonts w:cs="Times New Roman"/>
          <w:color w:val="auto"/>
          <w:sz w:val="24"/>
          <w:szCs w:val="24"/>
          <w:lang w:eastAsia="en-US"/>
        </w:rPr>
      </w:pPr>
      <w:r w:rsidRPr="00D06905">
        <w:rPr>
          <w:b/>
          <w:color w:val="000000" w:themeColor="text1"/>
          <w:sz w:val="24"/>
          <w:szCs w:val="24"/>
        </w:rPr>
        <w:t>3. I protesti o le constatazioni equivalenti levati dal 9 marzo 2020 fino al 31 agosto 2020 non sono trasmessi dai pubblici ufficiali alle camere di commercio, industria, artigianato e agricoltura; ove già pubblicati le camere di commercio, industria, artigianato e agricoltura provvedono d'ufficio alla loro cancellazione. Con riferimento allo stesso periodo sono sospese le informative al prefetto di cui all'articolo 8-bis, commi 1 e 2, della legge 15 dicembre 1990, n. 386, e le iscrizioni nell'archivio informatizzato di cui all'articolo 10-bis della medesima legge n. 386 del 1990, che, ove già effettuate, sono cancellate.</w:t>
      </w:r>
      <w:r>
        <w:rPr>
          <w:rStyle w:val="Rimandonotaapidipagina"/>
          <w:b/>
          <w:color w:val="000000" w:themeColor="text1"/>
          <w:sz w:val="24"/>
          <w:szCs w:val="24"/>
        </w:rPr>
        <w:footnoteReference w:id="40"/>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12.</w:t>
      </w: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(Fondo solidarietà mutui «prima casa», cd. «Fondo Gasparrini)</w:t>
      </w:r>
    </w:p>
    <w:p w:rsidR="00AD1B0C" w:rsidRPr="00AD1B0C" w:rsidRDefault="00AD1B0C" w:rsidP="00AD1B0C">
      <w:pPr>
        <w:spacing w:after="160" w:line="259" w:lineRule="auto"/>
        <w:jc w:val="both"/>
        <w:rPr>
          <w:rFonts w:cs="Times New Roman"/>
          <w:color w:val="auto"/>
          <w:sz w:val="24"/>
          <w:szCs w:val="24"/>
          <w:lang w:eastAsia="en-US"/>
        </w:rPr>
      </w:pPr>
    </w:p>
    <w:p w:rsid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Per lavoratori autonomi, ai sensi dell'articolo 54, comma 1, lettera a), del decreto-legge 17 marzo 2020, n. 18, si intendono i soggetti di cui all'articolo 28, comma 1,</w:t>
      </w:r>
      <w:r w:rsidRPr="00AD1B0C">
        <w:rPr>
          <w:rFonts w:cs="Times New Roman"/>
          <w:b/>
          <w:color w:val="auto"/>
          <w:sz w:val="24"/>
          <w:szCs w:val="24"/>
          <w:lang w:eastAsia="en-US"/>
        </w:rPr>
        <w:t xml:space="preserve"> </w:t>
      </w:r>
      <w:r w:rsidRPr="00AD1B0C">
        <w:rPr>
          <w:rFonts w:cs="Times New Roman"/>
          <w:color w:val="auto"/>
          <w:sz w:val="24"/>
          <w:szCs w:val="24"/>
          <w:lang w:eastAsia="en-US"/>
        </w:rPr>
        <w:t>del medesimo decreto-legge n. 18 del 2020.</w:t>
      </w:r>
    </w:p>
    <w:p w:rsidR="0079622F" w:rsidRPr="00E00C1D" w:rsidRDefault="0079622F" w:rsidP="0079622F">
      <w:pPr>
        <w:jc w:val="both"/>
        <w:rPr>
          <w:b/>
          <w:color w:val="000000" w:themeColor="text1"/>
          <w:sz w:val="24"/>
          <w:szCs w:val="24"/>
        </w:rPr>
      </w:pPr>
      <w:r w:rsidRPr="00E00C1D">
        <w:rPr>
          <w:b/>
          <w:color w:val="000000" w:themeColor="text1"/>
          <w:sz w:val="24"/>
          <w:szCs w:val="24"/>
        </w:rPr>
        <w:lastRenderedPageBreak/>
        <w:t>1-bis. All'articolo 54, comma 1, lettera a), del decreto-legge 17 marzo 2020, n. 18, convertito, con modificazioni, dalla legge 24 aprile 2020, n. 27, le parole: «e ai liberi professionisti» sono sostituite dalle seguenti:</w:t>
      </w:r>
    </w:p>
    <w:p w:rsidR="0079622F" w:rsidRPr="00E00C1D" w:rsidRDefault="0079622F" w:rsidP="0079622F">
      <w:pPr>
        <w:jc w:val="both"/>
        <w:rPr>
          <w:b/>
          <w:color w:val="000000" w:themeColor="text1"/>
          <w:sz w:val="24"/>
          <w:szCs w:val="24"/>
        </w:rPr>
      </w:pPr>
      <w:r w:rsidRPr="00E00C1D">
        <w:rPr>
          <w:b/>
          <w:color w:val="000000" w:themeColor="text1"/>
          <w:sz w:val="24"/>
          <w:szCs w:val="24"/>
        </w:rPr>
        <w:t>«, ai liberi professionisti, agli imprenditori individuali e ai soggetti di cui all'articolo 2083 del codice civile».</w:t>
      </w:r>
      <w:r>
        <w:rPr>
          <w:rStyle w:val="Rimandonotaapidipagina"/>
          <w:b/>
          <w:color w:val="000000" w:themeColor="text1"/>
          <w:sz w:val="24"/>
          <w:szCs w:val="24"/>
        </w:rPr>
        <w:footnoteReference w:id="41"/>
      </w:r>
    </w:p>
    <w:p w:rsidR="0079622F" w:rsidRPr="00AD1B0C" w:rsidRDefault="0079622F" w:rsidP="00AD1B0C">
      <w:pPr>
        <w:spacing w:after="160" w:line="259" w:lineRule="auto"/>
        <w:jc w:val="both"/>
        <w:rPr>
          <w:rFonts w:cs="Times New Roman"/>
          <w:color w:val="auto"/>
          <w:sz w:val="24"/>
          <w:szCs w:val="24"/>
          <w:lang w:eastAsia="en-US"/>
        </w:rPr>
      </w:pPr>
    </w:p>
    <w:p w:rsid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Per un periodo di nove mesi dall'entrata in vigore del presente decreto, in deroga alla disciplina vigente, l'accesso ai benefìci del Fondo di cui all'articolo 2, commi 475 e seguenti della legge 24 dicembre 2007, n. 244, è ammesso anche nell'ipotesi di mutui in ammortamento da meno di un anno.</w:t>
      </w:r>
    </w:p>
    <w:p w:rsidR="0079622F" w:rsidRDefault="0079622F" w:rsidP="0079622F">
      <w:pPr>
        <w:jc w:val="both"/>
        <w:rPr>
          <w:b/>
          <w:color w:val="000000" w:themeColor="text1"/>
          <w:sz w:val="24"/>
          <w:szCs w:val="24"/>
        </w:rPr>
      </w:pPr>
      <w:r w:rsidRPr="00E00C1D">
        <w:rPr>
          <w:b/>
          <w:color w:val="000000" w:themeColor="text1"/>
          <w:sz w:val="24"/>
          <w:szCs w:val="24"/>
        </w:rPr>
        <w:t>2-bis. Fino al 31 dicembre 2020, a fronte delle domande di sospensione dei mutui pervenute alla banca a partire dal 28 marzo 2020 a valere sul Fondo di cui al comma 2 e delle quali la banca ha verificato la completezza e la regolarità formale, la banca avvia la sospensione dalla prima rata in scadenza successiva alla data di presentazione della domanda. Il gestore del Fondo, ricevuta dalla banca la domanda di sospensione, accerta la sussistenza dei presupposti e comunica alla banca, entro venti giorni, l'esito dell'istruttoria. Decorso inutilmente tale termine, la domanda si ritiene comunque accolta. In caso di esito negativo dell'istruttoria comunicato dal gestore, la banca può riavviare l'ammortamento del mutuo a partire dalla prima rata in scadenza successiva alla data di presentazione della domanda.</w:t>
      </w:r>
      <w:r>
        <w:rPr>
          <w:rStyle w:val="Rimandonotaapidipagina"/>
          <w:b/>
          <w:color w:val="000000" w:themeColor="text1"/>
          <w:sz w:val="24"/>
          <w:szCs w:val="24"/>
        </w:rPr>
        <w:footnoteReference w:id="42"/>
      </w:r>
    </w:p>
    <w:p w:rsidR="00B80E82" w:rsidRPr="00B53CE7" w:rsidRDefault="00B80E82" w:rsidP="00B80E82">
      <w:pPr>
        <w:jc w:val="both"/>
        <w:rPr>
          <w:b/>
          <w:color w:val="000000" w:themeColor="text1"/>
          <w:sz w:val="24"/>
          <w:szCs w:val="24"/>
        </w:rPr>
      </w:pPr>
      <w:r w:rsidRPr="00B53CE7">
        <w:rPr>
          <w:b/>
          <w:color w:val="000000" w:themeColor="text1"/>
          <w:sz w:val="24"/>
          <w:szCs w:val="24"/>
        </w:rPr>
        <w:lastRenderedPageBreak/>
        <w:t>2-bis. Dopo la lettera a) del comma 1 dell'articolo 54 del decreto-legge 17 marzo 2020, n. 18, convertito, con modificazioni, dalla legge 24 aprile 2020, n. 27, è inserita la seguente:</w:t>
      </w:r>
    </w:p>
    <w:p w:rsidR="00B80E82" w:rsidRPr="00B53CE7" w:rsidRDefault="00B80E82" w:rsidP="00B80E82">
      <w:pPr>
        <w:jc w:val="both"/>
        <w:rPr>
          <w:b/>
          <w:color w:val="000000" w:themeColor="text1"/>
          <w:sz w:val="24"/>
          <w:szCs w:val="24"/>
        </w:rPr>
      </w:pPr>
      <w:r w:rsidRPr="00B53CE7">
        <w:rPr>
          <w:b/>
          <w:color w:val="000000" w:themeColor="text1"/>
          <w:sz w:val="24"/>
          <w:szCs w:val="24"/>
        </w:rPr>
        <w:t>   </w:t>
      </w:r>
      <w:proofErr w:type="gramStart"/>
      <w:r w:rsidRPr="00B53CE7">
        <w:rPr>
          <w:b/>
          <w:color w:val="000000" w:themeColor="text1"/>
          <w:sz w:val="24"/>
          <w:szCs w:val="24"/>
        </w:rPr>
        <w:t>«</w:t>
      </w:r>
      <w:proofErr w:type="gramEnd"/>
      <w:r w:rsidRPr="00B53CE7">
        <w:rPr>
          <w:b/>
          <w:color w:val="000000" w:themeColor="text1"/>
          <w:sz w:val="24"/>
          <w:szCs w:val="24"/>
        </w:rPr>
        <w:t> a-bis) l'ammissione ai benefìci del Fondo è estesa alle quote di mutuo relative alle unità immobiliari appartenenti alle cooperative edilizie a proprietà indivisa adibite ad abitazione principale e alle relative pertinenze dei soci assegnatari che si trovino nelle condizioni di cui all'articolo 2, comma 479, della legge 24 dicembre 2007, n. 244, come da ultimo modificato dal presente articolo;».</w:t>
      </w:r>
    </w:p>
    <w:p w:rsidR="00B80E82" w:rsidRPr="00B53CE7" w:rsidRDefault="00B80E82" w:rsidP="00B80E82">
      <w:pPr>
        <w:jc w:val="both"/>
        <w:rPr>
          <w:b/>
          <w:color w:val="000000" w:themeColor="text1"/>
          <w:sz w:val="24"/>
          <w:szCs w:val="24"/>
        </w:rPr>
      </w:pPr>
    </w:p>
    <w:p w:rsidR="00B80E82" w:rsidRPr="00B53CE7" w:rsidRDefault="00B80E82" w:rsidP="00B80E82">
      <w:pPr>
        <w:jc w:val="both"/>
        <w:rPr>
          <w:b/>
          <w:color w:val="000000" w:themeColor="text1"/>
          <w:sz w:val="24"/>
          <w:szCs w:val="24"/>
        </w:rPr>
      </w:pPr>
      <w:r w:rsidRPr="00B53CE7">
        <w:rPr>
          <w:b/>
          <w:color w:val="000000" w:themeColor="text1"/>
          <w:sz w:val="24"/>
          <w:szCs w:val="24"/>
        </w:rPr>
        <w:t>  2-ter. Con regolamento adottato mediante decreto del Ministro dell'economia e delle finanze, entro trenta giorni dalla data di entrata in vigore della legge di conversione del presente decreto, sono stabilite le modalità di attuazione delle disposizioni di cui al comma 2-bis e, in particolare, quelle relative all'individuazione del</w:t>
      </w:r>
      <w:r>
        <w:rPr>
          <w:b/>
          <w:color w:val="000000" w:themeColor="text1"/>
          <w:sz w:val="24"/>
          <w:szCs w:val="24"/>
        </w:rPr>
        <w:t>la quota di mutuo da sospendere</w:t>
      </w:r>
      <w:r w:rsidRPr="00B53CE7">
        <w:rPr>
          <w:b/>
          <w:color w:val="000000" w:themeColor="text1"/>
          <w:sz w:val="24"/>
          <w:szCs w:val="24"/>
        </w:rPr>
        <w:t>.</w:t>
      </w:r>
      <w:r>
        <w:rPr>
          <w:rStyle w:val="Rimandonotaapidipagina"/>
          <w:b/>
          <w:color w:val="000000" w:themeColor="text1"/>
          <w:sz w:val="24"/>
          <w:szCs w:val="24"/>
        </w:rPr>
        <w:footnoteReference w:id="43"/>
      </w:r>
    </w:p>
    <w:p w:rsidR="00B80E82" w:rsidRPr="00E00C1D" w:rsidRDefault="00B80E82" w:rsidP="0079622F">
      <w:pPr>
        <w:jc w:val="both"/>
        <w:rPr>
          <w:b/>
          <w:color w:val="000000" w:themeColor="text1"/>
          <w:sz w:val="24"/>
          <w:szCs w:val="24"/>
        </w:rPr>
      </w:pPr>
    </w:p>
    <w:p w:rsidR="005B18A9" w:rsidRPr="00B53CE7" w:rsidRDefault="005B18A9" w:rsidP="005B18A9">
      <w:pPr>
        <w:jc w:val="center"/>
        <w:rPr>
          <w:b/>
          <w:color w:val="000000" w:themeColor="text1"/>
          <w:sz w:val="24"/>
          <w:szCs w:val="24"/>
        </w:rPr>
      </w:pPr>
      <w:r w:rsidRPr="00B53CE7">
        <w:rPr>
          <w:b/>
          <w:color w:val="000000" w:themeColor="text1"/>
          <w:sz w:val="24"/>
          <w:szCs w:val="24"/>
        </w:rPr>
        <w:t>Art. 12-bis.</w:t>
      </w:r>
    </w:p>
    <w:p w:rsidR="005B18A9" w:rsidRPr="00B53CE7" w:rsidRDefault="005B18A9" w:rsidP="005B18A9">
      <w:pPr>
        <w:jc w:val="center"/>
        <w:rPr>
          <w:b/>
          <w:color w:val="000000" w:themeColor="text1"/>
          <w:sz w:val="24"/>
          <w:szCs w:val="24"/>
        </w:rPr>
      </w:pPr>
      <w:r w:rsidRPr="00B53CE7">
        <w:rPr>
          <w:b/>
          <w:color w:val="000000" w:themeColor="text1"/>
          <w:sz w:val="24"/>
          <w:szCs w:val="24"/>
        </w:rPr>
        <w:t>(Rimborso alle imprese per mancata partecipazione a fiere e manifestazioni commerciali internazionali)</w:t>
      </w:r>
    </w:p>
    <w:p w:rsidR="005B18A9" w:rsidRPr="00B53CE7" w:rsidRDefault="005B18A9" w:rsidP="005B18A9">
      <w:pPr>
        <w:jc w:val="both"/>
        <w:rPr>
          <w:b/>
          <w:color w:val="000000" w:themeColor="text1"/>
          <w:sz w:val="24"/>
          <w:szCs w:val="24"/>
        </w:rPr>
      </w:pPr>
    </w:p>
    <w:p w:rsidR="005B18A9" w:rsidRPr="00B53CE7" w:rsidRDefault="005B18A9" w:rsidP="005B18A9">
      <w:pPr>
        <w:jc w:val="both"/>
        <w:rPr>
          <w:b/>
          <w:color w:val="000000" w:themeColor="text1"/>
          <w:sz w:val="24"/>
          <w:szCs w:val="24"/>
        </w:rPr>
      </w:pPr>
      <w:r w:rsidRPr="00B53CE7">
        <w:rPr>
          <w:b/>
          <w:color w:val="000000" w:themeColor="text1"/>
          <w:sz w:val="24"/>
          <w:szCs w:val="24"/>
        </w:rPr>
        <w:t>  1. Per l'anno 2020, è riconosciuto un credito di imposta pari al 30 per cento delle spese sostenute dalle imprese per la partecipazione a fiere e manifestazioni commerciali all'estero, come individuate ai sensi dell'articolo 49 del decreto-legge 30 aprile 2019, n. 34, convertito con modificazioni dalla legge 28 giugno 2019, n. 58, che siano state disdette, in ragione dell'emergenza legata alla situazione epidemiologica in atto.</w:t>
      </w:r>
    </w:p>
    <w:p w:rsidR="005B18A9" w:rsidRPr="00B53CE7" w:rsidRDefault="005B18A9" w:rsidP="005B18A9">
      <w:pPr>
        <w:jc w:val="both"/>
        <w:rPr>
          <w:b/>
          <w:color w:val="000000" w:themeColor="text1"/>
          <w:sz w:val="24"/>
          <w:szCs w:val="24"/>
        </w:rPr>
      </w:pPr>
      <w:r w:rsidRPr="00B53CE7">
        <w:rPr>
          <w:b/>
          <w:color w:val="000000" w:themeColor="text1"/>
          <w:sz w:val="24"/>
          <w:szCs w:val="24"/>
        </w:rPr>
        <w:lastRenderedPageBreak/>
        <w:t>  2. Si applicano le disposizioni del medesimo articolo 49 del decreto-legge n. 34 del 2019. La misura è riconosciuta nei limiti delle somme stanziate per l'anno 2020.</w:t>
      </w:r>
      <w:r>
        <w:rPr>
          <w:rStyle w:val="Rimandonotaapidipagina"/>
          <w:b/>
          <w:color w:val="000000" w:themeColor="text1"/>
          <w:sz w:val="24"/>
          <w:szCs w:val="24"/>
        </w:rPr>
        <w:footnoteReference w:id="44"/>
      </w:r>
    </w:p>
    <w:p w:rsidR="005B18A9" w:rsidRPr="00B53CE7" w:rsidRDefault="005B18A9" w:rsidP="005B18A9">
      <w:pPr>
        <w:jc w:val="center"/>
        <w:rPr>
          <w:b/>
          <w:color w:val="000000" w:themeColor="text1"/>
          <w:sz w:val="24"/>
          <w:szCs w:val="24"/>
        </w:rPr>
      </w:pPr>
      <w:r w:rsidRPr="00B53CE7">
        <w:rPr>
          <w:b/>
          <w:color w:val="000000" w:themeColor="text1"/>
          <w:sz w:val="24"/>
          <w:szCs w:val="24"/>
        </w:rPr>
        <w:t>Art. 12-bis.</w:t>
      </w:r>
    </w:p>
    <w:p w:rsidR="005B18A9" w:rsidRPr="00B53CE7" w:rsidRDefault="005B18A9" w:rsidP="005B18A9">
      <w:pPr>
        <w:jc w:val="center"/>
        <w:rPr>
          <w:b/>
          <w:color w:val="000000" w:themeColor="text1"/>
          <w:sz w:val="24"/>
          <w:szCs w:val="24"/>
        </w:rPr>
      </w:pPr>
      <w:r w:rsidRPr="00B53CE7">
        <w:rPr>
          <w:b/>
          <w:color w:val="000000" w:themeColor="text1"/>
          <w:sz w:val="24"/>
          <w:szCs w:val="24"/>
        </w:rPr>
        <w:t>(Disposizioni in materia di beni di impresa)</w:t>
      </w:r>
    </w:p>
    <w:p w:rsidR="005B18A9" w:rsidRPr="00B53CE7" w:rsidRDefault="005B18A9" w:rsidP="005B18A9">
      <w:pPr>
        <w:jc w:val="both"/>
        <w:rPr>
          <w:b/>
          <w:color w:val="000000" w:themeColor="text1"/>
          <w:sz w:val="24"/>
          <w:szCs w:val="24"/>
        </w:rPr>
      </w:pPr>
    </w:p>
    <w:p w:rsidR="005B18A9" w:rsidRPr="00B53CE7" w:rsidRDefault="005B18A9" w:rsidP="005B18A9">
      <w:pPr>
        <w:jc w:val="both"/>
        <w:rPr>
          <w:b/>
          <w:color w:val="000000" w:themeColor="text1"/>
          <w:sz w:val="24"/>
          <w:szCs w:val="24"/>
        </w:rPr>
      </w:pPr>
      <w:r w:rsidRPr="00B53CE7">
        <w:rPr>
          <w:b/>
          <w:color w:val="000000" w:themeColor="text1"/>
          <w:sz w:val="24"/>
          <w:szCs w:val="24"/>
        </w:rPr>
        <w:t>  1. Le operazioni di cui all'articolo 1, comma 696 e seguenti, della legge 27 dicembre 2019, n. 160, alle condizioni ivi stabilite, possono essere effettuate nel bilancio o rendiconto dell'esercizio successivo a quello in corso al 31 dicembre 2019, al 31 dicembre 2020 o al 31 dicembre 2021; limitatamente ai beni immobili, i maggiori valori iscritti in bilancio ai sensi dell'articolo 14 della legge 21 novembre 2000, n. 342, si considerano riconosciuti, rispettivamente, con effetto dal periodo di imposta in corso alla data del 1o dicembre 2022, del 1o dicembre 2023 o del 1o dicembre 2024.</w:t>
      </w:r>
    </w:p>
    <w:p w:rsidR="005B18A9" w:rsidRPr="00B53CE7" w:rsidRDefault="005B18A9" w:rsidP="005B18A9">
      <w:pPr>
        <w:jc w:val="both"/>
        <w:rPr>
          <w:b/>
          <w:color w:val="000000" w:themeColor="text1"/>
          <w:sz w:val="24"/>
          <w:szCs w:val="24"/>
        </w:rPr>
      </w:pPr>
      <w:r w:rsidRPr="00B53CE7">
        <w:rPr>
          <w:b/>
          <w:color w:val="000000" w:themeColor="text1"/>
          <w:sz w:val="24"/>
          <w:szCs w:val="24"/>
        </w:rPr>
        <w:t>  2. Il Fondo di cui all'articolo 1, comma 200, della legge 23 dicembre 2014, n. 190, è incrementato di 6,9 milioni di euro per ciascuno degli anni 2022 e 2023.</w:t>
      </w:r>
    </w:p>
    <w:p w:rsidR="005B18A9" w:rsidRPr="00B53CE7" w:rsidRDefault="005B18A9" w:rsidP="005B18A9">
      <w:pPr>
        <w:jc w:val="both"/>
        <w:rPr>
          <w:b/>
          <w:color w:val="000000" w:themeColor="text1"/>
          <w:sz w:val="24"/>
          <w:szCs w:val="24"/>
        </w:rPr>
      </w:pPr>
      <w:r w:rsidRPr="00B53CE7">
        <w:rPr>
          <w:b/>
          <w:color w:val="000000" w:themeColor="text1"/>
          <w:sz w:val="24"/>
          <w:szCs w:val="24"/>
        </w:rPr>
        <w:t>  3. Agli oneri di cui al presente articolo, valutati in 11,8 milioni di euro per l'anno 2020, in 2 milioni di euro per l'anno 2021 e in 6,9 milioni di euro per ciascuno degli anni 2022 e 2023, si provvede:</w:t>
      </w:r>
    </w:p>
    <w:p w:rsidR="005B18A9" w:rsidRPr="00B53CE7" w:rsidRDefault="005B18A9" w:rsidP="005B18A9">
      <w:pPr>
        <w:jc w:val="both"/>
        <w:rPr>
          <w:b/>
          <w:color w:val="000000" w:themeColor="text1"/>
          <w:sz w:val="24"/>
          <w:szCs w:val="24"/>
        </w:rPr>
      </w:pPr>
      <w:r w:rsidRPr="00B53CE7">
        <w:rPr>
          <w:b/>
          <w:color w:val="000000" w:themeColor="text1"/>
          <w:sz w:val="24"/>
          <w:szCs w:val="24"/>
        </w:rPr>
        <w:t>   a) quanto a 10,9 milioni di euro per l'anno 2020, mediante utilizzo di una corrispondente quota del margine disponibile, risultante a seguito dell'attuazione del decreto-legge 17 marzo 2020, n. 18, convertito, con modificazioni, dalla legge 24 aprile 2020, n. 27, rispetto al ricorso all'indebitamento autorizzato l'11 marzo 2020 con le risoluzioni di approvazione della relazione al Parlamento, presentata ai sensi dell'articolo 6, comma 5, della legge 24 dicembre 2012, n. 243, e della relativa integrazione;</w:t>
      </w:r>
    </w:p>
    <w:p w:rsidR="005B18A9" w:rsidRPr="00B53CE7" w:rsidRDefault="005B18A9" w:rsidP="005B18A9">
      <w:pPr>
        <w:jc w:val="both"/>
        <w:rPr>
          <w:b/>
          <w:color w:val="000000" w:themeColor="text1"/>
          <w:sz w:val="24"/>
          <w:szCs w:val="24"/>
        </w:rPr>
      </w:pPr>
      <w:r w:rsidRPr="00B53CE7">
        <w:rPr>
          <w:b/>
          <w:color w:val="000000" w:themeColor="text1"/>
          <w:sz w:val="24"/>
          <w:szCs w:val="24"/>
        </w:rPr>
        <w:t>   b) quanto a 0,9 milioni di euro per l'anno 2020 e a 2 milioni di euro per l'anno 2021, mediante corrispondente riduzione Fondo di cui all'articolo 1, comma 200, della legge 23 dicembre 2014, n. 190;</w:t>
      </w:r>
    </w:p>
    <w:p w:rsidR="005B18A9" w:rsidRDefault="005B18A9" w:rsidP="005B18A9">
      <w:pPr>
        <w:jc w:val="both"/>
        <w:rPr>
          <w:b/>
          <w:color w:val="000000" w:themeColor="text1"/>
          <w:sz w:val="24"/>
          <w:szCs w:val="24"/>
        </w:rPr>
      </w:pPr>
      <w:r w:rsidRPr="00B53CE7">
        <w:rPr>
          <w:b/>
          <w:color w:val="000000" w:themeColor="text1"/>
          <w:sz w:val="24"/>
          <w:szCs w:val="24"/>
        </w:rPr>
        <w:lastRenderedPageBreak/>
        <w:t>   c) quanto a 6,9 milioni di euro per ciascuno degli anni 2022 e 2023, mediante corrispondente utilizzo delle maggiori entrate derivanti dal presente articolo.</w:t>
      </w:r>
      <w:r>
        <w:rPr>
          <w:rStyle w:val="Rimandonotaapidipagina"/>
          <w:b/>
          <w:color w:val="000000" w:themeColor="text1"/>
          <w:sz w:val="24"/>
          <w:szCs w:val="24"/>
        </w:rPr>
        <w:footnoteReference w:id="45"/>
      </w:r>
    </w:p>
    <w:p w:rsidR="00376984" w:rsidRPr="00B53CE7" w:rsidRDefault="00376984" w:rsidP="005B18A9">
      <w:pPr>
        <w:jc w:val="both"/>
        <w:rPr>
          <w:b/>
          <w:color w:val="000000" w:themeColor="text1"/>
          <w:sz w:val="24"/>
          <w:szCs w:val="24"/>
        </w:rPr>
      </w:pPr>
    </w:p>
    <w:p w:rsidR="00376984" w:rsidRPr="00B53CE7" w:rsidRDefault="00376984" w:rsidP="00376984">
      <w:pPr>
        <w:jc w:val="center"/>
        <w:rPr>
          <w:b/>
          <w:color w:val="000000" w:themeColor="text1"/>
          <w:sz w:val="24"/>
          <w:szCs w:val="24"/>
        </w:rPr>
      </w:pPr>
      <w:r w:rsidRPr="00B53CE7">
        <w:rPr>
          <w:b/>
          <w:color w:val="000000" w:themeColor="text1"/>
          <w:sz w:val="24"/>
          <w:szCs w:val="24"/>
        </w:rPr>
        <w:t>Art. 12-bis.</w:t>
      </w:r>
    </w:p>
    <w:p w:rsidR="00376984" w:rsidRPr="00B53CE7" w:rsidRDefault="00376984" w:rsidP="00376984">
      <w:pPr>
        <w:jc w:val="center"/>
        <w:rPr>
          <w:b/>
          <w:color w:val="000000" w:themeColor="text1"/>
          <w:sz w:val="24"/>
          <w:szCs w:val="24"/>
        </w:rPr>
      </w:pPr>
      <w:r w:rsidRPr="00B53CE7">
        <w:rPr>
          <w:b/>
          <w:color w:val="000000" w:themeColor="text1"/>
          <w:sz w:val="24"/>
          <w:szCs w:val="24"/>
        </w:rPr>
        <w:t>(Modifiche all'articolo 66 del decreto-legge n. 18 del 2020 in materia di detraibilità dell'Iva sugli acquisti dei beni oggetto di erogazione liberali)</w:t>
      </w:r>
    </w:p>
    <w:p w:rsidR="00376984" w:rsidRPr="00B53CE7" w:rsidRDefault="00376984" w:rsidP="00376984">
      <w:pPr>
        <w:jc w:val="both"/>
        <w:rPr>
          <w:b/>
          <w:color w:val="000000" w:themeColor="text1"/>
          <w:sz w:val="24"/>
          <w:szCs w:val="24"/>
        </w:rPr>
      </w:pPr>
    </w:p>
    <w:p w:rsidR="00376984" w:rsidRPr="00B53CE7" w:rsidRDefault="00376984" w:rsidP="00376984">
      <w:pPr>
        <w:jc w:val="both"/>
        <w:rPr>
          <w:b/>
          <w:color w:val="000000" w:themeColor="text1"/>
          <w:sz w:val="24"/>
          <w:szCs w:val="24"/>
        </w:rPr>
      </w:pPr>
      <w:r w:rsidRPr="00B53CE7">
        <w:rPr>
          <w:b/>
          <w:color w:val="000000" w:themeColor="text1"/>
          <w:sz w:val="24"/>
          <w:szCs w:val="24"/>
        </w:rPr>
        <w:t>  1. All'articolo 66 del decreto-legge 17 marzo 2020, dopo il comma 3 si inserisce il seguente:</w:t>
      </w:r>
    </w:p>
    <w:p w:rsidR="00376984" w:rsidRPr="00B53CE7" w:rsidRDefault="00376984" w:rsidP="00376984">
      <w:pPr>
        <w:jc w:val="both"/>
        <w:rPr>
          <w:b/>
          <w:color w:val="000000" w:themeColor="text1"/>
          <w:sz w:val="24"/>
          <w:szCs w:val="24"/>
        </w:rPr>
      </w:pPr>
      <w:r w:rsidRPr="00B53CE7">
        <w:rPr>
          <w:b/>
          <w:color w:val="000000" w:themeColor="text1"/>
          <w:sz w:val="24"/>
          <w:szCs w:val="24"/>
        </w:rPr>
        <w:t>  «3-bis. Ai fini dell'imposta sul valore aggiunto, gli acquisti dei beni ceduti a titolo di erogazione liberale in natura ai sensi dei precedenti commi 1 e 2 si considerano effettuati nell'esercizio dell'impresa, arte o professione ai fini della disposizione di cui all'articolo 19, del decreto del Presidente della Repubblica 26 ottobre 1972, n. 633».</w:t>
      </w:r>
      <w:r>
        <w:rPr>
          <w:rStyle w:val="Rimandonotaapidipagina"/>
          <w:b/>
          <w:color w:val="000000" w:themeColor="text1"/>
          <w:sz w:val="24"/>
          <w:szCs w:val="24"/>
        </w:rPr>
        <w:footnoteReference w:id="46"/>
      </w:r>
    </w:p>
    <w:p w:rsidR="0079622F" w:rsidRPr="00AD1B0C" w:rsidRDefault="0079622F"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13.</w:t>
      </w: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(Fondo centrale di garanzia PMI)</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Fino al 31 dicembre 2020, in deroga alla vigente disciplina del Fondo di cui all'articolo 2, comma 100, lettera a), della legge 23 dicembre 1996, n. 662, si applicano le seguenti misure:</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la garanzia è concessa a titolo gratuito;</w:t>
      </w:r>
    </w:p>
    <w:p w:rsidR="00AD1B0C" w:rsidRPr="00AD1B0C" w:rsidRDefault="00AD1B0C" w:rsidP="00AD1B0C">
      <w:pPr>
        <w:spacing w:after="160" w:line="259" w:lineRule="auto"/>
        <w:jc w:val="both"/>
        <w:rPr>
          <w:rFonts w:cs="Times New Roman"/>
          <w:color w:val="auto"/>
          <w:sz w:val="24"/>
          <w:szCs w:val="24"/>
          <w:lang w:eastAsia="en-US"/>
        </w:rPr>
      </w:pPr>
    </w:p>
    <w:p w:rsidR="00AD1B0C" w:rsidRPr="009F006D" w:rsidRDefault="00AD1B0C" w:rsidP="009F006D">
      <w:pPr>
        <w:jc w:val="both"/>
        <w:rPr>
          <w:rFonts w:asciiTheme="minorHAnsi" w:hAnsiTheme="minorHAnsi"/>
          <w:b/>
          <w:color w:val="000000" w:themeColor="text1"/>
          <w:sz w:val="24"/>
          <w:szCs w:val="24"/>
        </w:rPr>
      </w:pPr>
      <w:r w:rsidRPr="00AD1B0C">
        <w:rPr>
          <w:rFonts w:cs="Times New Roman"/>
          <w:color w:val="auto"/>
          <w:sz w:val="24"/>
          <w:szCs w:val="24"/>
          <w:lang w:eastAsia="en-US"/>
        </w:rPr>
        <w:t>   b) l'importo massimo garantito per singola impresa è elevato, nel rispetto della disciplina dell'Unione europea, a 5 milioni di euro. Sono ammesse alla garanzia le imprese con numero di dipendenti non superiore a 499</w:t>
      </w:r>
      <w:r w:rsidR="009F006D">
        <w:rPr>
          <w:rFonts w:cs="Times New Roman"/>
          <w:color w:val="auto"/>
          <w:sz w:val="24"/>
          <w:szCs w:val="24"/>
          <w:lang w:eastAsia="en-US"/>
        </w:rPr>
        <w:t xml:space="preserve">. </w:t>
      </w:r>
      <w:r w:rsidR="009F006D" w:rsidRPr="00D6163D">
        <w:rPr>
          <w:rFonts w:asciiTheme="minorHAnsi" w:hAnsiTheme="minorHAnsi"/>
          <w:b/>
          <w:color w:val="000000" w:themeColor="text1"/>
          <w:sz w:val="24"/>
          <w:szCs w:val="24"/>
        </w:rPr>
        <w:t>Resta fermo che la misura di cui alla presente lettera si applica, alle medesime condizioni, anche qualora il 25 per cento o più del capitale o dei diritti di voto siano detenuti direttamente o indirettamente da un ente pubblico oppure congi</w:t>
      </w:r>
      <w:r w:rsidR="009F006D">
        <w:rPr>
          <w:rFonts w:asciiTheme="minorHAnsi" w:hAnsiTheme="minorHAnsi"/>
          <w:b/>
          <w:color w:val="000000" w:themeColor="text1"/>
          <w:sz w:val="24"/>
          <w:szCs w:val="24"/>
        </w:rPr>
        <w:t>untamente da più enti pubblici</w:t>
      </w:r>
      <w:r w:rsidR="009F006D">
        <w:rPr>
          <w:rStyle w:val="Rimandonotaapidipagina"/>
          <w:rFonts w:asciiTheme="minorHAnsi" w:hAnsiTheme="minorHAnsi"/>
          <w:b/>
          <w:color w:val="000000" w:themeColor="text1"/>
          <w:sz w:val="24"/>
          <w:szCs w:val="24"/>
        </w:rPr>
        <w:footnoteReference w:id="47"/>
      </w:r>
      <w:r w:rsidRPr="00AD1B0C">
        <w:rPr>
          <w:rFonts w:cs="Times New Roman"/>
          <w:color w:val="auto"/>
          <w:sz w:val="24"/>
          <w:szCs w:val="24"/>
          <w:lang w:eastAsia="en-US"/>
        </w:rPr>
        <w:t>;</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   c) la percentuale di copertura della garanzia diretta è incrementata, anche mediante il concorso delle sezioni speciali del Fondo di garanzia, al 90 per cento dell'ammontare di ciascuna operazione finanziaria, previa autorizzazione della Commissione Europea ai sensi dell'articolo 108 del Trattato sul funzionamento dell'unione europea (TFUE), per le operazioni finanziarie con durata fino a 72 mesi. L'importo totale delle predette operazioni finanziarie non può superare, alternativamente:</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il doppio della spesa salariale annua del beneficiario (compresi gli oneri sociali e il costo del personale che lavora nel sito dell'impresa ma che figura formalmente nel libro paga dei subcontraenti) per il 2019 o per l'ultimo anno disponibile. Nel caso di imprese costituite a partire dal 1° gennaio 2019, l'importo massimo del prestito non può superare i costi salariali annui previsti per i primi due anni di attività;</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il 25 per cento del fatturato totale del beneficiario nel 2019;</w:t>
      </w:r>
    </w:p>
    <w:p w:rsidR="00AD1B0C" w:rsidRPr="00AD1B0C" w:rsidRDefault="00AD1B0C" w:rsidP="00AD1B0C">
      <w:pPr>
        <w:spacing w:after="160" w:line="259" w:lineRule="auto"/>
        <w:jc w:val="both"/>
        <w:rPr>
          <w:rFonts w:cs="Times New Roman"/>
          <w:color w:val="auto"/>
          <w:sz w:val="24"/>
          <w:szCs w:val="24"/>
          <w:lang w:eastAsia="en-US"/>
        </w:rPr>
      </w:pPr>
    </w:p>
    <w:p w:rsid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il fabbisogno per costi del capitale di esercizio e per costi di investimento nei successivi 18 mesi, nel caso di piccole e medie imprese, e nei successivi 12 mesi, nel caso di imprese con numero di dipendenti non superiore a 499; tale fabbisogno è attestato mediante apposita autocertificazione resa dal beneficiario ai sensi del decreto del Presidente della Repubblica 28 dicembre 2000 n. 445;</w:t>
      </w:r>
    </w:p>
    <w:p w:rsidR="00334BAF" w:rsidRPr="00B53CE7" w:rsidRDefault="00334BAF" w:rsidP="00334BAF">
      <w:pPr>
        <w:jc w:val="both"/>
        <w:rPr>
          <w:b/>
          <w:color w:val="000000" w:themeColor="text1"/>
          <w:sz w:val="24"/>
          <w:szCs w:val="24"/>
        </w:rPr>
      </w:pPr>
      <w:r w:rsidRPr="00B53CE7">
        <w:rPr>
          <w:b/>
          <w:color w:val="000000" w:themeColor="text1"/>
          <w:sz w:val="24"/>
          <w:szCs w:val="24"/>
        </w:rPr>
        <w:lastRenderedPageBreak/>
        <w:t>3-bis) per le imprese caratterizzate da cicli produttivi ultrannuali di cui alla parte IX, lettera A, sezioni A.1.d) e A.1.e) dell'allegato al decreto del Ministro dello sviluppo economico 12 febbraio 2019, di cui al comunicato pubblicato nella Gazzetta Ufficiale n. 49 del 27 febbraio 2019, i ricavi delle vendite e delle prestazioni, sommati alle variazioni delle rimanenze di prodotti in corso di lavorazione, semilavorati e finiti per l'anno 2019.</w:t>
      </w:r>
      <w:r>
        <w:rPr>
          <w:rStyle w:val="Rimandonotaapidipagina"/>
          <w:b/>
          <w:color w:val="000000" w:themeColor="text1"/>
          <w:sz w:val="24"/>
          <w:szCs w:val="24"/>
        </w:rPr>
        <w:footnoteReference w:id="48"/>
      </w:r>
    </w:p>
    <w:p w:rsidR="00ED2781" w:rsidRPr="00714183" w:rsidRDefault="00AD1B0C" w:rsidP="00ED2781">
      <w:pPr>
        <w:jc w:val="both"/>
        <w:rPr>
          <w:rFonts w:asciiTheme="minorHAnsi" w:hAnsiTheme="minorHAnsi"/>
          <w:b/>
          <w:color w:val="000000" w:themeColor="text1"/>
          <w:sz w:val="24"/>
          <w:szCs w:val="24"/>
        </w:rPr>
      </w:pPr>
      <w:r w:rsidRPr="00AD1B0C">
        <w:rPr>
          <w:rFonts w:cs="Times New Roman"/>
          <w:color w:val="auto"/>
          <w:sz w:val="24"/>
          <w:szCs w:val="24"/>
          <w:lang w:eastAsia="en-US"/>
        </w:rPr>
        <w:t>   d) per le operazioni finanziarie aventi le caratteristiche di durata e importo di cui alla lettera c), la percentuale di copertura della riassicurazione è incrementata, anche mediante il concorso delle sezioni speciali del Fondo di garanzia, al 100 per cento dell'importo garantito dai Confidi o da altro fondo di garanzia</w:t>
      </w:r>
      <w:r w:rsidR="00A504CE">
        <w:rPr>
          <w:rFonts w:cs="Times New Roman"/>
          <w:color w:val="auto"/>
          <w:sz w:val="24"/>
          <w:szCs w:val="24"/>
          <w:lang w:eastAsia="en-US"/>
        </w:rPr>
        <w:t xml:space="preserve"> </w:t>
      </w:r>
      <w:r w:rsidR="00A504CE" w:rsidRPr="00D6163D">
        <w:rPr>
          <w:rFonts w:asciiTheme="minorHAnsi" w:hAnsiTheme="minorHAnsi"/>
          <w:b/>
          <w:color w:val="000000" w:themeColor="text1"/>
          <w:sz w:val="24"/>
          <w:szCs w:val="24"/>
        </w:rPr>
        <w:t xml:space="preserve">o di cui all'articolo 112, comma </w:t>
      </w:r>
      <w:proofErr w:type="gramStart"/>
      <w:r w:rsidR="00A504CE" w:rsidRPr="00D6163D">
        <w:rPr>
          <w:rFonts w:asciiTheme="minorHAnsi" w:hAnsiTheme="minorHAnsi"/>
          <w:b/>
          <w:color w:val="000000" w:themeColor="text1"/>
          <w:sz w:val="24"/>
          <w:szCs w:val="24"/>
        </w:rPr>
        <w:t>7</w:t>
      </w:r>
      <w:proofErr w:type="gramEnd"/>
      <w:r w:rsidR="00A504CE" w:rsidRPr="00D6163D">
        <w:rPr>
          <w:rFonts w:asciiTheme="minorHAnsi" w:hAnsiTheme="minorHAnsi"/>
          <w:b/>
          <w:color w:val="000000" w:themeColor="text1"/>
          <w:sz w:val="24"/>
          <w:szCs w:val="24"/>
        </w:rPr>
        <w:t>, terzo periodo, del decreto legisl</w:t>
      </w:r>
      <w:r w:rsidR="00A504CE">
        <w:rPr>
          <w:rFonts w:asciiTheme="minorHAnsi" w:hAnsiTheme="minorHAnsi"/>
          <w:b/>
          <w:color w:val="000000" w:themeColor="text1"/>
          <w:sz w:val="24"/>
          <w:szCs w:val="24"/>
        </w:rPr>
        <w:t>ativo 1o settembre 1993, n. 385</w:t>
      </w:r>
      <w:r w:rsidR="00A504CE">
        <w:rPr>
          <w:rStyle w:val="Rimandonotaapidipagina"/>
          <w:rFonts w:asciiTheme="minorHAnsi" w:hAnsiTheme="minorHAnsi"/>
          <w:b/>
          <w:color w:val="000000" w:themeColor="text1"/>
          <w:sz w:val="24"/>
          <w:szCs w:val="24"/>
        </w:rPr>
        <w:footnoteReference w:id="49"/>
      </w:r>
      <w:proofErr w:type="gramStart"/>
      <w:r w:rsidRPr="00AD1B0C">
        <w:rPr>
          <w:rFonts w:cs="Times New Roman"/>
          <w:color w:val="auto"/>
          <w:sz w:val="24"/>
          <w:szCs w:val="24"/>
          <w:lang w:eastAsia="en-US"/>
        </w:rPr>
        <w:t xml:space="preserve">, </w:t>
      </w:r>
      <w:proofErr w:type="gramEnd"/>
      <w:r w:rsidRPr="00AD1B0C">
        <w:rPr>
          <w:rFonts w:cs="Times New Roman"/>
          <w:color w:val="auto"/>
          <w:sz w:val="24"/>
          <w:szCs w:val="24"/>
          <w:lang w:eastAsia="en-US"/>
        </w:rPr>
        <w:t>a condizione che le garanzie da questi rilasciate non superino la percentuale massima di copertura del 90 per cento, previa autorizzazione della Commissione Europea ai sensi dell'articolo 108 del TFUE, e che non prevedano il pagamento di un premio che tiene conto della remunerazione per il rischio di credito. Fino all'autorizzazione della Commissione Europea e, successivamente alla predetta autorizzazione per le operazioni finanziarie non aventi le predette caratteristiche di durata e importo di cui alla lettera c) e alla presente lettera d), le percentuali di copertura sono incrementate, rispettivamente, all'80 per cento per la garanzia diretta di cui alla lettera c) e al 90 per cento per la riassicurazione di cui alla presente lettera d)</w:t>
      </w:r>
      <w:r w:rsidR="00ED2781">
        <w:rPr>
          <w:rFonts w:cs="Times New Roman"/>
          <w:color w:val="auto"/>
          <w:sz w:val="24"/>
          <w:szCs w:val="24"/>
          <w:lang w:eastAsia="en-US"/>
        </w:rPr>
        <w:t xml:space="preserve"> </w:t>
      </w:r>
      <w:r w:rsidR="00ED2781" w:rsidRPr="00714183">
        <w:rPr>
          <w:rFonts w:asciiTheme="minorHAnsi" w:hAnsiTheme="minorHAnsi"/>
          <w:b/>
          <w:color w:val="000000" w:themeColor="text1"/>
          <w:sz w:val="24"/>
          <w:szCs w:val="24"/>
        </w:rPr>
        <w:t>anche per durate superiori a 10 anni. La garanzia dal Fondo può essere cumulata con un'ulteriore garanzia concessa da confidi o altri soggetti abilitati al rilascio di garanzie, a valere su risorse proprie, sino alla copertura del 100 per cento del finanziamento concesso</w:t>
      </w:r>
      <w:r w:rsidR="00ED2781">
        <w:rPr>
          <w:rStyle w:val="Rimandonotaapidipagina"/>
          <w:rFonts w:asciiTheme="minorHAnsi" w:hAnsiTheme="minorHAnsi"/>
          <w:b/>
          <w:color w:val="000000" w:themeColor="text1"/>
          <w:sz w:val="24"/>
          <w:szCs w:val="24"/>
        </w:rPr>
        <w:footnoteReference w:id="50"/>
      </w:r>
      <w:r w:rsidR="00ED2781" w:rsidRPr="00714183">
        <w:rPr>
          <w:rFonts w:asciiTheme="minorHAnsi" w:hAnsiTheme="minorHAnsi"/>
          <w:b/>
          <w:color w:val="000000" w:themeColor="text1"/>
          <w:sz w:val="24"/>
          <w:szCs w:val="24"/>
        </w:rPr>
        <w:t>;</w:t>
      </w:r>
    </w:p>
    <w:p w:rsidR="00AD1B0C" w:rsidRPr="00AD1B0C" w:rsidRDefault="00AD1B0C" w:rsidP="00AD1B0C">
      <w:pPr>
        <w:spacing w:after="160" w:line="259" w:lineRule="auto"/>
        <w:jc w:val="both"/>
        <w:rPr>
          <w:rFonts w:cs="Times New Roman"/>
          <w:color w:val="auto"/>
          <w:sz w:val="24"/>
          <w:szCs w:val="24"/>
          <w:lang w:eastAsia="en-US"/>
        </w:rPr>
      </w:pPr>
    </w:p>
    <w:p w:rsidR="00B44950" w:rsidRPr="00083383" w:rsidRDefault="00AD1B0C" w:rsidP="00B44950">
      <w:pPr>
        <w:jc w:val="both"/>
        <w:rPr>
          <w:rFonts w:asciiTheme="minorHAnsi" w:hAnsiTheme="minorHAnsi"/>
          <w:b/>
          <w:color w:val="000000" w:themeColor="text1"/>
          <w:sz w:val="24"/>
          <w:szCs w:val="24"/>
        </w:rPr>
      </w:pPr>
      <w:r w:rsidRPr="00AD1B0C">
        <w:rPr>
          <w:rFonts w:cs="Times New Roman"/>
          <w:color w:val="auto"/>
          <w:sz w:val="24"/>
          <w:szCs w:val="24"/>
          <w:lang w:eastAsia="en-US"/>
        </w:rPr>
        <w:t>   e) sono ammissibili alla garanzia del Fondo, per la garanzia diretta nella misura dell'80 per cento e per la riassicurazione nella misura del 90 per cento dell'importo garantito dal Confidi o da altro fondo di garanzia, a condizione che le garanzie da questi rilasciate non superino la percentuale massima di copertura dell'80 per cento, i finanziamenti a fronte di operazioni di rinegoziazione del debito del soggetto beneficiario, purché il nuovo finanziamento preveda l'erogazione al medesimo soggetto beneficiario di credito aggiuntivo in misura pari ad almeno il 10 per cento dell'importo del debito accordato in essere del finanziamento oggetto di rinegoziazione</w:t>
      </w:r>
      <w:r w:rsidR="009837D1">
        <w:rPr>
          <w:rFonts w:cs="Times New Roman"/>
          <w:color w:val="auto"/>
          <w:sz w:val="24"/>
          <w:szCs w:val="24"/>
          <w:lang w:eastAsia="en-US"/>
        </w:rPr>
        <w:t xml:space="preserve"> </w:t>
      </w:r>
      <w:r w:rsidR="009837D1" w:rsidRPr="00714183">
        <w:rPr>
          <w:rFonts w:asciiTheme="minorHAnsi" w:hAnsiTheme="minorHAnsi"/>
          <w:b/>
          <w:color w:val="000000" w:themeColor="text1"/>
          <w:sz w:val="24"/>
          <w:szCs w:val="24"/>
        </w:rPr>
        <w:t>ovvero, per i finanziamenti deliberati dal soggetto finanziatore in data successiva alla data di entrata in vigore della legge di conversione del presente decreto, in misura pari ad almeno il 25 per cento dell'importo del debito accordato in essere del finanziam</w:t>
      </w:r>
      <w:r w:rsidR="009837D1">
        <w:rPr>
          <w:rFonts w:asciiTheme="minorHAnsi" w:hAnsiTheme="minorHAnsi"/>
          <w:b/>
          <w:color w:val="000000" w:themeColor="text1"/>
          <w:sz w:val="24"/>
          <w:szCs w:val="24"/>
        </w:rPr>
        <w:t>ento oggetto di rinegoziazione</w:t>
      </w:r>
      <w:r w:rsidR="009837D1">
        <w:rPr>
          <w:rStyle w:val="Rimandonotaapidipagina"/>
          <w:rFonts w:asciiTheme="minorHAnsi" w:hAnsiTheme="minorHAnsi"/>
          <w:b/>
          <w:color w:val="000000" w:themeColor="text1"/>
          <w:sz w:val="24"/>
          <w:szCs w:val="24"/>
        </w:rPr>
        <w:footnoteReference w:id="51"/>
      </w:r>
      <w:r w:rsidR="00B44950">
        <w:rPr>
          <w:rFonts w:asciiTheme="minorHAnsi" w:hAnsiTheme="minorHAnsi"/>
          <w:b/>
          <w:color w:val="000000" w:themeColor="text1"/>
          <w:sz w:val="24"/>
          <w:szCs w:val="24"/>
        </w:rPr>
        <w:t xml:space="preserve">. </w:t>
      </w:r>
      <w:r w:rsidR="00B44950" w:rsidRPr="00083383">
        <w:rPr>
          <w:rFonts w:asciiTheme="minorHAnsi" w:hAnsiTheme="minorHAnsi"/>
          <w:b/>
          <w:color w:val="000000" w:themeColor="text1"/>
          <w:sz w:val="24"/>
          <w:szCs w:val="24"/>
        </w:rPr>
        <w:t>Nei casi di cui alla presente lettera il soggetto finanziatore deve trasmettere al gestore del Fondo una dichiarazione attestante la riduzione del tasso di interesse applicata, sul finanziamento garantito, al soggetto beneficiario per effetto della sopravvenuta concessione della garanzia.</w:t>
      </w:r>
      <w:r w:rsidR="00B44950">
        <w:rPr>
          <w:rStyle w:val="Rimandonotaapidipagina"/>
          <w:rFonts w:asciiTheme="minorHAnsi" w:hAnsiTheme="minorHAnsi"/>
          <w:b/>
          <w:color w:val="000000" w:themeColor="text1"/>
          <w:sz w:val="24"/>
          <w:szCs w:val="24"/>
        </w:rPr>
        <w:footnoteReference w:id="52"/>
      </w:r>
    </w:p>
    <w:p w:rsidR="00AD1B0C" w:rsidRPr="009837D1" w:rsidRDefault="00AD1B0C" w:rsidP="009837D1">
      <w:pPr>
        <w:jc w:val="both"/>
        <w:rPr>
          <w:rFonts w:asciiTheme="minorHAnsi" w:hAnsiTheme="minorHAnsi"/>
          <w:b/>
          <w:color w:val="000000" w:themeColor="text1"/>
          <w:sz w:val="24"/>
          <w:szCs w:val="24"/>
        </w:rPr>
      </w:pPr>
      <w:r w:rsidRPr="00AD1B0C">
        <w:rPr>
          <w:rFonts w:cs="Times New Roman"/>
          <w:color w:val="auto"/>
          <w:sz w:val="24"/>
          <w:szCs w:val="24"/>
          <w:lang w:eastAsia="en-US"/>
        </w:rPr>
        <w:t>;</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   f) per le operazioni per le quali banche o gli intermediari finanziari hanno accordato, anche di propria iniziativa, la sospensione del pagamento delle rate di ammortamento, o della sola quota capitale, ovvero l'allungamento della scadenza dei finanziamenti, in connessione degli effetti indotti dalla diffusione del COVID-19, su operazioni ammesse alla garanzia del Fondo, la durata della garanzia del Fondo è estesa in conseguenza;</w:t>
      </w:r>
    </w:p>
    <w:p w:rsidR="00AD1B0C" w:rsidRPr="00AD1B0C" w:rsidRDefault="00AD1B0C" w:rsidP="00AD1B0C">
      <w:pPr>
        <w:spacing w:after="160" w:line="259" w:lineRule="auto"/>
        <w:jc w:val="both"/>
        <w:rPr>
          <w:rFonts w:cs="Times New Roman"/>
          <w:color w:val="auto"/>
          <w:sz w:val="24"/>
          <w:szCs w:val="24"/>
          <w:lang w:eastAsia="en-US"/>
        </w:rPr>
      </w:pPr>
    </w:p>
    <w:p w:rsidR="00AD1B0C" w:rsidRDefault="00AD1B0C" w:rsidP="00AD1B0C">
      <w:pPr>
        <w:spacing w:after="160" w:line="259" w:lineRule="auto"/>
        <w:jc w:val="both"/>
        <w:rPr>
          <w:rFonts w:cs="Times New Roman"/>
          <w:strike/>
          <w:color w:val="auto"/>
          <w:sz w:val="24"/>
          <w:szCs w:val="24"/>
          <w:lang w:eastAsia="en-US"/>
        </w:rPr>
      </w:pPr>
      <w:r w:rsidRPr="00AD1B0C">
        <w:rPr>
          <w:rFonts w:cs="Times New Roman"/>
          <w:color w:val="auto"/>
          <w:sz w:val="24"/>
          <w:szCs w:val="24"/>
          <w:lang w:eastAsia="en-US"/>
        </w:rPr>
        <w:t>   </w:t>
      </w:r>
      <w:r w:rsidRPr="00703482">
        <w:rPr>
          <w:rFonts w:cs="Times New Roman"/>
          <w:strike/>
          <w:color w:val="auto"/>
          <w:sz w:val="24"/>
          <w:szCs w:val="24"/>
          <w:highlight w:val="yellow"/>
          <w:lang w:eastAsia="en-US"/>
        </w:rPr>
        <w:t>g) fermo restando quanto già previsto all'articolo 6, comma 2, del decreto del Ministro dello sviluppo economico 6 marzo 2017, pubblicato nella Gazzetta ufficiale 7 luglio 2017, n. 157, e fatto salvo quanto previsto per le operazioni finanziarie di cui alla lettera m), la garanzia è concessa senza applicazione del modello di valutazione di cui alla parte IX, lettera A, delle condizioni di ammissibilità e disposizioni di carattere generale per l'amministrazione del Fondo di garanzia riportate nell'allegato al decreto del Ministro dello sviluppo economico 12 febbraio 2019, pubblicato nella Gazzetta ufficiale 27 febbraio 2019, n. 49. Ai fini della definizione delle misure di accantonamento a titolo di coefficiente di rischio, in sede di ammissione della singola operazione finanziaria, la probabilità di inadempimento delle imprese è calcolata esclusivamente sulla base dei dati contenuti nel modulo economico-finanziario del suddetto modello di valutazione. Con frequenza bimestrale, in riferimento all'insieme delle operazioni finanziarie ammesse alla garanzia, la consistenza degli accantonamenti prudenziali operati a valere sul Fondo è corretta in funzione dei dati di Centrale dei Rischi di Banca d'Italia, acquisiti dal Gestore del Fondo al momento della presentazione delle richieste di ammissione alla garanzia. La garanzia è concessa anche in favore di beneficiari finali che presentano, alla data della richiesta di garanzia, esposizioni nei confronti del soggetto finanziatore classificate come «inadempienze probabili» o «scadute o sconfinanti deteriorate» ai sensi del paragrafo 2, parte B della circolare n. 272 del 30 luglio 2008 della Banca d'Italia e successive modificazioni, purché la predetta classificazione non sia precedente alla data del 31 gennaio 2020. La garanzia è concessa anche alle imprese che, in data successiva al 31 dicembre 2019, sono state ammesse alla procedura del concordato con continuità aziendale di cui all'articolo 186-bis del regio decreto 16 marzo 1942, n. 267, hanno stipulato accordi di ristrutturazione ai sensi dell'articolo 182-bis del regio decreto 267 del 1942 o hanno presentato un piano attestato di cui all'articolo 67 del predetto regio decreto, purché, alla data di entrata in vigore del presente decreto, le loro esposizioni non siano più in una situazione che ne determinerebbe la classificazione come esposizioni deteriorate, non presentino importi in arretrato successivi all'applicazione delle misure di concessione e la banca, sulla base dell'analisi della situazione finanziaria del debitore, possa ragionevolmente presumere il rimborso integrale dell'esposizione alla scadenza, ai sensi dell'articolo 47-bis, comma 6, lettere a) e c) del regolamento (UE) n. 575/2013 del Parlamento europeo e del Consiglio, del 26 giugno 2013. Ai fini dell'ammissione alla garanzia non è necessario che sia trascorso un anno dalla data in cui sono state accordate le misure di concessione o, se posteriore, dalla data in cui le esposizioni sono state classificate come esposizioni deteriorate, ai sensi dell'art 47-</w:t>
      </w:r>
      <w:r w:rsidRPr="00703482">
        <w:rPr>
          <w:rFonts w:cs="Times New Roman"/>
          <w:strike/>
          <w:color w:val="auto"/>
          <w:sz w:val="24"/>
          <w:szCs w:val="24"/>
          <w:highlight w:val="yellow"/>
          <w:lang w:eastAsia="en-US"/>
        </w:rPr>
        <w:lastRenderedPageBreak/>
        <w:t>bis, comma 6, lettera b) del Regolamento 575/2013. Sono, in ogni caso, escluse le imprese che presentano esposizioni classificate come «sofferenze» ai sensi della disciplina bancaria;</w:t>
      </w:r>
    </w:p>
    <w:p w:rsidR="00703482" w:rsidRPr="00930721" w:rsidRDefault="00703482" w:rsidP="00703482">
      <w:pPr>
        <w:jc w:val="both"/>
        <w:rPr>
          <w:b/>
          <w:color w:val="000000" w:themeColor="text1"/>
          <w:sz w:val="24"/>
          <w:szCs w:val="24"/>
        </w:rPr>
      </w:pPr>
      <w:r w:rsidRPr="00930721">
        <w:rPr>
          <w:b/>
          <w:color w:val="000000" w:themeColor="text1"/>
          <w:sz w:val="24"/>
          <w:szCs w:val="24"/>
        </w:rPr>
        <w:t>   g) fermo restando quanto previsto all'articolo 6, comma 2, del decreto del Ministro dello sviluppo economico 6 marzo 2017, pubblicato nella Gazzetta Ufficiale n. 157 del 7 luglio 2017, e fatto salvo quanto previsto per le operazioni finanziarie di cui alla lettera m) del presente comma, la garanzia è concessa senza applicazione del modello di valutazione di cui alla parte IX, lettera A, delle condizioni di ammissibilità e disposizioni di carattere generale per l'amministrazione del Fondo di garanzia allegate al decreto del Ministro dello sviluppo economico 12 febbraio 2019, di cui al comunicato pubblicato nella Gazzetta Ufficiale n. 49 del 27 febbraio 2019. Ai fini della definizione delle misure di accantonamento a titolo di coefficiente di rischio, in sede di ammissione della singola operazione finanziaria, la probabilità di inadempimento delle imprese è calcolata esclusivamente sulla base dei dati contenuti nel modulo economico-finanziario del suddetto modello di valutazione. Con frequenza bimestrale, in riferimento all'insieme delle operazioni finanziarie ammesse alla garanzia, la consistenza degli accantonamenti prudenziali operati a valere sul Fondo è corretta in funzione dei dati della Centrale dei rischi della Banca d'Italia, acquisiti dal Gestore del Fondo alla data della presentazione delle richieste di ammissione alla garanzia;</w:t>
      </w:r>
    </w:p>
    <w:p w:rsidR="00703482" w:rsidRPr="00930721" w:rsidRDefault="00703482" w:rsidP="00703482">
      <w:pPr>
        <w:jc w:val="both"/>
        <w:rPr>
          <w:b/>
          <w:color w:val="000000" w:themeColor="text1"/>
          <w:sz w:val="24"/>
          <w:szCs w:val="24"/>
        </w:rPr>
      </w:pPr>
      <w:r w:rsidRPr="00930721">
        <w:rPr>
          <w:b/>
          <w:color w:val="000000" w:themeColor="text1"/>
          <w:sz w:val="24"/>
          <w:szCs w:val="24"/>
        </w:rPr>
        <w:t xml:space="preserve">   g-bis) la garanzia è concessa anche in favore dei beneficiari finali che presentano, alla data della richiesta della garanzia, esposizioni nei confronti del soggetto finanziatore classificate come inadempienze probabili o come esposizioni scadute e/o sconfinanti deteriorate ai sensi del paragrafo </w:t>
      </w:r>
      <w:proofErr w:type="gramStart"/>
      <w:r w:rsidRPr="00930721">
        <w:rPr>
          <w:b/>
          <w:color w:val="000000" w:themeColor="text1"/>
          <w:sz w:val="24"/>
          <w:szCs w:val="24"/>
        </w:rPr>
        <w:t>2</w:t>
      </w:r>
      <w:proofErr w:type="gramEnd"/>
      <w:r w:rsidRPr="00930721">
        <w:rPr>
          <w:b/>
          <w:color w:val="000000" w:themeColor="text1"/>
          <w:sz w:val="24"/>
          <w:szCs w:val="24"/>
        </w:rPr>
        <w:t xml:space="preserve"> della parte B) delle avvertenze generali della circolare n. 272 del 30 luglio 2008 della Banca d'Italia, purché la predetta classificazione non sia stata effettuata prima del 31 gennaio 2020.</w:t>
      </w:r>
    </w:p>
    <w:p w:rsidR="00703482" w:rsidRPr="00930721" w:rsidRDefault="00703482" w:rsidP="00703482">
      <w:pPr>
        <w:jc w:val="both"/>
        <w:rPr>
          <w:b/>
          <w:color w:val="000000" w:themeColor="text1"/>
          <w:sz w:val="24"/>
          <w:szCs w:val="24"/>
        </w:rPr>
      </w:pPr>
      <w:r w:rsidRPr="00930721">
        <w:rPr>
          <w:b/>
          <w:color w:val="000000" w:themeColor="text1"/>
          <w:sz w:val="24"/>
          <w:szCs w:val="24"/>
        </w:rPr>
        <w:t xml:space="preserve">   g-ter) la garanzia è altresì concessa, con esclusione della garanzia di cui alla lettera e), in favore di beneficiari finali che presentano esposizioni che, prima del 31 gennaio 2020, sono state classificate come inadempienze probabili o come esposizioni scadute e/o sconfinanti deteriorate ai sensi del paragrafo </w:t>
      </w:r>
      <w:proofErr w:type="gramStart"/>
      <w:r w:rsidRPr="00930721">
        <w:rPr>
          <w:b/>
          <w:color w:val="000000" w:themeColor="text1"/>
          <w:sz w:val="24"/>
          <w:szCs w:val="24"/>
        </w:rPr>
        <w:t>2</w:t>
      </w:r>
      <w:proofErr w:type="gramEnd"/>
      <w:r w:rsidRPr="00930721">
        <w:rPr>
          <w:b/>
          <w:color w:val="000000" w:themeColor="text1"/>
          <w:sz w:val="24"/>
          <w:szCs w:val="24"/>
        </w:rPr>
        <w:t xml:space="preserve"> della parte B) delle avvertenze generali della circolare n. 272 del 30 luglio 2008 della Banca d'Italia e che sono state oggetto di misure di concessione. In tale caso, il beneficio della garanzia è ammesso anche prima che sia trascorso un anno dalla data in cui sono state accordate le misure di concessione o, se posteriore, dalla data in cui le suddette esposizioni sono state classificate come esposizioni deteriorate, ai sensi dell'articolo 47-bis, paragrafo 6, lettera b), del regolamento (UE) n. 575/2013 del Parlamento europeo e del Consiglio, del 26 giugno 2013, se, alla data di entrata in vigore del presente decreto, le citate esposizioni non sono più classificabili come esposizioni deteriorate, non presentano importi in arretrato successivi all'applicazione delle misure di concessione e il soggetto finanziatore, sulla base dell'analisi della situazione finanziaria del debitore, </w:t>
      </w:r>
      <w:r w:rsidRPr="00930721">
        <w:rPr>
          <w:b/>
          <w:color w:val="000000" w:themeColor="text1"/>
          <w:sz w:val="24"/>
          <w:szCs w:val="24"/>
        </w:rPr>
        <w:lastRenderedPageBreak/>
        <w:t>possa ragionevolmente presumere il rimborso integrale dell'esposizione alla scadenza, ai sensi del citato articolo 47-bis, paragrafo 6, lettere a) e c), del regolamento (UE) n. 575/2013;</w:t>
      </w:r>
    </w:p>
    <w:p w:rsidR="00703482" w:rsidRPr="00930721" w:rsidRDefault="00703482" w:rsidP="00703482">
      <w:pPr>
        <w:jc w:val="both"/>
        <w:rPr>
          <w:b/>
          <w:color w:val="000000" w:themeColor="text1"/>
          <w:sz w:val="24"/>
          <w:szCs w:val="24"/>
        </w:rPr>
      </w:pPr>
      <w:r w:rsidRPr="00930721">
        <w:rPr>
          <w:b/>
          <w:color w:val="000000" w:themeColor="text1"/>
          <w:sz w:val="24"/>
          <w:szCs w:val="24"/>
        </w:rPr>
        <w:t>   g-quater) la garanzia è concessa, anche prima che sia trascorso un anno dalla data in cui sono state accordate le misure di concessione o, se posteriore, dalla data in cui le esposizioni sono state classificate come esposizioni deteriorate, ai sensi dell'articolo 47-bis, paragrafo 6, lettera b), del regolamento (UE) n. 575/2013 del Parlamento europeo e del Consiglio, del 26 giugno 2013, in favore delle imprese che, in data successiva al 31 dicembre 2019, sono state ammesse alla procedura del concordato con continuità aziendale di cui all'articolo 186-bis del regio decreto 16 marzo 1942, n. 267, hanno stipulato accordi di ristrutturazione dei debiti ai sensi dell'articolo 182-bis del citato regio decreto n. 267 del 1942 o hanno presentato un piano ai sensi dell'articolo 67 del medesimo regio decreto, purché, alla data di entrata in vigore del presente decreto, le loro esposizioni non siano classificabili come esposizioni deteriorate, non presentino importi in arretrato successivi all'applicazione delle misure di concessione e il soggetto finanziatore, sulla base dell'analisi della situazione finanziaria del debitore, possa ragionevolmente presumere il rimborso integrale dell'esposizione alla scadenza, ai sensi del citato articolo 47-bis, paragrafo 6, lettere a) e c), del regolamento (UE) n. 575/2013. Sono, in ogni caso, escluse le imprese che presentano esposizioni classificate come sofferenze ai sensi della disciplina bancaria vigente;</w:t>
      </w:r>
      <w:r>
        <w:rPr>
          <w:rStyle w:val="Rimandonotaapidipagina"/>
          <w:b/>
          <w:color w:val="000000" w:themeColor="text1"/>
          <w:sz w:val="24"/>
          <w:szCs w:val="24"/>
        </w:rPr>
        <w:footnoteReference w:id="53"/>
      </w:r>
    </w:p>
    <w:p w:rsidR="00703482" w:rsidRPr="00703482" w:rsidRDefault="00703482" w:rsidP="00AD1B0C">
      <w:pPr>
        <w:spacing w:after="160" w:line="259" w:lineRule="auto"/>
        <w:jc w:val="both"/>
        <w:rPr>
          <w:rFonts w:cs="Times New Roman"/>
          <w:strike/>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   h) non è dovuta la commissione per il mancato perfezionamento delle operazioni finanziarie di cui all'articolo 10, comma 2, del decreto ministeriale 6 marzo 2017;</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8D24AE">
      <w:pPr>
        <w:jc w:val="both"/>
        <w:rPr>
          <w:rFonts w:cs="Times New Roman"/>
          <w:color w:val="auto"/>
          <w:sz w:val="24"/>
          <w:szCs w:val="24"/>
          <w:lang w:eastAsia="en-US"/>
        </w:rPr>
      </w:pPr>
      <w:r w:rsidRPr="00AD1B0C">
        <w:rPr>
          <w:rFonts w:cs="Times New Roman"/>
          <w:color w:val="auto"/>
          <w:sz w:val="24"/>
          <w:szCs w:val="24"/>
          <w:lang w:eastAsia="en-US"/>
        </w:rPr>
        <w:t>   i) per operazioni di investimento immobiliare nei settori turistico-alberghiero</w:t>
      </w:r>
      <w:r w:rsidR="008D24AE">
        <w:rPr>
          <w:rFonts w:cs="Times New Roman"/>
          <w:color w:val="auto"/>
          <w:sz w:val="24"/>
          <w:szCs w:val="24"/>
          <w:lang w:eastAsia="en-US"/>
        </w:rPr>
        <w:t xml:space="preserve"> </w:t>
      </w:r>
      <w:r w:rsidR="008D24AE">
        <w:rPr>
          <w:rFonts w:asciiTheme="minorHAnsi" w:hAnsiTheme="minorHAnsi"/>
          <w:b/>
          <w:color w:val="000000" w:themeColor="text1"/>
          <w:sz w:val="24"/>
          <w:szCs w:val="24"/>
        </w:rPr>
        <w:t>compreso il settore termale</w:t>
      </w:r>
      <w:r w:rsidR="008D24AE">
        <w:rPr>
          <w:rStyle w:val="Rimandonotaapidipagina"/>
          <w:rFonts w:asciiTheme="minorHAnsi" w:hAnsiTheme="minorHAnsi"/>
          <w:b/>
          <w:color w:val="000000" w:themeColor="text1"/>
          <w:sz w:val="24"/>
          <w:szCs w:val="24"/>
        </w:rPr>
        <w:footnoteReference w:id="54"/>
      </w:r>
      <w:r w:rsidRPr="00AD1B0C">
        <w:rPr>
          <w:rFonts w:cs="Times New Roman"/>
          <w:color w:val="auto"/>
          <w:sz w:val="24"/>
          <w:szCs w:val="24"/>
          <w:lang w:eastAsia="en-US"/>
        </w:rPr>
        <w:t xml:space="preserve"> e delle attività immobiliari, con durata minima di 10 anni e di importo superiore a euro </w:t>
      </w:r>
      <w:r w:rsidRPr="00AD1B0C">
        <w:rPr>
          <w:rFonts w:cs="Times New Roman"/>
          <w:color w:val="auto"/>
          <w:sz w:val="24"/>
          <w:szCs w:val="24"/>
          <w:lang w:eastAsia="en-US"/>
        </w:rPr>
        <w:lastRenderedPageBreak/>
        <w:t>500.000,00, la garanzia del Fondo può essere cumulata con altre forme di garanzia acquisite sui finanziamenti;</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   l) per le garanzie su specifici portafogli di finanziamenti, anche senza piano d'ammortamento, dedicati a imprese danneggiate dall'emergenza COVID-19, o appartenenti, per almeno il 60 per cento, a specifici settori e filiere colpiti dall'epidemia, la quota della tranche junior coperta dal Fondo può essere elevata del 50 per cento, ulteriormente incrementabile del 20 per cento in caso di intervento di ulteriori garanti;</w:t>
      </w:r>
    </w:p>
    <w:p w:rsidR="00AD1B0C" w:rsidRPr="00AD1B0C" w:rsidRDefault="00AD1B0C" w:rsidP="00AD1B0C">
      <w:pPr>
        <w:spacing w:after="160" w:line="259" w:lineRule="auto"/>
        <w:jc w:val="both"/>
        <w:rPr>
          <w:rFonts w:cs="Times New Roman"/>
          <w:color w:val="auto"/>
          <w:sz w:val="24"/>
          <w:szCs w:val="24"/>
          <w:lang w:eastAsia="en-US"/>
        </w:rPr>
      </w:pPr>
    </w:p>
    <w:p w:rsidR="00AD1B0C" w:rsidRDefault="00AD1B0C" w:rsidP="00037EE5">
      <w:pPr>
        <w:jc w:val="both"/>
        <w:rPr>
          <w:rFonts w:cs="Times New Roman"/>
          <w:color w:val="auto"/>
          <w:sz w:val="24"/>
          <w:szCs w:val="24"/>
          <w:lang w:eastAsia="en-US"/>
        </w:rPr>
      </w:pPr>
      <w:r w:rsidRPr="00AD1B0C">
        <w:rPr>
          <w:rFonts w:cs="Times New Roman"/>
          <w:color w:val="auto"/>
          <w:sz w:val="24"/>
          <w:szCs w:val="24"/>
          <w:lang w:eastAsia="en-US"/>
        </w:rPr>
        <w:t xml:space="preserve">   m) previa autorizzazione della Commissione Europea ai sensi dell'articolo 108 del TFUE, sono ammissibili alla garanzia del fondo, con copertura al 100 percento sia in garanzia diretta che in riassicurazione, i nuovi finanziamenti concessi da banche, intermediari finanziari di cui all'articolo 106 del Testo Unico bancario di cui al decreto legislativo 1° settembre 1993 n. 385 e dagli altri soggetti abilitati alla concessione di credito in favore di piccole e medie imprese e di persone fisiche esercenti attività di impresa, arti o professioni </w:t>
      </w:r>
      <w:r w:rsidR="004226BC" w:rsidRPr="000749BB">
        <w:rPr>
          <w:b/>
          <w:color w:val="000000" w:themeColor="text1"/>
          <w:sz w:val="24"/>
          <w:szCs w:val="24"/>
        </w:rPr>
        <w:t>nonché associazioni professiona</w:t>
      </w:r>
      <w:r w:rsidR="004226BC">
        <w:rPr>
          <w:b/>
          <w:color w:val="000000" w:themeColor="text1"/>
          <w:sz w:val="24"/>
          <w:szCs w:val="24"/>
        </w:rPr>
        <w:t>li e società tra professionisti</w:t>
      </w:r>
      <w:r w:rsidR="004226BC">
        <w:rPr>
          <w:rStyle w:val="Rimandonotaapidipagina"/>
          <w:b/>
          <w:color w:val="000000" w:themeColor="text1"/>
          <w:sz w:val="24"/>
          <w:szCs w:val="24"/>
        </w:rPr>
        <w:footnoteReference w:id="55"/>
      </w:r>
      <w:r w:rsidR="004226BC">
        <w:rPr>
          <w:b/>
          <w:color w:val="000000" w:themeColor="text1"/>
          <w:sz w:val="24"/>
          <w:szCs w:val="24"/>
        </w:rPr>
        <w:t xml:space="preserve"> </w:t>
      </w:r>
      <w:r w:rsidR="00037EE5" w:rsidRPr="006F5EDF">
        <w:rPr>
          <w:rFonts w:asciiTheme="minorHAnsi" w:hAnsiTheme="minorHAnsi"/>
          <w:b/>
          <w:color w:val="000000" w:themeColor="text1"/>
          <w:sz w:val="24"/>
          <w:szCs w:val="24"/>
        </w:rPr>
        <w:t>nonché da agenti di assicurazione, subagenti di assicurazione e broker iscritti alla rispettiva sezione del Registro unico degli intermediari assicurativi e riassicurativi,</w:t>
      </w:r>
      <w:r w:rsidR="00037EE5">
        <w:rPr>
          <w:rStyle w:val="Rimandonotaapidipagina"/>
          <w:rFonts w:asciiTheme="minorHAnsi" w:hAnsiTheme="minorHAnsi"/>
          <w:b/>
          <w:color w:val="000000" w:themeColor="text1"/>
          <w:sz w:val="24"/>
          <w:szCs w:val="24"/>
        </w:rPr>
        <w:footnoteReference w:id="56"/>
      </w:r>
      <w:r w:rsidR="00037EE5">
        <w:rPr>
          <w:rFonts w:asciiTheme="minorHAnsi" w:hAnsiTheme="minorHAnsi"/>
          <w:b/>
          <w:color w:val="000000" w:themeColor="text1"/>
          <w:sz w:val="24"/>
          <w:szCs w:val="24"/>
        </w:rPr>
        <w:t xml:space="preserve"> </w:t>
      </w:r>
      <w:r w:rsidRPr="00AD1B0C">
        <w:rPr>
          <w:rFonts w:cs="Times New Roman"/>
          <w:color w:val="auto"/>
          <w:sz w:val="24"/>
          <w:szCs w:val="24"/>
          <w:lang w:eastAsia="en-US"/>
        </w:rPr>
        <w:t xml:space="preserve">la cui attività d'impresa è stata danneggiata dall'emergenza COVID-19 come da dichiarazione autocertificata ai sensi dell'articolo 47 del decreto del Presidente della Repubblica 28 dicembre 2000 n. 445, purché tali finanziamenti prevedano l'inizio del rimborso del capitale non prima di 24 mesi dall'erogazione e abbiano una durata fino a </w:t>
      </w:r>
      <w:r w:rsidRPr="00012BB5">
        <w:rPr>
          <w:rFonts w:cs="Times New Roman"/>
          <w:strike/>
          <w:color w:val="auto"/>
          <w:sz w:val="24"/>
          <w:szCs w:val="24"/>
          <w:highlight w:val="yellow"/>
          <w:lang w:eastAsia="en-US"/>
        </w:rPr>
        <w:t xml:space="preserve">72 </w:t>
      </w:r>
      <w:r w:rsidRPr="00012BB5">
        <w:rPr>
          <w:rFonts w:cs="Times New Roman"/>
          <w:strike/>
          <w:color w:val="auto"/>
          <w:sz w:val="24"/>
          <w:szCs w:val="24"/>
          <w:highlight w:val="yellow"/>
          <w:lang w:eastAsia="en-US"/>
        </w:rPr>
        <w:lastRenderedPageBreak/>
        <w:t>mesi</w:t>
      </w:r>
      <w:r w:rsidRPr="00AD1B0C">
        <w:rPr>
          <w:rFonts w:cs="Times New Roman"/>
          <w:color w:val="auto"/>
          <w:sz w:val="24"/>
          <w:szCs w:val="24"/>
          <w:lang w:eastAsia="en-US"/>
        </w:rPr>
        <w:t xml:space="preserve"> </w:t>
      </w:r>
      <w:r w:rsidR="00012BB5" w:rsidRPr="006F5EDF">
        <w:rPr>
          <w:rFonts w:asciiTheme="minorHAnsi" w:hAnsiTheme="minorHAnsi"/>
          <w:b/>
          <w:color w:val="000000" w:themeColor="text1"/>
          <w:sz w:val="24"/>
          <w:szCs w:val="24"/>
        </w:rPr>
        <w:t>120 mesi</w:t>
      </w:r>
      <w:r w:rsidR="00012BB5">
        <w:rPr>
          <w:rStyle w:val="Rimandonotaapidipagina"/>
          <w:rFonts w:asciiTheme="minorHAnsi" w:hAnsiTheme="minorHAnsi"/>
          <w:b/>
          <w:color w:val="000000" w:themeColor="text1"/>
          <w:sz w:val="24"/>
          <w:szCs w:val="24"/>
        </w:rPr>
        <w:footnoteReference w:id="57"/>
      </w:r>
      <w:r w:rsidR="00012BB5" w:rsidRPr="00AD1B0C">
        <w:rPr>
          <w:rFonts w:cs="Times New Roman"/>
          <w:color w:val="auto"/>
          <w:sz w:val="24"/>
          <w:szCs w:val="24"/>
          <w:lang w:eastAsia="en-US"/>
        </w:rPr>
        <w:t xml:space="preserve"> </w:t>
      </w:r>
      <w:r w:rsidRPr="00AD1B0C">
        <w:rPr>
          <w:rFonts w:cs="Times New Roman"/>
          <w:color w:val="auto"/>
          <w:sz w:val="24"/>
          <w:szCs w:val="24"/>
          <w:lang w:eastAsia="en-US"/>
        </w:rPr>
        <w:t xml:space="preserve">e un importo </w:t>
      </w:r>
      <w:r w:rsidRPr="006E6FFB">
        <w:rPr>
          <w:rFonts w:cs="Times New Roman"/>
          <w:strike/>
          <w:color w:val="auto"/>
          <w:sz w:val="24"/>
          <w:szCs w:val="24"/>
          <w:highlight w:val="yellow"/>
          <w:lang w:eastAsia="en-US"/>
        </w:rPr>
        <w:t>non superiore al 25 per cento dell'ammontare dei ricavi del soggetto beneficiario</w:t>
      </w:r>
      <w:r w:rsidR="006E6FFB">
        <w:rPr>
          <w:rFonts w:cs="Times New Roman"/>
          <w:color w:val="auto"/>
          <w:sz w:val="24"/>
          <w:szCs w:val="24"/>
          <w:lang w:eastAsia="en-US"/>
        </w:rPr>
        <w:t xml:space="preserve"> </w:t>
      </w:r>
      <w:r w:rsidR="006E6FFB" w:rsidRPr="00BC5362">
        <w:rPr>
          <w:rFonts w:asciiTheme="minorHAnsi" w:hAnsiTheme="minorHAnsi"/>
          <w:b/>
          <w:color w:val="000000" w:themeColor="text1"/>
          <w:sz w:val="24"/>
          <w:szCs w:val="24"/>
        </w:rPr>
        <w:t>non superiore, alternativamente, anche tenuto conto di eventi calamitosi, ad uno degli importi di cui alla preced</w:t>
      </w:r>
      <w:r w:rsidR="006E6FFB">
        <w:rPr>
          <w:rFonts w:asciiTheme="minorHAnsi" w:hAnsiTheme="minorHAnsi"/>
          <w:b/>
          <w:color w:val="000000" w:themeColor="text1"/>
          <w:sz w:val="24"/>
          <w:szCs w:val="24"/>
        </w:rPr>
        <w:t>ente lettera c), numeri 1) o 2)</w:t>
      </w:r>
      <w:r w:rsidR="006E6FFB">
        <w:rPr>
          <w:rStyle w:val="Rimandonotaapidipagina"/>
          <w:rFonts w:asciiTheme="minorHAnsi" w:hAnsiTheme="minorHAnsi"/>
          <w:b/>
          <w:color w:val="000000" w:themeColor="text1"/>
          <w:sz w:val="24"/>
          <w:szCs w:val="24"/>
        </w:rPr>
        <w:footnoteReference w:id="58"/>
      </w:r>
      <w:r w:rsidR="006E6FFB">
        <w:rPr>
          <w:rFonts w:asciiTheme="minorHAnsi" w:hAnsiTheme="minorHAnsi"/>
          <w:color w:val="000000" w:themeColor="text1"/>
          <w:sz w:val="24"/>
          <w:szCs w:val="24"/>
        </w:rPr>
        <w:t xml:space="preserve">, </w:t>
      </w:r>
      <w:r w:rsidRPr="00AD1B0C">
        <w:rPr>
          <w:rFonts w:cs="Times New Roman"/>
          <w:color w:val="auto"/>
          <w:sz w:val="24"/>
          <w:szCs w:val="24"/>
          <w:lang w:eastAsia="en-US"/>
        </w:rPr>
        <w:t xml:space="preserve"> come risultante dall'ultimo bilancio depositato o dall'ultima dichiarazione fiscale presentata alla data della domanda di garanzia ovvero, </w:t>
      </w:r>
      <w:r w:rsidRPr="006E6FFB">
        <w:rPr>
          <w:rFonts w:cs="Times New Roman"/>
          <w:strike/>
          <w:color w:val="auto"/>
          <w:sz w:val="24"/>
          <w:szCs w:val="24"/>
          <w:highlight w:val="yellow"/>
          <w:lang w:eastAsia="en-US"/>
        </w:rPr>
        <w:t>per i soggetti beneficiari costituiti dopo il 1° gennaio 2019</w:t>
      </w:r>
      <w:r w:rsidR="006E6FFB">
        <w:rPr>
          <w:rStyle w:val="Rimandonotaapidipagina"/>
          <w:rFonts w:cs="Times New Roman"/>
          <w:strike/>
          <w:color w:val="auto"/>
          <w:sz w:val="24"/>
          <w:szCs w:val="24"/>
          <w:highlight w:val="yellow"/>
          <w:lang w:eastAsia="en-US"/>
        </w:rPr>
        <w:footnoteReference w:id="59"/>
      </w:r>
      <w:r w:rsidRPr="00AD1B0C">
        <w:rPr>
          <w:rFonts w:cs="Times New Roman"/>
          <w:color w:val="auto"/>
          <w:sz w:val="24"/>
          <w:szCs w:val="24"/>
          <w:lang w:eastAsia="en-US"/>
        </w:rPr>
        <w:t xml:space="preserve">, da altra idonea documentazione, anche </w:t>
      </w:r>
      <w:r w:rsidRPr="00AD1B0C">
        <w:rPr>
          <w:rFonts w:cs="Times New Roman"/>
          <w:color w:val="auto"/>
          <w:sz w:val="24"/>
          <w:szCs w:val="24"/>
          <w:lang w:eastAsia="en-US"/>
        </w:rPr>
        <w:lastRenderedPageBreak/>
        <w:t xml:space="preserve">mediante autocertificazione ai sensi dell'articolo 47 del decreto del Presidente della Repubblica 28 dicembre 2000 n. 445, e, comunque, non superiore a </w:t>
      </w:r>
      <w:r w:rsidRPr="009868D8">
        <w:rPr>
          <w:rFonts w:cs="Times New Roman"/>
          <w:strike/>
          <w:color w:val="auto"/>
          <w:sz w:val="24"/>
          <w:szCs w:val="24"/>
          <w:highlight w:val="yellow"/>
          <w:lang w:eastAsia="en-US"/>
        </w:rPr>
        <w:t>25.000,00 euro</w:t>
      </w:r>
      <w:r w:rsidR="009868D8">
        <w:rPr>
          <w:rFonts w:cs="Times New Roman"/>
          <w:color w:val="auto"/>
          <w:sz w:val="24"/>
          <w:szCs w:val="24"/>
          <w:lang w:eastAsia="en-US"/>
        </w:rPr>
        <w:t xml:space="preserve"> </w:t>
      </w:r>
      <w:r w:rsidR="009868D8" w:rsidRPr="00626EC0">
        <w:rPr>
          <w:rFonts w:asciiTheme="minorHAnsi" w:hAnsiTheme="minorHAnsi"/>
          <w:b/>
          <w:color w:val="000000" w:themeColor="text1"/>
          <w:sz w:val="24"/>
          <w:szCs w:val="24"/>
        </w:rPr>
        <w:t>30.000 euro</w:t>
      </w:r>
      <w:r w:rsidR="009868D8">
        <w:rPr>
          <w:rStyle w:val="Rimandonotaapidipagina"/>
          <w:rFonts w:asciiTheme="minorHAnsi" w:hAnsiTheme="minorHAnsi"/>
          <w:b/>
          <w:color w:val="000000" w:themeColor="text1"/>
          <w:sz w:val="24"/>
          <w:szCs w:val="24"/>
        </w:rPr>
        <w:footnoteReference w:id="60"/>
      </w:r>
      <w:r w:rsidRPr="00AD1B0C">
        <w:rPr>
          <w:rFonts w:cs="Times New Roman"/>
          <w:color w:val="auto"/>
          <w:sz w:val="24"/>
          <w:szCs w:val="24"/>
          <w:lang w:eastAsia="en-US"/>
        </w:rPr>
        <w:t xml:space="preserve">. Si ha un nuovo finanziamento quando, ad esito della concessione del finanziamento coperto da garanzia, l'ammontare complessivo delle esposizioni del finanziatore nei confronti del soggetto finanziato risulta superiore all'ammontare di esposizioni detenute alla data di entrata in vigore del presente decreto, corretto per le riduzioni delle esposizioni intervenute tra le due date in conseguenza del regolamento contrattuale stabilito tra le parti prima dell'entrata in vigore del presente decreto ovvero per decisione autonoma del soggetto finanziato. Nei casi di cessione o affitto di azienda con prosecuzione della medesima attività si considera altresì l'ammontare dei ricavi risultante dall'ultima dichiarazione dei redditi o dall'ultimo bilancio depositato dal cedente o dal locatore. In relazione alle predette operazioni, il soggetto richiedente applica all'operazione finanziaria un tasso di interesse, nel caso di garanzia diretta o un premio complessivo di garanzia, nel caso di riassicurazione, che tiene conto della sola copertura dei soli costi di istruttoria e di gestione dell'operazione finanziaria e, comunque, non superiore al tasso di </w:t>
      </w:r>
      <w:r w:rsidRPr="00012BB5">
        <w:rPr>
          <w:rFonts w:cs="Times New Roman"/>
          <w:strike/>
          <w:color w:val="auto"/>
          <w:sz w:val="24"/>
          <w:szCs w:val="24"/>
          <w:highlight w:val="yellow"/>
          <w:lang w:eastAsia="en-US"/>
        </w:rPr>
        <w:t>Rendistato con durata residua da 4 anni e 7 mesi a 6 anni e 6 mesi, maggiorato della differenza tra il CDS banche a 5 anni e il CDS ITA a 5 anni, come definiti dall'accordo quadro per l'anticipo finanziario a garanzia pensionistica di cui all'articolo 1, commi da 166 a 178 della legge 11 dicembre 2016, n. 232, maggiorato dello 0,20 per cento</w:t>
      </w:r>
      <w:r w:rsidR="00012BB5">
        <w:rPr>
          <w:rFonts w:cs="Times New Roman"/>
          <w:color w:val="auto"/>
          <w:sz w:val="24"/>
          <w:szCs w:val="24"/>
          <w:lang w:eastAsia="en-US"/>
        </w:rPr>
        <w:t xml:space="preserve"> </w:t>
      </w:r>
      <w:r w:rsidR="00012BB5" w:rsidRPr="0000422C">
        <w:rPr>
          <w:rFonts w:asciiTheme="minorHAnsi" w:hAnsiTheme="minorHAnsi"/>
          <w:b/>
          <w:color w:val="000000" w:themeColor="text1"/>
          <w:sz w:val="24"/>
          <w:szCs w:val="24"/>
        </w:rPr>
        <w:t xml:space="preserve">Rendistato con durata analoga al finanziamento, </w:t>
      </w:r>
      <w:r w:rsidR="00012BB5">
        <w:rPr>
          <w:rFonts w:asciiTheme="minorHAnsi" w:hAnsiTheme="minorHAnsi"/>
          <w:b/>
          <w:color w:val="000000" w:themeColor="text1"/>
          <w:sz w:val="24"/>
          <w:szCs w:val="24"/>
        </w:rPr>
        <w:t>maggiorato dello 0,20 per cento</w:t>
      </w:r>
      <w:r w:rsidR="00A35C5F">
        <w:rPr>
          <w:rStyle w:val="Rimandonotaapidipagina"/>
          <w:rFonts w:asciiTheme="minorHAnsi" w:hAnsiTheme="minorHAnsi"/>
          <w:b/>
          <w:color w:val="000000" w:themeColor="text1"/>
          <w:sz w:val="24"/>
          <w:szCs w:val="24"/>
        </w:rPr>
        <w:footnoteReference w:id="61"/>
      </w:r>
      <w:r w:rsidR="00012BB5">
        <w:rPr>
          <w:rFonts w:asciiTheme="minorHAnsi" w:hAnsiTheme="minorHAnsi"/>
          <w:color w:val="000000" w:themeColor="text1"/>
          <w:sz w:val="24"/>
          <w:szCs w:val="24"/>
        </w:rPr>
        <w:t>.</w:t>
      </w:r>
      <w:r w:rsidRPr="00AD1B0C">
        <w:rPr>
          <w:rFonts w:cs="Times New Roman"/>
          <w:color w:val="auto"/>
          <w:sz w:val="24"/>
          <w:szCs w:val="24"/>
          <w:lang w:eastAsia="en-US"/>
        </w:rPr>
        <w:t xml:space="preserve"> In favore di tali soggetti beneficiari l'intervento del Fondo centrale di garanzia per le </w:t>
      </w:r>
      <w:r w:rsidRPr="00AD1B0C">
        <w:rPr>
          <w:rFonts w:cs="Times New Roman"/>
          <w:color w:val="auto"/>
          <w:sz w:val="24"/>
          <w:szCs w:val="24"/>
          <w:lang w:eastAsia="en-US"/>
        </w:rPr>
        <w:lastRenderedPageBreak/>
        <w:t>piccole e medie imprese è concesso automaticamente, gratuitamente e senza valutazione e il soggetto finanziatore eroga il finanziamento coperto dalla garanzia del Fondo, subordinatamente alla verifica formale del possesso dei requisiti, senza attendere l'esito definitivo dell'istruttoria da parte del gestore del Fondo medesimo.</w:t>
      </w:r>
      <w:r w:rsidR="00690660">
        <w:rPr>
          <w:rFonts w:cs="Times New Roman"/>
          <w:color w:val="auto"/>
          <w:sz w:val="24"/>
          <w:szCs w:val="24"/>
          <w:lang w:eastAsia="en-US"/>
        </w:rPr>
        <w:t xml:space="preserve"> </w:t>
      </w:r>
      <w:r w:rsidR="00690660" w:rsidRPr="00930721">
        <w:rPr>
          <w:b/>
          <w:color w:val="000000" w:themeColor="text1"/>
          <w:sz w:val="24"/>
          <w:szCs w:val="24"/>
        </w:rPr>
        <w:t>La garanzia è altresì concessa in favore di beneficiari finali che presentano esposizioni che, anche prima del 31 gennaio 2020, sono state classificate come inadempienze probabili o esposizioni scadute e/o sconfinanti deteriorate ai sensi delle avvertenze generali, parte B), paragrafo 2, della circolare n. 272 del 30 luglio 2008 della Banca d'Italia, a condizione che le predette esposizioni alla data della richiesta del finanziamento non siano più classificabili come esposizioni deteriorate ai sensi dell'articolo 47-bis, paragrafo 4, del regolamento (UE) n. 575/2013 del Parlamento europeo e del Consiglio, del 26 giugno 2013. Nel caso in cui le predette esposizioni siano state oggetto di misure di concessione, la garanzia è altresì concessa in favore dei beneficiari finali a condizione che le stesse esposizioni non siano classificabili come esposizioni deteriorate ai sensi del citato articolo 47-bis, paragrafo 6, del regolamento (UE) n. 575/2013, ad eccezione di quanto disposto dalla let</w:t>
      </w:r>
      <w:r w:rsidR="00690660">
        <w:rPr>
          <w:b/>
          <w:color w:val="000000" w:themeColor="text1"/>
          <w:sz w:val="24"/>
          <w:szCs w:val="24"/>
        </w:rPr>
        <w:t>tera b) del medesimo paragrafo.</w:t>
      </w:r>
      <w:r w:rsidR="00690660">
        <w:rPr>
          <w:rStyle w:val="Rimandonotaapidipagina"/>
          <w:b/>
          <w:color w:val="000000" w:themeColor="text1"/>
          <w:sz w:val="24"/>
          <w:szCs w:val="24"/>
        </w:rPr>
        <w:footnoteReference w:id="62"/>
      </w:r>
    </w:p>
    <w:p w:rsidR="00012BB5" w:rsidRPr="0000422C" w:rsidRDefault="00012BB5" w:rsidP="00012BB5">
      <w:pPr>
        <w:jc w:val="both"/>
        <w:rPr>
          <w:rFonts w:asciiTheme="minorHAnsi" w:hAnsiTheme="minorHAnsi"/>
          <w:b/>
          <w:color w:val="000000" w:themeColor="text1"/>
          <w:sz w:val="24"/>
          <w:szCs w:val="24"/>
        </w:rPr>
      </w:pPr>
      <w:proofErr w:type="gramStart"/>
      <w:r w:rsidRPr="0000422C">
        <w:rPr>
          <w:rFonts w:asciiTheme="minorHAnsi" w:hAnsiTheme="minorHAnsi"/>
          <w:b/>
          <w:color w:val="000000" w:themeColor="text1"/>
          <w:sz w:val="24"/>
          <w:szCs w:val="24"/>
        </w:rPr>
        <w:t>m-bis</w:t>
      </w:r>
      <w:proofErr w:type="gramEnd"/>
      <w:r w:rsidRPr="0000422C">
        <w:rPr>
          <w:rFonts w:asciiTheme="minorHAnsi" w:hAnsiTheme="minorHAnsi"/>
          <w:b/>
          <w:color w:val="000000" w:themeColor="text1"/>
          <w:sz w:val="24"/>
          <w:szCs w:val="24"/>
        </w:rPr>
        <w:t>) per i finanziamenti di cui alla lettera m) concessi fino alla data di conversione in legge del presente decreto, i soggetti richiedenti possono chiedere, con riguardo all'importo finanziato e alla durata, l'adeguamento del finanziamento alle nuove condizioni introdotte dalla legge di conversione in legge del presente decreto.</w:t>
      </w:r>
      <w:r w:rsidR="00A35C5F">
        <w:rPr>
          <w:rStyle w:val="Rimandonotaapidipagina"/>
          <w:rFonts w:asciiTheme="minorHAnsi" w:hAnsiTheme="minorHAnsi"/>
          <w:b/>
          <w:color w:val="000000" w:themeColor="text1"/>
          <w:sz w:val="24"/>
          <w:szCs w:val="24"/>
        </w:rPr>
        <w:footnoteReference w:id="63"/>
      </w:r>
    </w:p>
    <w:p w:rsidR="00AD1B0C" w:rsidRPr="00AD1B0C" w:rsidRDefault="00AD1B0C" w:rsidP="00AD1B0C">
      <w:pPr>
        <w:spacing w:after="160" w:line="259" w:lineRule="auto"/>
        <w:jc w:val="both"/>
        <w:rPr>
          <w:rFonts w:cs="Times New Roman"/>
          <w:color w:val="auto"/>
          <w:sz w:val="24"/>
          <w:szCs w:val="24"/>
          <w:lang w:eastAsia="en-US"/>
        </w:rPr>
      </w:pPr>
    </w:p>
    <w:p w:rsidR="00AD1B0C" w:rsidRPr="00F93539" w:rsidRDefault="00AD1B0C" w:rsidP="00F93539">
      <w:pPr>
        <w:jc w:val="both"/>
        <w:rPr>
          <w:rFonts w:asciiTheme="minorHAnsi" w:hAnsiTheme="minorHAnsi"/>
          <w:b/>
          <w:color w:val="000000" w:themeColor="text1"/>
          <w:sz w:val="24"/>
          <w:szCs w:val="24"/>
        </w:rPr>
      </w:pPr>
      <w:r w:rsidRPr="00AD1B0C">
        <w:rPr>
          <w:rFonts w:cs="Times New Roman"/>
          <w:color w:val="auto"/>
          <w:sz w:val="24"/>
          <w:szCs w:val="24"/>
          <w:lang w:eastAsia="en-US"/>
        </w:rPr>
        <w:t xml:space="preserve">   n) in favore dei soggetti beneficiari con ammontare di ricavi non superiore a 3.200.000 euro, la cui attività d'impresa è stata danneggiata dall'emergenza COVID-19 come da dichiarazione autocertificata ai sensi dell'articolo 47 del decreto del Presidente della Repubblica 28 dicembre 2000 n. 445, la garanzia di cui alla lettera c) può essere cumulata con un'ulteriore garanzia concessa da confidi o altri soggetti abilitati al rilascio di garanzie, a valere su risorse proprie, sino alla copertura del 100 per cento del finanziamento concesso. La predetta garanzia può essere rilasciata per prestiti di importo </w:t>
      </w:r>
      <w:r w:rsidRPr="006E6FFB">
        <w:rPr>
          <w:rFonts w:cs="Times New Roman"/>
          <w:strike/>
          <w:color w:val="auto"/>
          <w:sz w:val="24"/>
          <w:szCs w:val="24"/>
          <w:highlight w:val="yellow"/>
          <w:lang w:eastAsia="en-US"/>
        </w:rPr>
        <w:t>non superiore al 25 per cento dei ricavi del soggetto beneficiario</w:t>
      </w:r>
      <w:r w:rsidR="006E6FFB">
        <w:rPr>
          <w:rFonts w:cs="Times New Roman"/>
          <w:color w:val="auto"/>
          <w:sz w:val="24"/>
          <w:szCs w:val="24"/>
          <w:lang w:eastAsia="en-US"/>
        </w:rPr>
        <w:t xml:space="preserve"> </w:t>
      </w:r>
      <w:r w:rsidR="006E6FFB" w:rsidRPr="00BC5362">
        <w:rPr>
          <w:rFonts w:asciiTheme="minorHAnsi" w:hAnsiTheme="minorHAnsi"/>
          <w:b/>
          <w:color w:val="000000" w:themeColor="text1"/>
          <w:sz w:val="24"/>
          <w:szCs w:val="24"/>
        </w:rPr>
        <w:t>non superiore, alternativamente, a uno degli importi di cui alla preced</w:t>
      </w:r>
      <w:r w:rsidR="006E6FFB">
        <w:rPr>
          <w:rFonts w:asciiTheme="minorHAnsi" w:hAnsiTheme="minorHAnsi"/>
          <w:b/>
          <w:color w:val="000000" w:themeColor="text1"/>
          <w:sz w:val="24"/>
          <w:szCs w:val="24"/>
        </w:rPr>
        <w:t>ente lettera c), numeri 1) o 2)</w:t>
      </w:r>
      <w:r w:rsidR="006E6FFB">
        <w:rPr>
          <w:rStyle w:val="Rimandonotaapidipagina"/>
          <w:rFonts w:asciiTheme="minorHAnsi" w:hAnsiTheme="minorHAnsi"/>
          <w:b/>
          <w:color w:val="000000" w:themeColor="text1"/>
          <w:sz w:val="24"/>
          <w:szCs w:val="24"/>
        </w:rPr>
        <w:footnoteReference w:id="64"/>
      </w:r>
      <w:r w:rsidRPr="00AD1B0C">
        <w:rPr>
          <w:rFonts w:cs="Times New Roman"/>
          <w:color w:val="auto"/>
          <w:sz w:val="24"/>
          <w:szCs w:val="24"/>
          <w:lang w:eastAsia="en-US"/>
        </w:rPr>
        <w:t xml:space="preserve">. Si ha un nuovo finanziamento quando, ad esito della concessione del finanziamento coperto da garanzia, l'ammontare complessivo delle esposizioni del finanziatore nei confronti del soggetto finanziato risulta superiore all'ammontare di esposizioni detenute alla data di entrata in vigore del presente decreto, corretto per le riduzioni delle esposizioni intervenute tra le due date in conseguenza del regolamento contrattuale stabilito tra le parti prima dell'entrata in vigore del presente decreto ovvero per decisione autonoma del soggetto </w:t>
      </w:r>
      <w:r w:rsidRPr="00AD1B0C">
        <w:rPr>
          <w:rFonts w:cs="Times New Roman"/>
          <w:color w:val="auto"/>
          <w:sz w:val="24"/>
          <w:szCs w:val="24"/>
          <w:lang w:eastAsia="en-US"/>
        </w:rPr>
        <w:lastRenderedPageBreak/>
        <w:t>finanziato) le Regioni, i Comuni, gli enti locali, le Camere di Commercio, anche per il tramite di Unioncamere, le Amministrazioni di settore, anche unitamente alle associazioni e gli enti di riferimento, possono conferire risorse al Fondo ai fini della costituzione di sezioni speciali finalizzate a sostenere l'accesso al credito, anche a favore di determinati settori economici o filiere d'impresa</w:t>
      </w:r>
      <w:r w:rsidR="00F93539">
        <w:rPr>
          <w:rFonts w:cs="Times New Roman"/>
          <w:color w:val="auto"/>
          <w:sz w:val="24"/>
          <w:szCs w:val="24"/>
          <w:lang w:eastAsia="en-US"/>
        </w:rPr>
        <w:t xml:space="preserve"> </w:t>
      </w:r>
      <w:r w:rsidR="00F93539" w:rsidRPr="00626EC0">
        <w:rPr>
          <w:rFonts w:asciiTheme="minorHAnsi" w:hAnsiTheme="minorHAnsi"/>
          <w:b/>
          <w:color w:val="000000" w:themeColor="text1"/>
          <w:sz w:val="24"/>
          <w:szCs w:val="24"/>
        </w:rPr>
        <w:t>e reti d'impresa di cui all'articolo 3, comma 4-ter e seguenti, del decreto-legge 10 febbraio 2009, n. 5, convertito, con modificazioni, da</w:t>
      </w:r>
      <w:r w:rsidR="00F93539">
        <w:rPr>
          <w:rFonts w:asciiTheme="minorHAnsi" w:hAnsiTheme="minorHAnsi"/>
          <w:b/>
          <w:color w:val="000000" w:themeColor="text1"/>
          <w:sz w:val="24"/>
          <w:szCs w:val="24"/>
        </w:rPr>
        <w:t>lla legge 9 aprile 2009, n. 33</w:t>
      </w:r>
      <w:r w:rsidR="00F93539">
        <w:rPr>
          <w:rStyle w:val="Rimandonotaapidipagina"/>
          <w:rFonts w:asciiTheme="minorHAnsi" w:hAnsiTheme="minorHAnsi"/>
          <w:b/>
          <w:color w:val="000000" w:themeColor="text1"/>
          <w:sz w:val="24"/>
          <w:szCs w:val="24"/>
        </w:rPr>
        <w:footnoteReference w:id="65"/>
      </w:r>
      <w:r w:rsidR="001533B3">
        <w:rPr>
          <w:rFonts w:asciiTheme="minorHAnsi" w:hAnsiTheme="minorHAnsi"/>
          <w:b/>
          <w:color w:val="000000" w:themeColor="text1"/>
          <w:sz w:val="24"/>
          <w:szCs w:val="24"/>
        </w:rPr>
        <w:t xml:space="preserve">. </w:t>
      </w:r>
      <w:r w:rsidR="001533B3" w:rsidRPr="00626EC0">
        <w:rPr>
          <w:rFonts w:asciiTheme="minorHAnsi" w:hAnsiTheme="minorHAnsi"/>
          <w:b/>
          <w:color w:val="000000" w:themeColor="text1"/>
          <w:sz w:val="24"/>
          <w:szCs w:val="24"/>
        </w:rPr>
        <w:t>Nei finanziamenti di cui al periodo precedente, la garanzia è estesa esclusivamente alla quota di credito incrementale rispe</w:t>
      </w:r>
      <w:r w:rsidR="001533B3">
        <w:rPr>
          <w:rFonts w:asciiTheme="minorHAnsi" w:hAnsiTheme="minorHAnsi"/>
          <w:b/>
          <w:color w:val="000000" w:themeColor="text1"/>
          <w:sz w:val="24"/>
          <w:szCs w:val="24"/>
        </w:rPr>
        <w:t>tto alle esposizioni pregresse</w:t>
      </w:r>
      <w:r w:rsidR="001533B3">
        <w:rPr>
          <w:rStyle w:val="Rimandonotaapidipagina"/>
          <w:rFonts w:asciiTheme="minorHAnsi" w:hAnsiTheme="minorHAnsi"/>
          <w:b/>
          <w:color w:val="000000" w:themeColor="text1"/>
          <w:sz w:val="24"/>
          <w:szCs w:val="24"/>
        </w:rPr>
        <w:footnoteReference w:id="66"/>
      </w:r>
      <w:r w:rsidR="007E5AE3">
        <w:rPr>
          <w:rFonts w:asciiTheme="minorHAnsi" w:hAnsiTheme="minorHAnsi"/>
          <w:b/>
          <w:color w:val="000000" w:themeColor="text1"/>
          <w:sz w:val="24"/>
          <w:szCs w:val="24"/>
        </w:rPr>
        <w:t xml:space="preserve">. </w:t>
      </w:r>
      <w:r w:rsidR="007E5AE3" w:rsidRPr="00626EC0">
        <w:rPr>
          <w:rFonts w:asciiTheme="minorHAnsi" w:hAnsiTheme="minorHAnsi"/>
          <w:b/>
          <w:color w:val="000000" w:themeColor="text1"/>
          <w:sz w:val="24"/>
          <w:szCs w:val="24"/>
        </w:rPr>
        <w:t>Nei casi di cessione o affitto di azienda con prosecuzione della medesima attività si considera altresì l'ammontare dei ricavi risultante dall'ultima dichiarazione dei redditi o dall'ultimo bilancio deposit</w:t>
      </w:r>
      <w:r w:rsidR="007E5AE3">
        <w:rPr>
          <w:rFonts w:asciiTheme="minorHAnsi" w:hAnsiTheme="minorHAnsi"/>
          <w:b/>
          <w:color w:val="000000" w:themeColor="text1"/>
          <w:sz w:val="24"/>
          <w:szCs w:val="24"/>
        </w:rPr>
        <w:t>ato dal cedente o dal locatore</w:t>
      </w:r>
      <w:r w:rsidR="007E5AE3">
        <w:rPr>
          <w:rStyle w:val="Rimandonotaapidipagina"/>
          <w:rFonts w:asciiTheme="minorHAnsi" w:hAnsiTheme="minorHAnsi"/>
          <w:b/>
          <w:color w:val="000000" w:themeColor="text1"/>
          <w:sz w:val="24"/>
          <w:szCs w:val="24"/>
        </w:rPr>
        <w:footnoteReference w:id="67"/>
      </w:r>
      <w:r w:rsidRPr="00AD1B0C">
        <w:rPr>
          <w:rFonts w:cs="Times New Roman"/>
          <w:color w:val="auto"/>
          <w:sz w:val="24"/>
          <w:szCs w:val="24"/>
          <w:lang w:eastAsia="en-US"/>
        </w:rPr>
        <w:t>;</w:t>
      </w:r>
    </w:p>
    <w:p w:rsidR="00AD1B0C" w:rsidRDefault="00AD1B0C" w:rsidP="00AD1B0C">
      <w:pPr>
        <w:spacing w:after="160" w:line="259" w:lineRule="auto"/>
        <w:jc w:val="both"/>
        <w:rPr>
          <w:rFonts w:cs="Times New Roman"/>
          <w:color w:val="auto"/>
          <w:sz w:val="24"/>
          <w:szCs w:val="24"/>
          <w:lang w:eastAsia="en-US"/>
        </w:rPr>
      </w:pPr>
    </w:p>
    <w:p w:rsidR="00A55601" w:rsidRPr="007466A9" w:rsidRDefault="00A55601" w:rsidP="00A55601">
      <w:pPr>
        <w:jc w:val="both"/>
        <w:rPr>
          <w:rFonts w:asciiTheme="minorHAnsi" w:hAnsiTheme="minorHAnsi"/>
          <w:b/>
          <w:color w:val="000000" w:themeColor="text1"/>
          <w:sz w:val="24"/>
          <w:szCs w:val="24"/>
        </w:rPr>
      </w:pPr>
      <w:r w:rsidRPr="007466A9">
        <w:rPr>
          <w:rFonts w:asciiTheme="minorHAnsi" w:hAnsiTheme="minorHAnsi"/>
          <w:b/>
          <w:color w:val="000000" w:themeColor="text1"/>
          <w:sz w:val="24"/>
          <w:szCs w:val="24"/>
        </w:rPr>
        <w:t>n-bis) previa autorizzazione della Commissione UE al fine di rafforzare il supporto all'emergenza COVID-19 prestato dalle cooperative e dai consorzi di garanzia collettiva fidi di cui all'articolo 13 del decreto-legge 30 settembre 2003, n. 269, convertito, con modificazioni, dalla legge 24 novembre 2003, n. 326, i soggetti di cui all'articolo 3 del decreto del Ministro dello sviluppo economico di concerto con il Ministero dell'economia e delle finanze del 3 gennaio 2017, possono imputare al fondo consortile, al capitale sociale o ad apposita riserva i fondi rischi e gli altri fondi o riserve patrimoniali costituiti da contributi pubblici, con esclusione di quelli derivanti dalle attribuzioni annuali di cui alla legge 7 marzo 1996, n. 108, esistenti alla data del 31 dicembre 2019. Tali risorse sono attribuite unitariamente al patrimonio netto, anche ai fini di vigilanza, dei relativi confidi, senza vincoli di destinazione. Le eventuali azioni o quote corrispondenti</w:t>
      </w:r>
      <w:r w:rsidRPr="007466A9">
        <w:rPr>
          <w:b/>
          <w:color w:val="000000" w:themeColor="text1"/>
          <w:sz w:val="24"/>
          <w:szCs w:val="24"/>
        </w:rPr>
        <w:t xml:space="preserve"> </w:t>
      </w:r>
      <w:r w:rsidRPr="007466A9">
        <w:rPr>
          <w:rFonts w:asciiTheme="minorHAnsi" w:hAnsiTheme="minorHAnsi"/>
          <w:b/>
          <w:color w:val="000000" w:themeColor="text1"/>
          <w:sz w:val="24"/>
          <w:szCs w:val="24"/>
        </w:rPr>
        <w:t xml:space="preserve">costituiscono azioni o quote proprie delle banche o dei confidi e non attribuiscono alcun diritto patrimoniale o amministrativo né sono computate nel capitale sociale o nel fondo consortile ai fini del calcolo delle quote richieste per </w:t>
      </w:r>
      <w:r w:rsidRPr="007466A9">
        <w:rPr>
          <w:rFonts w:asciiTheme="minorHAnsi" w:hAnsiTheme="minorHAnsi"/>
          <w:b/>
          <w:color w:val="000000" w:themeColor="text1"/>
          <w:sz w:val="24"/>
          <w:szCs w:val="24"/>
        </w:rPr>
        <w:lastRenderedPageBreak/>
        <w:t>la costituzione e per le deliberazioni dell'assemblea. La relativa delibera, da assumere entro centottanta giorni dall'approvazione del bilancio, è di comp</w:t>
      </w:r>
      <w:r w:rsidR="00522252">
        <w:rPr>
          <w:rFonts w:asciiTheme="minorHAnsi" w:hAnsiTheme="minorHAnsi"/>
          <w:b/>
          <w:color w:val="000000" w:themeColor="text1"/>
          <w:sz w:val="24"/>
          <w:szCs w:val="24"/>
        </w:rPr>
        <w:t>etenza dell'assemblea ordinaria.</w:t>
      </w:r>
      <w:r>
        <w:rPr>
          <w:rStyle w:val="Rimandonotaapidipagina"/>
          <w:rFonts w:asciiTheme="minorHAnsi" w:hAnsiTheme="minorHAnsi"/>
          <w:b/>
          <w:color w:val="000000" w:themeColor="text1"/>
          <w:sz w:val="24"/>
          <w:szCs w:val="24"/>
        </w:rPr>
        <w:footnoteReference w:id="68"/>
      </w:r>
    </w:p>
    <w:p w:rsidR="00A55601" w:rsidRPr="00AD1B0C" w:rsidRDefault="00A55601"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   o) sono prorogati per tre mesi tutti i termini riferiti agli adempimenti amministrativi relativi alle operazioni assistite dalla garanzia del Fondo;</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   p) la garanzia del Fondo può essere richiesta anche su operazioni finanziarie già perfezionate ed erogate dal soggetto finanziatore da non oltre 3 mesi dalla data di presentazione della richiesta e, comunque, in data successiva al 31 gennaio 2020. In tali casi, il soggetto finanziatore deve trasmettere al gestore del Fondo una dichiarazione attestante la riduzione del tasso di interesse applicata, sul finanziamento garantito, al soggetto beneficiario per effetto della sopravvenuta concessione della garanzia.</w:t>
      </w:r>
    </w:p>
    <w:p w:rsidR="00522252" w:rsidRPr="007466A9" w:rsidRDefault="00522252" w:rsidP="00522252">
      <w:pPr>
        <w:jc w:val="both"/>
        <w:rPr>
          <w:rFonts w:asciiTheme="minorHAnsi" w:hAnsiTheme="minorHAnsi"/>
          <w:b/>
          <w:color w:val="000000" w:themeColor="text1"/>
          <w:sz w:val="24"/>
          <w:szCs w:val="24"/>
        </w:rPr>
      </w:pPr>
      <w:r w:rsidRPr="007466A9">
        <w:rPr>
          <w:rFonts w:asciiTheme="minorHAnsi" w:hAnsiTheme="minorHAnsi"/>
          <w:b/>
          <w:color w:val="000000" w:themeColor="text1"/>
          <w:sz w:val="24"/>
          <w:szCs w:val="24"/>
        </w:rPr>
        <w:t xml:space="preserve">   p-bis) per i finanziamenti </w:t>
      </w:r>
      <w:proofErr w:type="gramStart"/>
      <w:r w:rsidRPr="007466A9">
        <w:rPr>
          <w:rFonts w:asciiTheme="minorHAnsi" w:hAnsiTheme="minorHAnsi"/>
          <w:b/>
          <w:color w:val="000000" w:themeColor="text1"/>
          <w:sz w:val="24"/>
          <w:szCs w:val="24"/>
        </w:rPr>
        <w:t xml:space="preserve">di </w:t>
      </w:r>
      <w:proofErr w:type="gramEnd"/>
      <w:r w:rsidRPr="007466A9">
        <w:rPr>
          <w:rFonts w:asciiTheme="minorHAnsi" w:hAnsiTheme="minorHAnsi"/>
          <w:b/>
          <w:color w:val="000000" w:themeColor="text1"/>
          <w:sz w:val="24"/>
          <w:szCs w:val="24"/>
        </w:rPr>
        <w:t>importo superiore ai 25.000 euro la garanzia è rilasciata con la possibilità per le imprese di avvalersi di un preammortamento fino a 24 mesi.</w:t>
      </w:r>
      <w:r>
        <w:rPr>
          <w:rStyle w:val="Rimandonotaapidipagina"/>
          <w:rFonts w:asciiTheme="minorHAnsi" w:hAnsiTheme="minorHAnsi"/>
          <w:b/>
          <w:color w:val="000000" w:themeColor="text1"/>
          <w:sz w:val="24"/>
          <w:szCs w:val="24"/>
        </w:rPr>
        <w:footnoteReference w:id="69"/>
      </w:r>
    </w:p>
    <w:p w:rsidR="00522252" w:rsidRPr="00D6163D" w:rsidRDefault="00522252" w:rsidP="00522252">
      <w:pPr>
        <w:jc w:val="both"/>
        <w:rPr>
          <w:rFonts w:asciiTheme="minorHAnsi" w:hAnsiTheme="minorHAnsi"/>
          <w:color w:val="000000" w:themeColor="text1"/>
          <w:sz w:val="24"/>
          <w:szCs w:val="24"/>
        </w:rPr>
      </w:pP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Fino al 31 dicembre 2020, in deroga alla vigente disciplina del Fondo di cui all'articolo 2, comma 100, lett. a) della legge 23 dicembre 1996, n. 662, per le garanzie su portafogli di finanziamenti, anche senza piano d'ammortamento, dedicati a imprese danneggiate dall'emergenza COVID-19, costituiti per almeno il 20 per cento da imprese aventi, alla data di inclusione dell'operazione nel portafoglio, un rating, determinato dal soggetto richiedente sulla base dei propri modelli interni, non superiore alla classe «BB» della scala di valutazione Standard's and Poor's, sono applicate le seguenti misure:</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l'ammontare massimo dei portafogli di finanziamenti è innalzato a euro 500 milioni;</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i finanziamenti hanno le caratteristiche di durata e importo previste dal comma 1, lettera c), e possono essere deliberati, perfezionati ed erogati dal soggetto finanziatore prima della richiesta di garanzia sul portafoglio di finanziamenti ma comunque in data successiva al 31 gennaio 2020;</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   c) i soggetti beneficiari sono ammessi senza la valutazione del merito di credito da parte del Gestore del Fondo;</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   d) il punto di stacco e lo spessore della tranche junior del portafoglio di finanziamenti sono determinati utilizzando la probabilità di default calcolata dal soggetto richiedente sulla base dei propri modelli interni;</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   e) la garanzia è concessa a copertura di una quota non superiore al 90 per cento della tranche junior del portafoglio di finanziamenti;</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   f) la quota della tranche junior coperta dal Fondo, fatto salvo quanto previsto dall'articolo 8, comma 2, del decreto interministeriale del 14 novembre 2017, non può superare il 15 percento dell'ammontare del portafoglio di finanziamenti, ovvero il 18 percento, nel caso in cui il portafoglio abbia ad oggetto finanziamenti concessi a fronte della realizzazione di progetti di ricerca, sviluppo e innovazione e/o di programmi di investimenti;</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   g) in relazione ai singoli finanziamenti inclusi nel portafoglio garantito, il Fondo copre il 90 percento della perdita registrata sul singolo finanziamento;</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   h) i finanziamenti possono essere concessi anche in favore delle imprese ubicate nelle regioni sul cui territorio è stata disposta la limitazione dell'intervento del predetto Fondo di garanzia per le piccole e medie imprese di cui all'articolo 2, comma 100, lettera a), della legge 23 dicembre 1996, n. 662, alla sola controgaranzia dei fondi di garanzia regionali e dei consorzi di garanzia collettiva.</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  3. All'articolo 18, comma 2 del decreto-legge 30 aprile 2019, n. 34, convertito, con modificazioni, dalla legge 28 giugno 2019, n. 58, le parole «fino al 31 dicembre 2020» sono sostituite dalle seguenti «fino al 10 aprile 2020».</w:t>
      </w:r>
    </w:p>
    <w:p w:rsid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  4. Previa autorizzazione della Commissione Europea ai sensi dell'articolo 108 del TFUE, la garanzia dei confidi di cui all'articolo 13, comma 1, del decreto-legge 30 settembre 2003, n. 269, convertito, con modificazioni, dalla legge 24 novembre 2003, n. 326, a valere sulle risorse dei fondi rischi di natura comunitaria, nazionale, regionale e camerale, può essere concessa sui finanziamenti erogati alle piccole e medie imprese a copertura della quota dei finanziamenti stessi non coperta dalla garanzia del Fondo di cui all'articolo 2, comma 100, lettera a), della legge 23 dicembre 1996, n. 662, ovvero di altri fondi di garanzia di natura pubblica.</w:t>
      </w:r>
    </w:p>
    <w:p w:rsidR="0078197C" w:rsidRPr="00930721" w:rsidRDefault="0078197C" w:rsidP="0078197C">
      <w:pPr>
        <w:jc w:val="both"/>
        <w:rPr>
          <w:b/>
          <w:color w:val="000000" w:themeColor="text1"/>
          <w:sz w:val="24"/>
          <w:szCs w:val="24"/>
        </w:rPr>
      </w:pPr>
      <w:r w:rsidRPr="00930721">
        <w:rPr>
          <w:b/>
          <w:color w:val="000000" w:themeColor="text1"/>
          <w:sz w:val="24"/>
          <w:szCs w:val="24"/>
        </w:rPr>
        <w:t>4-bis. Le camere di commercio, industria, artigianato e agricoltura, anche tramite propri organismi consortili, con le risorse umane, finanziarie e strumentali esistenti a legislazione vigente, al fine di favorire l'accesso al credito da parte delle piccole e medie imprese possono, anche con la costituzione di appositi fondi, concedere contributi alle piccole e medie imprese in conto commissioni di garanzia su operazioni finanziarie ammesse alla riassicurazione del Fondo di garanzia di cui all'articolo 2, comma 1000, lettera a) della legge 23 dicembre 1996, n. 662, al fine di contenere i costi delle garanzie concesse da soggetti garanti autorizzati.</w:t>
      </w:r>
    </w:p>
    <w:p w:rsidR="0078197C" w:rsidRPr="00AD1B0C" w:rsidRDefault="0078197C" w:rsidP="0078197C">
      <w:pPr>
        <w:jc w:val="both"/>
        <w:rPr>
          <w:rFonts w:cs="Times New Roman"/>
          <w:color w:val="auto"/>
          <w:sz w:val="24"/>
          <w:szCs w:val="24"/>
          <w:lang w:eastAsia="en-US"/>
        </w:rPr>
      </w:pPr>
      <w:r w:rsidRPr="00930721">
        <w:rPr>
          <w:b/>
          <w:color w:val="000000" w:themeColor="text1"/>
          <w:sz w:val="24"/>
          <w:szCs w:val="24"/>
        </w:rPr>
        <w:t>  4-ter. Dall'attuazione delle disposizioni di cui al comma 4-bis non devono derivare nuovi o maggiori oneri per la finanza pubblica.</w:t>
      </w:r>
      <w:r>
        <w:rPr>
          <w:rStyle w:val="Rimandonotaapidipagina"/>
          <w:b/>
          <w:color w:val="000000" w:themeColor="text1"/>
          <w:sz w:val="24"/>
          <w:szCs w:val="24"/>
        </w:rPr>
        <w:footnoteReference w:id="70"/>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  5. Per le imprese che accedono al Fondo di garanzia per le piccole e medie imprese di cui all'articolo 2, comma 100, lettera a), della legge 23 dicembre 1996 n. 662, qualora il rilascio della documentazione antimafia non sia immediatamente conseguente alla consultazione della banca dati nazionale unica prevista dall'articolo 96 del decreto legislativo 6 settembre 2011, n. 159, l'aiuto è concesso all'impresa sotto condizione risolutiva anche in assenza della documentazione medesima. Nel caso in cui la documentazione successivamente pervenuta accerti la sussistenza di una delle cause interdittive ai sensi della medesima disciplina antimafia, è disposta la revoca dell'agevolazione ai sensi dell'articolo 92, commi 3 e 4, del predetto decreto legislativo n. 159 del 2011 e dell'articolo 9 del decreto legislativo 31 marzo 1998, n. 123, mantenendo l'efficacia della garanzia.</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  6. All'articolo 11, comma 5, del decreto-legge 29 novembre 2008, n. 185, convertito, con modificazioni, dalla legge 28 gennaio 2009, n. 2, dopo le parole «organismi pubblici» sono inserite le parole «e privati».</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  7. Le garanzie di cui all'articolo 39, comma 4, del decreto-legge 6 dicembre 2011, n. 201, convertito, con modificazioni, dalla legge 22 dicembre 2011, n. 214, nonché le garanzie su portafogli di minibond, sono concesse a valere sulla dotazione disponibile del Fondo, assicurando la sussistenza, tempo per tempo, di un ammontare di risorse libere del Fondo, destinate al rilascio di garanzie su singole operazioni finanziarie, pari ad almeno l'85 percento della dotazione disponibile del Fondo.</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  8. Gli operatori di microcredito iscritti nell'elenco di cui all'articolo 111 del testo unico di cui al decreto legislativo 1° settembre 1993, n. 385, in possesso del requisito di micro piccola media impresa, beneficiano, a titolo gratuito e nella misura massima dell'80 per cento dell'ammontare del finanziamento e, relativamente alle nuove imprese costituite o che hanno iniziato la propria attività non oltre tre anni prima della richiesta della garanzia del Fondo e non utilmente valutabili sulla base degli ultimi due bilanci approvati, senza valutazione del merito di credito, della garanzia del Fondo di cui all'articolo 2, comma 100, lettera a), della legge 23 dicembre 1996, n. 662, sui finanziamenti concessi da banche e intermediari finanziari finalizzati alla concessione, da parte dei medesimi operatori, di operazioni di microcredito in favore di beneficiari come definiti dal medesimo articolo 111 e dal decreto del Ministro dell'economia e delle finanze 17 ottobre 2014, n. 176.</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  9. All'articolo 111, comma 1, lettera a), del decreto legislativo 1° settembre 1993, n. 385, le parole «euro 25.000,00» sono sostituite dalle seguenti: «euro 40.000,00». Il Ministero dell'economia e delle finanze adegua il decreto ministeriale. 17 ottobre 2014, n. 176 alle nuove disposizioni.</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  10. Per le finalità di cui al presente articolo, al Fondo di garanzia di cui all'articolo 2, comma 100, lettera a), della legge 23 dicembre 1996, n. 662, sono assegnati 1.729 milioni di euro per l'anno 2020.</w:t>
      </w:r>
    </w:p>
    <w:p w:rsidR="00AD1B0C" w:rsidRPr="00AD1B0C" w:rsidRDefault="00AD1B0C" w:rsidP="00EC0CF6">
      <w:pPr>
        <w:jc w:val="both"/>
        <w:rPr>
          <w:rFonts w:cs="Times New Roman"/>
          <w:color w:val="auto"/>
          <w:sz w:val="24"/>
          <w:szCs w:val="24"/>
          <w:lang w:eastAsia="en-US"/>
        </w:rPr>
      </w:pPr>
      <w:r w:rsidRPr="00AD1B0C">
        <w:rPr>
          <w:rFonts w:cs="Times New Roman"/>
          <w:color w:val="auto"/>
          <w:sz w:val="24"/>
          <w:szCs w:val="24"/>
          <w:lang w:eastAsia="en-US"/>
        </w:rPr>
        <w:t xml:space="preserve">  11. Le disposizioni di cui al presente articolo, in quanto compatibili, si applicano anche alle garanzie di cui all'articolo 17, comma 2, del decreto legislativo 29 marzo 2004, n. 102, in favore delle </w:t>
      </w:r>
      <w:r w:rsidRPr="00EC0CF6">
        <w:rPr>
          <w:rFonts w:cs="Times New Roman"/>
          <w:strike/>
          <w:color w:val="auto"/>
          <w:sz w:val="24"/>
          <w:szCs w:val="24"/>
          <w:highlight w:val="yellow"/>
          <w:lang w:eastAsia="en-US"/>
        </w:rPr>
        <w:t>imprese agricole e della pesca</w:t>
      </w:r>
      <w:r w:rsidRPr="00AD1B0C">
        <w:rPr>
          <w:rFonts w:cs="Times New Roman"/>
          <w:color w:val="auto"/>
          <w:sz w:val="24"/>
          <w:szCs w:val="24"/>
          <w:lang w:eastAsia="en-US"/>
        </w:rPr>
        <w:t xml:space="preserve"> </w:t>
      </w:r>
      <w:r w:rsidR="00EC0CF6" w:rsidRPr="00930721">
        <w:rPr>
          <w:b/>
          <w:color w:val="000000" w:themeColor="text1"/>
          <w:sz w:val="24"/>
          <w:szCs w:val="24"/>
        </w:rPr>
        <w:t>imprese agricole, forestali, della pesca e dell'acquacoltura e dell'ippicoltura, nonché dei consorzi di bonif</w:t>
      </w:r>
      <w:r w:rsidR="00EC0CF6">
        <w:rPr>
          <w:b/>
          <w:color w:val="000000" w:themeColor="text1"/>
          <w:sz w:val="24"/>
          <w:szCs w:val="24"/>
        </w:rPr>
        <w:t>ica e dei birrifici artigianali</w:t>
      </w:r>
      <w:r w:rsidR="00EC0CF6">
        <w:rPr>
          <w:rStyle w:val="Rimandonotaapidipagina"/>
          <w:b/>
          <w:color w:val="000000" w:themeColor="text1"/>
          <w:sz w:val="24"/>
          <w:szCs w:val="24"/>
        </w:rPr>
        <w:footnoteReference w:id="71"/>
      </w:r>
      <w:r w:rsidR="00EC0CF6">
        <w:rPr>
          <w:color w:val="000000" w:themeColor="text1"/>
          <w:sz w:val="24"/>
          <w:szCs w:val="24"/>
        </w:rPr>
        <w:t>.</w:t>
      </w:r>
      <w:r w:rsidR="00EC0CF6">
        <w:rPr>
          <w:b/>
          <w:color w:val="000000" w:themeColor="text1"/>
          <w:sz w:val="24"/>
          <w:szCs w:val="24"/>
        </w:rPr>
        <w:t xml:space="preserve"> </w:t>
      </w:r>
      <w:r w:rsidRPr="00AD1B0C">
        <w:rPr>
          <w:rFonts w:cs="Times New Roman"/>
          <w:color w:val="auto"/>
          <w:sz w:val="24"/>
          <w:szCs w:val="24"/>
          <w:lang w:eastAsia="en-US"/>
        </w:rPr>
        <w:t xml:space="preserve">Per le finalità di cui al presente comma sono assegnati all'ISMEA 100 milioni di euro per l'anno 2020. Le predette risorse sono versate su un conto </w:t>
      </w:r>
      <w:r w:rsidRPr="00AD1B0C">
        <w:rPr>
          <w:rFonts w:cs="Times New Roman"/>
          <w:color w:val="auto"/>
          <w:sz w:val="24"/>
          <w:szCs w:val="24"/>
          <w:lang w:eastAsia="en-US"/>
        </w:rPr>
        <w:lastRenderedPageBreak/>
        <w:t>corrente di tesoreria centrale appositamente istituito, intestato a ISMEA, per essere utilizzate in base al fabbisogno finanziario derivante dalla gestione delle garanzie.</w:t>
      </w:r>
    </w:p>
    <w:p w:rsid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  12. L'articolo 49 del decreto-legge 17 marzo 2020, n. 18, è abrogato.</w:t>
      </w:r>
    </w:p>
    <w:p w:rsidR="00257BDB" w:rsidRPr="007466A9" w:rsidRDefault="00257BDB" w:rsidP="00257BDB">
      <w:pPr>
        <w:jc w:val="both"/>
        <w:rPr>
          <w:rFonts w:asciiTheme="minorHAnsi" w:hAnsiTheme="minorHAnsi"/>
          <w:b/>
          <w:color w:val="000000" w:themeColor="text1"/>
          <w:sz w:val="24"/>
          <w:szCs w:val="24"/>
        </w:rPr>
      </w:pPr>
      <w:r w:rsidRPr="007466A9">
        <w:rPr>
          <w:rFonts w:asciiTheme="minorHAnsi" w:hAnsiTheme="minorHAnsi"/>
          <w:b/>
          <w:color w:val="000000" w:themeColor="text1"/>
          <w:sz w:val="24"/>
          <w:szCs w:val="24"/>
        </w:rPr>
        <w:t>12-bis. Fino al 31 dicembre 2020, le risorse del Fondo di garanzia di cui all'articolo 2, comma 100, lettera a), della legge 23 dicembre 1996, n. 662, fino a un importo di euro 100 milioni, sono destinate all'erogazione della garanzia di cui al comma 1, lettera m), del presente articolo, in favore degli enti del Terzo settore, compresi gli enti religiosi civilmente riconosciuti, esercenti attività di impresa o commerciale, anche in via non esclusiva o prevalente o finalizzata all'autofinanziamento. Per le finalità di cui al presente comma, per ricavi si intende il totale dei ricavi, rendite, proventi o entrate, comunque denominati, come risultanti dal bilancio o rendiconto approvato dall'organo statutariamente competente per l'esercizio chiuso al 31 dicembre 2019 o, in mancanza, dal bilancio o rendiconto approvato dall'organo statutariamente competente per l'esercizio chiuso al 31 dicembre 2018.</w:t>
      </w:r>
      <w:r>
        <w:rPr>
          <w:rStyle w:val="Rimandonotaapidipagina"/>
          <w:rFonts w:asciiTheme="minorHAnsi" w:hAnsiTheme="minorHAnsi"/>
          <w:b/>
          <w:color w:val="000000" w:themeColor="text1"/>
          <w:sz w:val="24"/>
          <w:szCs w:val="24"/>
        </w:rPr>
        <w:footnoteReference w:id="72"/>
      </w:r>
    </w:p>
    <w:p w:rsidR="00257BDB" w:rsidRPr="00AD1B0C" w:rsidRDefault="00257BDB" w:rsidP="00AD1B0C">
      <w:pPr>
        <w:spacing w:after="160" w:line="259" w:lineRule="auto"/>
        <w:jc w:val="both"/>
        <w:rPr>
          <w:rFonts w:cs="Times New Roman"/>
          <w:color w:val="auto"/>
          <w:sz w:val="24"/>
          <w:szCs w:val="24"/>
          <w:lang w:eastAsia="en-US"/>
        </w:rPr>
      </w:pPr>
    </w:p>
    <w:p w:rsidR="00AD1B0C" w:rsidRDefault="00AD1B0C" w:rsidP="00030D03">
      <w:pPr>
        <w:jc w:val="both"/>
        <w:rPr>
          <w:rFonts w:cs="Times New Roman"/>
          <w:color w:val="auto"/>
          <w:sz w:val="24"/>
          <w:szCs w:val="24"/>
          <w:lang w:eastAsia="en-US"/>
        </w:rPr>
      </w:pPr>
      <w:r w:rsidRPr="00AD1B0C">
        <w:rPr>
          <w:rFonts w:cs="Times New Roman"/>
          <w:color w:val="auto"/>
          <w:sz w:val="24"/>
          <w:szCs w:val="24"/>
          <w:lang w:eastAsia="en-US"/>
        </w:rPr>
        <w:t xml:space="preserve">  13. </w:t>
      </w:r>
      <w:r w:rsidRPr="00030D03">
        <w:rPr>
          <w:rFonts w:cs="Times New Roman"/>
          <w:strike/>
          <w:color w:val="auto"/>
          <w:sz w:val="24"/>
          <w:szCs w:val="24"/>
          <w:highlight w:val="yellow"/>
          <w:lang w:eastAsia="en-US"/>
        </w:rPr>
        <w:t>Alla copertura degli oneri previsti dal presente articolo si provvede mediante utilizzo delle risorse rivenienti dall'abrogazione di cui al comma 12 e per 249 milioni di euro per l'anno 2020</w:t>
      </w:r>
      <w:r w:rsidR="00030D03" w:rsidRPr="00030D03">
        <w:rPr>
          <w:rFonts w:cs="Times New Roman"/>
          <w:color w:val="auto"/>
          <w:sz w:val="24"/>
          <w:szCs w:val="24"/>
          <w:lang w:eastAsia="en-US"/>
        </w:rPr>
        <w:t xml:space="preserve"> </w:t>
      </w:r>
      <w:r w:rsidR="00030D03" w:rsidRPr="007466A9">
        <w:rPr>
          <w:rFonts w:asciiTheme="minorHAnsi" w:hAnsiTheme="minorHAnsi"/>
          <w:b/>
          <w:color w:val="000000" w:themeColor="text1"/>
          <w:sz w:val="24"/>
          <w:szCs w:val="24"/>
        </w:rPr>
        <w:t>Agli oneri derivanti dal presente articolo, pari a 1.829 milioni di euro per l'anno 2020, si provvede, quanto 1.580 milioni di euro per l'anno 2020, mediante utilizzo delle risorse rivenienti dall'abrogazione di cui al comma 12 e, quanto a 249 milioni di euro per l'anno 2020</w:t>
      </w:r>
      <w:r w:rsidR="00030D03">
        <w:rPr>
          <w:rStyle w:val="Rimandonotaapidipagina"/>
          <w:rFonts w:asciiTheme="minorHAnsi" w:hAnsiTheme="minorHAnsi"/>
          <w:b/>
          <w:color w:val="000000" w:themeColor="text1"/>
          <w:sz w:val="24"/>
          <w:szCs w:val="24"/>
        </w:rPr>
        <w:footnoteReference w:id="73"/>
      </w:r>
      <w:r w:rsidRPr="00AD1B0C">
        <w:rPr>
          <w:rFonts w:cs="Times New Roman"/>
          <w:color w:val="auto"/>
          <w:sz w:val="24"/>
          <w:szCs w:val="24"/>
          <w:lang w:eastAsia="en-US"/>
        </w:rPr>
        <w:t>, mediante corrispondente riduzione delle somme di cui all'articolo 56, comma 6, decreto-legge 17 marzo 2020, n. 18.</w:t>
      </w:r>
    </w:p>
    <w:p w:rsidR="008C18C2" w:rsidRDefault="008C18C2" w:rsidP="00030D03">
      <w:pPr>
        <w:jc w:val="both"/>
        <w:rPr>
          <w:rFonts w:cs="Times New Roman"/>
          <w:color w:val="auto"/>
          <w:sz w:val="24"/>
          <w:szCs w:val="24"/>
          <w:lang w:eastAsia="en-US"/>
        </w:rPr>
      </w:pPr>
    </w:p>
    <w:p w:rsidR="008C18C2" w:rsidRPr="007466A9" w:rsidRDefault="008C18C2" w:rsidP="008C18C2">
      <w:pPr>
        <w:jc w:val="center"/>
        <w:rPr>
          <w:rFonts w:asciiTheme="minorHAnsi" w:hAnsiTheme="minorHAnsi"/>
          <w:b/>
          <w:color w:val="000000" w:themeColor="text1"/>
          <w:sz w:val="24"/>
          <w:szCs w:val="24"/>
        </w:rPr>
      </w:pPr>
      <w:r w:rsidRPr="007466A9">
        <w:rPr>
          <w:rFonts w:asciiTheme="minorHAnsi" w:hAnsiTheme="minorHAnsi"/>
          <w:b/>
          <w:color w:val="000000" w:themeColor="text1"/>
          <w:sz w:val="24"/>
          <w:szCs w:val="24"/>
        </w:rPr>
        <w:t>Art. 13-bis.</w:t>
      </w:r>
    </w:p>
    <w:p w:rsidR="008C18C2" w:rsidRPr="007466A9" w:rsidRDefault="008C18C2" w:rsidP="008C18C2">
      <w:pPr>
        <w:jc w:val="center"/>
        <w:rPr>
          <w:rFonts w:asciiTheme="minorHAnsi" w:hAnsiTheme="minorHAnsi"/>
          <w:b/>
          <w:color w:val="000000" w:themeColor="text1"/>
          <w:sz w:val="24"/>
          <w:szCs w:val="24"/>
        </w:rPr>
      </w:pPr>
    </w:p>
    <w:p w:rsidR="008C18C2" w:rsidRPr="007466A9" w:rsidRDefault="008C18C2" w:rsidP="008C18C2">
      <w:pPr>
        <w:jc w:val="center"/>
        <w:rPr>
          <w:rFonts w:asciiTheme="minorHAnsi" w:hAnsiTheme="minorHAnsi"/>
          <w:b/>
          <w:color w:val="000000" w:themeColor="text1"/>
          <w:sz w:val="24"/>
          <w:szCs w:val="24"/>
        </w:rPr>
      </w:pPr>
      <w:r w:rsidRPr="007466A9">
        <w:rPr>
          <w:rFonts w:asciiTheme="minorHAnsi" w:hAnsiTheme="minorHAnsi"/>
          <w:b/>
          <w:color w:val="000000" w:themeColor="text1"/>
          <w:sz w:val="24"/>
          <w:szCs w:val="24"/>
        </w:rPr>
        <w:t>(Fondo di prevenzione del fenomeno dell'usura)</w:t>
      </w:r>
    </w:p>
    <w:p w:rsidR="008C18C2" w:rsidRPr="007466A9" w:rsidRDefault="008C18C2" w:rsidP="008C18C2">
      <w:pPr>
        <w:jc w:val="both"/>
        <w:rPr>
          <w:rFonts w:asciiTheme="minorHAnsi" w:hAnsiTheme="minorHAnsi"/>
          <w:b/>
          <w:color w:val="000000" w:themeColor="text1"/>
          <w:sz w:val="24"/>
          <w:szCs w:val="24"/>
        </w:rPr>
      </w:pPr>
    </w:p>
    <w:p w:rsidR="008C18C2" w:rsidRPr="00AD1B0C" w:rsidRDefault="008C18C2" w:rsidP="008C18C2">
      <w:pPr>
        <w:jc w:val="both"/>
        <w:rPr>
          <w:rFonts w:cs="Times New Roman"/>
          <w:color w:val="auto"/>
          <w:sz w:val="24"/>
          <w:szCs w:val="24"/>
          <w:lang w:eastAsia="en-US"/>
        </w:rPr>
      </w:pPr>
      <w:r w:rsidRPr="007466A9">
        <w:rPr>
          <w:rFonts w:asciiTheme="minorHAnsi" w:hAnsiTheme="minorHAnsi"/>
          <w:b/>
          <w:color w:val="000000" w:themeColor="text1"/>
          <w:sz w:val="24"/>
          <w:szCs w:val="24"/>
        </w:rPr>
        <w:t>1. Per l'esercizio relativo all'anno 2020, in acconto sul saldo di fine esercizio, vengono destinati al fondo di prevenzione del fenomeno dell'usura di cui all'articolo 15 della legge 7 marzo 1996, n. 108, il 20 per cento dell'attivo di esercizio del Fondo per interventi di solidarietà alle vittime dell'usura, di cui all'articolo 14 della legge 7 marzo 1996, n. 108, risultante alla data del 30 settembre 2020.</w:t>
      </w:r>
      <w:r>
        <w:rPr>
          <w:rStyle w:val="Rimandonotaapidipagina"/>
          <w:rFonts w:asciiTheme="minorHAnsi" w:hAnsiTheme="minorHAnsi"/>
          <w:b/>
          <w:color w:val="000000" w:themeColor="text1"/>
          <w:sz w:val="24"/>
          <w:szCs w:val="24"/>
        </w:rPr>
        <w:footnoteReference w:id="74"/>
      </w:r>
    </w:p>
    <w:p w:rsidR="00AD1B0C" w:rsidRPr="00AD1B0C" w:rsidRDefault="00AD1B0C" w:rsidP="00AD1B0C">
      <w:pPr>
        <w:spacing w:after="160" w:line="259" w:lineRule="auto"/>
        <w:jc w:val="both"/>
        <w:rPr>
          <w:rFonts w:cs="Times New Roman"/>
          <w:color w:val="auto"/>
          <w:sz w:val="24"/>
          <w:szCs w:val="24"/>
          <w:lang w:eastAsia="en-US"/>
        </w:rPr>
      </w:pPr>
    </w:p>
    <w:p w:rsidR="008C4C14" w:rsidRPr="00930721" w:rsidRDefault="008C4C14" w:rsidP="008C4C14">
      <w:pPr>
        <w:jc w:val="center"/>
        <w:rPr>
          <w:b/>
          <w:color w:val="000000" w:themeColor="text1"/>
          <w:sz w:val="24"/>
          <w:szCs w:val="24"/>
        </w:rPr>
      </w:pPr>
      <w:r w:rsidRPr="00930721">
        <w:rPr>
          <w:b/>
          <w:color w:val="000000" w:themeColor="text1"/>
          <w:sz w:val="24"/>
          <w:szCs w:val="24"/>
        </w:rPr>
        <w:t>Art. 13-bis.</w:t>
      </w:r>
    </w:p>
    <w:p w:rsidR="008C4C14" w:rsidRPr="00930721" w:rsidRDefault="008C4C14" w:rsidP="008C4C14">
      <w:pPr>
        <w:jc w:val="center"/>
        <w:rPr>
          <w:b/>
          <w:color w:val="000000" w:themeColor="text1"/>
          <w:sz w:val="24"/>
          <w:szCs w:val="24"/>
        </w:rPr>
      </w:pPr>
      <w:r w:rsidRPr="00930721">
        <w:rPr>
          <w:b/>
          <w:color w:val="000000" w:themeColor="text1"/>
          <w:sz w:val="24"/>
          <w:szCs w:val="24"/>
        </w:rPr>
        <w:t>(Microcredito)</w:t>
      </w:r>
    </w:p>
    <w:p w:rsidR="008C4C14" w:rsidRPr="00930721" w:rsidRDefault="008C4C14" w:rsidP="008C4C14">
      <w:pPr>
        <w:jc w:val="both"/>
        <w:rPr>
          <w:b/>
          <w:color w:val="000000" w:themeColor="text1"/>
          <w:sz w:val="24"/>
          <w:szCs w:val="24"/>
        </w:rPr>
      </w:pPr>
    </w:p>
    <w:p w:rsidR="008C4C14" w:rsidRDefault="008C4C14" w:rsidP="008C4C14">
      <w:pPr>
        <w:jc w:val="both"/>
        <w:rPr>
          <w:rFonts w:cs="Times New Roman"/>
          <w:color w:val="auto"/>
          <w:sz w:val="24"/>
          <w:szCs w:val="24"/>
          <w:lang w:eastAsia="en-US"/>
        </w:rPr>
      </w:pPr>
      <w:r w:rsidRPr="00930721">
        <w:rPr>
          <w:b/>
          <w:color w:val="000000" w:themeColor="text1"/>
          <w:sz w:val="24"/>
          <w:szCs w:val="24"/>
        </w:rPr>
        <w:t>  1. All'articolo 112, comma 1, del decreto legislativo 1o settembre 1993, n. 385, è aggiunto, in fine, il seguente periodo: «I confidi di cui al presente articolo possono detenere partecipazioni nei soggetti di cui all'articolo 111.».</w:t>
      </w:r>
      <w:r>
        <w:rPr>
          <w:rStyle w:val="Rimandonotaapidipagina"/>
          <w:b/>
          <w:color w:val="000000" w:themeColor="text1"/>
          <w:sz w:val="24"/>
          <w:szCs w:val="24"/>
        </w:rPr>
        <w:footnoteReference w:id="75"/>
      </w:r>
    </w:p>
    <w:p w:rsidR="008C4C14" w:rsidRDefault="008C4C14" w:rsidP="00AD1B0C">
      <w:pPr>
        <w:spacing w:after="160" w:line="259" w:lineRule="auto"/>
        <w:jc w:val="center"/>
        <w:rPr>
          <w:rFonts w:cs="Times New Roman"/>
          <w:color w:val="auto"/>
          <w:sz w:val="24"/>
          <w:szCs w:val="24"/>
          <w:lang w:eastAsia="en-US"/>
        </w:rPr>
      </w:pPr>
    </w:p>
    <w:p w:rsidR="008C4C14" w:rsidRDefault="008C4C14" w:rsidP="00AD1B0C">
      <w:pPr>
        <w:spacing w:after="160" w:line="259" w:lineRule="auto"/>
        <w:jc w:val="center"/>
        <w:rPr>
          <w:rFonts w:cs="Times New Roman"/>
          <w:color w:val="auto"/>
          <w:sz w:val="24"/>
          <w:szCs w:val="24"/>
          <w:lang w:eastAsia="en-US"/>
        </w:rPr>
      </w:pP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14.</w:t>
      </w: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(Finanziamenti erogati dall'Istituto per il Credito Sportivo per le esigenze di liquidità e concessione di contributi in conto interessi sui finanziamenti)</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  1. Il Fondo di cui all'articolo 90, comma 12, della legge 27 dicembre 2002, n. 289, può prestare garanzia, fino al 31 dicembre 2020, sui finanziamenti erogati dall'Istituto per il Credito Sportivo o da altro istituto bancario per le esigenze di liquidità delle Federazioni Sportive Nazionali, delle Discipline Sportive Associate, degli Enti di Promozione Sportiva, delle associazioni e delle società sportive dilettantistiche iscritte al registro di cui all'articolo 5, comma 2, lettera c), del d.lgs. 23 luglio 1999 n. 242. A tali fini, è costituito un apposito comparto del predetto Fondo con una dotazione di 30 milioni di euro per l'anno 2020. Per la gestione di tale comparto del fondo è autorizzata l'apertura di un conto corrente di tesoreria centrale intestato all'Istituto per il Credito Sportivo su cui sono versate le predette risorse per essere utilizzate in base al fabbisogno finanziario derivante dalla gestione delle garanzie.</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Il Fondo speciale di cui all'articolo 5, comma 1, della legge 24 dicembre 1957, n. 1295, può concedere contributi in conto interessi, fino al 31 dicembre 2020, sui finanziamenti erogati dall'Istituto per il Credito Sportivo o da altro istituto bancario per le esigenze di liquidità delle Federazioni Sportive Nazionali, delle Discipline Sportive Associate, degli Enti di Promozione Sportiva, delle associazioni e delle società sportive dilettantistiche iscritte nel registro di cui all'articolo 5, comma 2, lettera c), del d.lgs. 23 luglio 1999 n. 242, secondo le modalità stabilite dal Comitato di Gestione dei Fondi Speciali dell'Istituto per il Credito Sportivo. Per tale funzione è costituito un apposito comparto del Fondo dotato di 5 milioni di euro per l'anno 2020.</w:t>
      </w:r>
    </w:p>
    <w:p w:rsidR="00AD1B0C" w:rsidRDefault="00AD1B0C" w:rsidP="00AD1B0C">
      <w:pPr>
        <w:spacing w:after="160" w:line="259" w:lineRule="auto"/>
        <w:jc w:val="both"/>
        <w:rPr>
          <w:rFonts w:cs="Times New Roman"/>
          <w:strike/>
          <w:color w:val="auto"/>
          <w:sz w:val="24"/>
          <w:szCs w:val="24"/>
          <w:lang w:eastAsia="en-US"/>
        </w:rPr>
      </w:pPr>
      <w:r w:rsidRPr="00AD1B0C">
        <w:rPr>
          <w:rFonts w:cs="Times New Roman"/>
          <w:color w:val="auto"/>
          <w:sz w:val="24"/>
          <w:szCs w:val="24"/>
          <w:lang w:eastAsia="en-US"/>
        </w:rPr>
        <w:t>  </w:t>
      </w:r>
      <w:r w:rsidRPr="008C4C14">
        <w:rPr>
          <w:rFonts w:cs="Times New Roman"/>
          <w:strike/>
          <w:color w:val="auto"/>
          <w:sz w:val="24"/>
          <w:szCs w:val="24"/>
          <w:highlight w:val="yellow"/>
          <w:lang w:eastAsia="en-US"/>
        </w:rPr>
        <w:t>3. Agli oneri derivanti dal presente articolo pari a 35 milioni di euro per l'anno 2020, si provvede mediante corrispondente riduzione delle somme di cui all'articolo 56, comma 6, decreto-legge 17 marzo 2020, n. 18, e a 5 milioni di euro per l'anno 2020, in soli termini di fabbisogno, mediante utilizzo delle risorse di cui all'articolo 13, comma 12.</w:t>
      </w:r>
    </w:p>
    <w:p w:rsidR="008C4C14" w:rsidRDefault="008C4C14" w:rsidP="008C4C14">
      <w:pPr>
        <w:jc w:val="both"/>
        <w:rPr>
          <w:b/>
          <w:color w:val="000000" w:themeColor="text1"/>
          <w:sz w:val="24"/>
          <w:szCs w:val="24"/>
        </w:rPr>
      </w:pPr>
      <w:r w:rsidRPr="00930721">
        <w:rPr>
          <w:b/>
          <w:color w:val="000000" w:themeColor="text1"/>
          <w:sz w:val="24"/>
          <w:szCs w:val="24"/>
        </w:rPr>
        <w:t>  3. Agli oneri derivanti dal presente articolo pari, in termini di saldo netto e di indebitamento netto, a 35 milioni di euro per l'anno 2020 e pari, in termini di fabbisogno, a 5 milioni di euro per il medesimo anno 2020, si provvede, quanto ai predetti 35 milioni di euro, mediante corrispondente riduzione delle somme di cui all'articolo 56, comma 6, del decreto-legge 17 marzo 2020, n. 18, e, quanto ai citati 5 milioni di euro, mediante utilizzo delle risorse rivenienti dall'abrogazione di cui al comma 12 dell'articolo 13.</w:t>
      </w:r>
      <w:r>
        <w:rPr>
          <w:rStyle w:val="Rimandonotaapidipagina"/>
          <w:b/>
          <w:color w:val="000000" w:themeColor="text1"/>
          <w:sz w:val="24"/>
          <w:szCs w:val="24"/>
        </w:rPr>
        <w:footnoteReference w:id="76"/>
      </w:r>
    </w:p>
    <w:p w:rsidR="00193CF8" w:rsidRPr="00930721" w:rsidRDefault="00193CF8" w:rsidP="00193CF8">
      <w:pPr>
        <w:jc w:val="center"/>
        <w:rPr>
          <w:b/>
          <w:color w:val="000000" w:themeColor="text1"/>
          <w:sz w:val="24"/>
          <w:szCs w:val="24"/>
        </w:rPr>
      </w:pPr>
      <w:r w:rsidRPr="00930721">
        <w:rPr>
          <w:b/>
          <w:color w:val="000000" w:themeColor="text1"/>
          <w:sz w:val="24"/>
          <w:szCs w:val="24"/>
        </w:rPr>
        <w:t>Art. 14-bis.</w:t>
      </w:r>
    </w:p>
    <w:p w:rsidR="00193CF8" w:rsidRPr="00930721" w:rsidRDefault="00193CF8" w:rsidP="00193CF8">
      <w:pPr>
        <w:jc w:val="center"/>
        <w:rPr>
          <w:b/>
          <w:color w:val="000000" w:themeColor="text1"/>
          <w:sz w:val="24"/>
          <w:szCs w:val="24"/>
        </w:rPr>
      </w:pPr>
      <w:r w:rsidRPr="00930721">
        <w:rPr>
          <w:b/>
          <w:color w:val="000000" w:themeColor="text1"/>
          <w:sz w:val="24"/>
          <w:szCs w:val="24"/>
        </w:rPr>
        <w:t>(Proroga del Programma nazionale triennale della pesca e dell'acquacoltura)</w:t>
      </w:r>
    </w:p>
    <w:p w:rsidR="00193CF8" w:rsidRPr="00930721" w:rsidRDefault="00193CF8" w:rsidP="00193CF8">
      <w:pPr>
        <w:jc w:val="both"/>
        <w:rPr>
          <w:b/>
          <w:color w:val="000000" w:themeColor="text1"/>
          <w:sz w:val="24"/>
          <w:szCs w:val="24"/>
        </w:rPr>
      </w:pPr>
    </w:p>
    <w:p w:rsidR="00193CF8" w:rsidRDefault="00193CF8" w:rsidP="00193CF8">
      <w:pPr>
        <w:jc w:val="both"/>
        <w:rPr>
          <w:b/>
          <w:color w:val="000000" w:themeColor="text1"/>
          <w:sz w:val="24"/>
          <w:szCs w:val="24"/>
        </w:rPr>
      </w:pPr>
      <w:r w:rsidRPr="00930721">
        <w:rPr>
          <w:b/>
          <w:color w:val="000000" w:themeColor="text1"/>
          <w:sz w:val="24"/>
          <w:szCs w:val="24"/>
        </w:rPr>
        <w:lastRenderedPageBreak/>
        <w:t>  1. Al fine di assicurare la continuità delle azioni previste dallo strumento programmatorio nazionale del settore ittico nel periodo di emergenza da COVID-19, è disposta la proroga al 31 dicembre 2021 del Programma nazionale triennale della pesca e dell'acquacoltura 2017-2019, di cui all'articolo 1 2, comma 5-decies, del decreto-legge 29 dicembre 2010, n. 225, convertito, con modificazioni, dalla legge 26 febbraio 2011, n. 10, già prorogato al 31 dicembre 2020 dall'articolo 1, comma 517, della legge 27 dicembre 2019, n. 160.</w:t>
      </w:r>
      <w:r>
        <w:rPr>
          <w:rStyle w:val="Rimandonotaapidipagina"/>
          <w:b/>
          <w:color w:val="000000" w:themeColor="text1"/>
          <w:sz w:val="24"/>
          <w:szCs w:val="24"/>
        </w:rPr>
        <w:footnoteReference w:id="77"/>
      </w:r>
    </w:p>
    <w:p w:rsidR="00440598" w:rsidRDefault="00440598" w:rsidP="00193CF8">
      <w:pPr>
        <w:jc w:val="both"/>
        <w:rPr>
          <w:b/>
          <w:color w:val="000000" w:themeColor="text1"/>
          <w:sz w:val="24"/>
          <w:szCs w:val="24"/>
        </w:rPr>
      </w:pPr>
    </w:p>
    <w:p w:rsidR="00440598" w:rsidRPr="00772497" w:rsidRDefault="00440598" w:rsidP="00440598">
      <w:pPr>
        <w:jc w:val="center"/>
        <w:rPr>
          <w:b/>
          <w:color w:val="000000" w:themeColor="text1"/>
          <w:sz w:val="24"/>
          <w:szCs w:val="24"/>
        </w:rPr>
      </w:pPr>
      <w:r w:rsidRPr="00772497">
        <w:rPr>
          <w:b/>
          <w:color w:val="000000" w:themeColor="text1"/>
          <w:sz w:val="24"/>
          <w:szCs w:val="24"/>
        </w:rPr>
        <w:t>Art. 14-bis.</w:t>
      </w:r>
    </w:p>
    <w:p w:rsidR="00440598" w:rsidRPr="00772497" w:rsidRDefault="00440598" w:rsidP="00440598">
      <w:pPr>
        <w:jc w:val="center"/>
        <w:rPr>
          <w:b/>
          <w:color w:val="000000" w:themeColor="text1"/>
          <w:sz w:val="24"/>
          <w:szCs w:val="24"/>
        </w:rPr>
      </w:pPr>
      <w:r w:rsidRPr="00772497">
        <w:rPr>
          <w:b/>
          <w:color w:val="000000" w:themeColor="text1"/>
          <w:sz w:val="24"/>
          <w:szCs w:val="24"/>
        </w:rPr>
        <w:t>(Proroga dei termini degli adempimenti tecnici e amministrativi relativi agli impianti a fune in servizio pubblico)</w:t>
      </w:r>
    </w:p>
    <w:p w:rsidR="00440598" w:rsidRPr="00772497" w:rsidRDefault="00440598" w:rsidP="00440598">
      <w:pPr>
        <w:jc w:val="both"/>
        <w:rPr>
          <w:b/>
          <w:color w:val="000000" w:themeColor="text1"/>
          <w:sz w:val="24"/>
          <w:szCs w:val="24"/>
        </w:rPr>
      </w:pPr>
    </w:p>
    <w:p w:rsidR="00440598" w:rsidRPr="00772497" w:rsidRDefault="00440598" w:rsidP="00440598">
      <w:pPr>
        <w:jc w:val="both"/>
        <w:rPr>
          <w:b/>
          <w:color w:val="000000" w:themeColor="text1"/>
          <w:sz w:val="24"/>
          <w:szCs w:val="24"/>
        </w:rPr>
      </w:pPr>
      <w:r w:rsidRPr="00772497">
        <w:rPr>
          <w:b/>
          <w:color w:val="000000" w:themeColor="text1"/>
          <w:sz w:val="24"/>
          <w:szCs w:val="24"/>
        </w:rPr>
        <w:t>  1. Al fine di garantire la continuità del servizio di pubblico trasporto mediante impianti a fune, le scadenze relative alle revisioni generali e speciali quinquennali nonché quelle relative agli scorrimenti e alle sostituzioni delle funi e al rifacimento dei loro attacchi di estremità sono prorogate di dodici mesi, qualora sia trasmessa prima delle suddette scadenze all'Autorità di sorveglianza, da parte del direttore o del responsabile dell'esercizio, una dettagliata e completa relazione in merito ai controlli effettuati, ai provvedimenti adottati e all'esito delle verifiche e delle prove eseguite, contenente l'attestazione della sussistenza delle condizioni di sicurezza per l'esercizio pubblico.</w:t>
      </w:r>
    </w:p>
    <w:p w:rsidR="00440598" w:rsidRPr="00772497" w:rsidRDefault="00440598" w:rsidP="00440598">
      <w:pPr>
        <w:jc w:val="both"/>
        <w:rPr>
          <w:b/>
          <w:color w:val="000000" w:themeColor="text1"/>
          <w:sz w:val="24"/>
          <w:szCs w:val="24"/>
        </w:rPr>
      </w:pPr>
      <w:r w:rsidRPr="00772497">
        <w:rPr>
          <w:b/>
          <w:color w:val="000000" w:themeColor="text1"/>
          <w:sz w:val="24"/>
          <w:szCs w:val="24"/>
        </w:rPr>
        <w:t>  2. Ai fini di cui al comma 1, per l'anno 2020 non è obbligatoria la partecipazione dell'Autorità di sorveglianza alle verifiche e alle prove periodiche da effettuare da parte del direttore o del responsabile dell'esercizio o dell'assistente tecnico.</w:t>
      </w:r>
    </w:p>
    <w:p w:rsidR="00440598" w:rsidRPr="00772497" w:rsidRDefault="00440598" w:rsidP="00440598">
      <w:pPr>
        <w:jc w:val="both"/>
        <w:rPr>
          <w:b/>
          <w:color w:val="000000" w:themeColor="text1"/>
          <w:sz w:val="24"/>
          <w:szCs w:val="24"/>
        </w:rPr>
      </w:pPr>
      <w:r w:rsidRPr="00772497">
        <w:rPr>
          <w:b/>
          <w:color w:val="000000" w:themeColor="text1"/>
          <w:sz w:val="24"/>
          <w:szCs w:val="24"/>
        </w:rPr>
        <w:t>  3. Le scadenze relative ai termini di inizio e di conclusione delle opere di realizzazione di impianti a fune per le quali è già stata rilasciata l'approvazione dei progetti sono prorogate di dodici mesi.</w:t>
      </w:r>
    </w:p>
    <w:p w:rsidR="00440598" w:rsidRPr="00772497" w:rsidRDefault="00440598" w:rsidP="00440598">
      <w:pPr>
        <w:jc w:val="both"/>
        <w:rPr>
          <w:b/>
          <w:color w:val="000000" w:themeColor="text1"/>
          <w:sz w:val="24"/>
          <w:szCs w:val="24"/>
        </w:rPr>
      </w:pPr>
      <w:r w:rsidRPr="00772497">
        <w:rPr>
          <w:b/>
          <w:color w:val="000000" w:themeColor="text1"/>
          <w:sz w:val="24"/>
          <w:szCs w:val="24"/>
        </w:rPr>
        <w:t>  4. Le procedure per l'attuazione di quanto disposto dai commi 1, 2 e 3 sono stabilite mediante regolamento adottato con decreto del Ministro delle infrastrutture e dei trasporti, entro due mesi dalla data di entrata in vigore della legge di conversione del presente decreto.</w:t>
      </w:r>
    </w:p>
    <w:p w:rsidR="00440598" w:rsidRPr="00930721" w:rsidRDefault="00440598" w:rsidP="00440598">
      <w:pPr>
        <w:jc w:val="both"/>
        <w:rPr>
          <w:b/>
          <w:color w:val="000000" w:themeColor="text1"/>
          <w:sz w:val="24"/>
          <w:szCs w:val="24"/>
        </w:rPr>
      </w:pPr>
      <w:r w:rsidRPr="00772497">
        <w:rPr>
          <w:b/>
          <w:color w:val="000000" w:themeColor="text1"/>
          <w:sz w:val="24"/>
          <w:szCs w:val="24"/>
        </w:rPr>
        <w:lastRenderedPageBreak/>
        <w:t>  5. L'articolo 62-bis del decreto-legge 17 marzo 2020, n. 18, convertito, con modificazioni, dalla legge 24 aprile 2020, n. 27, è abrogato.</w:t>
      </w:r>
      <w:r>
        <w:rPr>
          <w:rStyle w:val="Rimandonotaapidipagina"/>
          <w:b/>
          <w:color w:val="000000" w:themeColor="text1"/>
          <w:sz w:val="24"/>
          <w:szCs w:val="24"/>
        </w:rPr>
        <w:footnoteReference w:id="78"/>
      </w:r>
    </w:p>
    <w:p w:rsidR="00193CF8" w:rsidRPr="00930721" w:rsidRDefault="00193CF8" w:rsidP="008C4C14">
      <w:pPr>
        <w:jc w:val="both"/>
        <w:rPr>
          <w:b/>
          <w:color w:val="000000" w:themeColor="text1"/>
          <w:sz w:val="24"/>
          <w:szCs w:val="24"/>
        </w:rPr>
      </w:pPr>
    </w:p>
    <w:p w:rsidR="008C4C14" w:rsidRPr="008C4C14" w:rsidRDefault="008C4C14" w:rsidP="00AD1B0C">
      <w:pPr>
        <w:spacing w:after="160" w:line="259" w:lineRule="auto"/>
        <w:jc w:val="both"/>
        <w:rPr>
          <w:rFonts w:cs="Times New Roman"/>
          <w:strike/>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Capo III</w:t>
      </w: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URGENTI IN MATERIA DI ESERCIZIO DI POTERI SPECIALI NEI SETTORI DI RILEVANZA STRATEGICA</w:t>
      </w:r>
    </w:p>
    <w:p w:rsidR="00AD1B0C" w:rsidRPr="00AD1B0C" w:rsidRDefault="00AD1B0C" w:rsidP="00AD1B0C">
      <w:pPr>
        <w:spacing w:after="160" w:line="259" w:lineRule="auto"/>
        <w:jc w:val="center"/>
        <w:rPr>
          <w:rFonts w:cs="Times New Roman"/>
          <w:color w:val="auto"/>
          <w:sz w:val="24"/>
          <w:szCs w:val="24"/>
          <w:lang w:eastAsia="en-US"/>
        </w:rPr>
      </w:pP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15.</w:t>
      </w: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(Modifiche all'articolo 4-bis, comma 3, del decreto-legge 21 settembre 2019, n. 105, convertito con modificazioni dalla legge 18 novembre 2019, n. 133)</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L'articolo 4-bis, comma 3, del decreto-legge 21 settembre 2019, n. 105, convertito, con modificazioni, dalla legge 18 novembre 2019, n. 133, è sostituito dai seguenti:</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66178A">
      <w:pPr>
        <w:jc w:val="both"/>
        <w:rPr>
          <w:rFonts w:cs="Times New Roman"/>
          <w:color w:val="auto"/>
          <w:sz w:val="24"/>
          <w:szCs w:val="24"/>
          <w:lang w:eastAsia="en-US"/>
        </w:rPr>
      </w:pPr>
      <w:r w:rsidRPr="00AD1B0C">
        <w:rPr>
          <w:rFonts w:cs="Times New Roman"/>
          <w:color w:val="auto"/>
          <w:sz w:val="24"/>
          <w:szCs w:val="24"/>
          <w:lang w:eastAsia="en-US"/>
        </w:rPr>
        <w:t>   «3. Fino alla data di entrata in vigore del primo decreto del Presidente del Consiglio dei ministri di cui all'articolo 2, comma 1-ter, del decreto-legge 15 marzo 2012, n. 21, convertito, con modificazioni, dalla legge 11 maggio 2012, n. 56, come sostituito dal comma 1, lettera c), numero 3), del presente articolo, fatta salva l'applicazione degli articoli 1 e 2 del citato decreto-legge, come modificati dal presente articolo, sono soggetti alla notifica di cui al comma 5 dell'articolo 2 del medesimo decreto-legge n. 21 del 2012 l'acquisto a qualsiasi titolo di partecipazioni in società che detengono beni e rapporti nei settori di cui all'articolo 4, paragrafo 1, lettere a), b), c), d) ed e), ivi inclusi, nel settore finanziario, quello creditizio e assicurativo</w:t>
      </w:r>
      <w:r w:rsidR="0066178A">
        <w:rPr>
          <w:rFonts w:cs="Times New Roman"/>
          <w:color w:val="auto"/>
          <w:sz w:val="24"/>
          <w:szCs w:val="24"/>
          <w:lang w:eastAsia="en-US"/>
        </w:rPr>
        <w:t xml:space="preserve"> </w:t>
      </w:r>
      <w:r w:rsidR="0066178A" w:rsidRPr="007340A9">
        <w:rPr>
          <w:b/>
          <w:color w:val="000000" w:themeColor="text1"/>
          <w:sz w:val="24"/>
          <w:szCs w:val="24"/>
        </w:rPr>
        <w:t xml:space="preserve">e, nel settore sanitario, la produzione, l'importazione e la </w:t>
      </w:r>
      <w:r w:rsidR="0066178A" w:rsidRPr="007340A9">
        <w:rPr>
          <w:b/>
          <w:color w:val="000000" w:themeColor="text1"/>
          <w:sz w:val="24"/>
          <w:szCs w:val="24"/>
        </w:rPr>
        <w:lastRenderedPageBreak/>
        <w:t>distribuzione all'ingrosso di dispositivi medicali, medico-chirurg</w:t>
      </w:r>
      <w:r w:rsidR="0066178A">
        <w:rPr>
          <w:b/>
          <w:color w:val="000000" w:themeColor="text1"/>
          <w:sz w:val="24"/>
          <w:szCs w:val="24"/>
        </w:rPr>
        <w:t>ici e di protezione individuale</w:t>
      </w:r>
      <w:r w:rsidR="00C025B8">
        <w:rPr>
          <w:rStyle w:val="Rimandonotaapidipagina"/>
          <w:b/>
          <w:color w:val="000000" w:themeColor="text1"/>
          <w:sz w:val="24"/>
          <w:szCs w:val="24"/>
        </w:rPr>
        <w:footnoteReference w:id="79"/>
      </w:r>
      <w:r w:rsidRPr="00AD1B0C">
        <w:rPr>
          <w:rFonts w:cs="Times New Roman"/>
          <w:color w:val="auto"/>
          <w:sz w:val="24"/>
          <w:szCs w:val="24"/>
          <w:lang w:eastAsia="en-US"/>
        </w:rPr>
        <w:t>, del regolamento (UE) 2019/452 del Parlamento europeo e del Consiglio, del 19 marzo 2019.</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   3-bis. Al fine di contrastare l'emergenza epidemiologica da COVID-19 e contenerne gli effetti negativi, fino al 31 dicembre 2020:</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sono soggetti all'obbligo di notifica di cui al comma 2 dell'articolo 2 del decreto-legge n. 21 del 2012, anche le delibere, gli atti o le operazioni, adottati da un'impresa che detiene beni e rapporti nei settori di cui all'articolo 4, paragrafo 1, lettere a), b), c), d) ed e) del regolamento (UE) 2019/452, ivi inclusi, nel settore finanziario, quello creditizio ed assicurativo, ovvero individuati con decreto del Presidente del Consiglio dei ministri di cui al citato articolo 2, comma 1-ter, che abbiano per effetto modifiche della titolarità, del controllo o della disponibilità di detti attivi o il cambiamento della loro destinazione;</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sono soggetti all'obbligo di notifica di cui al comma 5 dell'articolo 2 del medesimo decreto-legge n. 21 del 2012, in relazione ai beni e ai rapporti di cui al comma 1 dell'articolo 2, del medesimo decreto-legge n. 21 del 2012, nonché ai beni e rapporti nei settori indicati alla lettera a), ovvero individuati con decreto del Presidente del Consiglio dei ministri di cui al citato articolo 2, comma 1-ter, del decreto-legge n. 21 del 2012, anche gli acquisti a qualsiasi titolo di partecipazioni, da parte di soggetti esteri, anche appartenenti all'Unione europea, di rilevanza tale da determinare l'insediamento stabile dell'acquirente in ragione dell'assunzione del controllo della società la cui partecipazione è oggetto dell'acquisto, ai sensi dell'articolo 2359 del codice civile e del testo unico di cui al decreto legislativo 24 febbraio 1998, n. 58, nonché gli acquisti di partecipazioni, da parte di soggetti esteri non appartenenti all'Unione europea, che attribuiscono una quota dei diritti di voto o del capitale almeno pari al 10 per cento, tenuto conto delle azioni o quote già direttamente o indirettamente possedute, e il valore complessivo dell'investimento sia pari o superiore a un milione di euro, e sono altresì notificate le acquisizioni che determinano il superamento delle soglie del 15 per cento, 20 per cento, 25 per cento e 50 per cento;</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   c) la disposizione di cui all'articolo 2, comma 6, lettera a), del decreto-legge n. 21 del 2012, si applica anche quando il controllo ivi previsto sia esercitato da un'amministrazione pubblica di uno Stato membro dell'Unione europea.</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   3-ter. Si applicano le disposizioni dell'articolo 2, commi 6 e 7, del citato decreto-legge n. 21 del 2012, come modificato dal presente articolo.</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   3-quater. Le disposizioni di cui ai commi 3 e 3-bis aventi vigenza fino al 31 dicembre 2020 si applicano nei confronti di delibere, atti o operazioni, nonché di acquisti di partecipazioni, rilevanti ai fini degli obblighi di notifica di cui ai commi 2 e 5 dell'articolo 2 del decreto-legge n. 21 del 2012, per i quali tale obbligo sia sorto nel predetto arco temporale, ancorché la notifica sia intervenuta successivamente o sia stata omessa. Restano validi, anche successivamente al termine di cui al 31 dicembre 2020, gli atti e i provvedimenti adottati a seguito di esercizio dei poteri speciali in applicazione delle disposizioni dei commi 3 e 3-bis, e sono fatti salvi gli effetti prodottisi ed i rapporti giuridici sorti sulla base degli stessi atti e provvedimenti successivamente al decorso del predetto termine. Fermo restando l'obbligo di notifica, i poteri speciali di cui all'articolo 2 del decreto-legge n. 21 del 2012 e relativi a società che detengono beni e rapporti nei settori di cui all'articolo 4, paragrafo 1, lettere a), b), c), d) e e) del regolamento (UE) 2019/452, ivi inclusi, nel settore finanziario, quello creditizio ed assicurativo, si applicano nella misura in cui la tutela degli interessi essenziali dello Stato, ovvero la tutela della sicurezza e dell'ordine pubblico, previsti dal medesimo articolo 2 non sia adeguatamente garantita dalla sussistenza di una specifica regolamentazione di settore.».</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16.</w:t>
      </w: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(Modifiche al decreto-legge 15 marzo 2012, n. 21, convertito con modificazioni dalla legge 11 maggio 2012, n. 56)</w:t>
      </w:r>
    </w:p>
    <w:p w:rsidR="00AD1B0C" w:rsidRPr="00AD1B0C" w:rsidRDefault="00AD1B0C" w:rsidP="00AD1B0C">
      <w:pPr>
        <w:spacing w:after="160" w:line="259" w:lineRule="auto"/>
        <w:jc w:val="center"/>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Al decreto-legge 15 marzo 2012, n. 21, convertito, con modificazioni, dalla legge 11 maggio 2012, n. 56, sono apportate le seguenti modifiche:</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   a) all'articolo 1, comma 8-bis, è aggiunto infine il seguente periodo: «Nei casi di violazione degli obblighi di notifica di cui al presente articolo, anche in assenza della notifica di cui ai commi 4 e 5, la Presidenza del Consiglio può avviare il procedimento ai fini dell'eventuale esercizio dei poteri di cui al comma 1, lettere a), b) e c). A tale scopo, trovano applicazione i termini e le norme procedurali previste </w:t>
      </w:r>
      <w:r w:rsidRPr="00AD1B0C">
        <w:rPr>
          <w:rFonts w:cs="Times New Roman"/>
          <w:color w:val="auto"/>
          <w:sz w:val="24"/>
          <w:szCs w:val="24"/>
          <w:lang w:eastAsia="en-US"/>
        </w:rPr>
        <w:lastRenderedPageBreak/>
        <w:t>dal presente articolo, nonché dal regolamento di cui al comma 8. Il termine di quarantacinque giorni di cui ai commi 4 e 5 decorre dalla conclusione del procedimento di accertamento della violazione dell'obbligo di notifica.»;</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all'articolo 1-bis, comma 2, ultimo periodo, dopo le parole «l'integrità e la sicurezza delle reti e dei dati che vi transitano» sono inserite le seguenti: «, compresi quelli individuati sulla base dei principi e delle linee guida elaborate a livello internazionale e dall'Unione europea»;</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   c) all'articolo 1-bis, comma 3-bis:</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al decimo periodo, le parole «dall'ultimo periodo» sono sostituite dalle seguenti: «dall'undicesimo periodo»;</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sono aggiunti infine i seguenti periodi: «Nei casi di violazione degli obblighi di notifica di cui al presente articolo, anche in assenza della notifica, la Presidenza del Consiglio può avviare il procedimento ai fini dell'eventuale esercizio dei poteri speciali. A tale scopo, trovano applicazione i termini e le norme procedurali previste dal presente comma. Il termine di trenta giorni di cui al presente comma decorre dalla conclusione del procedimento di accertamento della violazione dell'obbligo di notifica.»;</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   d) all'articolo 2, dopo il comma 8, è aggiunto il seguente comma: «8-bis. Nei casi di violazione degli obblighi di notifica di cui al presente articolo, anche in assenza della notifica di cui ai commi 2, 2-bis e 5, la Presidenza del Consiglio può avviare il procedimento ai fini dell'eventuale esercizio dei poteri speciali. A tale scopo, trovano applicazione i termini e le norme procedurali previste dal presente articolo, nonché dal regolamento di cui al comma 9. Il termine di quarantacinque giorni di cui ai commi 4 e 6 decorre dalla conclusione del procedimento di accertamento della violazione dell'obbligo di notifica.»;</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   e) all'articolo 2-bis sono aggiunti i seguenti commi:</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   «2. Al fine di raccogliere elementi utili all'applicazione degli articoli 1, 1-bis e 2, il gruppo di coordinamento istituito ai sensi dell'articolo 3 del decreto del Presidente del Consiglio dei ministri 6 agosto 2014 può richiedere a pubbliche amministrazioni, enti pubblici o privati, imprese o altri soggetti terzi che ne siano in possesso, di fornire informazioni e di esibire documenti.</w:t>
      </w:r>
    </w:p>
    <w:p w:rsidR="00AD1B0C" w:rsidRPr="00AD1B0C" w:rsidRDefault="00AD1B0C" w:rsidP="000436F3">
      <w:pPr>
        <w:jc w:val="both"/>
        <w:rPr>
          <w:rFonts w:cs="Times New Roman"/>
          <w:color w:val="auto"/>
          <w:sz w:val="24"/>
          <w:szCs w:val="24"/>
          <w:lang w:eastAsia="en-US"/>
        </w:rPr>
      </w:pPr>
      <w:r w:rsidRPr="00AD1B0C">
        <w:rPr>
          <w:rFonts w:cs="Times New Roman"/>
          <w:color w:val="auto"/>
          <w:sz w:val="24"/>
          <w:szCs w:val="24"/>
          <w:lang w:eastAsia="en-US"/>
        </w:rPr>
        <w:t>   3. Ai medesimi fini di cui al comma precedente, la Preside</w:t>
      </w:r>
      <w:r w:rsidR="000436F3">
        <w:rPr>
          <w:rFonts w:cs="Times New Roman"/>
          <w:color w:val="auto"/>
          <w:sz w:val="24"/>
          <w:szCs w:val="24"/>
          <w:lang w:eastAsia="en-US"/>
        </w:rPr>
        <w:t>nza del Consiglio può stipulare</w:t>
      </w:r>
      <w:r w:rsidR="000436F3" w:rsidRPr="007340A9">
        <w:rPr>
          <w:b/>
          <w:color w:val="000000" w:themeColor="text1"/>
          <w:sz w:val="24"/>
          <w:szCs w:val="24"/>
        </w:rPr>
        <w:t>, senza nuovi o maggiori</w:t>
      </w:r>
      <w:r w:rsidR="000436F3">
        <w:rPr>
          <w:b/>
          <w:color w:val="000000" w:themeColor="text1"/>
          <w:sz w:val="24"/>
          <w:szCs w:val="24"/>
        </w:rPr>
        <w:t xml:space="preserve"> oneri per la finanza pubblica,</w:t>
      </w:r>
      <w:r w:rsidR="000436F3">
        <w:rPr>
          <w:rStyle w:val="Rimandonotaapidipagina"/>
          <w:b/>
          <w:color w:val="000000" w:themeColor="text1"/>
          <w:sz w:val="24"/>
          <w:szCs w:val="24"/>
        </w:rPr>
        <w:footnoteReference w:id="80"/>
      </w:r>
      <w:r w:rsidR="000436F3">
        <w:rPr>
          <w:b/>
          <w:color w:val="000000" w:themeColor="text1"/>
          <w:sz w:val="24"/>
          <w:szCs w:val="24"/>
        </w:rPr>
        <w:t xml:space="preserve"> </w:t>
      </w:r>
      <w:r w:rsidRPr="00AD1B0C">
        <w:rPr>
          <w:rFonts w:cs="Times New Roman"/>
          <w:color w:val="auto"/>
          <w:sz w:val="24"/>
          <w:szCs w:val="24"/>
          <w:lang w:eastAsia="en-US"/>
        </w:rPr>
        <w:t>convenzioni o protocolli di intesa con istituti o enti di ricerca.».</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17.</w:t>
      </w: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(Modifiche all'articolo 120 del decreto legislativo 24 febbraio 1998, n. 58)</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All'articolo 120 del decreto legislativo 24 febbraio 1998, n. 58, sono apportate le seguenti modifiche:</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al comma 2-bis, le parole «ad elevato valore corrente di mercato e» sono soppresse;</w:t>
      </w:r>
    </w:p>
    <w:p w:rsidR="00AD1B0C" w:rsidRPr="00AD1B0C" w:rsidRDefault="00AD1B0C" w:rsidP="00AD1B0C">
      <w:pPr>
        <w:spacing w:after="160" w:line="259" w:lineRule="auto"/>
        <w:jc w:val="both"/>
        <w:rPr>
          <w:rFonts w:cs="Times New Roman"/>
          <w:color w:val="auto"/>
          <w:sz w:val="24"/>
          <w:szCs w:val="24"/>
          <w:lang w:eastAsia="en-US"/>
        </w:rPr>
      </w:pPr>
    </w:p>
    <w:p w:rsid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al comma 4-bis, è aggiunto infine il seguente periodo: «La CONSOB può, con provvedimento motivato da esigenze di tutela degli investitori nonché di efficienza e trasparenza del mercato del controllo societario e del mercato dei capitali, prevedere, per un limitato periodo di tempo, in aggiunta alle soglie indicate nel primo periodo del presente comma una soglia del 5 per cento per società ad azionariato particolarmente diffuso.».</w:t>
      </w:r>
    </w:p>
    <w:p w:rsidR="00CF78B9" w:rsidRPr="007340A9" w:rsidRDefault="00CF78B9" w:rsidP="00CF78B9">
      <w:pPr>
        <w:jc w:val="both"/>
        <w:rPr>
          <w:b/>
          <w:color w:val="000000" w:themeColor="text1"/>
          <w:sz w:val="24"/>
          <w:szCs w:val="24"/>
        </w:rPr>
      </w:pPr>
      <w:r w:rsidRPr="007340A9">
        <w:rPr>
          <w:b/>
          <w:color w:val="000000" w:themeColor="text1"/>
          <w:sz w:val="24"/>
          <w:szCs w:val="24"/>
        </w:rPr>
        <w:t>1-bis. Fino al 31 dicembre 2020, per i settori agroalimentare e siderurgico le disposizioni di cui al presente articolo e degli articoli 15 e 16 si applicano anche per perseguire l'ulteriore finalità della tutela del mantenimento dei livelli occupazionali e della produttività nel territorio nazionale.</w:t>
      </w:r>
      <w:r>
        <w:rPr>
          <w:rStyle w:val="Rimandonotaapidipagina"/>
          <w:b/>
          <w:color w:val="000000" w:themeColor="text1"/>
          <w:sz w:val="24"/>
          <w:szCs w:val="24"/>
        </w:rPr>
        <w:footnoteReference w:id="81"/>
      </w:r>
    </w:p>
    <w:p w:rsidR="00CF78B9" w:rsidRPr="00AD1B0C" w:rsidRDefault="00CF78B9"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Capo IV</w:t>
      </w: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MISURE FISCALI E CONTABILI</w:t>
      </w:r>
    </w:p>
    <w:p w:rsidR="00AD1B0C" w:rsidRPr="00AD1B0C" w:rsidRDefault="00AD1B0C" w:rsidP="00AD1B0C">
      <w:pPr>
        <w:spacing w:after="160" w:line="259" w:lineRule="auto"/>
        <w:jc w:val="center"/>
        <w:rPr>
          <w:rFonts w:cs="Times New Roman"/>
          <w:color w:val="auto"/>
          <w:sz w:val="24"/>
          <w:szCs w:val="24"/>
          <w:lang w:eastAsia="en-US"/>
        </w:rPr>
      </w:pP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18.</w:t>
      </w: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(Sospensione di versamenti tributari e contributivi)</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Per i soggetti esercenti attività d'impresa, arte o professione, che hanno il domicilio fiscale, la sede legale o la sede operativa nel territorio dello Stato con ricavi o compensi non superiori a 50 milioni di euro nel periodo di imposta precedente a quello in corso alla data di entrata in vigore del presente decreto, che hanno subìto una diminuzione del fatturato o dei corrispettivi di almeno il 33 per cento nel mese di marzo 2020 rispetto allo stesso mese del precedente periodo d'imposta e nel mese di aprile 2020 rispetto allo stesso mese del precedente periodo d'imposta, sono sospesi, rispettivamente, per i mesi di aprile e di maggio 2020, i termini dei versamenti in autoliquidazione relativi:</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alle ritenute alla fonte di cui agli articoli 23 e 24 del decreto del Presidente della Repubblica 29 settembre 1973, n. 600, e alle trattenute relative all'addizionale regionale e comunale, che i predetti soggetti operano in qualità di sostituti d'imposta;</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all'imposta sul valore aggiunto.</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Per i soggetti di cui al comma 1 sono sospesi, altresì, per i mesi di aprile e di maggio 2020, i termini dei versamenti dei contributi previdenziali e assistenziali e dei premi per l'assicurazione obbligatoria.</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  3. Per i soggetti esercenti attività d'impresa, arte o professione, che hanno il domicilio fiscale, la sede legale o la sede operativa nel territorio dello Stato con ricavi o compensi superiori a 50 milioni di euro nel periodo di imposta precedente a quello in corso alla data di entrata in vigore del presente decreto, che hanno subìto una diminuzione del fatturato o dei corrispettivi di almeno il 50 per cento nel mese di marzo 2020 rispetto allo stesso mese del precedente periodo d'imposta e nel mese di aprile </w:t>
      </w:r>
      <w:r w:rsidRPr="00AD1B0C">
        <w:rPr>
          <w:rFonts w:cs="Times New Roman"/>
          <w:color w:val="auto"/>
          <w:sz w:val="24"/>
          <w:szCs w:val="24"/>
          <w:lang w:eastAsia="en-US"/>
        </w:rPr>
        <w:lastRenderedPageBreak/>
        <w:t>2020 rispetto allo stesso mese del precedente periodo d'imposta, sono sospesi, rispettivamente, per i mesi di aprile e di maggio 2020, i termini dei versamenti in autoliquidazione relativi:</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alle ritenute alla fonte di cui agli articoli 23 e 24 del decreto del Presidente della Repubblica 29 settembre 1973, n. 600, e alle trattenute relative all'addizionale regionale e comunale, che i predetti soggetti operano in qualità di sostituti d'imposta;</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all'imposta sul valore aggiunto.</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  4. Per i soggetti di cui al comma 3 sono sospesi, altresì, per i mesi di aprile e di maggio 2020, i termini dei versamenti dei contributi previdenziali e assistenziali e dei premi per l'assicurazione obbligatoria.</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  5. I versamenti di cui ai commi da 1 a 4 sono sospesi anche per i soggetti esercenti attività d'impresa, arte o professione, che hanno il domicilio fiscale, la sede legale o la sede operativa nel territorio dello Stato e che hanno intrapreso l'attività di impresa, di arte o professione, in data successiva al 31 marzo 2019. I versamenti di cui alle lettere a) dei predetti commi 1 e 3 nonché quelli di cui ai commi 2 e 4 sono altresì sospesi per gli enti non commerciali, compresi gli enti del terzo settore e gli enti religiosi civilmente riconosciuti, che svolgono attività istituzionale di interesse generale non in regime d'impresa.</w:t>
      </w:r>
    </w:p>
    <w:p w:rsidR="00AD1B0C" w:rsidRPr="00AD1B0C" w:rsidRDefault="00AD1B0C" w:rsidP="00026241">
      <w:pPr>
        <w:jc w:val="both"/>
        <w:rPr>
          <w:rFonts w:cs="Times New Roman"/>
          <w:color w:val="auto"/>
          <w:sz w:val="24"/>
          <w:szCs w:val="24"/>
          <w:lang w:eastAsia="en-US"/>
        </w:rPr>
      </w:pPr>
      <w:r w:rsidRPr="00AD1B0C">
        <w:rPr>
          <w:rFonts w:cs="Times New Roman"/>
          <w:color w:val="auto"/>
          <w:sz w:val="24"/>
          <w:szCs w:val="24"/>
          <w:lang w:eastAsia="en-US"/>
        </w:rPr>
        <w:t xml:space="preserve">  6. La sospensione dei versamenti dell'imposta sul valore aggiunto si applica per i mesi di aprile e maggio 2020, a prescindere dal volume dei ricavi e dei compensi del periodo d'imposta precedente, ai soggetti esercenti attività d'impresa, arte o professione, che hanno il domicilio fiscale, la sede legale o la sede operativa nelle province di Bergamo, Brescia, Cremona, Lodi </w:t>
      </w:r>
      <w:r w:rsidRPr="00026241">
        <w:rPr>
          <w:rFonts w:cs="Times New Roman"/>
          <w:strike/>
          <w:color w:val="auto"/>
          <w:sz w:val="24"/>
          <w:szCs w:val="24"/>
          <w:highlight w:val="yellow"/>
          <w:lang w:eastAsia="en-US"/>
        </w:rPr>
        <w:t>e Piacenza</w:t>
      </w:r>
      <w:r w:rsidR="00026241">
        <w:rPr>
          <w:b/>
          <w:color w:val="000000" w:themeColor="text1"/>
          <w:sz w:val="24"/>
          <w:szCs w:val="24"/>
        </w:rPr>
        <w:t>, Piacenza, Alessandria ed Asti</w:t>
      </w:r>
      <w:r w:rsidR="00026241">
        <w:rPr>
          <w:rStyle w:val="Rimandonotaapidipagina"/>
          <w:b/>
          <w:color w:val="000000" w:themeColor="text1"/>
          <w:sz w:val="24"/>
          <w:szCs w:val="24"/>
        </w:rPr>
        <w:footnoteReference w:id="82"/>
      </w:r>
      <w:r w:rsidRPr="00AD1B0C">
        <w:rPr>
          <w:rFonts w:cs="Times New Roman"/>
          <w:color w:val="auto"/>
          <w:sz w:val="24"/>
          <w:szCs w:val="24"/>
          <w:lang w:eastAsia="en-US"/>
        </w:rPr>
        <w:t>, che hanno subìto rispettivamente una diminuzione del fatturato o dei corrispettivi di almeno il 33 per cento nel mese di marzo 2020 rispetto allo stesso mese del precedente periodo d'imposta e nel mese di aprile 2020 rispetto allo stesso mese del precedente periodo d'imposta.</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  7. I versamenti sospesi ai sensi dei commi 1, 2, 3, 4, 5 e 6 sono effettuati, senza applicazione di sanzioni ed interessi, in un'unica soluzione entro il 30 giugno 2020 o mediante rateizzazione fino a un </w:t>
      </w:r>
      <w:r w:rsidRPr="00AD1B0C">
        <w:rPr>
          <w:rFonts w:cs="Times New Roman"/>
          <w:color w:val="auto"/>
          <w:sz w:val="24"/>
          <w:szCs w:val="24"/>
          <w:lang w:eastAsia="en-US"/>
        </w:rPr>
        <w:lastRenderedPageBreak/>
        <w:t>massimo di 5 rate mensili di pari importo a decorrere dal medesimo mese di giugno 2020. Non si fa luogo al rimborso di quanto già versato.</w:t>
      </w:r>
    </w:p>
    <w:p w:rsid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  8. Per i soggetti aventi diritto restano ferme, per il mese di aprile 2020, le disposizioni dell'articolo 8, comma 1, del decreto-legge 2 marzo 2020, n. 9, e dell'articolo 61, commi 1 e 2, del decreto-legge 17 marzo 2020, n. 18, per i mesi di aprile 2020 e maggio 2020, le disposizioni dell'articolo 61, comma 5, del decreto-legge 17 marzo 2020, n. 18. La ripresa della riscossione dei versamenti sospesi resta disciplinata dall'articolo 61, commi 4 e 5, del decreto-legge 17 marzo 2020, n. 18.</w:t>
      </w:r>
    </w:p>
    <w:p w:rsidR="00026241" w:rsidRPr="007340A9" w:rsidRDefault="00026241" w:rsidP="00026241">
      <w:pPr>
        <w:jc w:val="both"/>
        <w:rPr>
          <w:b/>
          <w:color w:val="000000" w:themeColor="text1"/>
          <w:sz w:val="24"/>
          <w:szCs w:val="24"/>
        </w:rPr>
      </w:pPr>
      <w:r w:rsidRPr="007340A9">
        <w:rPr>
          <w:b/>
          <w:color w:val="000000" w:themeColor="text1"/>
          <w:sz w:val="24"/>
          <w:szCs w:val="24"/>
        </w:rPr>
        <w:t>8-bis. 1. I termini per il versamento del prelievo erariale unico sugli apparecchi di cui all'articolo 110, comma 6, lettere a) e b), del testo unico delle leggi sulla pubblica sicurezza, di cui al regio decreto 18 giugno 1931, n. 773, e del relativo canone concessorio in scadenza entro il 30 agosto 2020 sono prorogati al 22 settembre 2020. Le somme dovute possono essere versate con rate mensili di pari importo, con applicazione degli interessi legali calcolati giorno per giorno; la prima rata è versata entro il 22 settembre 2020 e le successive entro l'ultimo giorno del mese; l'ultima rata è versata entro il 18 dicembre 2020.</w:t>
      </w:r>
      <w:r>
        <w:rPr>
          <w:rStyle w:val="Rimandonotaapidipagina"/>
          <w:b/>
          <w:color w:val="000000" w:themeColor="text1"/>
          <w:sz w:val="24"/>
          <w:szCs w:val="24"/>
        </w:rPr>
        <w:footnoteReference w:id="83"/>
      </w:r>
    </w:p>
    <w:p w:rsid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  9. L'INPS, l'INAIL e gli enti gestori di forme obbligatorie di previdenza e assistenza di cui ai decreti legislativi 30 giugno 1994, n. 509 e 10 febbraio 1996, n. 103, comunicano all'Agenzia delle entrate i dati identificativi dei soggetti che hanno effettuato la sospensione del versamento dei contributi previdenziali e assistenziali e dei premi di assicurazione obbligatoria di cui ai commi precedenti. L'Agenzia delle entrate, nei tempi consentiti dagli adempimenti informativi fiscali previsti dalla normativa vigente, comunica ai predetti enti previdenziali l'esito dei riscontri effettuati sulla verifica dei requisiti sul fatturato e sui corrispettivi di cui ai commi 1, 2, 3, 4 e 6 con modalità e termini definiti con accordi di cooperazione tra le parti. Analoga procedura si applica con riferimento ai soggetti di cui all'articolo 62, comma 2, del decreto-legge 17 marzo 2020, n. 18.</w:t>
      </w:r>
    </w:p>
    <w:p w:rsidR="000C5070" w:rsidRPr="007340A9" w:rsidRDefault="000C5070" w:rsidP="000C5070">
      <w:pPr>
        <w:jc w:val="center"/>
        <w:rPr>
          <w:b/>
          <w:color w:val="000000" w:themeColor="text1"/>
          <w:sz w:val="24"/>
          <w:szCs w:val="24"/>
        </w:rPr>
      </w:pPr>
      <w:r w:rsidRPr="007340A9">
        <w:rPr>
          <w:b/>
          <w:color w:val="000000" w:themeColor="text1"/>
          <w:sz w:val="24"/>
          <w:szCs w:val="24"/>
        </w:rPr>
        <w:t>Art. 18-bis.</w:t>
      </w:r>
    </w:p>
    <w:p w:rsidR="000C5070" w:rsidRPr="007340A9" w:rsidRDefault="000C5070" w:rsidP="000C5070">
      <w:pPr>
        <w:jc w:val="center"/>
        <w:rPr>
          <w:b/>
          <w:color w:val="000000" w:themeColor="text1"/>
          <w:sz w:val="24"/>
          <w:szCs w:val="24"/>
        </w:rPr>
      </w:pPr>
      <w:r w:rsidRPr="007340A9">
        <w:rPr>
          <w:b/>
          <w:color w:val="000000" w:themeColor="text1"/>
          <w:sz w:val="24"/>
          <w:szCs w:val="24"/>
        </w:rPr>
        <w:t>(Sospensione del versamento dei canoni per l'uso di beni immobili appartenenti allo Stato)</w:t>
      </w:r>
    </w:p>
    <w:p w:rsidR="000C5070" w:rsidRPr="007340A9" w:rsidRDefault="000C5070" w:rsidP="000C5070">
      <w:pPr>
        <w:jc w:val="both"/>
        <w:rPr>
          <w:b/>
          <w:color w:val="000000" w:themeColor="text1"/>
          <w:sz w:val="24"/>
          <w:szCs w:val="24"/>
        </w:rPr>
      </w:pPr>
    </w:p>
    <w:p w:rsidR="000C5070" w:rsidRPr="007340A9" w:rsidRDefault="000C5070" w:rsidP="000C5070">
      <w:pPr>
        <w:jc w:val="both"/>
        <w:rPr>
          <w:b/>
          <w:color w:val="000000" w:themeColor="text1"/>
          <w:sz w:val="24"/>
          <w:szCs w:val="24"/>
        </w:rPr>
      </w:pPr>
      <w:r w:rsidRPr="007340A9">
        <w:rPr>
          <w:b/>
          <w:color w:val="000000" w:themeColor="text1"/>
          <w:sz w:val="24"/>
          <w:szCs w:val="24"/>
        </w:rPr>
        <w:t xml:space="preserve">  1. Al fine di garantire la continuità delle imprese colpite dall'emergenza COVID-19 ed i livelli occupazionali, il pagamento dei canoni dovuti per il periodo dal 1o marzo 2020 al 31 luglio 2020 per l'uso, in regime di concessione o di locazione, di beni immobili appartenenti allo Stato di cui al </w:t>
      </w:r>
      <w:r w:rsidRPr="007340A9">
        <w:rPr>
          <w:b/>
          <w:color w:val="000000" w:themeColor="text1"/>
          <w:sz w:val="24"/>
          <w:szCs w:val="24"/>
        </w:rPr>
        <w:lastRenderedPageBreak/>
        <w:t>decreto del Presidente della Repubblica 13 settembre 2005, n. 296, è sospeso. Al pagamento dei canoni sospesi ai sensi del primo periodo, da effettuarsi, anche mediante rateazione, senza applicazione di interesse, entro e non oltre il 31 ottobre 2020, si provvede secondo le modalità stabilite dalla autorità concedente.</w:t>
      </w:r>
      <w:r>
        <w:rPr>
          <w:rStyle w:val="Rimandonotaapidipagina"/>
          <w:b/>
          <w:color w:val="000000" w:themeColor="text1"/>
          <w:sz w:val="24"/>
          <w:szCs w:val="24"/>
        </w:rPr>
        <w:footnoteReference w:id="84"/>
      </w:r>
    </w:p>
    <w:p w:rsidR="000C5070" w:rsidRPr="00AD1B0C" w:rsidRDefault="000C5070"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19.</w:t>
      </w: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(Proroga sospensione ritenute sui redditi di lavoro autonomo e sulle provvigioni inerenti rapporti di commissione, di agenzia, di mediazione, di rappresentanza di commercio e di procacciamento d'affari)</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Per i soggetti che hanno il domicilio fiscale, la sede legale o la sede operativa nel territorio dello Stato con ricavi o compensi non superiori a euro 400.000 nel periodo di imposta precedente a quello in corso alla data del 17 marzo 2020, i ricavi e i compensi percepiti nel periodo compreso tra il 17 marzo 2020 e il 31 maggio 2020 non sono assoggettati alle ritenute d'acconto di cui agli articoli 25 e 25-bis del decreto del Presidente della Repubblica 29 settembre 1973, n. 600, da parte del sostituto d'imposta, a condizione che nel mese precedente non abbiano sostenuto spese per prestazioni di lavoro dipendente o assimilato. I contribuenti, che si avvalgono della presente opzione, rilasciano un'apposita dichiarazione dalla quale risulti che i ricavi e compensi non sono soggetti a ritenuta ai sensi della presente disposizione e provvedono a versare l'ammontare delle ritenute d'acconto non operate dal sostituto in un'unica soluzione entro il 31 luglio 2020 o mediante rateizzazione fino a un massimo di 5 rate mensili di pari importo a decorrere dal mese di luglio 2020, senza applicazione di sanzioni e interessi.</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Il comma 7, dell'articolo 62, del decreto-legge 17 marzo 2020, n. 18 è abrogato.</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20.</w:t>
      </w: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(Metodo previsionale acconti giugno)</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  1. Le disposizioni concernenti le sanzioni e gli interessi per il caso di omesso o di insufficiente versamento degli acconti dell'imposta sul reddito delle persone fisiche, dell'imposta sul reddito delle società e dell'imposta regionale sulle attività produttive non si applicano in caso di insufficiente versamento delle somme dovute se l'importo versato non è inferiore all'ottanta per cento della somma che risulterebbe dovuta a titolo di acconto sulla base della dichiarazione relativa al periodo di imposta in corso.</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Le disposizioni di cui al comma 1 si applicano esclusivamente agli acconti dovuti per il periodo d'imposta successivo a quello in corso al 31 dicembre 2019.</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21.</w:t>
      </w: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(Rimessione in termini per i versamenti)</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I versamenti nei confronti delle pubbliche amministrazioni, di cui all'articolo 60 del decreto-legge 17 marzo 2020, n. 18, sono considerati tempestivi se effettuati entro il 16 aprile 2020.</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22.</w:t>
      </w: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relative ai termini di consegna e di trasmissione telematica della Certificazione Unica 2020)</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Per l'anno 2020, il termine di cui all'articolo 4, comma 6-quater, del decreto del Presidente della Repubblica 22 luglio 1998, n. 322, è prorogato al 30 aprile.</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Per l'anno 2020, la sanzione per la tardiva trasmissione delle certificazioni uniche di cui all'articolo 4, comma 6-quinquies, del decreto del Presidente della Repubblica 22 luglio 1998, n. 322, non si applica se le certificazioni uniche di cui al comma 6-ter del medesimo articolo 4 sono trasmesse in via telematica all'Agenzia delle entrate entro il 30 aprile.</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23.</w:t>
      </w: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(Proroga dei certificati di cui all'articolo 17-bis, comma 5, del decreto legislativo 9 luglio 1997, n. 241, emessi nel mese di febbraio 2020)</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lastRenderedPageBreak/>
        <w:t>  1. I certificati previsti dall'articolo 17-bis, comma 5, del decreto legislativo 9 luglio 1997, n. 241, emessi entro il 29 febbraio 2020, conservano la loro validità fino al 30 giugno 2020.</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24.</w:t>
      </w: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(Termini agevolazioni prima casa)</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I termini previsti dalla nota II-bis all'articolo 1 della Tariffa parte prima, allegata al testo unico delle disposizioni concernenti l'imposta di registro, approvato con decreto del Presidente della Repubblica 26 aprile 1986, n. 131, nonché il termine previsto dall'articolo 7 della legge 23 dicembre 1998, n. 448, ai fini del riconoscimento del credito d'imposta per il riacquisto della prima casa, sono sospesi nel periodo compreso tra il 23 febbraio 2020 e il 31 dicembre 2020.</w:t>
      </w:r>
    </w:p>
    <w:p w:rsidR="00AD1B0C" w:rsidRPr="00AD1B0C" w:rsidRDefault="00AD1B0C" w:rsidP="00AD1B0C">
      <w:pPr>
        <w:spacing w:after="160" w:line="259" w:lineRule="auto"/>
        <w:jc w:val="both"/>
        <w:rPr>
          <w:rFonts w:cs="Times New Roman"/>
          <w:color w:val="auto"/>
          <w:sz w:val="24"/>
          <w:szCs w:val="24"/>
          <w:lang w:eastAsia="en-US"/>
        </w:rPr>
      </w:pPr>
    </w:p>
    <w:p w:rsidR="00AD1B0C" w:rsidRPr="0062528E" w:rsidRDefault="00AD1B0C" w:rsidP="00AD1B0C">
      <w:pPr>
        <w:spacing w:after="160" w:line="259" w:lineRule="auto"/>
        <w:jc w:val="center"/>
        <w:rPr>
          <w:rFonts w:cs="Times New Roman"/>
          <w:strike/>
          <w:color w:val="auto"/>
          <w:sz w:val="24"/>
          <w:szCs w:val="24"/>
          <w:highlight w:val="yellow"/>
          <w:lang w:eastAsia="en-US"/>
        </w:rPr>
      </w:pPr>
      <w:r w:rsidRPr="0062528E">
        <w:rPr>
          <w:rFonts w:cs="Times New Roman"/>
          <w:strike/>
          <w:color w:val="auto"/>
          <w:sz w:val="24"/>
          <w:szCs w:val="24"/>
          <w:highlight w:val="yellow"/>
          <w:lang w:eastAsia="en-US"/>
        </w:rPr>
        <w:t>Articolo 25.</w:t>
      </w:r>
    </w:p>
    <w:p w:rsidR="00AD1B0C" w:rsidRPr="0062528E" w:rsidRDefault="00AD1B0C" w:rsidP="00AD1B0C">
      <w:pPr>
        <w:spacing w:after="160" w:line="259" w:lineRule="auto"/>
        <w:jc w:val="center"/>
        <w:rPr>
          <w:rFonts w:cs="Times New Roman"/>
          <w:strike/>
          <w:color w:val="auto"/>
          <w:sz w:val="24"/>
          <w:szCs w:val="24"/>
          <w:highlight w:val="yellow"/>
          <w:lang w:eastAsia="en-US"/>
        </w:rPr>
      </w:pPr>
      <w:r w:rsidRPr="0062528E">
        <w:rPr>
          <w:rFonts w:cs="Times New Roman"/>
          <w:strike/>
          <w:color w:val="auto"/>
          <w:sz w:val="24"/>
          <w:szCs w:val="24"/>
          <w:highlight w:val="yellow"/>
          <w:lang w:eastAsia="en-US"/>
        </w:rPr>
        <w:t>(Assistenza fiscale a distanza)</w:t>
      </w:r>
    </w:p>
    <w:p w:rsidR="00AD1B0C" w:rsidRPr="0062528E" w:rsidRDefault="00AD1B0C" w:rsidP="00AD1B0C">
      <w:pPr>
        <w:spacing w:after="160" w:line="259" w:lineRule="auto"/>
        <w:jc w:val="both"/>
        <w:rPr>
          <w:rFonts w:cs="Times New Roman"/>
          <w:strike/>
          <w:color w:val="auto"/>
          <w:sz w:val="24"/>
          <w:szCs w:val="24"/>
          <w:highlight w:val="yellow"/>
          <w:lang w:eastAsia="en-US"/>
        </w:rPr>
      </w:pPr>
    </w:p>
    <w:p w:rsidR="00AD1B0C" w:rsidRPr="0062528E" w:rsidRDefault="00AD1B0C" w:rsidP="00AD1B0C">
      <w:pPr>
        <w:spacing w:after="160" w:line="259" w:lineRule="auto"/>
        <w:jc w:val="both"/>
        <w:rPr>
          <w:rFonts w:cs="Times New Roman"/>
          <w:strike/>
          <w:color w:val="auto"/>
          <w:sz w:val="24"/>
          <w:szCs w:val="24"/>
          <w:highlight w:val="yellow"/>
          <w:lang w:eastAsia="en-US"/>
        </w:rPr>
      </w:pPr>
      <w:r w:rsidRPr="0062528E">
        <w:rPr>
          <w:rFonts w:cs="Times New Roman"/>
          <w:strike/>
          <w:color w:val="auto"/>
          <w:sz w:val="24"/>
          <w:szCs w:val="24"/>
          <w:highlight w:val="yellow"/>
          <w:lang w:eastAsia="en-US"/>
        </w:rPr>
        <w:t>  1. Con riferimento al periodo d'imposta 2019, al fine di superare le difficoltà determinate dall'emergenza sanitaria e considerate le restrizioni volte a contrastare l'epidemia da COVID-19, fino alla cessazione dello stato di emergenza sanitaria, i soggetti titolari dei redditi di lavoro dipendente e assimilati indicati all'articolo 34, comma 4, del decreto legislativo 9 luglio 1997, n. 241, possono inviare in via telematica ai CAF e ai professionisti abilitati la copia per immagine della delega all'accesso alla dichiarazione precompilata sottoscritta e la copia della documentazione necessaria, unitamente alla copia del documento di identità. In caso di necessità, in luogo della sottoscrizione della delega, il contribuente può inviare al CAF o al professionista abilitato, in via telematica, copia per immagine di un'apposita autorizzazione predisposta in forma libera e sottoscritta.</w:t>
      </w:r>
    </w:p>
    <w:p w:rsidR="00AD1B0C" w:rsidRPr="0062528E" w:rsidRDefault="00AD1B0C" w:rsidP="00AD1B0C">
      <w:pPr>
        <w:spacing w:after="160" w:line="259" w:lineRule="auto"/>
        <w:jc w:val="both"/>
        <w:rPr>
          <w:rFonts w:cs="Times New Roman"/>
          <w:strike/>
          <w:color w:val="auto"/>
          <w:sz w:val="24"/>
          <w:szCs w:val="24"/>
          <w:highlight w:val="yellow"/>
          <w:lang w:eastAsia="en-US"/>
        </w:rPr>
      </w:pPr>
      <w:r w:rsidRPr="0062528E">
        <w:rPr>
          <w:rFonts w:cs="Times New Roman"/>
          <w:strike/>
          <w:color w:val="auto"/>
          <w:sz w:val="24"/>
          <w:szCs w:val="24"/>
          <w:highlight w:val="yellow"/>
          <w:lang w:eastAsia="en-US"/>
        </w:rPr>
        <w:t>  2. Le modalità di cui al comma 1 sono consentite anche per la presentazione, in via telematica, di dichiarazioni, modelli e domande di accesso o fruizione di prestazioni all'INPS.</w:t>
      </w:r>
    </w:p>
    <w:p w:rsidR="00AD1B0C" w:rsidRPr="0062528E" w:rsidRDefault="00AD1B0C" w:rsidP="00AD1B0C">
      <w:pPr>
        <w:spacing w:after="160" w:line="259" w:lineRule="auto"/>
        <w:jc w:val="both"/>
        <w:rPr>
          <w:rFonts w:cs="Times New Roman"/>
          <w:strike/>
          <w:color w:val="auto"/>
          <w:sz w:val="24"/>
          <w:szCs w:val="24"/>
          <w:lang w:eastAsia="en-US"/>
        </w:rPr>
      </w:pPr>
      <w:r w:rsidRPr="0062528E">
        <w:rPr>
          <w:rFonts w:cs="Times New Roman"/>
          <w:strike/>
          <w:color w:val="auto"/>
          <w:sz w:val="24"/>
          <w:szCs w:val="24"/>
          <w:highlight w:val="yellow"/>
          <w:lang w:eastAsia="en-US"/>
        </w:rPr>
        <w:t>  3. Resta fermo l'obbligo di regolarizzazione, con consegna delle citate deleghe e della documentazione, una volta cessata l'attuale situazione emergenziale.</w:t>
      </w:r>
      <w:r w:rsidR="0062528E">
        <w:rPr>
          <w:rStyle w:val="Rimandonotaapidipagina"/>
          <w:rFonts w:cs="Times New Roman"/>
          <w:strike/>
          <w:color w:val="auto"/>
          <w:sz w:val="24"/>
          <w:szCs w:val="24"/>
          <w:highlight w:val="yellow"/>
          <w:lang w:eastAsia="en-US"/>
        </w:rPr>
        <w:footnoteReference w:id="85"/>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26.</w:t>
      </w: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(Semplificazioni per il versamento dell'imposta di bollo sulle fatture elettroniche)</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All'articolo 17 del decreto-legge 26 ottobre 2019, n. 124, convertito, con modificazioni, dalla legge 19 dicembre 2019, n. 157, il comma 1-bis è sostituito dal seguente: «1-bis. Al fine di semplificare e ridurre gli adempimenti dei contribuenti, il pagamento dell'imposta di bollo può essere effettuato, senza applicazione di interessi e sanzioni:</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per il primo trimestre, nei termini previsti per il versamento dell'imposta relativa al secondo trimestre solare dell'anno di riferimento, qualora l'ammontare dell'imposta da versare per le fatture elettroniche emesse nel primo trimestre solare dell'anno sia inferiore a 250 euro;</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per il primo e secondo trimestre, nei termini previsti per il versamento dell'imposta relativa al terzo trimestre solare dell'anno di riferimento, qualora l'ammontare dell'imposta da versare per le fatture elettroniche emesse nel primo e secondo trimestre solare dell'anno sia inferiore complessivamente a 250 euro.».</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27.</w:t>
      </w: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(Cessione gratuita di farmaci ad uso compassionevole)</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La presunzione di cessione di cui all'articolo 1 del decreto del Presidente della Repubblica 10 novembre 1997, n. 441, non opera per le cessioni gratuite di farmaci nell'ambito dei programmi ad uso compassionevole, individuati dal decreto del Ministro della salute 7 settembre 2017, pubblicato nella Gazzetta Ufficiale 2 novembre 2017, n. 256, autorizzate dal competente Comitato Etico, effettuate nei confronti dei soggetti indicati dall'articolo 3 dello stesso decreto.</w:t>
      </w:r>
    </w:p>
    <w:p w:rsid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I farmaci di cui al comma 1 non si considerano destinati a finalità estranee all'esercizio dell'impresa ai sensi dell'articolo 85, comma 2, del testo unico delle imposte sui redditi, di cui al decreto del Presidente della Repubblica 22 dicembre 1986, n. 917.</w:t>
      </w:r>
    </w:p>
    <w:p w:rsidR="003F3E64" w:rsidRPr="0028387D" w:rsidRDefault="003F3E64" w:rsidP="003F3E64">
      <w:pPr>
        <w:jc w:val="both"/>
        <w:rPr>
          <w:b/>
          <w:color w:val="000000" w:themeColor="text1"/>
          <w:sz w:val="24"/>
          <w:szCs w:val="24"/>
        </w:rPr>
      </w:pPr>
    </w:p>
    <w:p w:rsidR="003F3E64" w:rsidRPr="0028387D" w:rsidRDefault="003F3E64" w:rsidP="003F3E64">
      <w:pPr>
        <w:jc w:val="center"/>
        <w:rPr>
          <w:b/>
          <w:color w:val="000000" w:themeColor="text1"/>
          <w:sz w:val="24"/>
          <w:szCs w:val="24"/>
        </w:rPr>
      </w:pPr>
      <w:r w:rsidRPr="0028387D">
        <w:rPr>
          <w:b/>
          <w:color w:val="000000" w:themeColor="text1"/>
          <w:sz w:val="24"/>
          <w:szCs w:val="24"/>
        </w:rPr>
        <w:t>Art. 27-bis.</w:t>
      </w:r>
    </w:p>
    <w:p w:rsidR="003F3E64" w:rsidRPr="0028387D" w:rsidRDefault="003F3E64" w:rsidP="003F3E64">
      <w:pPr>
        <w:jc w:val="center"/>
        <w:rPr>
          <w:b/>
          <w:color w:val="000000" w:themeColor="text1"/>
          <w:sz w:val="24"/>
          <w:szCs w:val="24"/>
        </w:rPr>
      </w:pPr>
      <w:r w:rsidRPr="0028387D">
        <w:rPr>
          <w:b/>
          <w:color w:val="000000" w:themeColor="text1"/>
          <w:sz w:val="24"/>
          <w:szCs w:val="24"/>
        </w:rPr>
        <w:t>(Modifica all'articolo 99 del decreto-legge 17 marzo 2020, n. 18, convertito, con modificazioni, dalla legge 24 aprile 2020, n. 27)</w:t>
      </w:r>
    </w:p>
    <w:p w:rsidR="003F3E64" w:rsidRPr="0028387D" w:rsidRDefault="003F3E64" w:rsidP="003F3E64">
      <w:pPr>
        <w:jc w:val="both"/>
        <w:rPr>
          <w:b/>
          <w:color w:val="000000" w:themeColor="text1"/>
          <w:sz w:val="24"/>
          <w:szCs w:val="24"/>
        </w:rPr>
      </w:pPr>
    </w:p>
    <w:p w:rsidR="003F3E64" w:rsidRPr="0028387D" w:rsidRDefault="003F3E64" w:rsidP="003F3E64">
      <w:pPr>
        <w:jc w:val="both"/>
        <w:rPr>
          <w:b/>
          <w:color w:val="000000" w:themeColor="text1"/>
          <w:sz w:val="24"/>
          <w:szCs w:val="24"/>
        </w:rPr>
      </w:pPr>
      <w:r w:rsidRPr="0028387D">
        <w:rPr>
          <w:b/>
          <w:color w:val="000000" w:themeColor="text1"/>
          <w:sz w:val="24"/>
          <w:szCs w:val="24"/>
        </w:rPr>
        <w:t>  1. Al comma 5 dell'articolo 99 del decreto-legge 17 marzo 2020, n. 18, convertito, con modificazioni, dalla legge 24 aprile 2020, n. 27, dopo le parole: «per la quale è» è inserita la seguente: «anche».</w:t>
      </w:r>
      <w:r>
        <w:rPr>
          <w:rStyle w:val="Rimandonotaapidipagina"/>
          <w:b/>
          <w:color w:val="000000" w:themeColor="text1"/>
          <w:sz w:val="24"/>
          <w:szCs w:val="24"/>
        </w:rPr>
        <w:footnoteReference w:id="86"/>
      </w:r>
    </w:p>
    <w:p w:rsidR="007D6828" w:rsidRPr="0028387D" w:rsidRDefault="007D6828" w:rsidP="007D6828">
      <w:pPr>
        <w:jc w:val="center"/>
        <w:rPr>
          <w:b/>
          <w:color w:val="000000" w:themeColor="text1"/>
          <w:sz w:val="24"/>
          <w:szCs w:val="24"/>
        </w:rPr>
      </w:pPr>
      <w:r w:rsidRPr="0028387D">
        <w:rPr>
          <w:b/>
          <w:color w:val="000000" w:themeColor="text1"/>
          <w:sz w:val="24"/>
          <w:szCs w:val="24"/>
        </w:rPr>
        <w:t>Art. 27-bis.</w:t>
      </w:r>
    </w:p>
    <w:p w:rsidR="007D6828" w:rsidRPr="0028387D" w:rsidRDefault="007D6828" w:rsidP="007D6828">
      <w:pPr>
        <w:jc w:val="center"/>
        <w:rPr>
          <w:b/>
          <w:color w:val="000000" w:themeColor="text1"/>
          <w:sz w:val="24"/>
          <w:szCs w:val="24"/>
        </w:rPr>
      </w:pPr>
      <w:r w:rsidRPr="0028387D">
        <w:rPr>
          <w:b/>
          <w:color w:val="000000" w:themeColor="text1"/>
          <w:sz w:val="24"/>
          <w:szCs w:val="24"/>
        </w:rPr>
        <w:t>(Disposizioni in materia di distribuzione dei farmaci agli assistiti)</w:t>
      </w:r>
    </w:p>
    <w:p w:rsidR="007D6828" w:rsidRPr="0028387D" w:rsidRDefault="007D6828" w:rsidP="007D6828">
      <w:pPr>
        <w:jc w:val="both"/>
        <w:rPr>
          <w:b/>
          <w:color w:val="000000" w:themeColor="text1"/>
          <w:sz w:val="24"/>
          <w:szCs w:val="24"/>
        </w:rPr>
      </w:pPr>
    </w:p>
    <w:p w:rsidR="007D6828" w:rsidRPr="0028387D" w:rsidRDefault="007D6828" w:rsidP="007D6828">
      <w:pPr>
        <w:jc w:val="both"/>
        <w:rPr>
          <w:b/>
          <w:color w:val="000000" w:themeColor="text1"/>
          <w:sz w:val="24"/>
          <w:szCs w:val="24"/>
        </w:rPr>
      </w:pPr>
      <w:r w:rsidRPr="0028387D">
        <w:rPr>
          <w:b/>
          <w:color w:val="000000" w:themeColor="text1"/>
          <w:sz w:val="24"/>
          <w:szCs w:val="24"/>
        </w:rPr>
        <w:t>  1. I farmaci di cui all'articolo 8, comma 1, lettera a), del decreto-legge 18 settembre 2001, n. 347, convertito, con modificazioni, dalla legge 16 novembre 2001, n. 405, erogati in regime di distribuzione diretta da parte delle strutture pubbliche, possono essere distribuiti agli assistiti, in regime di distribuzione per conto, dalle farmacie convenzionate con il Servizio sanitario nazionale con le modalità e alle condizioni stabilite dagli accordi regionali stipulati ai sensi di quanto previsto dalla citata lettera a) e fino alla cessazione dello stato di emergenza epidemiologica determinata dal COVID-19.</w:t>
      </w:r>
      <w:r>
        <w:rPr>
          <w:rStyle w:val="Rimandonotaapidipagina"/>
          <w:b/>
          <w:color w:val="000000" w:themeColor="text1"/>
          <w:sz w:val="24"/>
          <w:szCs w:val="24"/>
        </w:rPr>
        <w:footnoteReference w:id="87"/>
      </w:r>
    </w:p>
    <w:p w:rsidR="003F3E64" w:rsidRPr="00AD1B0C" w:rsidRDefault="003F3E64"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28.</w:t>
      </w: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(Modifiche all'articolo 32-quater del decreto-legge n. 124 del 2019)</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All'articolo 32-quater del decreto-legge 26 ottobre 2019, n. 124, convertito, con modificazioni, dalla legge 19 dicembre 2019, n. 157, sono apportate le seguenti modificazioni:</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   a) al comma 1, dopo le parole «di cui al decreto del Presidente della Repubblica 22 dicembre 1986, n. 917,», le parole «dalle società e dagli enti residenti di cui all'articolo 73, comma 1, lettere a), b) e c),» sono sostituite dalle seguenti: «dalle società e dagli enti di cui all'articolo 73, comma 1, lettere a), b), c) e d),»;</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   b) al comma 1, lettera c), dopo le parole «sono soggetti a tassazione con applicazione», le parole «di una ritenuta a titolo d'imposta nella misura prevista dall'articolo 27, comma 1, del decreto del Presidente della Repubblica 29 settembre 1973, n. 600», sono sostituite dalle seguenti: «della ritenuta di cui all'articolo 27, del decreto del Presidente della Repubblica 29 settembre 1973, n. 600, con la stessa aliquota e alle stesse condizioni previste nel medesimo articolo 27»;</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   c) al comma 1, dopo la lettera c), sono inserite le seguenti: «c-bis) per la quota imputabile ai soggetti di cui all'articolo 73, comma 1, lettera c) del citato testo unico di cui al decreto del Presidente della Repubblica n. 917 del 1986, concorrono alla formazione del reddito complessivo per l'intero ammontare; c-ter) per la quota imputabile a soggetti non residenti nel territorio dello Stato, sono soggetti a tassazione con applicazione di una ritenuta nella misura prevista dal medesimo articolo 27 del decreto del Presidente della Repubblica 29 settembre 1973, n. 600; per i soggetti non residenti indicati nel comma 3-ter del citato articolo 27 la misura della predetta ritenuta è pari a quella stabilita dal medesimo comma 3-ter.»;</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   d) dopo il comma 1 è inserito il seguente: «1-bis. Resta fermo il regime fiscale applicabile agli utili provenienti da imprese o enti residenti o localizzati in Stati o territori a regime fiscale privilegiato individuati ai sensi dell'articolo 47-bis, comma 1, del testo unico delle imposte sui redditi di cui al decreto del Presidente della Repubblica 22 dicembre 1986, n. 917.»;</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   e) il comma 2 è sostituito dal seguente: «2. Sugli utili derivanti dalle azioni e dagli strumenti finanziari similari alle azioni, immessi nel sistema di deposito accentrato gestito da una società di gestione accentrata, è applicata, in luogo della ritenuta di cui al comma 1, l'imposta sostitutiva di cui </w:t>
      </w:r>
      <w:r w:rsidRPr="00AD1B0C">
        <w:rPr>
          <w:rFonts w:cs="Times New Roman"/>
          <w:color w:val="auto"/>
          <w:sz w:val="24"/>
          <w:szCs w:val="24"/>
          <w:lang w:eastAsia="en-US"/>
        </w:rPr>
        <w:lastRenderedPageBreak/>
        <w:t>all'articolo 27-ter del decreto del Presidente della Repubblica 29 settembre 1973, n. 600, con la stessa aliquota e alle stesse condizioni previste nel medesimo articolo 27-ter. Le ritenute di cui al comma 1 del presente articolo e l'imposta sostitutiva di cui al periodo precedente sono operate sulla base delle informazioni fornite dalla società semplice.»;</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   f) dopo il comma 2 è aggiunto il seguente: «2-bis. Le disposizioni di cui al presente articolo si applicano ai dividendi percepiti a partire dal 1° gennaio 2020. In deroga alle disposizioni di cui al periodo precedente, alle distribuzioni di utili derivanti da partecipazioni in società ed enti soggetti all'imposta sul reddito delle società, formatesi con utili prodotti fino all'esercizio in corso al 31 dicembre 2019, deliberate entro il 31 dicembre 2022, continua ad applicarsi la disciplina previgente a quella prevista dall'articolo 1, commi da 999 a 1006, della legge 27 dicembre 2017, n. 205.».</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29.</w:t>
      </w: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in materia di processo tributario e notifica degli atti sanzionatori relativi al contributo unificato e attività del contenzioso degli enti impositori)</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Gli enti impositori, gli agenti della riscossione e i soggetti iscritti nell'albo di cui all'articolo 53 del decreto legislativo 15 dicembre 1997, n. 446, e le parti assistite da un difensore abilitato che si sono costituite in giudizio con modalità analogiche, sono tenute a notificare e depositare gli atti successivi, nonché i provvedimenti giurisdizionali, esclusivamente con le modalità telematiche stabilite dal decreto del Ministro dell'economia e delle finanze 23 dicembre 2013, n. 163, e dai successivi decreti attuativi.</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All'articolo 16 del decreto del Presidente della Repubblica 30 maggio 2002, n. 115, dopo il comma 1-bis è aggiunto il seguente: «1-ter. La sanzione irrogata, anche attraverso la comunicazione contenuta nell'invito al pagamento di cui all'articolo 248, è notificata a cura dell'ufficio e anche tramite posta elettronica certificata, nel domicilio eletto o, nel caso di mancata elezione del domicilio, è depositata presso l'ufficio.».</w:t>
      </w:r>
    </w:p>
    <w:p w:rsid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In deroga al termine fissato dall'articolo 67, comma 1, del decreto-legge 17 marzo 2020, n. 18, la proroga del termine di cui all'articolo 73, comma 1, si applica anche alle attività del contenzioso degli enti impositori.</w:t>
      </w:r>
    </w:p>
    <w:p w:rsidR="00D62F5B" w:rsidRDefault="00D62F5B" w:rsidP="00AD1B0C">
      <w:pPr>
        <w:spacing w:after="160" w:line="259" w:lineRule="auto"/>
        <w:jc w:val="both"/>
        <w:rPr>
          <w:rFonts w:cs="Times New Roman"/>
          <w:color w:val="auto"/>
          <w:sz w:val="24"/>
          <w:szCs w:val="24"/>
          <w:lang w:eastAsia="en-US"/>
        </w:rPr>
      </w:pPr>
    </w:p>
    <w:p w:rsidR="00D62F5B" w:rsidRPr="0028387D" w:rsidRDefault="00D62F5B" w:rsidP="00D62F5B">
      <w:pPr>
        <w:jc w:val="center"/>
        <w:rPr>
          <w:b/>
          <w:color w:val="000000" w:themeColor="text1"/>
          <w:sz w:val="24"/>
          <w:szCs w:val="24"/>
        </w:rPr>
      </w:pPr>
      <w:r w:rsidRPr="0028387D">
        <w:rPr>
          <w:b/>
          <w:color w:val="000000" w:themeColor="text1"/>
          <w:sz w:val="24"/>
          <w:szCs w:val="24"/>
        </w:rPr>
        <w:t>Art. 29-bis.</w:t>
      </w:r>
    </w:p>
    <w:p w:rsidR="00D62F5B" w:rsidRPr="0028387D" w:rsidRDefault="00D62F5B" w:rsidP="00D62F5B">
      <w:pPr>
        <w:jc w:val="center"/>
        <w:rPr>
          <w:b/>
          <w:color w:val="000000" w:themeColor="text1"/>
          <w:sz w:val="24"/>
          <w:szCs w:val="24"/>
        </w:rPr>
      </w:pPr>
      <w:r w:rsidRPr="0028387D">
        <w:rPr>
          <w:b/>
          <w:color w:val="000000" w:themeColor="text1"/>
          <w:sz w:val="24"/>
          <w:szCs w:val="24"/>
        </w:rPr>
        <w:lastRenderedPageBreak/>
        <w:t>(Obblighi dei datori di lavoro per la tutela contro il rischio di contagio da COVID-19)</w:t>
      </w:r>
    </w:p>
    <w:p w:rsidR="00D62F5B" w:rsidRPr="0028387D" w:rsidRDefault="00D62F5B" w:rsidP="00D62F5B">
      <w:pPr>
        <w:jc w:val="both"/>
        <w:rPr>
          <w:b/>
          <w:color w:val="000000" w:themeColor="text1"/>
          <w:sz w:val="24"/>
          <w:szCs w:val="24"/>
        </w:rPr>
      </w:pPr>
    </w:p>
    <w:p w:rsidR="00D62F5B" w:rsidRPr="0028387D" w:rsidRDefault="00D62F5B" w:rsidP="00D62F5B">
      <w:pPr>
        <w:jc w:val="both"/>
        <w:rPr>
          <w:b/>
          <w:color w:val="000000" w:themeColor="text1"/>
          <w:sz w:val="24"/>
          <w:szCs w:val="24"/>
        </w:rPr>
      </w:pPr>
      <w:r w:rsidRPr="0028387D">
        <w:rPr>
          <w:b/>
          <w:color w:val="000000" w:themeColor="text1"/>
          <w:sz w:val="24"/>
          <w:szCs w:val="24"/>
        </w:rPr>
        <w:t>  1. Ai fini della tutela contro il rischio di contagio da COVID-19, i datori di lavoro pubblici e privati adempiono all'obbligo di cui all'articolo 2087 del codice civile mediante l'applicazione delle prescrizioni contenute nel protocollo condiviso di regolamentazione delle misure per il contrasto e il contenimento della diffusione del virus COVID-19 negli ambienti di lavoro, sottoscritto il 24 aprile 2020 tra il Governo e le parti sociali, e successive modificazioni e integrazioni, e negli altri protocolli e linee guida di cui all'articolo 1, comma 14, del decreto-legge 16 maggio 2020, n. 33, nonché mediante l'adozione e il mantenimento delle misure ivi previste. Qualora non trovino applicazione le predette prescrizioni rilevano le misure contenute nei protocolli o accordi di settore stipulati dalle organizzazioni sindacali e datoriali comparativamente più rappresentative sul piano nazionale.</w:t>
      </w:r>
      <w:r>
        <w:rPr>
          <w:rStyle w:val="Rimandonotaapidipagina"/>
          <w:b/>
          <w:color w:val="000000" w:themeColor="text1"/>
          <w:sz w:val="24"/>
          <w:szCs w:val="24"/>
        </w:rPr>
        <w:footnoteReference w:id="88"/>
      </w:r>
    </w:p>
    <w:p w:rsidR="00D62F5B" w:rsidRPr="00AD1B0C" w:rsidRDefault="00D62F5B"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30.</w:t>
      </w: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(Credito d'imposta per l'acquisto di dispositivi di protezione nei luoghi di lavoro)</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Al fine di incentivare l'acquisto di attrezzature volte a evitare il contagio del virus COVID-19 nei luoghi di lavoro, il credito d'imposta di cui all'articolo 64 del decreto-legge 17 marzo 2020, n. 18, trova applicazione secondo le misure e nei limiti di spesa complessivi ivi previsti, anche per le spese sostenute nell'anno 2020 per l'acquisto di dispositivi di protezione individuale e altri dispositivi di sicurezza atti a proteggere i lavoratori dall'esposizione accidentale ad agenti biologici e a garantire la distanza di sicurezza interpersonale.</w:t>
      </w:r>
    </w:p>
    <w:p w:rsid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Con il decreto del Ministro dello sviluppo economico, di concerto on il Ministro dell'economia e delle finanze, da adottare ai sensi del comma 2 dell'articolo 64 del decreto-legge 17 marzo 2020, n. 18, sono stabiliti altresì i criteri e le modalità di applicazione e di fruizione del credito d'imposta di cui al presente articolo.</w:t>
      </w:r>
    </w:p>
    <w:p w:rsidR="00784015" w:rsidRDefault="00784015" w:rsidP="00AD1B0C">
      <w:pPr>
        <w:spacing w:after="160" w:line="259" w:lineRule="auto"/>
        <w:jc w:val="both"/>
        <w:rPr>
          <w:rFonts w:cs="Times New Roman"/>
          <w:color w:val="auto"/>
          <w:sz w:val="24"/>
          <w:szCs w:val="24"/>
          <w:lang w:eastAsia="en-US"/>
        </w:rPr>
      </w:pPr>
    </w:p>
    <w:p w:rsidR="00784015" w:rsidRPr="0028387D" w:rsidRDefault="00784015" w:rsidP="00784015">
      <w:pPr>
        <w:jc w:val="center"/>
        <w:rPr>
          <w:b/>
          <w:color w:val="000000" w:themeColor="text1"/>
          <w:sz w:val="24"/>
          <w:szCs w:val="24"/>
        </w:rPr>
      </w:pPr>
      <w:r w:rsidRPr="0028387D">
        <w:rPr>
          <w:b/>
          <w:color w:val="000000" w:themeColor="text1"/>
          <w:sz w:val="24"/>
          <w:szCs w:val="24"/>
        </w:rPr>
        <w:lastRenderedPageBreak/>
        <w:t>Art. 30-bis.</w:t>
      </w:r>
    </w:p>
    <w:p w:rsidR="00784015" w:rsidRPr="0028387D" w:rsidRDefault="00784015" w:rsidP="00784015">
      <w:pPr>
        <w:jc w:val="center"/>
        <w:rPr>
          <w:b/>
          <w:color w:val="000000" w:themeColor="text1"/>
          <w:sz w:val="24"/>
          <w:szCs w:val="24"/>
        </w:rPr>
      </w:pPr>
      <w:r w:rsidRPr="0028387D">
        <w:rPr>
          <w:b/>
          <w:color w:val="000000" w:themeColor="text1"/>
          <w:sz w:val="24"/>
          <w:szCs w:val="24"/>
        </w:rPr>
        <w:t>(Norme in materia di rifiuti sanitari)</w:t>
      </w:r>
    </w:p>
    <w:p w:rsidR="00784015" w:rsidRPr="0028387D" w:rsidRDefault="00784015" w:rsidP="00784015">
      <w:pPr>
        <w:jc w:val="both"/>
        <w:rPr>
          <w:b/>
          <w:color w:val="000000" w:themeColor="text1"/>
          <w:sz w:val="24"/>
          <w:szCs w:val="24"/>
        </w:rPr>
      </w:pPr>
      <w:r w:rsidRPr="0028387D">
        <w:rPr>
          <w:b/>
          <w:color w:val="000000" w:themeColor="text1"/>
          <w:sz w:val="24"/>
          <w:szCs w:val="24"/>
        </w:rPr>
        <w:t>Al fine di contenere il rischio infettivo e favorire la sterilizzazione dei rifiuti sanitari nelle strutture sanitarie, fino a trenta giorni dopo la dichiarazione di cessazione dello stato di emergenza sanitaria, i rifiuti sanitari a solo rischio infettivo assoggettati a procedimento di sterilizzazione effettuato secondo le previsioni dell'articolo 2, comma 1, lettera m), del regolamento di cui al decreto del Presidente della Repubblica 15 luglio 2003, n. 254, presso le strutture sanitarie pubbliche e private ai sensi dell'articolo 7, comma 2, del citato regolamento, sono sottoposti al regime giuridico dei rifiuti urbani.</w:t>
      </w:r>
      <w:r>
        <w:rPr>
          <w:rStyle w:val="Rimandonotaapidipagina"/>
          <w:b/>
          <w:color w:val="000000" w:themeColor="text1"/>
          <w:sz w:val="24"/>
          <w:szCs w:val="24"/>
        </w:rPr>
        <w:footnoteReference w:id="89"/>
      </w:r>
    </w:p>
    <w:p w:rsidR="00784015" w:rsidRPr="00AD1B0C" w:rsidRDefault="00784015"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31.</w:t>
      </w: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(Potenziamento dell'Agenzia delle dogane e dei monopoli)</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Per l'anno 2020, al fine di consentire lo svolgimento di maggiori prestazioni lavorative articolate su turnazioni, in considerazione dei rilevanti impegni derivanti dall'incremento delle attività di controllo presso i porti, gli aeroporti e le dogane interne in relazione dall'emergenza sanitaria Covid19, le risorse variabili del Fondo risorse decentrate dell'Agenzia delle dogane e dei monopoli sono incrementate di otto milioni di euro, a valere sui finanziamenti dell'Agenzia stessa, in deroga all'articolo 23, comma 2, del decreto legislativo 25 maggio 2017, n. 75. Alla compensazione degli effetti finanziari in termini di fabbisogno e indebitamento netto, pari a 4,12 milioni di euro per l'anno 2020, si provvede mediante utilizzo delle risorse rivenienti dall'abrogazione di cui al comma 2.</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L'articolo 70 del decreto-legge 17 marzo 2020, n. 18 è abrogato.</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  3. A decorrere dall'entrata in vigore del presente decreto, i dipendenti dell'Agenzia delle dogane e dei monopoli, che provengono dall'Amministrazione Autonoma dei Monopoli di Stato e quelli che </w:t>
      </w:r>
      <w:r w:rsidRPr="00AD1B0C">
        <w:rPr>
          <w:rFonts w:cs="Times New Roman"/>
          <w:color w:val="auto"/>
          <w:sz w:val="24"/>
          <w:szCs w:val="24"/>
          <w:lang w:eastAsia="en-US"/>
        </w:rPr>
        <w:lastRenderedPageBreak/>
        <w:t>prestano servizio presso gli uffici dei Monopoli o presso qualsiasi altro ufficio dell'Agenzia delle dogane e dei monopoli, sono equiparati ai dipendenti provenienti dall'Agenzia delle dogane, nei limiti del servizio prestato e delle attribuzioni ad esso connesse, anche ai sensi di quanto disposto dagli articoli 324 e 325 del decreto del Presidente della Repubblica 23 gennaio 1973, n. 43, dall'articolo 32 del decreto-legge 30 agosto 1993, n. 331, convertito, con modificazioni, dalla legge 29 ottobre 1993, n. 427, dall'articolo 57, comma 3, del decreto del Presidente della Repubblica 22 settembre 1988, n. 447, dagli articoli 30 e 31 della legge 7 gennaio 1929, n. 4, dagli articoli 18, 19 e 58 del decreto legislativo 26 ottobre 1995, n. 504. Agli effetti di cui al presente comma si provvede nell'ambito del fondo delle risorse decentrate nei limiti degli importi complessivamente disponibili a legislazione vigente.</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32.</w:t>
      </w: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(Misure urgenti per l'avvio di specifiche funzioni assistenziali per l'emergenza COVID-19)</w:t>
      </w:r>
    </w:p>
    <w:p w:rsidR="00AD1B0C" w:rsidRPr="00AD1B0C" w:rsidRDefault="00AD1B0C" w:rsidP="00AD1B0C">
      <w:pPr>
        <w:spacing w:after="160" w:line="259" w:lineRule="auto"/>
        <w:jc w:val="center"/>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Per far fronte all'emergenza epidemiologica COVID-19, limitatamente al periodo dello stato di emergenza di cui alla delibera del Consiglio dei ministri 31 gennaio 2020, anche in deroga al limite di spesa di cui all'articolo 45, comma 1-ter, del decreto legge 26 ottobre 2019, n. 124 convertito, con modificazioni, dalla legge 19 dicembre 2019, n. 157, e in deroga all'articolo 8-sexies, comma 1-bis, del decreto legislativo 30 dicembre 1992, n. 502, le regioni, ivi comprese quelle in piano di rientro, e le province autonome di Trento e Bolzano possono riconoscere alle strutture inserite nei piani adottati in attuazione dell'articolo 3, comma 1, lettera b), del decreto legge 17 marzo 2020, n. 18, la remunerazione di una specifica funzione assistenziale per i maggiori costi correlati all'allestimento dei reparti e alla gestione dell'emergenza COVID 19 secondo le disposizioni dei predetti piani e un incremento tariffario per le attività rese a pazienti COVID. Il riconoscimento avviene in sede di rinegoziazione per l'anno 2020 degli accordi e dei contratti di cui all'articolo 8-quinquies del decreto legislativo 30 dicembre 1992, n. 502, per le finalità emergenziali previste dai predetti piani.</w:t>
      </w:r>
    </w:p>
    <w:p w:rsidR="00AD1B0C" w:rsidRPr="00AD1B0C" w:rsidRDefault="00AD1B0C" w:rsidP="00D83DA1">
      <w:pPr>
        <w:jc w:val="both"/>
        <w:rPr>
          <w:rFonts w:cs="Times New Roman"/>
          <w:color w:val="auto"/>
          <w:sz w:val="24"/>
          <w:szCs w:val="24"/>
          <w:lang w:eastAsia="en-US"/>
        </w:rPr>
      </w:pPr>
      <w:r w:rsidRPr="00AD1B0C">
        <w:rPr>
          <w:rFonts w:cs="Times New Roman"/>
          <w:color w:val="auto"/>
          <w:sz w:val="24"/>
          <w:szCs w:val="24"/>
          <w:lang w:eastAsia="en-US"/>
        </w:rPr>
        <w:t>  2. Con decreto del Ministro della salute, di concerto con il Ministro dell'economia e delle finanze, previa Intesa con la Conferenza permanente per i rapporti tra lo Stato, le regioni e le province autonome di Trento e Bolzano, sono stabilite le modalità di determinazione della specifica funzione assistenziale e l'incremento tariffario di cui al comma 1 in modo da garantire la compatibilità con le risorse previste per l'attuazione dell'articolo 3, comma 6, del decreto legge 17 marzo 2020, n. 18.</w:t>
      </w:r>
      <w:r w:rsidR="00D83DA1">
        <w:rPr>
          <w:rFonts w:cs="Times New Roman"/>
          <w:color w:val="auto"/>
          <w:sz w:val="24"/>
          <w:szCs w:val="24"/>
          <w:lang w:eastAsia="en-US"/>
        </w:rPr>
        <w:t xml:space="preserve"> </w:t>
      </w:r>
      <w:r w:rsidR="00D83DA1" w:rsidRPr="0028387D">
        <w:rPr>
          <w:b/>
          <w:color w:val="000000" w:themeColor="text1"/>
          <w:sz w:val="24"/>
          <w:szCs w:val="24"/>
        </w:rPr>
        <w:t xml:space="preserve">Lo schema di decreto di cui al precedente periodo, corredato di relazione tecnica, è trasmesso alle Camere per l'espressione del parere da parte delle Commissioni parlamentari competenti per materia </w:t>
      </w:r>
      <w:r w:rsidR="00D83DA1" w:rsidRPr="0028387D">
        <w:rPr>
          <w:b/>
          <w:color w:val="000000" w:themeColor="text1"/>
          <w:sz w:val="24"/>
          <w:szCs w:val="24"/>
        </w:rPr>
        <w:lastRenderedPageBreak/>
        <w:t>e per i profili finanziari, le quali si pronunciano entro venti giorni dalla data dell'assegnazione. Decorsi inutilmente i termini per l'espressione dei pareri, il decreto può essere comunque adottato.</w:t>
      </w:r>
      <w:r w:rsidR="00D83DA1">
        <w:rPr>
          <w:rStyle w:val="Rimandonotaapidipagina"/>
          <w:b/>
          <w:color w:val="000000" w:themeColor="text1"/>
          <w:sz w:val="24"/>
          <w:szCs w:val="24"/>
        </w:rPr>
        <w:footnoteReference w:id="90"/>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Nella vigenza dell'accordo rinegoziato ai sensi del comma 1, gli enti del servizio sanitario nazionale corrispondono agli erogatori privati, a titolo di acconto e salvo conguaglio a seguito di apposita rendicontazione delle attività da parte degli erogatori privati, un corrispettivo, su base mensile, per le prestazioni rese ai sensi del presente articolo, nel limite del 70 per cento dei dodicesimi corrisposti o comunque dovuti per l'anno 2020.</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33.</w:t>
      </w: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(Proroga organi e rendiconti)</w:t>
      </w:r>
    </w:p>
    <w:p w:rsidR="00AD1B0C" w:rsidRPr="00AD1B0C" w:rsidRDefault="00AD1B0C" w:rsidP="00AD1B0C">
      <w:pPr>
        <w:spacing w:after="160" w:line="259" w:lineRule="auto"/>
        <w:jc w:val="center"/>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In considerazione della situazione straordinaria di emergenza sanitaria derivante dalla diffusione dell'epidemia COVID-19, per gli enti e organismi pubblici di cui all'articolo 1, comma 2, della legge 31 dicembre 2009, n. 196, con esclusione delle Regioni e delle Province autonome di Trento e di Bolzano, delle Città metropolitane, delle Province, dei Comuni, delle Comunità montane e dei loro consorzi e associazioni, ed altresì con esclusione delle Società, che, nel periodo dello stato di emergenza dichiarato con delibera del Consiglio dei Ministri del 31 gennaio 2020, sono tenuti al rinnovo degli organi ordinari e straordinari di amministrazione e controllo, i termini di cui all'articolo 3, comma 1, del decreto-legge 16 maggio 1994, n. 293, convertito, con modificazioni, dalla legge 15 luglio 1994, n. 444, sono ulteriormente prorogati fino al termine dello stato di emergenza e, comunque, fino alla loro ricomposizione. Fino al termine dello stato di emergenza, gli enti e organismi pubblici a base associativa che, in tale periodo, sono tenuti al rinnovo degli organi di amministrazione e controllo possono sospendere le procedure di rinnovo elettorali, anche in corso, con contestuale proroga degli organi.</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Limitatamente all'anno 2020, i rendiconti suppletivi previsti dall'articolo 61 del regio decreto 18 novembre 1923, n. 2440, relativi all'esercizio 2019, sono presentati entro il termine dello stato di emergenza dichiarato con delibera del Consiglio dei Ministri del 31 gennaio 2020.</w:t>
      </w:r>
    </w:p>
    <w:p w:rsid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  3. All'articolo 11 del decreto legislativo 30 giugno 2011, n. 123, comma 1, dopo la lettera c), è inserita la lettera «c-bis) rendiconti di contabilità speciale concernenti i pagamenti degli interventi europei o della programmazione complementare di cui all'articolo 1, comma 671, della legge 23 dicembre 2014, n. 190»; conseguentemente, all'articolo 12, comma 1, dello stesso decreto legislativo n. </w:t>
      </w:r>
      <w:r w:rsidRPr="00AD1B0C">
        <w:rPr>
          <w:rFonts w:cs="Times New Roman"/>
          <w:color w:val="auto"/>
          <w:sz w:val="24"/>
          <w:szCs w:val="24"/>
          <w:lang w:eastAsia="en-US"/>
        </w:rPr>
        <w:lastRenderedPageBreak/>
        <w:t>123 del 2011, le parole: «nonché dei pagamenti di cui alla lettera e-bis)», sono sostituite dalle seguenti: «nonché dei pagamenti di cui alle lettere c-bis) ed e-bis)».»</w:t>
      </w:r>
    </w:p>
    <w:p w:rsidR="001D3118" w:rsidRPr="0028387D" w:rsidRDefault="001D3118" w:rsidP="001D3118">
      <w:pPr>
        <w:jc w:val="center"/>
        <w:rPr>
          <w:b/>
          <w:color w:val="000000" w:themeColor="text1"/>
          <w:sz w:val="24"/>
          <w:szCs w:val="24"/>
        </w:rPr>
      </w:pPr>
      <w:r w:rsidRPr="0028387D">
        <w:rPr>
          <w:b/>
          <w:color w:val="000000" w:themeColor="text1"/>
          <w:sz w:val="24"/>
          <w:szCs w:val="24"/>
        </w:rPr>
        <w:t>Art. 33-bis.</w:t>
      </w:r>
    </w:p>
    <w:p w:rsidR="001D3118" w:rsidRPr="0028387D" w:rsidRDefault="001D3118" w:rsidP="001D3118">
      <w:pPr>
        <w:jc w:val="center"/>
        <w:rPr>
          <w:b/>
          <w:color w:val="000000" w:themeColor="text1"/>
          <w:sz w:val="24"/>
          <w:szCs w:val="24"/>
        </w:rPr>
      </w:pPr>
      <w:r w:rsidRPr="0028387D">
        <w:rPr>
          <w:b/>
          <w:color w:val="000000" w:themeColor="text1"/>
          <w:sz w:val="24"/>
          <w:szCs w:val="24"/>
        </w:rPr>
        <w:t>(Proroga dei termini di cui all'articolo 30, comma 14-ter, decreto-legge 30 aprile 2019, n. 34)</w:t>
      </w:r>
    </w:p>
    <w:p w:rsidR="001D3118" w:rsidRPr="0028387D" w:rsidRDefault="001D3118" w:rsidP="001D3118">
      <w:pPr>
        <w:jc w:val="both"/>
        <w:rPr>
          <w:b/>
          <w:color w:val="000000" w:themeColor="text1"/>
          <w:sz w:val="24"/>
          <w:szCs w:val="24"/>
        </w:rPr>
      </w:pPr>
    </w:p>
    <w:p w:rsidR="001D3118" w:rsidRPr="0028387D" w:rsidRDefault="001D3118" w:rsidP="001D3118">
      <w:pPr>
        <w:jc w:val="both"/>
        <w:rPr>
          <w:b/>
          <w:color w:val="000000" w:themeColor="text1"/>
          <w:sz w:val="24"/>
          <w:szCs w:val="24"/>
        </w:rPr>
      </w:pPr>
      <w:r w:rsidRPr="0028387D">
        <w:rPr>
          <w:b/>
          <w:color w:val="000000" w:themeColor="text1"/>
          <w:sz w:val="24"/>
          <w:szCs w:val="24"/>
        </w:rPr>
        <w:t>  1. All'articolo 125, comma 1, del decreto-legge 17 marzo 2020, n. 18, convertito, con modificazioni, dalla legge 24 aprile 2020, n. 27, le parole: «comma 14-bis» sono sostituite dalle seguenti: «commi 14-bis e 14-ter».</w:t>
      </w:r>
      <w:r>
        <w:rPr>
          <w:rStyle w:val="Rimandonotaapidipagina"/>
          <w:b/>
          <w:color w:val="000000" w:themeColor="text1"/>
          <w:sz w:val="24"/>
          <w:szCs w:val="24"/>
        </w:rPr>
        <w:footnoteReference w:id="91"/>
      </w:r>
    </w:p>
    <w:p w:rsidR="001D3118" w:rsidRPr="00AD1B0C" w:rsidRDefault="001D3118"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34.</w:t>
      </w: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(Divieto di cumulo pensioni e redditi)</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Ai fini del riconoscimento dell'indennità di cui all'articolo 44 del decreto-legge 17 marzo 2020, n. 18, i professionisti iscritti agli enti di diritto privato di previdenza obbligatoria di cui al decreto legislativo 30 giugno 1994, n. 509 e al decreto legislativo 10 febbraio 1996, n. 103 devono intendersi non titolari di trattamento pensionistico e iscritti in via esclusiva.</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35.</w:t>
      </w: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(Pin Inps)</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Fino al termine dello stato di emergenza deliberato dal Consiglio dei ministri in data 31 gennaio 2020 e per l'intero periodo ivi considerato, l'Inps è autorizzato a rilasciare le proprie identità digitali (PIN INPS) in maniera semplificata acquisendo telematicamente gli elementi necessari all'identificazione del richiedente, ferma restando la verifica con riconoscimento diretto, ovvero riconoscimento facciale da remoto, una volta cessata l'attuale situazione emergenziale.</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Capo V</w:t>
      </w: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IN MATERIA DI TERMINI PROCESSUALI E PROCEDIMENTALI</w:t>
      </w:r>
    </w:p>
    <w:p w:rsidR="00AD1B0C" w:rsidRPr="00AD1B0C" w:rsidRDefault="00AD1B0C" w:rsidP="00AD1B0C">
      <w:pPr>
        <w:spacing w:after="160" w:line="259" w:lineRule="auto"/>
        <w:jc w:val="center"/>
        <w:rPr>
          <w:rFonts w:cs="Times New Roman"/>
          <w:color w:val="auto"/>
          <w:sz w:val="24"/>
          <w:szCs w:val="24"/>
          <w:lang w:eastAsia="en-US"/>
        </w:rPr>
      </w:pP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36.</w:t>
      </w: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(Termini processuali in materia di giustizia civile, penale, amministrativa, contabile, tributaria e militare)</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Il termine del 15 aprile 2020 previsto dall'articolo 83, commi 1 e 2, del decreto-legge 17 marzo 2020, n. 18 è prorogato all'11 maggio 2020. Conseguentemente il termine iniziale del periodo previsto dal comma 6 del predetto articolo è fissato al 12 maggio 2020. Le disposizioni del presente articolo si applicano, in quanto compatibili, ai procedimenti di cui ai commi 20 e 21 dell'articolo 83 del decreto-legge n. 18 del 2020.</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La disposizione di cui al comma 1 non si applica ai procedimenti penali in cui i termini di cui all'articolo 304 del codice di procedura penale scadono nei sei mesi successivi all'11 maggio 2020.</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Nei giudizi disciplinati dal codice del processo amministrativo sono ulteriormente sospesi, dal 16 aprile al 3 maggio 2020 inclusi, esclusivamente i termini per la notificazione dei ricorsi, fermo restando quanto previsto dall'articolo 54, comma 3, dello stesso codice.</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  4. La proroga del termine di cui al comma 1, primo periodo, si applica altresì a tutte le funzioni e attività della Corte dei conti, come elencate nell'articolo 85 del decreto legge 17 marzo 2020, n. 18. Conseguentemente il termine iniziale del periodo previsto dal comma 5 del predetto articolo 85 è fissato al 12 maggio 2020.</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37.</w:t>
      </w: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(Termini dei procedimenti amministrativi e dell'efficacia degli atti amministrativi in scadenza)</w:t>
      </w:r>
    </w:p>
    <w:p w:rsidR="00AD1B0C" w:rsidRPr="00AD1B0C" w:rsidRDefault="00AD1B0C" w:rsidP="00AD1B0C">
      <w:pPr>
        <w:spacing w:after="160" w:line="259" w:lineRule="auto"/>
        <w:jc w:val="both"/>
        <w:rPr>
          <w:rFonts w:cs="Times New Roman"/>
          <w:color w:val="auto"/>
          <w:sz w:val="24"/>
          <w:szCs w:val="24"/>
          <w:lang w:eastAsia="en-US"/>
        </w:rPr>
      </w:pPr>
    </w:p>
    <w:p w:rsid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Il termine del 15 aprile 2020 previsto dai commi 1 e 5 dell'articolo 103 del decreto-legge 17 marzo 2020, n. 18, è prorogato al 15 maggio 2020;</w:t>
      </w:r>
    </w:p>
    <w:p w:rsidR="00F21119" w:rsidRPr="0028387D" w:rsidRDefault="00F21119" w:rsidP="00F21119">
      <w:pPr>
        <w:jc w:val="center"/>
        <w:rPr>
          <w:b/>
          <w:color w:val="000000" w:themeColor="text1"/>
          <w:sz w:val="24"/>
          <w:szCs w:val="24"/>
        </w:rPr>
      </w:pPr>
      <w:r w:rsidRPr="0028387D">
        <w:rPr>
          <w:b/>
          <w:color w:val="000000" w:themeColor="text1"/>
          <w:sz w:val="24"/>
          <w:szCs w:val="24"/>
        </w:rPr>
        <w:t>Art. 37-bis.</w:t>
      </w:r>
    </w:p>
    <w:p w:rsidR="00F21119" w:rsidRPr="0028387D" w:rsidRDefault="00F21119" w:rsidP="00F21119">
      <w:pPr>
        <w:jc w:val="center"/>
        <w:rPr>
          <w:b/>
          <w:color w:val="000000" w:themeColor="text1"/>
          <w:sz w:val="24"/>
          <w:szCs w:val="24"/>
        </w:rPr>
      </w:pPr>
      <w:r w:rsidRPr="0028387D">
        <w:rPr>
          <w:b/>
          <w:color w:val="000000" w:themeColor="text1"/>
          <w:sz w:val="24"/>
          <w:szCs w:val="24"/>
        </w:rPr>
        <w:lastRenderedPageBreak/>
        <w:t>(Sospensione temporanea delle segnalazioni a sofferenza alla Centrale dei rischi e ai sistemi di informazioni creditizie)</w:t>
      </w:r>
    </w:p>
    <w:p w:rsidR="00F21119" w:rsidRPr="0028387D" w:rsidRDefault="00F21119" w:rsidP="00F21119">
      <w:pPr>
        <w:jc w:val="both"/>
        <w:rPr>
          <w:b/>
          <w:color w:val="000000" w:themeColor="text1"/>
          <w:sz w:val="24"/>
          <w:szCs w:val="24"/>
        </w:rPr>
      </w:pPr>
    </w:p>
    <w:p w:rsidR="00F21119" w:rsidRPr="0028387D" w:rsidRDefault="00F21119" w:rsidP="00F21119">
      <w:pPr>
        <w:jc w:val="both"/>
        <w:rPr>
          <w:b/>
          <w:color w:val="000000" w:themeColor="text1"/>
          <w:sz w:val="24"/>
          <w:szCs w:val="24"/>
        </w:rPr>
      </w:pPr>
      <w:r w:rsidRPr="0028387D">
        <w:rPr>
          <w:b/>
          <w:color w:val="000000" w:themeColor="text1"/>
          <w:sz w:val="24"/>
          <w:szCs w:val="24"/>
        </w:rPr>
        <w:t>  1. Fino al 30 settembre 2020, le segnalazioni a sofferenza effettuate dagli intermediari alla Centrale dei rischi della Banca d'Italia, di cui alla Delibera del Comitato interministeriale per il credito e il risparmio del 29 marzo 1994 così come modificata dal decreto del Ministro dell'economia e delle finanze 11 luglio 2012, pubblicato nella Gazzetta Ufficiale n. 174 del 27 luglio 2012 riguardanti le imprese beneficiarie delle misure di sostegno finanziario di cui all'articolo 56, comma 2, del decreto-legge 17 marzo 2020, n. 18, convertito, con modificazioni, dalla legge 24 aprile 2020, n. 27, sono sospese a decorrere dalla data dalla quale tali misure sono state concesse.</w:t>
      </w:r>
    </w:p>
    <w:p w:rsidR="00F21119" w:rsidRPr="0028387D" w:rsidRDefault="00F21119" w:rsidP="00F21119">
      <w:pPr>
        <w:jc w:val="both"/>
        <w:rPr>
          <w:b/>
          <w:color w:val="000000" w:themeColor="text1"/>
          <w:sz w:val="24"/>
          <w:szCs w:val="24"/>
        </w:rPr>
      </w:pPr>
      <w:r w:rsidRPr="0028387D">
        <w:rPr>
          <w:b/>
          <w:color w:val="000000" w:themeColor="text1"/>
          <w:sz w:val="24"/>
          <w:szCs w:val="24"/>
        </w:rPr>
        <w:t>  2. Le disposizioni del comma 1 si applicano anche ai Sistemi di informazioni creditizie dei quali fanno parte altri archivi sul credito gestiti da soggetti privati e ai quali gli intermediari partecipano su base volontaria.</w:t>
      </w:r>
      <w:r>
        <w:rPr>
          <w:rStyle w:val="Rimandonotaapidipagina"/>
          <w:b/>
          <w:color w:val="000000" w:themeColor="text1"/>
          <w:sz w:val="24"/>
          <w:szCs w:val="24"/>
        </w:rPr>
        <w:footnoteReference w:id="92"/>
      </w:r>
    </w:p>
    <w:p w:rsidR="00F21119" w:rsidRPr="00AD1B0C" w:rsidRDefault="00F21119"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Capo VI</w:t>
      </w: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IN MATERIA DI SALUTE E DI LAVORO</w:t>
      </w:r>
    </w:p>
    <w:p w:rsidR="00AD1B0C" w:rsidRPr="00AD1B0C" w:rsidRDefault="00AD1B0C" w:rsidP="00AD1B0C">
      <w:pPr>
        <w:spacing w:after="160" w:line="259" w:lineRule="auto"/>
        <w:jc w:val="center"/>
        <w:rPr>
          <w:rFonts w:cs="Times New Roman"/>
          <w:color w:val="auto"/>
          <w:sz w:val="24"/>
          <w:szCs w:val="24"/>
          <w:lang w:eastAsia="en-US"/>
        </w:rPr>
      </w:pP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38.</w:t>
      </w: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urgenti in materia contrattuale per la medicina convenzionata)</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In considerazione della temporanea sospensione delle trattative in corso per la definizione contrattuale dell'accordo collettivo nazionale 2016-2018 per la Medicina Generale e la Pediatria di Libera Scelta, per le necessità connesse al contenimento dell'emergenza pandemica da COVID-19, per tutta la durata dell'emergenza e salvo quanto previsto dal comma 2, è riconosciuto l'adeguamento immediato della quota capitaria/oraria ai Medici di Medicina Generale e ai Pediatri di Libera Scelta ai contenuti economici previsti dall'Atto di indirizzo per il rinnovo dell'accordo collettivo nazionale della medicina convenzionata, approvato dal Comitato di Settore Regioni-Sanità in data 9 luglio 2019 e 29 agosto 2019 su proposta della Conferenza delle Regioni e delle Province autonome e parere positivo del Governo, riferiti al totale incrementale previsto per il 2018, nonché i relativi arretrati.</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Le parti contrattuali, si impegnano a concludere le trattative per l'accordo collettivo nazionale 2016-2018 entro sei mesi dalla fine dell'emergenza secondo le procedure ordinarie, anche tenendo conto dei compiti di cui al comma 3, rinegoziati coerentemente con la parte normativa prevista dal medesimo Atto di indirizzo. Nel caso in cui non si provveda alla conclusione delle trattative nei termini previsti cessano gli effetti di cui al comma 1.</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Il trattamento economico di cui al comma 1 viene erogato anche per garantire la reperibilità a distanza dei medici per tutta la giornata, anche con l'ausilio del personale di studio, in modo da contenere il contatto diretto e conseguentemente limitare i rischi di contagio dei medici e del personale stesso.</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  4. I medici di Medicina Generale e i Pediatri di Libera scelta si dotano, con oneri a proprio carico, di sistemi di piattaforme digitali che consentano il contatto ordinario e prevalente con i pazienti fragili e cronici gravi, e collaborano a distanza, nel caso in cui non siano dotati di dispositivi di protezione individuale idonei, in via straordinaria ove fosse richiesto dalle Regioni, per la sorveglianza clinica dei pazienti in quarantena o isolamento o in fase di guarigione dimessi precocemente dagli Ospedali.</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  5. Le Regioni possono impegnare il 20 per cento dei fondi ripartiti di cui all'articolo 1, comma 449, della legge 27 dicembre 2019, n. 160, per l'acquisto e la fornitura ai medici di pulsiossimetri che permettano, previa consegna al paziente se necessario, la valutazione a distanza della saturazione di ossigeno e della frequenza cardiaca durante il videoconsulto. Il medico si avvarrà delle fasi di osservazione e dei segni riscontrati, come dei sintomi riferiti dal paziente, per un orientamento che definisca le successive azioni cliniche necessarie in accordo con i percorsi definiti a livello regionale.</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  6. Per le medesime finalità di cui al comma 1 è riconosciuto l'adeguamento immediato del trattamento economico spettante agli specialisti ambulatoriali, ai contenuti economici previsti dall'Atto di indirizzo per il rinnovo dell'accordo collettivo nazionale della medicina convenzionata, approvato dal Comitato di Settore Regioni-Sanità in data 9 luglio 2019 su proposta della Conferenza delle Regioni e </w:t>
      </w:r>
      <w:r w:rsidRPr="00AD1B0C">
        <w:rPr>
          <w:rFonts w:cs="Times New Roman"/>
          <w:color w:val="auto"/>
          <w:sz w:val="24"/>
          <w:szCs w:val="24"/>
          <w:lang w:eastAsia="en-US"/>
        </w:rPr>
        <w:lastRenderedPageBreak/>
        <w:t>delle Province autonome e parere positivo del Governo, riferiti al totale incrementale previsto per il 2018.</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  7. Agli oneri derivanti dal presente articolo si provvede nell'ambito delle risorse finanziarie disponibili a legislazione vigente.</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39.</w:t>
      </w: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(Procedure semplificate per le pratiche e attrezzature medico-radiologiche)</w:t>
      </w:r>
    </w:p>
    <w:p w:rsidR="00AD1B0C" w:rsidRPr="00AD1B0C" w:rsidRDefault="00AD1B0C" w:rsidP="00AD1B0C">
      <w:pPr>
        <w:spacing w:after="160" w:line="259" w:lineRule="auto"/>
        <w:jc w:val="center"/>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Il rispetto dei requisiti di salute e sicurezza per la tutela dei lavoratori e della popolazione dai rischi di esposizione alle radiazioni ionizzanti a seguito delle nuove pratiche medico-radiologiche avviate ai fini della gestione dell'emergenza presso le strutture sanitarie, comprese le aree e strutture di cui all'articolo 4, comma 1, del decreto-legge 17 marzo 2020, n. 18, ovvero eseguite mediante attrezzature radiologiche portatili presso il domicilio del paziente affetto da COVID-19, incluse le residenze assistite, è assolto con l'osservanza delle disposizioni di cui ai Capi VIII e IX del decreto legislativo 17 marzo 1995, n. 230, e con la trasmissione, agli organi di cui all'articolo 22, comma 1 dello stesso decreto legislativo, di una comunicazione di avvio dell'attività, corredata dal benestare dell'esperto qualificato, comprensivo delle valutazioni e indicazioni di radioprotezione di cui all'articolo 61, comma 2, e dell'esito della prima verifica di cui all'articolo 79, comma 1, lettera b), punti 1 e 2, del medesimo decreto legislativo 17 marzo 1995, n. 230.</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L'utilizzo e il movimento nei diversi ambienti e luoghi di pertinenza della medesima struttura sanitaria, comprese le aree e strutture di cui all'articolo 4, comma 1, del decreto-legge 17 marzo 2020, n. 18, di attrezzature medico-radiologiche mobili, ai fini dello svolgimento di pratiche mediche per le quali alla data di entrata in vigore del presente decreto sia già stata inoltrata agli organi competenti la comunicazione preventiva di cui all'articolo 22 del decreto legislativo 17 marzo 1995, n. 230, non sono oggetto della comunicazione di cui al comma 1 e restano soggetti al solo benestare dell'esperto qualificato, che la struttura acquisisce agli atti.</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Restano ferme le disposizioni del decreto legislativo 26 maggio 2000, n. 187, in materia di protezione dei pazienti contro i pericoli delle radiazioni ionizzanti connesse a esposizioni mediche.</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  4. Le disposizioni di cui ai commi 1 e 2 del presente articolo si applicano fino alla data di cessazione dello stato di emergenza sul territorio nazionale relativo al rischio sanitario connesso all'insorgenza di patologie derivanti da COVID-19, dichiarata con la delibera del Consiglio dei ministri del 31 gennaio 2020.</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40.</w:t>
      </w: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urgenti materia di sperimentazione dei medicinali per l'emergenza epidemiologica da COVID)</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Limitatamente al periodo dello stato di emergenza, di cui alla delibera del Consiglio dei Ministri in data 31 gennaio 2020, ferme restando le disposizioni vigenti in materia di sperimentazione clinica dei medicinali, al fine di migliorare la capacità di coordinamento e di analisi delle evidenze scientifiche disponibili sui medicinali, l'Agenzia italiana del farmaco (AIFA) può accedere a tutti i dati degli studi clinici sperimentali, osservazionali e dei programmi di uso terapeutico compassionevole, per pazienti con COVID-19.</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I protocolli degli studi clinici sperimentali sui medicinali di fase I, II, III e IV, degli studi osservazionali sui farmaci e dei programmi di uso terapeutico compassionevole sono preliminarmente valutati dalla Commissione tecnico scientifica (CTS) dell'AIFA, che ne comunica gli esiti anche al Comitato tecnico scientifico dell'Unità di crisi del Dipartimento della Protezione civile, di cui all'articolo 2 dell'ordinanza del Capo del Dipartimento della protezione civile n. 630 del 3 febbraio 2020. Relativamente agli studi di fase I la CTS dell'AIFA si avvale del parere della Commissione di cui all'articolo 7 del decreto del Presidente della Repubblica 21 settembre 2001, n. 439.</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Limitatamente al periodo dello stato di emergenza, di cui alla delibera del Consiglio dei Ministri in data 31 gennaio 2020, il Comitato etico dell'Istituto Nazionale per le Malattie Infettive Lazzaro Spallanzani di Roma, quale comitato etico unico nazionale per la valutazione delle sperimentazioni cliniche dei medicinali per uso umano, degli studi osservazionali sui farmaci, dei programmi di uso terapeutico compassionevole per pazienti con COVID-19, esprime il parere nazionale, anche sulla base della valutazione della CTS dell'AIFA.</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  4. Il Comitato etico di cui al comma 3 acquisisce dai promotori tutta la documentazione necessaria unitamente ai protocolli degli studi clinici sperimentali sui medicinali di fase I, II, III e IV, degli studi osservazionali sui farmaci e dei programmi di uso terapeutico compassionevole per la cura dei pazienti con COVID-19, nonché eventuali emendamenti. Alle valutazioni relative alle singole richieste di usi terapeutici nominali si applicano le disposizioni già vigenti in materia.</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  5. Il Comitato etico di cui al comma 3 comunica il parere all'AIFA, e quest'ultima cura la pubblicazione del parere e del protocollo approvato sul proprio sito istituzionale. Al fine di fronteggiare l'emergenza da COVID-19 e limitatamente al periodo di cui alla delibera del Consiglio dei Ministri in data 31 gennaio 2020, in deroga alle vigenti procedure in materia di acquisizione delle domande di </w:t>
      </w:r>
      <w:r w:rsidRPr="00AD1B0C">
        <w:rPr>
          <w:rFonts w:cs="Times New Roman"/>
          <w:color w:val="auto"/>
          <w:sz w:val="24"/>
          <w:szCs w:val="24"/>
          <w:lang w:eastAsia="en-US"/>
        </w:rPr>
        <w:lastRenderedPageBreak/>
        <w:t>sperimentazione clinica, l'AIFA, sentito il Comitato etico nazionale di cui al comma 3, pubblica entro 10 giorni dalla data di entrata in vigore del presente decreto una circolare che indica le procedure semplificate per la menzionata acquisizione delle domande nonché per le modalità di adesione agli studi.</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  6. Per gli studi sperimentali non profit di cui al presente articolo non è richiesta la stipula di una specifica polizza assicurativa.</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  7. Dall'applicazione del presente articolo non derivano nuovi e maggiori oneri per la finanza pubblica. Le amministrazioni pubbliche interessate provvedono agli adempimenti di cui al presente articolo con le risorse umane, finanziarie e strumentali disponibili a legislazione vigente sui propri bilanci.</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  8. A decorrere dall'entrata in vigore del presente decreto l'articolo 17 del decreto legge 17 marzo 2020, n. 18 è abrogato.</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41.</w:t>
      </w: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in materia di lavoro)</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Le disposizioni di cui all'articolo 19 del decreto-legge 17 marzo 2020, n. 18, si applicano anche ai i lavoratori assunti dal 24 febbraio 2020 al 17 marzo 2020.</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  2. Le disposizioni di cui all'articolo 22 del decreto-legge 17 marzo 2020, n. 18, si applicano anche ai lavoratori assunti tra il 24 febbraio 2020 e il 17 marzo 2020.</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Le domande presentate ai sensi del comma 4 dell'articolo 22 del decreto-legge 17 marzo 2020, n. 18, sono esenti dall'imposta di bollo.</w:t>
      </w:r>
    </w:p>
    <w:p w:rsidR="00AD1B0C" w:rsidRDefault="00AD1B0C" w:rsidP="00AD1B0C">
      <w:pPr>
        <w:spacing w:after="160" w:line="259" w:lineRule="auto"/>
        <w:jc w:val="both"/>
        <w:rPr>
          <w:rFonts w:cs="Times New Roman"/>
          <w:strike/>
          <w:color w:val="auto"/>
          <w:sz w:val="24"/>
          <w:szCs w:val="24"/>
          <w:lang w:eastAsia="en-US"/>
        </w:rPr>
      </w:pPr>
      <w:r w:rsidRPr="00AD1B0C">
        <w:rPr>
          <w:rFonts w:cs="Times New Roman"/>
          <w:color w:val="auto"/>
          <w:sz w:val="24"/>
          <w:szCs w:val="24"/>
          <w:lang w:eastAsia="en-US"/>
        </w:rPr>
        <w:t>  </w:t>
      </w:r>
      <w:r w:rsidRPr="00A7707F">
        <w:rPr>
          <w:rFonts w:cs="Times New Roman"/>
          <w:strike/>
          <w:color w:val="auto"/>
          <w:sz w:val="24"/>
          <w:szCs w:val="24"/>
          <w:highlight w:val="yellow"/>
          <w:lang w:eastAsia="en-US"/>
        </w:rPr>
        <w:t>4. Alla copertura degli oneri previsti dal presente articolo, valutati in 16 milioni di euro per l'anno 2020, si provvede mediante corrispondente riduzione delle somme di cui all'articolo 56, comma 6, decreto-legge 17 marzo 2020, n. 18 e in soli termini di fabbisogno, mediante utilizzo delle risorse di cui all'articolo 13, comma 12.</w:t>
      </w:r>
    </w:p>
    <w:p w:rsidR="00A7707F" w:rsidRDefault="00A7707F" w:rsidP="00A7707F">
      <w:pPr>
        <w:jc w:val="both"/>
        <w:rPr>
          <w:b/>
          <w:color w:val="000000" w:themeColor="text1"/>
          <w:sz w:val="24"/>
          <w:szCs w:val="24"/>
        </w:rPr>
      </w:pPr>
      <w:r w:rsidRPr="0028387D">
        <w:rPr>
          <w:b/>
          <w:color w:val="000000" w:themeColor="text1"/>
          <w:sz w:val="24"/>
          <w:szCs w:val="24"/>
        </w:rPr>
        <w:t xml:space="preserve">  4. Alle minori entrate derivanti dal presente articolo, valutate in 16 milioni di euro per l'anno 2020, si provvede, in termini di saldo netto e di indebitamento netto, mediante corrispondente riduzione delle somme di cui all'articolo 56, comma 6, del decreto-legge 17 marzo 2020, n. 18, e, in </w:t>
      </w:r>
      <w:r w:rsidRPr="0028387D">
        <w:rPr>
          <w:b/>
          <w:color w:val="000000" w:themeColor="text1"/>
          <w:sz w:val="24"/>
          <w:szCs w:val="24"/>
        </w:rPr>
        <w:lastRenderedPageBreak/>
        <w:t>termini di fabbisogno, mediante utilizzo delle risorse rivenienti dall'abrogazione di cui al comma 12 dell'articolo 13.</w:t>
      </w:r>
      <w:r>
        <w:rPr>
          <w:rStyle w:val="Rimandonotaapidipagina"/>
          <w:b/>
          <w:color w:val="000000" w:themeColor="text1"/>
          <w:sz w:val="24"/>
          <w:szCs w:val="24"/>
        </w:rPr>
        <w:footnoteReference w:id="93"/>
      </w:r>
    </w:p>
    <w:p w:rsidR="004D07BE" w:rsidRPr="0066492F" w:rsidRDefault="004D07BE" w:rsidP="004D07BE">
      <w:pPr>
        <w:jc w:val="both"/>
        <w:rPr>
          <w:b/>
          <w:color w:val="000000" w:themeColor="text1"/>
          <w:sz w:val="24"/>
          <w:szCs w:val="24"/>
        </w:rPr>
      </w:pPr>
      <w:r w:rsidRPr="0066492F">
        <w:rPr>
          <w:b/>
          <w:color w:val="000000" w:themeColor="text1"/>
          <w:sz w:val="24"/>
          <w:szCs w:val="24"/>
        </w:rPr>
        <w:t> 4-bis. Al fine di favorire lo sviluppo di nuova imprenditoria in agricoltura, con decreto del Ministro delle politiche agricole alimentari e forestali, di natura non regolamentare, previa intesa in sede di Conferenza permanente per i rapporti tra lo Stato, le regioni e le province autonome di Trento e di Bolzano, da adottare entro sessanta giorni dalla data di entrata in vigore della legge di conversione del presente decreto, sono definiti i criteri e le modalità per la concessione da parte dell'Istituto di servizi per il mercato agricolo alimentare di mutui a tasso zero in favore di iniziative finalizzate al sostegno di aziende agricole per la ristrutturazione di mutui in essere, per la copertura di spese di gestione o per investimenti nel settore agricolo e in quello della trasformazione e commercializzazione di prodotti agricoli. I mutui sono concessi nel limite massimo di 200.000 euro, per la durata massima di quindici anni comprensiva del periodo di preammortamento, nel rispetto della normativa in materia di aiuti di Stato per il settore agricolo e per quello della trasformazione e commercializzazione dei prodotti agricoli. Costituiscono titoli preferenziali per l'erogazione dei mutui l'avere costituito l'azienda nel biennio 2019-2020, la dimensione della superficie utile agricola e la produzione di prodotti agroalimentari tipici, sotto qualsiasi forma tutelati. Per l'attuazione delle disposizioni del presente comma, nello stato di previsione del Ministero delle politiche agricole alimentari e forestali è istituito un fondo rotativo con una dotazione finanziaria iniziale pari a 10 milioni di euro per l'anno 2020. Per la gestione del fondo rotativo è autorizzata l'apertura di un'apposita contabilità speciale presso la tesoreria dello Stato intestata al Ministero delle politiche agricole alimentari e forestali. Al relativo onere si provvede mediante corrispondente riduzione del Fondo per esigenze indifferibili connesse ad interventi non aventi effetti sull'indebitamento netto delle PA, di cui all'articolo 3, comma 3, del decreto-legge 5 febbraio 2020, n. 3, convertito, con modificazioni, dalla legge 2 aprile 2020, n. 21.</w:t>
      </w:r>
    </w:p>
    <w:p w:rsidR="004D07BE" w:rsidRPr="0066492F" w:rsidRDefault="004D07BE" w:rsidP="004D07BE">
      <w:pPr>
        <w:jc w:val="both"/>
        <w:rPr>
          <w:b/>
          <w:color w:val="000000" w:themeColor="text1"/>
          <w:sz w:val="24"/>
          <w:szCs w:val="24"/>
        </w:rPr>
      </w:pPr>
      <w:r w:rsidRPr="0066492F">
        <w:rPr>
          <w:b/>
          <w:color w:val="000000" w:themeColor="text1"/>
          <w:sz w:val="24"/>
          <w:szCs w:val="24"/>
        </w:rPr>
        <w:t>  4-ter. Al comma 1 dell'articolo 2 del decreto legislativo 21 aprile 2000, n. 185, dopo le parole: «da non oltre sessanta mesi» sono inserite le seguenti: «e nel caso di imprese agricole, anche di nuova costituzione».</w:t>
      </w:r>
      <w:r>
        <w:rPr>
          <w:rStyle w:val="Rimandonotaapidipagina"/>
          <w:b/>
          <w:color w:val="000000" w:themeColor="text1"/>
          <w:sz w:val="24"/>
          <w:szCs w:val="24"/>
        </w:rPr>
        <w:footnoteReference w:id="94"/>
      </w:r>
    </w:p>
    <w:p w:rsidR="004D07BE" w:rsidRPr="0028387D" w:rsidRDefault="004D07BE" w:rsidP="00A7707F">
      <w:pPr>
        <w:jc w:val="both"/>
        <w:rPr>
          <w:b/>
          <w:color w:val="000000" w:themeColor="text1"/>
          <w:sz w:val="24"/>
          <w:szCs w:val="24"/>
        </w:rPr>
      </w:pPr>
    </w:p>
    <w:p w:rsidR="00A7707F" w:rsidRPr="00A7707F" w:rsidRDefault="00A7707F" w:rsidP="00AD1B0C">
      <w:pPr>
        <w:spacing w:after="160" w:line="259" w:lineRule="auto"/>
        <w:jc w:val="both"/>
        <w:rPr>
          <w:rFonts w:cs="Times New Roman"/>
          <w:strike/>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42.</w:t>
      </w: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urgenti per disciplinare il Commissariamento dell'Agenzia nazionale per i servizi sanitari regionali)</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C500B3">
      <w:pPr>
        <w:jc w:val="both"/>
        <w:rPr>
          <w:rFonts w:cs="Times New Roman"/>
          <w:color w:val="auto"/>
          <w:sz w:val="24"/>
          <w:szCs w:val="24"/>
          <w:lang w:eastAsia="en-US"/>
        </w:rPr>
      </w:pPr>
      <w:r w:rsidRPr="00AD1B0C">
        <w:rPr>
          <w:rFonts w:cs="Times New Roman"/>
          <w:color w:val="auto"/>
          <w:sz w:val="24"/>
          <w:szCs w:val="24"/>
          <w:lang w:eastAsia="en-US"/>
        </w:rPr>
        <w:t xml:space="preserve">  1. Per le esigenze di contenimento e contrasto dell'emergenza epidemiologica COVID-19, di cui alla delibera del Consiglio dei ministri 31 gennaio 2020, con decreto del Presidente del Consiglio dei ministri, su proposta del Ministro della salute, sentita la Conferenza permanente per i rapporti tra lo Stato, le Regioni e le province autonome, è nominato un commissario straordinario per l'Agenzia nazionale per i servizi sanitari regionali. Il commissario assume, per il periodo in cui è in carica, tutti i poteri di ordinaria e straordinaria amministrazione che lo statuto dell'Agenzia, approvato con decreto del Ministro della salute in data 18 maggio 2018, attribuisce </w:t>
      </w:r>
      <w:r w:rsidRPr="00C500B3">
        <w:rPr>
          <w:rFonts w:cs="Times New Roman"/>
          <w:strike/>
          <w:color w:val="auto"/>
          <w:sz w:val="24"/>
          <w:szCs w:val="24"/>
          <w:highlight w:val="yellow"/>
          <w:lang w:eastAsia="en-US"/>
        </w:rPr>
        <w:t>al presidente, al direttore generale ed al consiglio di amministrazione</w:t>
      </w:r>
      <w:r w:rsidRPr="00AD1B0C">
        <w:rPr>
          <w:rFonts w:cs="Times New Roman"/>
          <w:color w:val="auto"/>
          <w:sz w:val="24"/>
          <w:szCs w:val="24"/>
          <w:lang w:eastAsia="en-US"/>
        </w:rPr>
        <w:t xml:space="preserve"> </w:t>
      </w:r>
      <w:r w:rsidR="00C500B3" w:rsidRPr="0019767C">
        <w:rPr>
          <w:b/>
          <w:color w:val="000000" w:themeColor="text1"/>
          <w:sz w:val="24"/>
          <w:szCs w:val="24"/>
        </w:rPr>
        <w:t>al pre</w:t>
      </w:r>
      <w:r w:rsidR="00C500B3">
        <w:rPr>
          <w:b/>
          <w:color w:val="000000" w:themeColor="text1"/>
          <w:sz w:val="24"/>
          <w:szCs w:val="24"/>
        </w:rPr>
        <w:t>sidente e al direttore generale</w:t>
      </w:r>
      <w:r w:rsidR="00C500B3">
        <w:rPr>
          <w:rStyle w:val="Rimandonotaapidipagina"/>
          <w:b/>
          <w:color w:val="000000" w:themeColor="text1"/>
          <w:sz w:val="24"/>
          <w:szCs w:val="24"/>
        </w:rPr>
        <w:footnoteReference w:id="95"/>
      </w:r>
      <w:r w:rsidR="00C500B3">
        <w:rPr>
          <w:b/>
          <w:color w:val="000000" w:themeColor="text1"/>
          <w:sz w:val="24"/>
          <w:szCs w:val="24"/>
        </w:rPr>
        <w:t xml:space="preserve"> </w:t>
      </w:r>
      <w:r w:rsidRPr="00AD1B0C">
        <w:rPr>
          <w:rFonts w:cs="Times New Roman"/>
          <w:color w:val="auto"/>
          <w:sz w:val="24"/>
          <w:szCs w:val="24"/>
          <w:lang w:eastAsia="en-US"/>
        </w:rPr>
        <w:t>che decadono automaticamente con l'insediamento del commissario. Il commissario è scelto tra esperti di riconosciuta competenza in diritto sanitario, in organizzazione, programmazione, gestione e finanziamento del servizio sanitario, anche estranei alla pubblica amministrazione. Il mandato del commissario cessa alla conclusione dello stato di emergenza deliberato dal Consiglio dei ministri in data 31 gennaio 2020, o alla scadenza delle eventuali proroghe. Qualora il commissario, al momento della nomina, abbia altro incarico in corso, può continuare a svolgerlo, per la durata del mandato di cui al presente comma, in deroga alle disposizioni di cui agli articoli 11 e 14 del decreto legislativo 8 aprile 2013, n. 39. Al commissario è corrisposto un compenso determinato con decreto del Ministro della salute, di concerto con il Ministro dell'economia e delle finanze, salva l'ipotesi di cumulo con altro incarico per il quale già percepisca un compenso.</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xml:space="preserve">  2. Nell'assolvimento dei compiti istituzionali di ricerca e supporto tecnico-operativo alle regioni, come previsto dall'articolo 2 dello statuto dell'Agenzia, il commissario collabora all'azione di potenziamento della rete di assistenza ospedaliera e territoriale, al fine di assicurare la più elevata risposta sanitaria all'emergenza, monitorando l'adozione, l'aggiornamento e l'attuazione dei piani adottati in applicazione della circolare del Ministero della salute prot. GAB 2627 in data 1° marzo 2020 e alle successive integrazioni; assicura il necessario supporto tecnico operativo e giuridico-amministrativo </w:t>
      </w:r>
      <w:r w:rsidRPr="00AD1B0C">
        <w:rPr>
          <w:rFonts w:cs="Times New Roman"/>
          <w:color w:val="auto"/>
          <w:sz w:val="24"/>
          <w:szCs w:val="24"/>
          <w:lang w:eastAsia="en-US"/>
        </w:rPr>
        <w:lastRenderedPageBreak/>
        <w:t>alle regioni, anche per superare le eventuali criticità riscontrate e per garantire, nella fase emergenziale, i livelli essenziali di assistenza e la effettività della tutela del diritto alla salute; verifica che gli atti, i piani e le azioni di competenza del commissario straordinario di cui all'articolo 122, comma 2, del decreto-legge 17 marzo 2020, n. 18, siano attuati dalle Regioni e dalle Province autonome di Trento e di Bolzano in modo tempestivo ed efficace e fornisce a tale fine ogni supporto richiesto dalle Regioni e dal commissario straordinario, in coerenza con i programmi operativi che le regioni predispongono per l'emergenza Covid-19 di cui all'articolo 18, comma 1 del decreto-legge 17 marzo 2020, n. 18.</w:t>
      </w: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  3. Il commissario, in considerazione del ruolo di raccordo fra il Ministero della salute e le regioni svolto dall'Agenzia, supporta, attraverso l'esercizio delle attività istituzionali proprie dell'Agenzia, indicate al comma 2, la tempestiva attuazione delle direttive del Ministro della salute finalizzate alla gestione dell'emergenza epidemiologica COVID-19, con particolare riferimento agli articoli 3 e 4 del decreto-legge 17 marzo 2020, n. 18, al potenziamento delle reti ospedaliere e territoriali, ai rapporti con gli erogatori pubblici e privati, nonché alle disposizioni di cui al decreto-legge 9 marzo 2020 n. 14 e ad ogni ulteriore atto normativo ed amministrativo generale adottato per fronteggiare l'emergenza, come recepito e delineato per ciascuna regione nei Programmi operativi per l'emergenza COVID-19 di cui al richiamato articolo 18, comma 1.</w:t>
      </w:r>
    </w:p>
    <w:p w:rsid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  Supporta altresì le direzioni generali del Ministero e le Regioni nel perseguimento di ogni ulteriore obiettivo indicato dal Ministro della salute mediante l'adozione di direttive, nell'esercizio della funzione di indirizzo e di controllo del sistema sanitario nazionale. Resta fermo il ruolo di coordinamento del Capo del Dipartimento della protezione civile, ai sensi dell'ordinanza del Capo del Dipartimento della Protezione civile 3 febbraio 2020, n. 630.</w:t>
      </w:r>
    </w:p>
    <w:p w:rsidR="00C500B3" w:rsidRDefault="00C500B3" w:rsidP="00AD1B0C">
      <w:pPr>
        <w:spacing w:after="160" w:line="259" w:lineRule="auto"/>
        <w:jc w:val="both"/>
        <w:rPr>
          <w:rFonts w:cs="Times New Roman"/>
          <w:color w:val="auto"/>
          <w:sz w:val="24"/>
          <w:szCs w:val="24"/>
          <w:lang w:eastAsia="en-US"/>
        </w:rPr>
      </w:pPr>
    </w:p>
    <w:p w:rsidR="00C500B3" w:rsidRPr="000B0F49" w:rsidRDefault="00C500B3" w:rsidP="00C500B3">
      <w:pPr>
        <w:jc w:val="center"/>
        <w:rPr>
          <w:b/>
          <w:color w:val="000000" w:themeColor="text1"/>
          <w:sz w:val="24"/>
          <w:szCs w:val="24"/>
        </w:rPr>
      </w:pPr>
      <w:r w:rsidRPr="000B0F49">
        <w:rPr>
          <w:b/>
          <w:color w:val="000000" w:themeColor="text1"/>
          <w:sz w:val="24"/>
          <w:szCs w:val="24"/>
        </w:rPr>
        <w:t>Art. 42-bis.</w:t>
      </w:r>
    </w:p>
    <w:p w:rsidR="00C500B3" w:rsidRPr="000B0F49" w:rsidRDefault="00C500B3" w:rsidP="00C500B3">
      <w:pPr>
        <w:jc w:val="center"/>
        <w:rPr>
          <w:b/>
          <w:color w:val="000000" w:themeColor="text1"/>
          <w:sz w:val="24"/>
          <w:szCs w:val="24"/>
        </w:rPr>
      </w:pPr>
      <w:r w:rsidRPr="000B0F49">
        <w:rPr>
          <w:b/>
          <w:color w:val="000000" w:themeColor="text1"/>
          <w:sz w:val="24"/>
          <w:szCs w:val="24"/>
        </w:rPr>
        <w:t>(Clausola di salvaguardia)</w:t>
      </w:r>
    </w:p>
    <w:p w:rsidR="00C500B3" w:rsidRPr="000B0F49" w:rsidRDefault="00C500B3" w:rsidP="00C500B3">
      <w:pPr>
        <w:jc w:val="both"/>
        <w:rPr>
          <w:b/>
          <w:color w:val="000000" w:themeColor="text1"/>
          <w:sz w:val="24"/>
          <w:szCs w:val="24"/>
        </w:rPr>
      </w:pPr>
    </w:p>
    <w:p w:rsidR="00C500B3" w:rsidRPr="000B0F49" w:rsidRDefault="00C500B3" w:rsidP="00C500B3">
      <w:pPr>
        <w:jc w:val="both"/>
        <w:rPr>
          <w:b/>
          <w:color w:val="000000" w:themeColor="text1"/>
          <w:sz w:val="24"/>
          <w:szCs w:val="24"/>
        </w:rPr>
      </w:pPr>
      <w:r w:rsidRPr="000B0F49">
        <w:rPr>
          <w:b/>
          <w:color w:val="000000" w:themeColor="text1"/>
          <w:sz w:val="24"/>
          <w:szCs w:val="24"/>
        </w:rPr>
        <w:t>  1. Le disposizioni del presente decreto sono applicabili nelle regioni a statuto speciale e nelle province autonome di Trento e di Bolzano compatibilmente con i rispettivi statuti e le relative norme di attuazione, anche con riferimento alla legge costituzionale 18 ottobre 2001, n. 3.</w:t>
      </w:r>
      <w:r>
        <w:rPr>
          <w:rStyle w:val="Rimandonotaapidipagina"/>
          <w:b/>
          <w:color w:val="000000" w:themeColor="text1"/>
          <w:sz w:val="24"/>
          <w:szCs w:val="24"/>
        </w:rPr>
        <w:footnoteReference w:id="96"/>
      </w:r>
    </w:p>
    <w:p w:rsidR="00C500B3" w:rsidRPr="00F817D6" w:rsidRDefault="00C500B3" w:rsidP="00C500B3">
      <w:pPr>
        <w:jc w:val="center"/>
        <w:rPr>
          <w:b/>
          <w:color w:val="000000" w:themeColor="text1"/>
          <w:sz w:val="24"/>
          <w:szCs w:val="24"/>
        </w:rPr>
      </w:pPr>
      <w:r w:rsidRPr="00F817D6">
        <w:rPr>
          <w:b/>
          <w:color w:val="000000" w:themeColor="text1"/>
          <w:sz w:val="24"/>
          <w:szCs w:val="24"/>
        </w:rPr>
        <w:t>Art. 42-bis.</w:t>
      </w:r>
    </w:p>
    <w:p w:rsidR="00C500B3" w:rsidRPr="00F817D6" w:rsidRDefault="00C500B3" w:rsidP="00C500B3">
      <w:pPr>
        <w:jc w:val="center"/>
        <w:rPr>
          <w:b/>
          <w:color w:val="000000" w:themeColor="text1"/>
          <w:sz w:val="24"/>
          <w:szCs w:val="24"/>
        </w:rPr>
      </w:pPr>
      <w:r w:rsidRPr="00F817D6">
        <w:rPr>
          <w:b/>
          <w:color w:val="000000" w:themeColor="text1"/>
          <w:sz w:val="24"/>
          <w:szCs w:val="24"/>
        </w:rPr>
        <w:lastRenderedPageBreak/>
        <w:t>(Misure straordinarie per la progettazione e la realizzazione del nuovo complesso ospedaliero della città di Siracusa)</w:t>
      </w:r>
    </w:p>
    <w:p w:rsidR="00C500B3" w:rsidRPr="00F817D6" w:rsidRDefault="00C500B3" w:rsidP="00C500B3">
      <w:pPr>
        <w:jc w:val="both"/>
        <w:rPr>
          <w:b/>
          <w:color w:val="000000" w:themeColor="text1"/>
          <w:sz w:val="24"/>
          <w:szCs w:val="24"/>
        </w:rPr>
      </w:pPr>
    </w:p>
    <w:p w:rsidR="00C500B3" w:rsidRPr="00F817D6" w:rsidRDefault="00C500B3" w:rsidP="00C500B3">
      <w:pPr>
        <w:jc w:val="both"/>
        <w:rPr>
          <w:b/>
          <w:color w:val="000000" w:themeColor="text1"/>
          <w:sz w:val="24"/>
          <w:szCs w:val="24"/>
        </w:rPr>
      </w:pPr>
      <w:r w:rsidRPr="00F817D6">
        <w:rPr>
          <w:b/>
          <w:color w:val="000000" w:themeColor="text1"/>
          <w:sz w:val="24"/>
          <w:szCs w:val="24"/>
        </w:rPr>
        <w:t>  1. Al fine di contrastare gli effetti derivanti dall'emergenza sanitaria causata dalla diffusione nel territorio nazionale del virus COVID-19, con decreto del Presidente del Consiglio dei ministri, da adottare entro trenta giorni dalla data di entrata in vigore della legge di conversione del presente decreto, d'intesa con il presidente della Regione siciliana, è nominato un Commissario straordinario per la progettazione e la realizzazione del nuovo complesso ospedaliero della città di Siracusa, che deve essere completato entro due anni dalla data di entrata in vigore della legge di conversione del presente decreto.</w:t>
      </w:r>
    </w:p>
    <w:p w:rsidR="00C500B3" w:rsidRPr="00F817D6" w:rsidRDefault="00C500B3" w:rsidP="00C500B3">
      <w:pPr>
        <w:jc w:val="both"/>
        <w:rPr>
          <w:b/>
          <w:color w:val="000000" w:themeColor="text1"/>
          <w:sz w:val="24"/>
          <w:szCs w:val="24"/>
        </w:rPr>
      </w:pPr>
      <w:r w:rsidRPr="00F817D6">
        <w:rPr>
          <w:b/>
          <w:color w:val="000000" w:themeColor="text1"/>
          <w:sz w:val="24"/>
          <w:szCs w:val="24"/>
        </w:rPr>
        <w:t>  2. La durata dell'incarico del Commissario straordinario è di un anno, prorogabile per un solo anno. L'incarico è a titolo gratuito.</w:t>
      </w:r>
    </w:p>
    <w:p w:rsidR="00C500B3" w:rsidRPr="00F817D6" w:rsidRDefault="00C500B3" w:rsidP="00C500B3">
      <w:pPr>
        <w:jc w:val="both"/>
        <w:rPr>
          <w:b/>
          <w:color w:val="000000" w:themeColor="text1"/>
          <w:sz w:val="24"/>
          <w:szCs w:val="24"/>
        </w:rPr>
      </w:pPr>
      <w:r w:rsidRPr="00F817D6">
        <w:rPr>
          <w:b/>
          <w:color w:val="000000" w:themeColor="text1"/>
          <w:sz w:val="24"/>
          <w:szCs w:val="24"/>
        </w:rPr>
        <w:t>  3. Il Commissario straordinario opera nel rispetto delle disposizioni del codice delle leggi antimafia e delle misure di prevenzione, di cui al decreto legislativo 6 settembre 2011, n. 159, nonché dei vincoli inderogabili derivanti dall'appartenenza dell'Italia all'Unione europea, degli obblighi internazionali e dei princìpi e criteri previsti dagli articoli 30, comma 1, 34 e 42 del codice dei contratti pubblici, di cui al decreto legislativo 18 aprile 2016, n. 50, e in deroga ad ogni altra disposizione di legge diversa da quella penale.</w:t>
      </w:r>
    </w:p>
    <w:p w:rsidR="00C500B3" w:rsidRPr="00F817D6" w:rsidRDefault="00C500B3" w:rsidP="00C500B3">
      <w:pPr>
        <w:jc w:val="both"/>
        <w:rPr>
          <w:b/>
          <w:color w:val="000000" w:themeColor="text1"/>
          <w:sz w:val="24"/>
          <w:szCs w:val="24"/>
        </w:rPr>
      </w:pPr>
      <w:r w:rsidRPr="00F817D6">
        <w:rPr>
          <w:b/>
          <w:color w:val="000000" w:themeColor="text1"/>
          <w:sz w:val="24"/>
          <w:szCs w:val="24"/>
        </w:rPr>
        <w:t>  4. Al fine di consentire la massima autonomia finanziaria per la progettazione e la realizzazione del complesso ospedaliero di cui al comma 1, al Commissario straordinario è intestata un'apposita contabilità speciale aperta presso la tesoreria statale, sulla quale sono assegnate le risorse disponibili e possono confluire, inoltre, le risorse finanziarie a qualsiasi titolo destinate o da destinare alla progettazione e alla realizzazione del citato complesso ospedaliero.</w:t>
      </w:r>
    </w:p>
    <w:p w:rsidR="00C500B3" w:rsidRPr="00F817D6" w:rsidRDefault="00C500B3" w:rsidP="00C500B3">
      <w:pPr>
        <w:jc w:val="both"/>
        <w:rPr>
          <w:b/>
          <w:color w:val="000000" w:themeColor="text1"/>
          <w:sz w:val="24"/>
          <w:szCs w:val="24"/>
        </w:rPr>
      </w:pPr>
      <w:r w:rsidRPr="00F817D6">
        <w:rPr>
          <w:b/>
          <w:color w:val="000000" w:themeColor="text1"/>
          <w:sz w:val="24"/>
          <w:szCs w:val="24"/>
        </w:rPr>
        <w:t>  5. Per la progettazione e la realizzazione del complesso ospedaliero di cui al comma 1 del presente articolo si provvede a valere sulle risorse disponibili di cui all'articolo 20 della legge 11 marzo 1988, n. 67, e assegnate alla Regione siciliana, ferma restando la quota minima del finanziamento a carico della medesima Regione e previa sottoscrizione di un accordo di programma tra il Commissario straordinario, il Ministero della salute e il Ministero dell'economia e delle finanze.</w:t>
      </w:r>
      <w:r>
        <w:rPr>
          <w:rStyle w:val="Rimandonotaapidipagina"/>
          <w:b/>
          <w:color w:val="000000" w:themeColor="text1"/>
          <w:sz w:val="24"/>
          <w:szCs w:val="24"/>
        </w:rPr>
        <w:footnoteReference w:id="97"/>
      </w:r>
    </w:p>
    <w:p w:rsidR="00C500B3" w:rsidRPr="00AD1B0C" w:rsidRDefault="00C500B3"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43.</w:t>
      </w: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(Disposizioni finanziarie)</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both"/>
        <w:rPr>
          <w:rFonts w:cs="Times New Roman"/>
          <w:color w:val="auto"/>
          <w:sz w:val="24"/>
          <w:szCs w:val="24"/>
          <w:lang w:eastAsia="en-US"/>
        </w:rPr>
      </w:pPr>
      <w:r w:rsidRPr="00AD1B0C">
        <w:rPr>
          <w:rFonts w:cs="Times New Roman"/>
          <w:color w:val="auto"/>
          <w:sz w:val="24"/>
          <w:szCs w:val="24"/>
          <w:lang w:eastAsia="en-US"/>
        </w:rPr>
        <w:t>  1. Ai fini dell'immediata attuazione delle disposizioni recate dal presente decreto, il Ministro dell'economia e delle finanze è autorizzato ad apportare, con propri decreti, le occorrenti variazioni di bilancio. Ove necessario, il Ministero dell'economia e delle finanze può disporre il ricorso ad anticipazioni di tesoreria, la cui regolarizzazione avviene tempestivamente con l'emissione di ordini di pagamento sui pertinenti capitoli di spesa.</w:t>
      </w:r>
    </w:p>
    <w:p w:rsidR="00AD1B0C" w:rsidRPr="00AD1B0C" w:rsidRDefault="00AD1B0C" w:rsidP="00AD1B0C">
      <w:pPr>
        <w:spacing w:after="160" w:line="259" w:lineRule="auto"/>
        <w:jc w:val="both"/>
        <w:rPr>
          <w:rFonts w:cs="Times New Roman"/>
          <w:color w:val="auto"/>
          <w:sz w:val="24"/>
          <w:szCs w:val="24"/>
          <w:lang w:eastAsia="en-US"/>
        </w:rPr>
      </w:pP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Articolo 44.</w:t>
      </w:r>
    </w:p>
    <w:p w:rsidR="00AD1B0C" w:rsidRPr="00AD1B0C" w:rsidRDefault="00AD1B0C" w:rsidP="00AD1B0C">
      <w:pPr>
        <w:spacing w:after="160" w:line="259" w:lineRule="auto"/>
        <w:jc w:val="center"/>
        <w:rPr>
          <w:rFonts w:cs="Times New Roman"/>
          <w:color w:val="auto"/>
          <w:sz w:val="24"/>
          <w:szCs w:val="24"/>
          <w:lang w:eastAsia="en-US"/>
        </w:rPr>
      </w:pPr>
      <w:r w:rsidRPr="00AD1B0C">
        <w:rPr>
          <w:rFonts w:cs="Times New Roman"/>
          <w:color w:val="auto"/>
          <w:sz w:val="24"/>
          <w:szCs w:val="24"/>
          <w:lang w:eastAsia="en-US"/>
        </w:rPr>
        <w:t>(Entrata in vigore)</w:t>
      </w:r>
    </w:p>
    <w:p w:rsidR="00AD1B0C" w:rsidRPr="00AD1B0C" w:rsidRDefault="00AD1B0C" w:rsidP="00AD1B0C">
      <w:pPr>
        <w:spacing w:after="160" w:line="259" w:lineRule="auto"/>
        <w:jc w:val="both"/>
        <w:rPr>
          <w:rFonts w:cs="Times New Roman"/>
          <w:color w:val="auto"/>
          <w:sz w:val="24"/>
          <w:szCs w:val="24"/>
          <w:lang w:eastAsia="en-US"/>
        </w:rPr>
      </w:pPr>
    </w:p>
    <w:p w:rsidR="007E4F90" w:rsidRDefault="00AD1B0C" w:rsidP="00AD1B0C">
      <w:pPr>
        <w:shd w:val="clear" w:color="auto" w:fill="FFFFFF"/>
        <w:tabs>
          <w:tab w:val="left" w:pos="993"/>
        </w:tabs>
        <w:spacing w:after="120" w:line="240" w:lineRule="auto"/>
        <w:jc w:val="both"/>
        <w:rPr>
          <w:rFonts w:cs="Times New Roman"/>
          <w:color w:val="auto"/>
          <w:sz w:val="24"/>
          <w:szCs w:val="24"/>
          <w:lang w:eastAsia="en-US"/>
        </w:rPr>
      </w:pPr>
      <w:r w:rsidRPr="00AD1B0C">
        <w:rPr>
          <w:rFonts w:cs="Times New Roman"/>
          <w:color w:val="auto"/>
          <w:sz w:val="24"/>
          <w:szCs w:val="24"/>
          <w:lang w:eastAsia="en-US"/>
        </w:rPr>
        <w:t>  1. Il presente decreto entra in vigore il giorno successivo a quello della sua pubblicazione nella Gazzetta Ufficiale della Repubblica italiana e sarà presentato alle Camere per la conversione in legge.</w:t>
      </w:r>
    </w:p>
    <w:p w:rsidR="00C91B6A" w:rsidRDefault="00C91B6A" w:rsidP="00AD1B0C">
      <w:pPr>
        <w:shd w:val="clear" w:color="auto" w:fill="FFFFFF"/>
        <w:tabs>
          <w:tab w:val="left" w:pos="993"/>
        </w:tabs>
        <w:spacing w:after="120" w:line="240" w:lineRule="auto"/>
        <w:jc w:val="both"/>
        <w:rPr>
          <w:rFonts w:cs="Times New Roman"/>
          <w:color w:val="auto"/>
          <w:sz w:val="24"/>
          <w:szCs w:val="24"/>
          <w:lang w:eastAsia="en-US"/>
        </w:rPr>
      </w:pPr>
    </w:p>
    <w:p w:rsidR="00C91B6A" w:rsidRDefault="00C91B6A" w:rsidP="00AD1B0C">
      <w:pPr>
        <w:shd w:val="clear" w:color="auto" w:fill="FFFFFF"/>
        <w:tabs>
          <w:tab w:val="left" w:pos="993"/>
        </w:tabs>
        <w:spacing w:after="120" w:line="240" w:lineRule="auto"/>
        <w:jc w:val="both"/>
        <w:rPr>
          <w:rFonts w:cs="Times New Roman"/>
          <w:color w:val="auto"/>
          <w:sz w:val="24"/>
          <w:szCs w:val="24"/>
          <w:lang w:eastAsia="en-US"/>
        </w:rPr>
      </w:pPr>
    </w:p>
    <w:p w:rsidR="00C91B6A" w:rsidRDefault="00C91B6A" w:rsidP="00AD1B0C">
      <w:pPr>
        <w:shd w:val="clear" w:color="auto" w:fill="FFFFFF"/>
        <w:tabs>
          <w:tab w:val="left" w:pos="993"/>
        </w:tabs>
        <w:spacing w:after="120" w:line="240" w:lineRule="auto"/>
        <w:jc w:val="both"/>
        <w:rPr>
          <w:rFonts w:cs="Times New Roman"/>
          <w:color w:val="auto"/>
          <w:sz w:val="24"/>
          <w:szCs w:val="24"/>
          <w:lang w:eastAsia="en-US"/>
        </w:rPr>
      </w:pPr>
    </w:p>
    <w:p w:rsidR="00C91B6A" w:rsidRDefault="00C91B6A" w:rsidP="00C91B6A">
      <w:pPr>
        <w:shd w:val="clear" w:color="auto" w:fill="FFFFFF"/>
        <w:tabs>
          <w:tab w:val="left" w:pos="993"/>
        </w:tabs>
        <w:spacing w:after="120" w:line="240" w:lineRule="auto"/>
        <w:jc w:val="center"/>
        <w:rPr>
          <w:rFonts w:cs="Times New Roman"/>
          <w:color w:val="auto"/>
          <w:sz w:val="24"/>
          <w:szCs w:val="24"/>
          <w:lang w:eastAsia="en-US"/>
        </w:rPr>
      </w:pPr>
      <w:r>
        <w:rPr>
          <w:rFonts w:cs="Times New Roman"/>
          <w:color w:val="auto"/>
          <w:sz w:val="24"/>
          <w:szCs w:val="24"/>
          <w:lang w:eastAsia="en-US"/>
        </w:rPr>
        <w:t>********</w:t>
      </w:r>
    </w:p>
    <w:p w:rsidR="00C91B6A" w:rsidRDefault="00C91B6A" w:rsidP="00C91B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91B6A" w:rsidRDefault="00C91B6A" w:rsidP="00C91B6A">
      <w:pPr>
        <w:jc w:val="center"/>
        <w:rPr>
          <w:color w:val="000000" w:themeColor="text1"/>
          <w:sz w:val="24"/>
          <w:szCs w:val="24"/>
          <w:u w:val="single"/>
        </w:rPr>
      </w:pPr>
    </w:p>
    <w:p w:rsidR="00C91B6A" w:rsidRPr="00C91B6A" w:rsidRDefault="00C91B6A" w:rsidP="00C91B6A">
      <w:pPr>
        <w:jc w:val="center"/>
        <w:rPr>
          <w:color w:val="000000" w:themeColor="text1"/>
          <w:sz w:val="24"/>
          <w:szCs w:val="24"/>
          <w:u w:val="single"/>
        </w:rPr>
      </w:pPr>
      <w:r w:rsidRPr="00C91B6A">
        <w:rPr>
          <w:color w:val="000000" w:themeColor="text1"/>
          <w:sz w:val="24"/>
          <w:szCs w:val="24"/>
          <w:u w:val="single"/>
        </w:rPr>
        <w:t>CORREZIONI DI FORMA APPROVATE</w:t>
      </w:r>
    </w:p>
    <w:p w:rsidR="00C91B6A" w:rsidRPr="00224886" w:rsidRDefault="00C91B6A" w:rsidP="00C91B6A">
      <w:pPr>
        <w:jc w:val="both"/>
        <w:rPr>
          <w:color w:val="000000" w:themeColor="text1"/>
          <w:sz w:val="24"/>
          <w:szCs w:val="24"/>
        </w:rPr>
      </w:pPr>
    </w:p>
    <w:p w:rsidR="00C91B6A" w:rsidRPr="00224886" w:rsidRDefault="00C91B6A" w:rsidP="00C91B6A">
      <w:pPr>
        <w:jc w:val="both"/>
        <w:rPr>
          <w:color w:val="000000" w:themeColor="text1"/>
          <w:sz w:val="24"/>
          <w:szCs w:val="24"/>
        </w:rPr>
      </w:pPr>
      <w:r w:rsidRPr="00224886">
        <w:rPr>
          <w:color w:val="000000" w:themeColor="text1"/>
          <w:sz w:val="24"/>
          <w:szCs w:val="24"/>
        </w:rPr>
        <w:t>  Ai sensi dell'articolo 90, comma 1, del regolamento, propongo le seguenti correzioni di forma, riferite agli articoli del decreto-legge:</w:t>
      </w:r>
    </w:p>
    <w:p w:rsidR="00C91B6A" w:rsidRPr="00224886" w:rsidRDefault="00C91B6A" w:rsidP="00C91B6A">
      <w:pPr>
        <w:jc w:val="both"/>
        <w:rPr>
          <w:color w:val="000000" w:themeColor="text1"/>
          <w:sz w:val="24"/>
          <w:szCs w:val="24"/>
        </w:rPr>
      </w:pPr>
      <w:r w:rsidRPr="00224886">
        <w:rPr>
          <w:color w:val="000000" w:themeColor="text1"/>
          <w:sz w:val="24"/>
          <w:szCs w:val="24"/>
        </w:rPr>
        <w:lastRenderedPageBreak/>
        <w:t>  All'articolo 1:</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comma </w:t>
      </w:r>
      <w:proofErr w:type="gramStart"/>
      <w:r w:rsidRPr="00224886">
        <w:rPr>
          <w:color w:val="000000" w:themeColor="text1"/>
          <w:sz w:val="24"/>
          <w:szCs w:val="24"/>
        </w:rPr>
        <w:t>1</w:t>
      </w:r>
      <w:proofErr w:type="gramEnd"/>
      <w:r w:rsidRPr="00224886">
        <w:rPr>
          <w:color w:val="000000" w:themeColor="text1"/>
          <w:sz w:val="24"/>
          <w:szCs w:val="24"/>
        </w:rPr>
        <w:t>, primo periodo, le parole: «in conformità con la normativa» sono sostituite dalle seguenti: «in conformità alla normativa»;</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comma </w:t>
      </w:r>
      <w:proofErr w:type="gramStart"/>
      <w:r w:rsidRPr="00224886">
        <w:rPr>
          <w:color w:val="000000" w:themeColor="text1"/>
          <w:sz w:val="24"/>
          <w:szCs w:val="24"/>
        </w:rPr>
        <w:t>2</w:t>
      </w:r>
      <w:proofErr w:type="gramEnd"/>
      <w:r w:rsidRPr="00224886">
        <w:rPr>
          <w:color w:val="000000" w:themeColor="text1"/>
          <w:sz w:val="24"/>
          <w:szCs w:val="24"/>
        </w:rPr>
        <w:t>:</w:t>
      </w:r>
    </w:p>
    <w:p w:rsidR="00C91B6A" w:rsidRPr="00224886" w:rsidRDefault="00C91B6A" w:rsidP="00C91B6A">
      <w:pPr>
        <w:jc w:val="both"/>
        <w:rPr>
          <w:color w:val="000000" w:themeColor="text1"/>
          <w:sz w:val="24"/>
          <w:szCs w:val="24"/>
        </w:rPr>
      </w:pPr>
      <w:r w:rsidRPr="00224886">
        <w:rPr>
          <w:color w:val="000000" w:themeColor="text1"/>
          <w:sz w:val="24"/>
          <w:szCs w:val="24"/>
        </w:rPr>
        <w:t>   alla lettera c), numero 1</w:t>
      </w:r>
      <w:proofErr w:type="gramStart"/>
      <w:r w:rsidRPr="00224886">
        <w:rPr>
          <w:color w:val="000000" w:themeColor="text1"/>
          <w:sz w:val="24"/>
          <w:szCs w:val="24"/>
        </w:rPr>
        <w:t>)</w:t>
      </w:r>
      <w:proofErr w:type="gramEnd"/>
      <w:r w:rsidRPr="00224886">
        <w:rPr>
          <w:color w:val="000000" w:themeColor="text1"/>
          <w:sz w:val="24"/>
          <w:szCs w:val="24"/>
        </w:rPr>
        <w:t>, la parola: «relativi» è sostituita dalla seguente: «relativo»;</w:t>
      </w:r>
    </w:p>
    <w:p w:rsidR="00C91B6A" w:rsidRPr="00224886" w:rsidRDefault="00C91B6A" w:rsidP="00C91B6A">
      <w:pPr>
        <w:jc w:val="both"/>
        <w:rPr>
          <w:color w:val="000000" w:themeColor="text1"/>
          <w:sz w:val="24"/>
          <w:szCs w:val="24"/>
        </w:rPr>
      </w:pPr>
      <w:r w:rsidRPr="00224886">
        <w:rPr>
          <w:color w:val="000000" w:themeColor="text1"/>
          <w:sz w:val="24"/>
          <w:szCs w:val="24"/>
        </w:rPr>
        <w:t>   alla lettera d</w:t>
      </w:r>
      <w:proofErr w:type="gramStart"/>
      <w:r w:rsidRPr="00224886">
        <w:rPr>
          <w:color w:val="000000" w:themeColor="text1"/>
          <w:sz w:val="24"/>
          <w:szCs w:val="24"/>
        </w:rPr>
        <w:t>)</w:t>
      </w:r>
      <w:proofErr w:type="gramEnd"/>
      <w:r w:rsidRPr="00224886">
        <w:rPr>
          <w:color w:val="000000" w:themeColor="text1"/>
          <w:sz w:val="24"/>
          <w:szCs w:val="24"/>
        </w:rPr>
        <w:t>:</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    all'alinea, le parole: «copre il» sono sostituite dalle seguenti: </w:t>
      </w:r>
      <w:proofErr w:type="gramStart"/>
      <w:r w:rsidRPr="00224886">
        <w:rPr>
          <w:color w:val="000000" w:themeColor="text1"/>
          <w:sz w:val="24"/>
          <w:szCs w:val="24"/>
        </w:rPr>
        <w:t>«</w:t>
      </w:r>
      <w:proofErr w:type="gramEnd"/>
      <w:r w:rsidRPr="00224886">
        <w:rPr>
          <w:color w:val="000000" w:themeColor="text1"/>
          <w:sz w:val="24"/>
          <w:szCs w:val="24"/>
        </w:rPr>
        <w:t>copre l'importo del finanziamento concesso nei limiti delle seguenti quote percentuali»;</w:t>
      </w:r>
    </w:p>
    <w:p w:rsidR="00C91B6A" w:rsidRPr="00224886" w:rsidRDefault="00C91B6A" w:rsidP="00C91B6A">
      <w:pPr>
        <w:jc w:val="both"/>
        <w:rPr>
          <w:color w:val="000000" w:themeColor="text1"/>
          <w:sz w:val="24"/>
          <w:szCs w:val="24"/>
        </w:rPr>
      </w:pPr>
      <w:r w:rsidRPr="00224886">
        <w:rPr>
          <w:color w:val="000000" w:themeColor="text1"/>
          <w:sz w:val="24"/>
          <w:szCs w:val="24"/>
        </w:rPr>
        <w:t>    ai numeri 1) e 2</w:t>
      </w:r>
      <w:proofErr w:type="gramStart"/>
      <w:r w:rsidRPr="00224886">
        <w:rPr>
          <w:color w:val="000000" w:themeColor="text1"/>
          <w:sz w:val="24"/>
          <w:szCs w:val="24"/>
        </w:rPr>
        <w:t>)</w:t>
      </w:r>
      <w:proofErr w:type="gramEnd"/>
      <w:r w:rsidRPr="00224886">
        <w:rPr>
          <w:color w:val="000000" w:themeColor="text1"/>
          <w:sz w:val="24"/>
          <w:szCs w:val="24"/>
        </w:rPr>
        <w:t>, le parole: «dell'importo del finanziamento» sono soppresse;</w:t>
      </w:r>
    </w:p>
    <w:p w:rsidR="00C91B6A" w:rsidRPr="00224886" w:rsidRDefault="00C91B6A" w:rsidP="00C91B6A">
      <w:pPr>
        <w:jc w:val="both"/>
        <w:rPr>
          <w:color w:val="000000" w:themeColor="text1"/>
          <w:sz w:val="24"/>
          <w:szCs w:val="24"/>
        </w:rPr>
      </w:pPr>
      <w:r w:rsidRPr="00224886">
        <w:rPr>
          <w:color w:val="000000" w:themeColor="text1"/>
          <w:sz w:val="24"/>
          <w:szCs w:val="24"/>
        </w:rPr>
        <w:t>    al numero 1</w:t>
      </w:r>
      <w:proofErr w:type="gramStart"/>
      <w:r w:rsidRPr="00224886">
        <w:rPr>
          <w:color w:val="000000" w:themeColor="text1"/>
          <w:sz w:val="24"/>
          <w:szCs w:val="24"/>
        </w:rPr>
        <w:t>)</w:t>
      </w:r>
      <w:proofErr w:type="gramEnd"/>
      <w:r w:rsidRPr="00224886">
        <w:rPr>
          <w:color w:val="000000" w:themeColor="text1"/>
          <w:sz w:val="24"/>
          <w:szCs w:val="24"/>
        </w:rPr>
        <w:t>, le parole: «con meno di 5000 dipendenti» sono sostituite dalle seguenti: «con non più di 5000 dipendenti»;</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numero 2), le parole: «tra 1,5 miliardi e </w:t>
      </w:r>
      <w:proofErr w:type="gramStart"/>
      <w:r w:rsidRPr="00224886">
        <w:rPr>
          <w:color w:val="000000" w:themeColor="text1"/>
          <w:sz w:val="24"/>
          <w:szCs w:val="24"/>
        </w:rPr>
        <w:t>5</w:t>
      </w:r>
      <w:proofErr w:type="gramEnd"/>
      <w:r w:rsidRPr="00224886">
        <w:rPr>
          <w:color w:val="000000" w:themeColor="text1"/>
          <w:sz w:val="24"/>
          <w:szCs w:val="24"/>
        </w:rPr>
        <w:t xml:space="preserve"> miliardi» sono sostituite dalle seguenti: «superiore a 1,5 miliardi e fino a 5 miliardi»;</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comma </w:t>
      </w:r>
      <w:proofErr w:type="gramStart"/>
      <w:r w:rsidRPr="00224886">
        <w:rPr>
          <w:color w:val="000000" w:themeColor="text1"/>
          <w:sz w:val="24"/>
          <w:szCs w:val="24"/>
        </w:rPr>
        <w:t>3</w:t>
      </w:r>
      <w:proofErr w:type="gramEnd"/>
      <w:r w:rsidRPr="00224886">
        <w:rPr>
          <w:color w:val="000000" w:themeColor="text1"/>
          <w:sz w:val="24"/>
          <w:szCs w:val="24"/>
        </w:rPr>
        <w:t>, terzo periodo, le parole: «ovvero di altra garanzia pubblica» sono sostituite dalle seguenti: «ovvero da altra garanzia pubblica»;</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comma </w:t>
      </w:r>
      <w:proofErr w:type="gramStart"/>
      <w:r w:rsidRPr="00224886">
        <w:rPr>
          <w:color w:val="000000" w:themeColor="text1"/>
          <w:sz w:val="24"/>
          <w:szCs w:val="24"/>
        </w:rPr>
        <w:t>6</w:t>
      </w:r>
      <w:proofErr w:type="gramEnd"/>
      <w:r w:rsidRPr="00224886">
        <w:rPr>
          <w:color w:val="000000" w:themeColor="text1"/>
          <w:sz w:val="24"/>
          <w:szCs w:val="24"/>
        </w:rPr>
        <w:t>:</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   all'alinea, le parole: «con meno di 5000 dipendenti» sono sostituite dalle seguenti: «con non più di 5000 dipendenti» e le parole: «da bilancio» sono sostituite dalle seguenti: </w:t>
      </w:r>
      <w:proofErr w:type="gramStart"/>
      <w:r w:rsidRPr="00224886">
        <w:rPr>
          <w:color w:val="000000" w:themeColor="text1"/>
          <w:sz w:val="24"/>
          <w:szCs w:val="24"/>
        </w:rPr>
        <w:t>«</w:t>
      </w:r>
      <w:proofErr w:type="gramEnd"/>
      <w:r w:rsidRPr="00224886">
        <w:rPr>
          <w:color w:val="000000" w:themeColor="text1"/>
          <w:sz w:val="24"/>
          <w:szCs w:val="24"/>
        </w:rPr>
        <w:t>dal bilancio»;</w:t>
      </w:r>
    </w:p>
    <w:p w:rsidR="00C91B6A" w:rsidRPr="00224886" w:rsidRDefault="00C91B6A" w:rsidP="00C91B6A">
      <w:pPr>
        <w:jc w:val="both"/>
        <w:rPr>
          <w:color w:val="000000" w:themeColor="text1"/>
          <w:sz w:val="24"/>
          <w:szCs w:val="24"/>
        </w:rPr>
      </w:pPr>
      <w:r w:rsidRPr="00224886">
        <w:rPr>
          <w:color w:val="000000" w:themeColor="text1"/>
          <w:sz w:val="24"/>
          <w:szCs w:val="24"/>
        </w:rPr>
        <w:t>   alla lettera b), le parole: «e quest'ultima processa la richiesta» sono sostituite dalle seguenti: «</w:t>
      </w:r>
      <w:proofErr w:type="gramStart"/>
      <w:r w:rsidRPr="00224886">
        <w:rPr>
          <w:color w:val="000000" w:themeColor="text1"/>
          <w:sz w:val="24"/>
          <w:szCs w:val="24"/>
        </w:rPr>
        <w:t>la quale</w:t>
      </w:r>
      <w:proofErr w:type="gramEnd"/>
      <w:r w:rsidRPr="00224886">
        <w:rPr>
          <w:color w:val="000000" w:themeColor="text1"/>
          <w:sz w:val="24"/>
          <w:szCs w:val="24"/>
        </w:rPr>
        <w:t xml:space="preserve"> esamina la richiesta stessa»;</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comma </w:t>
      </w:r>
      <w:proofErr w:type="gramStart"/>
      <w:r w:rsidRPr="00224886">
        <w:rPr>
          <w:color w:val="000000" w:themeColor="text1"/>
          <w:sz w:val="24"/>
          <w:szCs w:val="24"/>
        </w:rPr>
        <w:t>13</w:t>
      </w:r>
      <w:proofErr w:type="gramEnd"/>
      <w:r w:rsidRPr="00224886">
        <w:rPr>
          <w:color w:val="000000" w:themeColor="text1"/>
          <w:sz w:val="24"/>
          <w:szCs w:val="24"/>
        </w:rPr>
        <w:t>, primo periodo, le parole: «in conformità con la normativa» sono sostituite dalle seguenti: «in conformità alla normativa».</w:t>
      </w:r>
    </w:p>
    <w:p w:rsidR="00C91B6A" w:rsidRPr="00224886" w:rsidRDefault="00C91B6A" w:rsidP="00C91B6A">
      <w:pPr>
        <w:jc w:val="both"/>
        <w:rPr>
          <w:color w:val="000000" w:themeColor="text1"/>
          <w:sz w:val="24"/>
          <w:szCs w:val="24"/>
        </w:rPr>
      </w:pPr>
    </w:p>
    <w:p w:rsidR="00C91B6A" w:rsidRPr="00224886" w:rsidRDefault="00C91B6A" w:rsidP="00C91B6A">
      <w:pPr>
        <w:jc w:val="both"/>
        <w:rPr>
          <w:color w:val="000000" w:themeColor="text1"/>
          <w:sz w:val="24"/>
          <w:szCs w:val="24"/>
        </w:rPr>
      </w:pPr>
      <w:r w:rsidRPr="00224886">
        <w:rPr>
          <w:color w:val="000000" w:themeColor="text1"/>
          <w:sz w:val="24"/>
          <w:szCs w:val="24"/>
        </w:rPr>
        <w:t>  All'articolo 2:</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comma </w:t>
      </w:r>
      <w:proofErr w:type="gramStart"/>
      <w:r w:rsidRPr="00224886">
        <w:rPr>
          <w:color w:val="000000" w:themeColor="text1"/>
          <w:sz w:val="24"/>
          <w:szCs w:val="24"/>
        </w:rPr>
        <w:t>1</w:t>
      </w:r>
      <w:proofErr w:type="gramEnd"/>
      <w:r w:rsidRPr="00224886">
        <w:rPr>
          <w:color w:val="000000" w:themeColor="text1"/>
          <w:sz w:val="24"/>
          <w:szCs w:val="24"/>
        </w:rPr>
        <w:t>:</w:t>
      </w:r>
    </w:p>
    <w:p w:rsidR="00C91B6A" w:rsidRPr="00224886" w:rsidRDefault="00C91B6A" w:rsidP="00C91B6A">
      <w:pPr>
        <w:jc w:val="both"/>
        <w:rPr>
          <w:color w:val="000000" w:themeColor="text1"/>
          <w:sz w:val="24"/>
          <w:szCs w:val="24"/>
        </w:rPr>
      </w:pPr>
      <w:r w:rsidRPr="00224886">
        <w:rPr>
          <w:color w:val="000000" w:themeColor="text1"/>
          <w:sz w:val="24"/>
          <w:szCs w:val="24"/>
        </w:rPr>
        <w:lastRenderedPageBreak/>
        <w:t>   alla lettera b</w:t>
      </w:r>
      <w:proofErr w:type="gramStart"/>
      <w:r w:rsidRPr="00224886">
        <w:rPr>
          <w:color w:val="000000" w:themeColor="text1"/>
          <w:sz w:val="24"/>
          <w:szCs w:val="24"/>
        </w:rPr>
        <w:t>)</w:t>
      </w:r>
      <w:proofErr w:type="gramEnd"/>
      <w:r w:rsidRPr="00224886">
        <w:rPr>
          <w:color w:val="000000" w:themeColor="text1"/>
          <w:sz w:val="24"/>
          <w:szCs w:val="24"/>
        </w:rPr>
        <w:t>:</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capoverso 9-bis, secondo periodo, le parole: «in conformità con il presente articolo» sono sostituite dalle seguenti: </w:t>
      </w:r>
      <w:proofErr w:type="gramStart"/>
      <w:r w:rsidRPr="00224886">
        <w:rPr>
          <w:color w:val="000000" w:themeColor="text1"/>
          <w:sz w:val="24"/>
          <w:szCs w:val="24"/>
        </w:rPr>
        <w:t>«</w:t>
      </w:r>
      <w:proofErr w:type="gramEnd"/>
      <w:r w:rsidRPr="00224886">
        <w:rPr>
          <w:color w:val="000000" w:themeColor="text1"/>
          <w:sz w:val="24"/>
          <w:szCs w:val="24"/>
        </w:rPr>
        <w:t>in conformità al presente articolo»;</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capoverso 9-ter, dopo il secondo periodo, è inserito il seguente: </w:t>
      </w:r>
      <w:proofErr w:type="gramStart"/>
      <w:r w:rsidRPr="00224886">
        <w:rPr>
          <w:color w:val="000000" w:themeColor="text1"/>
          <w:sz w:val="24"/>
          <w:szCs w:val="24"/>
        </w:rPr>
        <w:t>«</w:t>
      </w:r>
      <w:proofErr w:type="gramEnd"/>
      <w:r w:rsidRPr="00224886">
        <w:rPr>
          <w:color w:val="000000" w:themeColor="text1"/>
          <w:sz w:val="24"/>
          <w:szCs w:val="24"/>
        </w:rPr>
        <w:t>Il decreto del Ministro è sottoposto al controllo preventivo di legittimità e alla registrazione della Corte dei conti.»;</w:t>
      </w:r>
    </w:p>
    <w:p w:rsidR="00C91B6A" w:rsidRPr="00224886" w:rsidRDefault="00C91B6A" w:rsidP="00C91B6A">
      <w:pPr>
        <w:jc w:val="both"/>
        <w:rPr>
          <w:color w:val="000000" w:themeColor="text1"/>
          <w:sz w:val="24"/>
          <w:szCs w:val="24"/>
        </w:rPr>
      </w:pPr>
      <w:r w:rsidRPr="00224886">
        <w:rPr>
          <w:color w:val="000000" w:themeColor="text1"/>
          <w:sz w:val="24"/>
          <w:szCs w:val="24"/>
        </w:rPr>
        <w:t>    al capoverso 9-quinquies, lettera e</w:t>
      </w:r>
      <w:proofErr w:type="gramStart"/>
      <w:r w:rsidRPr="00224886">
        <w:rPr>
          <w:color w:val="000000" w:themeColor="text1"/>
          <w:sz w:val="24"/>
          <w:szCs w:val="24"/>
        </w:rPr>
        <w:t>)</w:t>
      </w:r>
      <w:proofErr w:type="gramEnd"/>
      <w:r w:rsidRPr="00224886">
        <w:rPr>
          <w:color w:val="000000" w:themeColor="text1"/>
          <w:sz w:val="24"/>
          <w:szCs w:val="24"/>
        </w:rPr>
        <w:t>, le parole: «e al Ministro» sono sostituite dalle seguenti: «e al Ministero»;</w:t>
      </w:r>
    </w:p>
    <w:p w:rsidR="00C91B6A" w:rsidRPr="00224886" w:rsidRDefault="00C91B6A" w:rsidP="00C91B6A">
      <w:pPr>
        <w:jc w:val="both"/>
        <w:rPr>
          <w:color w:val="000000" w:themeColor="text1"/>
          <w:sz w:val="24"/>
          <w:szCs w:val="24"/>
        </w:rPr>
      </w:pPr>
    </w:p>
    <w:p w:rsidR="00C91B6A" w:rsidRPr="00224886" w:rsidRDefault="00C91B6A" w:rsidP="00C91B6A">
      <w:pPr>
        <w:jc w:val="both"/>
        <w:rPr>
          <w:color w:val="000000" w:themeColor="text1"/>
          <w:sz w:val="24"/>
          <w:szCs w:val="24"/>
        </w:rPr>
      </w:pPr>
      <w:r w:rsidRPr="00224886">
        <w:rPr>
          <w:color w:val="000000" w:themeColor="text1"/>
          <w:sz w:val="24"/>
          <w:szCs w:val="24"/>
        </w:rPr>
        <w:t>    al capoverso 9-sexies:</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terzo periodo, le parole: «e del Ministero delle politiche agricole, alimentari e forestali» sono sostituite dalle seguenti: </w:t>
      </w:r>
      <w:proofErr w:type="gramStart"/>
      <w:r w:rsidRPr="00224886">
        <w:rPr>
          <w:color w:val="000000" w:themeColor="text1"/>
          <w:sz w:val="24"/>
          <w:szCs w:val="24"/>
        </w:rPr>
        <w:t>«</w:t>
      </w:r>
      <w:proofErr w:type="gramEnd"/>
      <w:r w:rsidRPr="00224886">
        <w:rPr>
          <w:color w:val="000000" w:themeColor="text1"/>
          <w:sz w:val="24"/>
          <w:szCs w:val="24"/>
        </w:rPr>
        <w:t>e dal Ministero delle politiche agricole alimentari e forestali»;</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quinto periodo, dopo le parole: «pubblici e privati» </w:t>
      </w:r>
      <w:proofErr w:type="gramStart"/>
      <w:r w:rsidRPr="00224886">
        <w:rPr>
          <w:color w:val="000000" w:themeColor="text1"/>
          <w:sz w:val="24"/>
          <w:szCs w:val="24"/>
        </w:rPr>
        <w:t>è inserito</w:t>
      </w:r>
      <w:proofErr w:type="gramEnd"/>
      <w:r w:rsidRPr="00224886">
        <w:rPr>
          <w:color w:val="000000" w:themeColor="text1"/>
          <w:sz w:val="24"/>
          <w:szCs w:val="24"/>
        </w:rPr>
        <w:t xml:space="preserve"> il seguente segno d'interpunzione: «,»;</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   all'ottavo periodo, le parole: «assicura le funzioni» sono sostituite dalle seguenti: </w:t>
      </w:r>
      <w:proofErr w:type="gramStart"/>
      <w:r w:rsidRPr="00224886">
        <w:rPr>
          <w:color w:val="000000" w:themeColor="text1"/>
          <w:sz w:val="24"/>
          <w:szCs w:val="24"/>
        </w:rPr>
        <w:t>«</w:t>
      </w:r>
      <w:proofErr w:type="gramEnd"/>
      <w:r w:rsidRPr="00224886">
        <w:rPr>
          <w:color w:val="000000" w:themeColor="text1"/>
          <w:sz w:val="24"/>
          <w:szCs w:val="24"/>
        </w:rPr>
        <w:t>assicura lo svolgimento delle funzioni»;</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decimo periodo, le parole: «per il suo funzionamento ci si avvale delle risorse» sono sostituite dalle seguenti: «al suo funzionamento si provvede con le risorse» e le parole: «iscritte in bilancio» sono sostituite dalla seguente: </w:t>
      </w:r>
      <w:proofErr w:type="gramStart"/>
      <w:r w:rsidRPr="00224886">
        <w:rPr>
          <w:color w:val="000000" w:themeColor="text1"/>
          <w:sz w:val="24"/>
          <w:szCs w:val="24"/>
        </w:rPr>
        <w:t>«</w:t>
      </w:r>
      <w:proofErr w:type="gramEnd"/>
      <w:r w:rsidRPr="00224886">
        <w:rPr>
          <w:color w:val="000000" w:themeColor="text1"/>
          <w:sz w:val="24"/>
          <w:szCs w:val="24"/>
        </w:rPr>
        <w:t>disponibili»;</w:t>
      </w:r>
    </w:p>
    <w:p w:rsidR="00C91B6A" w:rsidRPr="00224886" w:rsidRDefault="00C91B6A" w:rsidP="00C91B6A">
      <w:pPr>
        <w:jc w:val="both"/>
        <w:rPr>
          <w:color w:val="000000" w:themeColor="text1"/>
          <w:sz w:val="24"/>
          <w:szCs w:val="24"/>
        </w:rPr>
      </w:pPr>
      <w:r w:rsidRPr="00224886">
        <w:rPr>
          <w:color w:val="000000" w:themeColor="text1"/>
          <w:sz w:val="24"/>
          <w:szCs w:val="24"/>
        </w:rPr>
        <w:t>    al capoverso 9-septies, secondo periodo, le parole: «</w:t>
      </w:r>
      <w:proofErr w:type="gramStart"/>
      <w:r w:rsidRPr="00224886">
        <w:rPr>
          <w:color w:val="000000" w:themeColor="text1"/>
          <w:sz w:val="24"/>
          <w:szCs w:val="24"/>
        </w:rPr>
        <w:t>degli</w:t>
      </w:r>
      <w:proofErr w:type="gramEnd"/>
      <w:r w:rsidRPr="00224886">
        <w:rPr>
          <w:color w:val="000000" w:themeColor="text1"/>
          <w:sz w:val="24"/>
          <w:szCs w:val="24"/>
        </w:rPr>
        <w:t xml:space="preserve"> limiti» sono sostituite dalle seguenti: «dei limiti»;</w:t>
      </w:r>
    </w:p>
    <w:p w:rsidR="00C91B6A" w:rsidRPr="00224886" w:rsidRDefault="00C91B6A" w:rsidP="00C91B6A">
      <w:pPr>
        <w:jc w:val="both"/>
        <w:rPr>
          <w:color w:val="000000" w:themeColor="text1"/>
          <w:sz w:val="24"/>
          <w:szCs w:val="24"/>
        </w:rPr>
      </w:pPr>
      <w:r w:rsidRPr="00224886">
        <w:rPr>
          <w:color w:val="000000" w:themeColor="text1"/>
          <w:sz w:val="24"/>
          <w:szCs w:val="24"/>
        </w:rPr>
        <w:t>    al capoverso 9-octies:</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primo periodo, la parola: «verificata» è sostituita dalla seguente: «verificati» e dopo le parole: «e alla convenzione» sono inserite le seguenti: </w:t>
      </w:r>
      <w:proofErr w:type="gramStart"/>
      <w:r w:rsidRPr="00224886">
        <w:rPr>
          <w:color w:val="000000" w:themeColor="text1"/>
          <w:sz w:val="24"/>
          <w:szCs w:val="24"/>
        </w:rPr>
        <w:t>«</w:t>
      </w:r>
      <w:proofErr w:type="gramEnd"/>
      <w:r w:rsidRPr="00224886">
        <w:rPr>
          <w:color w:val="000000" w:themeColor="text1"/>
          <w:sz w:val="24"/>
          <w:szCs w:val="24"/>
        </w:rPr>
        <w:t>di cui al comma 9-quinquies»;</w:t>
      </w:r>
    </w:p>
    <w:p w:rsidR="00C91B6A" w:rsidRPr="00224886" w:rsidRDefault="00C91B6A" w:rsidP="00C91B6A">
      <w:pPr>
        <w:jc w:val="both"/>
        <w:rPr>
          <w:color w:val="000000" w:themeColor="text1"/>
          <w:sz w:val="24"/>
          <w:szCs w:val="24"/>
        </w:rPr>
      </w:pPr>
      <w:r w:rsidRPr="00224886">
        <w:rPr>
          <w:color w:val="000000" w:themeColor="text1"/>
          <w:sz w:val="24"/>
          <w:szCs w:val="24"/>
        </w:rPr>
        <w:t>   il secondo periodo è soppresso;</w:t>
      </w:r>
    </w:p>
    <w:p w:rsidR="00C91B6A" w:rsidRPr="00224886" w:rsidRDefault="00C91B6A" w:rsidP="00C91B6A">
      <w:pPr>
        <w:jc w:val="both"/>
        <w:rPr>
          <w:color w:val="000000" w:themeColor="text1"/>
          <w:sz w:val="24"/>
          <w:szCs w:val="24"/>
        </w:rPr>
      </w:pPr>
      <w:r w:rsidRPr="00224886">
        <w:rPr>
          <w:color w:val="000000" w:themeColor="text1"/>
          <w:sz w:val="24"/>
          <w:szCs w:val="24"/>
        </w:rPr>
        <w:t>   alla lettera c</w:t>
      </w:r>
      <w:proofErr w:type="gramStart"/>
      <w:r w:rsidRPr="00224886">
        <w:rPr>
          <w:color w:val="000000" w:themeColor="text1"/>
          <w:sz w:val="24"/>
          <w:szCs w:val="24"/>
        </w:rPr>
        <w:t>)</w:t>
      </w:r>
      <w:proofErr w:type="gramEnd"/>
      <w:r w:rsidRPr="00224886">
        <w:rPr>
          <w:color w:val="000000" w:themeColor="text1"/>
          <w:sz w:val="24"/>
          <w:szCs w:val="24"/>
        </w:rPr>
        <w:t xml:space="preserve">, capoverso 14-bis, quinto periodo, le parole: «in conformità con la normativa» sono sostituite dalle seguenti: «in conformità alla normativa» e le parole: «per conto del Ministero </w:t>
      </w:r>
      <w:r w:rsidRPr="00224886">
        <w:rPr>
          <w:color w:val="000000" w:themeColor="text1"/>
          <w:sz w:val="24"/>
          <w:szCs w:val="24"/>
        </w:rPr>
        <w:lastRenderedPageBreak/>
        <w:t>dell'economia e delle finanze» sono sostituite dalle seguenti: «per conto del Ministero dell'economia e delle finanze»»;</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comma </w:t>
      </w:r>
      <w:proofErr w:type="gramStart"/>
      <w:r w:rsidRPr="00224886">
        <w:rPr>
          <w:color w:val="000000" w:themeColor="text1"/>
          <w:sz w:val="24"/>
          <w:szCs w:val="24"/>
        </w:rPr>
        <w:t>3</w:t>
      </w:r>
      <w:proofErr w:type="gramEnd"/>
      <w:r w:rsidRPr="00224886">
        <w:rPr>
          <w:color w:val="000000" w:themeColor="text1"/>
          <w:sz w:val="24"/>
          <w:szCs w:val="24"/>
        </w:rPr>
        <w:t>:</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secondo periodo, le parole: «legge 24 novembre 2003, n. 32» </w:t>
      </w:r>
      <w:proofErr w:type="gramStart"/>
      <w:r w:rsidRPr="00224886">
        <w:rPr>
          <w:color w:val="000000" w:themeColor="text1"/>
          <w:sz w:val="24"/>
          <w:szCs w:val="24"/>
        </w:rPr>
        <w:t>sono</w:t>
      </w:r>
      <w:proofErr w:type="gramEnd"/>
      <w:r w:rsidRPr="00224886">
        <w:rPr>
          <w:color w:val="000000" w:themeColor="text1"/>
          <w:sz w:val="24"/>
          <w:szCs w:val="24"/>
        </w:rPr>
        <w:t xml:space="preserve"> sostituite dalle seguenti: «legge 24 novembre 2003, n. 326»;</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terzo periodo, le parole: «1° gennaio 2021» </w:t>
      </w:r>
      <w:proofErr w:type="gramStart"/>
      <w:r w:rsidRPr="00224886">
        <w:rPr>
          <w:color w:val="000000" w:themeColor="text1"/>
          <w:sz w:val="24"/>
          <w:szCs w:val="24"/>
        </w:rPr>
        <w:t>sono</w:t>
      </w:r>
      <w:proofErr w:type="gramEnd"/>
      <w:r w:rsidRPr="00224886">
        <w:rPr>
          <w:color w:val="000000" w:themeColor="text1"/>
          <w:sz w:val="24"/>
          <w:szCs w:val="24"/>
        </w:rPr>
        <w:t xml:space="preserve"> sostituite dalle seguenti: «1o gennaio 2021» e dopo le parole: «n. 269 del 2003, come» è inserita la seguente: «modificato»;</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comma </w:t>
      </w:r>
      <w:proofErr w:type="gramStart"/>
      <w:r w:rsidRPr="00224886">
        <w:rPr>
          <w:color w:val="000000" w:themeColor="text1"/>
          <w:sz w:val="24"/>
          <w:szCs w:val="24"/>
        </w:rPr>
        <w:t>4</w:t>
      </w:r>
      <w:proofErr w:type="gramEnd"/>
      <w:r w:rsidRPr="00224886">
        <w:rPr>
          <w:color w:val="000000" w:themeColor="text1"/>
          <w:sz w:val="24"/>
          <w:szCs w:val="24"/>
        </w:rPr>
        <w:t>, alinea, le parole: «che costituisce parte integrante del presente decreto» sono sostituite dalle seguenti: «al presente decreto»;</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comma </w:t>
      </w:r>
      <w:proofErr w:type="gramStart"/>
      <w:r w:rsidRPr="00224886">
        <w:rPr>
          <w:color w:val="000000" w:themeColor="text1"/>
          <w:sz w:val="24"/>
          <w:szCs w:val="24"/>
        </w:rPr>
        <w:t>5</w:t>
      </w:r>
      <w:proofErr w:type="gramEnd"/>
      <w:r w:rsidRPr="00224886">
        <w:rPr>
          <w:color w:val="000000" w:themeColor="text1"/>
          <w:sz w:val="24"/>
          <w:szCs w:val="24"/>
        </w:rPr>
        <w:t>, lettera b), le parole: «cinque miliardi euro» sono sostituite dalle seguenti: «cinque miliardi di euro»;</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comma </w:t>
      </w:r>
      <w:proofErr w:type="gramStart"/>
      <w:r w:rsidRPr="00224886">
        <w:rPr>
          <w:color w:val="000000" w:themeColor="text1"/>
          <w:sz w:val="24"/>
          <w:szCs w:val="24"/>
        </w:rPr>
        <w:t>6</w:t>
      </w:r>
      <w:proofErr w:type="gramEnd"/>
      <w:r w:rsidRPr="00224886">
        <w:rPr>
          <w:color w:val="000000" w:themeColor="text1"/>
          <w:sz w:val="24"/>
          <w:szCs w:val="24"/>
        </w:rPr>
        <w:t>:</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primo periodo, le parole: «è stata comunicata» sono sostituite dalle seguenti: </w:t>
      </w:r>
      <w:proofErr w:type="gramStart"/>
      <w:r w:rsidRPr="00224886">
        <w:rPr>
          <w:color w:val="000000" w:themeColor="text1"/>
          <w:sz w:val="24"/>
          <w:szCs w:val="24"/>
        </w:rPr>
        <w:t>«</w:t>
      </w:r>
      <w:proofErr w:type="gramEnd"/>
      <w:r w:rsidRPr="00224886">
        <w:rPr>
          <w:color w:val="000000" w:themeColor="text1"/>
          <w:sz w:val="24"/>
          <w:szCs w:val="24"/>
        </w:rPr>
        <w:t>è stato comunicato»;</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quarto periodo, la parola: «ammontare» è sostituita dalle seguenti: </w:t>
      </w:r>
      <w:proofErr w:type="gramStart"/>
      <w:r w:rsidRPr="00224886">
        <w:rPr>
          <w:color w:val="000000" w:themeColor="text1"/>
          <w:sz w:val="24"/>
          <w:szCs w:val="24"/>
        </w:rPr>
        <w:t>«</w:t>
      </w:r>
      <w:proofErr w:type="gramEnd"/>
      <w:r w:rsidRPr="00224886">
        <w:rPr>
          <w:color w:val="000000" w:themeColor="text1"/>
          <w:sz w:val="24"/>
          <w:szCs w:val="24"/>
        </w:rPr>
        <w:t>l'ammontare»;</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comma </w:t>
      </w:r>
      <w:proofErr w:type="gramStart"/>
      <w:r w:rsidRPr="00224886">
        <w:rPr>
          <w:color w:val="000000" w:themeColor="text1"/>
          <w:sz w:val="24"/>
          <w:szCs w:val="24"/>
        </w:rPr>
        <w:t>7</w:t>
      </w:r>
      <w:proofErr w:type="gramEnd"/>
      <w:r w:rsidRPr="00224886">
        <w:rPr>
          <w:color w:val="000000" w:themeColor="text1"/>
          <w:sz w:val="24"/>
          <w:szCs w:val="24"/>
        </w:rPr>
        <w:t>, primo periodo, le parole: «convertito in legge, con modificazioni, dall'articolo 1, comma 1, della legge 24 novembre 2003, n. 326» sono sostituite dalle seguenti: «convertito, con modificazioni, dalla legge 24 novembre 2003, n. 326».</w:t>
      </w:r>
    </w:p>
    <w:p w:rsidR="00C91B6A" w:rsidRPr="00224886" w:rsidRDefault="00C91B6A" w:rsidP="00C91B6A">
      <w:pPr>
        <w:jc w:val="both"/>
        <w:rPr>
          <w:color w:val="000000" w:themeColor="text1"/>
          <w:sz w:val="24"/>
          <w:szCs w:val="24"/>
        </w:rPr>
      </w:pPr>
    </w:p>
    <w:p w:rsidR="00C91B6A" w:rsidRPr="00224886" w:rsidRDefault="00C91B6A" w:rsidP="00C91B6A">
      <w:pPr>
        <w:jc w:val="both"/>
        <w:rPr>
          <w:color w:val="000000" w:themeColor="text1"/>
          <w:sz w:val="24"/>
          <w:szCs w:val="24"/>
        </w:rPr>
      </w:pPr>
      <w:r w:rsidRPr="00224886">
        <w:rPr>
          <w:color w:val="000000" w:themeColor="text1"/>
          <w:sz w:val="24"/>
          <w:szCs w:val="24"/>
        </w:rPr>
        <w:t>  All'articolo 4:</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comma </w:t>
      </w:r>
      <w:proofErr w:type="gramStart"/>
      <w:r w:rsidRPr="00224886">
        <w:rPr>
          <w:color w:val="000000" w:themeColor="text1"/>
          <w:sz w:val="24"/>
          <w:szCs w:val="24"/>
        </w:rPr>
        <w:t>1</w:t>
      </w:r>
      <w:proofErr w:type="gramEnd"/>
      <w:r w:rsidRPr="00224886">
        <w:rPr>
          <w:color w:val="000000" w:themeColor="text1"/>
          <w:sz w:val="24"/>
          <w:szCs w:val="24"/>
        </w:rPr>
        <w:t>, primo periodo, le parole: «mediante il proprio indirizzo di posta elettronica» sono sostituite dalle seguenti: «mediante comunicazione inviata dal proprio indirizzo di posta elettronica», le parole: «questi siano accompagnati» sono sostituite dalle seguenti: «l'espressione del consenso sia accompagnata», le parole: «facciano riferimento» sono sostituite dalle seguenti: «faccia riferimento» e le parole: «siano conservati» sono sostituite dalle seguenti: «sia conservata».</w:t>
      </w:r>
    </w:p>
    <w:p w:rsidR="00C91B6A" w:rsidRPr="00224886" w:rsidRDefault="00C91B6A" w:rsidP="00C91B6A">
      <w:pPr>
        <w:jc w:val="both"/>
        <w:rPr>
          <w:color w:val="000000" w:themeColor="text1"/>
          <w:sz w:val="24"/>
          <w:szCs w:val="24"/>
        </w:rPr>
      </w:pPr>
    </w:p>
    <w:p w:rsidR="00C91B6A" w:rsidRPr="00224886" w:rsidRDefault="00C91B6A" w:rsidP="00C91B6A">
      <w:pPr>
        <w:jc w:val="both"/>
        <w:rPr>
          <w:color w:val="000000" w:themeColor="text1"/>
          <w:sz w:val="24"/>
          <w:szCs w:val="24"/>
        </w:rPr>
      </w:pPr>
      <w:r w:rsidRPr="00224886">
        <w:rPr>
          <w:color w:val="000000" w:themeColor="text1"/>
          <w:sz w:val="24"/>
          <w:szCs w:val="24"/>
        </w:rPr>
        <w:t>  All'articolo 5:</w:t>
      </w:r>
    </w:p>
    <w:p w:rsidR="00C91B6A" w:rsidRPr="00224886" w:rsidRDefault="00C91B6A" w:rsidP="00C91B6A">
      <w:pPr>
        <w:jc w:val="both"/>
        <w:rPr>
          <w:color w:val="000000" w:themeColor="text1"/>
          <w:sz w:val="24"/>
          <w:szCs w:val="24"/>
        </w:rPr>
      </w:pPr>
      <w:r w:rsidRPr="00224886">
        <w:rPr>
          <w:color w:val="000000" w:themeColor="text1"/>
          <w:sz w:val="24"/>
          <w:szCs w:val="24"/>
        </w:rPr>
        <w:lastRenderedPageBreak/>
        <w:t xml:space="preserve">  al comma </w:t>
      </w:r>
      <w:proofErr w:type="gramStart"/>
      <w:r w:rsidRPr="00224886">
        <w:rPr>
          <w:color w:val="000000" w:themeColor="text1"/>
          <w:sz w:val="24"/>
          <w:szCs w:val="24"/>
        </w:rPr>
        <w:t>1</w:t>
      </w:r>
      <w:proofErr w:type="gramEnd"/>
      <w:r w:rsidRPr="00224886">
        <w:rPr>
          <w:color w:val="000000" w:themeColor="text1"/>
          <w:sz w:val="24"/>
          <w:szCs w:val="24"/>
        </w:rPr>
        <w:t>, capoverso, le parole: «il 1° settembre» sono sostituite dalle seguenti: «il 1o settembre».</w:t>
      </w:r>
    </w:p>
    <w:p w:rsidR="00C91B6A" w:rsidRPr="00224886" w:rsidRDefault="00C91B6A" w:rsidP="00C91B6A">
      <w:pPr>
        <w:jc w:val="both"/>
        <w:rPr>
          <w:color w:val="000000" w:themeColor="text1"/>
          <w:sz w:val="24"/>
          <w:szCs w:val="24"/>
        </w:rPr>
      </w:pPr>
    </w:p>
    <w:p w:rsidR="00C91B6A" w:rsidRPr="00224886" w:rsidRDefault="00C91B6A" w:rsidP="00C91B6A">
      <w:pPr>
        <w:jc w:val="both"/>
        <w:rPr>
          <w:color w:val="000000" w:themeColor="text1"/>
          <w:sz w:val="24"/>
          <w:szCs w:val="24"/>
        </w:rPr>
      </w:pPr>
      <w:r w:rsidRPr="00224886">
        <w:rPr>
          <w:color w:val="000000" w:themeColor="text1"/>
          <w:sz w:val="24"/>
          <w:szCs w:val="24"/>
        </w:rPr>
        <w:t>  All'articolo 9:</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  ai commi </w:t>
      </w:r>
      <w:proofErr w:type="gramStart"/>
      <w:r w:rsidRPr="00224886">
        <w:rPr>
          <w:color w:val="000000" w:themeColor="text1"/>
          <w:sz w:val="24"/>
          <w:szCs w:val="24"/>
        </w:rPr>
        <w:t>2</w:t>
      </w:r>
      <w:proofErr w:type="gramEnd"/>
      <w:r w:rsidRPr="00224886">
        <w:rPr>
          <w:color w:val="000000" w:themeColor="text1"/>
          <w:sz w:val="24"/>
          <w:szCs w:val="24"/>
        </w:rPr>
        <w:t>, primo periodo, e 3, primo, terzo e quarto periodo, la parola: «omologa» è sostituita dalla seguente: «omologazione».</w:t>
      </w:r>
    </w:p>
    <w:p w:rsidR="00C91B6A" w:rsidRPr="00224886" w:rsidRDefault="00C91B6A" w:rsidP="00C91B6A">
      <w:pPr>
        <w:jc w:val="both"/>
        <w:rPr>
          <w:color w:val="000000" w:themeColor="text1"/>
          <w:sz w:val="24"/>
          <w:szCs w:val="24"/>
        </w:rPr>
      </w:pPr>
    </w:p>
    <w:p w:rsidR="00C91B6A" w:rsidRPr="00224886" w:rsidRDefault="00C91B6A" w:rsidP="00C91B6A">
      <w:pPr>
        <w:jc w:val="both"/>
        <w:rPr>
          <w:color w:val="000000" w:themeColor="text1"/>
          <w:sz w:val="24"/>
          <w:szCs w:val="24"/>
        </w:rPr>
      </w:pPr>
      <w:r w:rsidRPr="00224886">
        <w:rPr>
          <w:color w:val="000000" w:themeColor="text1"/>
          <w:sz w:val="24"/>
          <w:szCs w:val="24"/>
        </w:rPr>
        <w:t>  All'articolo 11:</w:t>
      </w:r>
    </w:p>
    <w:p w:rsidR="00C91B6A" w:rsidRPr="00224886" w:rsidRDefault="00C91B6A" w:rsidP="00C91B6A">
      <w:pPr>
        <w:jc w:val="both"/>
        <w:rPr>
          <w:color w:val="000000" w:themeColor="text1"/>
          <w:sz w:val="24"/>
          <w:szCs w:val="24"/>
        </w:rPr>
      </w:pPr>
    </w:p>
    <w:p w:rsidR="00C91B6A" w:rsidRPr="00224886" w:rsidRDefault="00C91B6A" w:rsidP="00C91B6A">
      <w:pPr>
        <w:jc w:val="both"/>
        <w:rPr>
          <w:color w:val="000000" w:themeColor="text1"/>
          <w:sz w:val="24"/>
          <w:szCs w:val="24"/>
        </w:rPr>
      </w:pPr>
      <w:proofErr w:type="gramStart"/>
      <w:r w:rsidRPr="00224886">
        <w:rPr>
          <w:color w:val="000000" w:themeColor="text1"/>
          <w:sz w:val="24"/>
          <w:szCs w:val="24"/>
        </w:rPr>
        <w:t>al</w:t>
      </w:r>
      <w:proofErr w:type="gramEnd"/>
      <w:r w:rsidRPr="00224886">
        <w:rPr>
          <w:color w:val="000000" w:themeColor="text1"/>
          <w:sz w:val="24"/>
          <w:szCs w:val="24"/>
        </w:rPr>
        <w:t xml:space="preserve"> comma 1, primo periodo, le parole: «della presente decreto» sono sostituite dalle seguenti: «del presente decreto».</w:t>
      </w:r>
    </w:p>
    <w:p w:rsidR="00C91B6A" w:rsidRPr="00224886" w:rsidRDefault="00C91B6A" w:rsidP="00C91B6A">
      <w:pPr>
        <w:jc w:val="both"/>
        <w:rPr>
          <w:color w:val="000000" w:themeColor="text1"/>
          <w:sz w:val="24"/>
          <w:szCs w:val="24"/>
        </w:rPr>
      </w:pPr>
    </w:p>
    <w:p w:rsidR="00C91B6A" w:rsidRPr="00224886" w:rsidRDefault="00C91B6A" w:rsidP="00C91B6A">
      <w:pPr>
        <w:jc w:val="both"/>
        <w:rPr>
          <w:color w:val="000000" w:themeColor="text1"/>
          <w:sz w:val="24"/>
          <w:szCs w:val="24"/>
        </w:rPr>
      </w:pPr>
      <w:r w:rsidRPr="00224886">
        <w:rPr>
          <w:color w:val="000000" w:themeColor="text1"/>
          <w:sz w:val="24"/>
          <w:szCs w:val="24"/>
        </w:rPr>
        <w:t>  All'articolo 13:</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comma </w:t>
      </w:r>
      <w:proofErr w:type="gramStart"/>
      <w:r w:rsidRPr="00224886">
        <w:rPr>
          <w:color w:val="000000" w:themeColor="text1"/>
          <w:sz w:val="24"/>
          <w:szCs w:val="24"/>
        </w:rPr>
        <w:t>1</w:t>
      </w:r>
      <w:proofErr w:type="gramEnd"/>
      <w:r w:rsidRPr="00224886">
        <w:rPr>
          <w:color w:val="000000" w:themeColor="text1"/>
          <w:sz w:val="24"/>
          <w:szCs w:val="24"/>
        </w:rPr>
        <w:t>:</w:t>
      </w:r>
    </w:p>
    <w:p w:rsidR="00C91B6A" w:rsidRPr="00224886" w:rsidRDefault="00C91B6A" w:rsidP="00C91B6A">
      <w:pPr>
        <w:jc w:val="both"/>
        <w:rPr>
          <w:color w:val="000000" w:themeColor="text1"/>
          <w:sz w:val="24"/>
          <w:szCs w:val="24"/>
        </w:rPr>
      </w:pPr>
      <w:r w:rsidRPr="00224886">
        <w:rPr>
          <w:color w:val="000000" w:themeColor="text1"/>
          <w:sz w:val="24"/>
          <w:szCs w:val="24"/>
        </w:rPr>
        <w:t>   alla lettera d), dopo le parole: «</w:t>
      </w:r>
      <w:proofErr w:type="gramStart"/>
      <w:r w:rsidRPr="00224886">
        <w:rPr>
          <w:color w:val="000000" w:themeColor="text1"/>
          <w:sz w:val="24"/>
          <w:szCs w:val="24"/>
        </w:rPr>
        <w:t>successivamente</w:t>
      </w:r>
      <w:proofErr w:type="gramEnd"/>
      <w:r w:rsidRPr="00224886">
        <w:rPr>
          <w:color w:val="000000" w:themeColor="text1"/>
          <w:sz w:val="24"/>
          <w:szCs w:val="24"/>
        </w:rPr>
        <w:t xml:space="preserve"> alla predetta autorizzazione» è inserito il seguente segno d'interpunzione: «,»;</w:t>
      </w:r>
    </w:p>
    <w:p w:rsidR="00C91B6A" w:rsidRPr="00224886" w:rsidRDefault="00C91B6A" w:rsidP="00C91B6A">
      <w:pPr>
        <w:jc w:val="both"/>
        <w:rPr>
          <w:color w:val="000000" w:themeColor="text1"/>
          <w:sz w:val="24"/>
          <w:szCs w:val="24"/>
        </w:rPr>
      </w:pPr>
      <w:r w:rsidRPr="00224886">
        <w:rPr>
          <w:color w:val="000000" w:themeColor="text1"/>
          <w:sz w:val="24"/>
          <w:szCs w:val="24"/>
        </w:rPr>
        <w:t>   alla lettera f</w:t>
      </w:r>
      <w:proofErr w:type="gramStart"/>
      <w:r w:rsidRPr="00224886">
        <w:rPr>
          <w:color w:val="000000" w:themeColor="text1"/>
          <w:sz w:val="24"/>
          <w:szCs w:val="24"/>
        </w:rPr>
        <w:t>)</w:t>
      </w:r>
      <w:proofErr w:type="gramEnd"/>
      <w:r w:rsidRPr="00224886">
        <w:rPr>
          <w:color w:val="000000" w:themeColor="text1"/>
          <w:sz w:val="24"/>
          <w:szCs w:val="24"/>
        </w:rPr>
        <w:t>, la parola: «banche» è sostituita dalla seguente: «le banche» e le parole: «in connessione degli effetti» sono sostituite dalle seguenti: «in connessione agli effetti»;</w:t>
      </w:r>
    </w:p>
    <w:p w:rsidR="00C91B6A" w:rsidRPr="00224886" w:rsidRDefault="00C91B6A" w:rsidP="00C91B6A">
      <w:pPr>
        <w:jc w:val="both"/>
        <w:rPr>
          <w:color w:val="000000" w:themeColor="text1"/>
          <w:sz w:val="24"/>
          <w:szCs w:val="24"/>
        </w:rPr>
      </w:pPr>
      <w:r w:rsidRPr="00224886">
        <w:rPr>
          <w:color w:val="000000" w:themeColor="text1"/>
          <w:sz w:val="24"/>
          <w:szCs w:val="24"/>
        </w:rPr>
        <w:t>   alla lettera g), dopo le parole: «12 febbraio 2019</w:t>
      </w:r>
      <w:proofErr w:type="gramStart"/>
      <w:r w:rsidRPr="00224886">
        <w:rPr>
          <w:color w:val="000000" w:themeColor="text1"/>
          <w:sz w:val="24"/>
          <w:szCs w:val="24"/>
        </w:rPr>
        <w:t>,</w:t>
      </w:r>
      <w:proofErr w:type="gramEnd"/>
      <w:r w:rsidRPr="00224886">
        <w:rPr>
          <w:color w:val="000000" w:themeColor="text1"/>
          <w:sz w:val="24"/>
          <w:szCs w:val="24"/>
        </w:rPr>
        <w:t>» sono inserite le seguenti: «di cui al comunicato», le parole: «di Centrale dei rischi di Banca d'Italia» sono sostituite dalle seguenti: «della Centrale dei rischi della Banca d'Italia», e le parole: «del paragrafo 2, parte B della circolare n. 272 del 30 luglio 2008 della Banca d'Italia» sono sostituite dalle seguenti: «del paragrafo 2 della parte B della circolare della Banca d'Italia n. 272 del 30 luglio 2008,»;</w:t>
      </w:r>
    </w:p>
    <w:p w:rsidR="00C91B6A" w:rsidRPr="00224886" w:rsidRDefault="00C91B6A" w:rsidP="00C91B6A">
      <w:pPr>
        <w:jc w:val="both"/>
        <w:rPr>
          <w:color w:val="000000" w:themeColor="text1"/>
          <w:sz w:val="24"/>
          <w:szCs w:val="24"/>
        </w:rPr>
      </w:pPr>
      <w:r w:rsidRPr="00224886">
        <w:rPr>
          <w:color w:val="000000" w:themeColor="text1"/>
          <w:sz w:val="24"/>
          <w:szCs w:val="24"/>
        </w:rPr>
        <w:t>   alla lettera h</w:t>
      </w:r>
      <w:proofErr w:type="gramStart"/>
      <w:r w:rsidRPr="00224886">
        <w:rPr>
          <w:color w:val="000000" w:themeColor="text1"/>
          <w:sz w:val="24"/>
          <w:szCs w:val="24"/>
        </w:rPr>
        <w:t>)</w:t>
      </w:r>
      <w:proofErr w:type="gramEnd"/>
      <w:r w:rsidRPr="00224886">
        <w:rPr>
          <w:color w:val="000000" w:themeColor="text1"/>
          <w:sz w:val="24"/>
          <w:szCs w:val="24"/>
        </w:rPr>
        <w:t>, le parole: «del decreto ministeriale 6 marzo 2017» sono sostituite dalle seguenti: «del citato decreto del Ministro dello sviluppo economico 6 marzo 2017»;</w:t>
      </w:r>
    </w:p>
    <w:p w:rsidR="00C91B6A" w:rsidRPr="00224886" w:rsidRDefault="00C91B6A" w:rsidP="00C91B6A">
      <w:pPr>
        <w:jc w:val="both"/>
        <w:rPr>
          <w:color w:val="000000" w:themeColor="text1"/>
          <w:sz w:val="24"/>
          <w:szCs w:val="24"/>
        </w:rPr>
      </w:pPr>
      <w:r w:rsidRPr="00224886">
        <w:rPr>
          <w:color w:val="000000" w:themeColor="text1"/>
          <w:sz w:val="24"/>
          <w:szCs w:val="24"/>
        </w:rPr>
        <w:lastRenderedPageBreak/>
        <w:t>   alla lettera m), la parola: «percento» è sostituita dalle seguenti: «per cento», le parole: «come da dichiarazione» sono sostituite dalle seguenti: «, secondo quanto attestato dall'interessato mediante dichiarazione», dopo le parole: «da altra idonea documentazione,» è inserita la seguente: «prodotta», le parole: «di esposizioni detenute» sono sostituite dalle seguenti: «delle esposizioni detenute», dopo le parole: «nel caso di garanzia diretta» è inserito il seguente segno d'interpunzione: «,» e le parole: «di Rendistato» sono sostituite dalle seguenti: «del rendimento medio dei titoli pubblici (Rendistato)»;</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   alla lettera n), le parole: «come da dichiarazione» sono sostituite dalle seguenti: «, secondo quanto attestato dall'interessato mediante dichiarazione», le parole: «di esposizioni detenute» sono sostituite dalle seguenti: «delle esposizioni detenute», le parole: «del soggetto finanziato) le Regioni, i Comuni, gli enti locali» sono </w:t>
      </w:r>
      <w:proofErr w:type="gramStart"/>
      <w:r w:rsidRPr="00224886">
        <w:rPr>
          <w:color w:val="000000" w:themeColor="text1"/>
          <w:sz w:val="24"/>
          <w:szCs w:val="24"/>
        </w:rPr>
        <w:t>sostituite</w:t>
      </w:r>
      <w:proofErr w:type="gramEnd"/>
      <w:r w:rsidRPr="00224886">
        <w:rPr>
          <w:color w:val="000000" w:themeColor="text1"/>
          <w:sz w:val="24"/>
          <w:szCs w:val="24"/>
        </w:rPr>
        <w:t xml:space="preserve"> dalle seguenti: «del soggetto finanziato. Le regioni, gli enti locali» e le parole: «e gli enti di riferimento» sono sostituite dalle seguenti: «e agli enti di riferimento»;</w:t>
      </w:r>
    </w:p>
    <w:p w:rsidR="00C91B6A" w:rsidRPr="00224886" w:rsidRDefault="00C91B6A" w:rsidP="00C91B6A">
      <w:pPr>
        <w:jc w:val="both"/>
        <w:rPr>
          <w:color w:val="000000" w:themeColor="text1"/>
          <w:sz w:val="24"/>
          <w:szCs w:val="24"/>
        </w:rPr>
      </w:pPr>
      <w:r w:rsidRPr="00224886">
        <w:rPr>
          <w:color w:val="000000" w:themeColor="text1"/>
          <w:sz w:val="24"/>
          <w:szCs w:val="24"/>
        </w:rPr>
        <w:t>   alla lettera p</w:t>
      </w:r>
      <w:proofErr w:type="gramStart"/>
      <w:r w:rsidRPr="00224886">
        <w:rPr>
          <w:color w:val="000000" w:themeColor="text1"/>
          <w:sz w:val="24"/>
          <w:szCs w:val="24"/>
        </w:rPr>
        <w:t>)</w:t>
      </w:r>
      <w:proofErr w:type="gramEnd"/>
      <w:r w:rsidRPr="00224886">
        <w:rPr>
          <w:color w:val="000000" w:themeColor="text1"/>
          <w:sz w:val="24"/>
          <w:szCs w:val="24"/>
        </w:rPr>
        <w:t>, le parole: «ed erogate dal» sono sostituite dalle seguenti: «con l'erogazione da parte del»;</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comma </w:t>
      </w:r>
      <w:proofErr w:type="gramStart"/>
      <w:r w:rsidRPr="00224886">
        <w:rPr>
          <w:color w:val="000000" w:themeColor="text1"/>
          <w:sz w:val="24"/>
          <w:szCs w:val="24"/>
        </w:rPr>
        <w:t>2</w:t>
      </w:r>
      <w:proofErr w:type="gramEnd"/>
      <w:r w:rsidRPr="00224886">
        <w:rPr>
          <w:color w:val="000000" w:themeColor="text1"/>
          <w:sz w:val="24"/>
          <w:szCs w:val="24"/>
        </w:rPr>
        <w:t>:</w:t>
      </w:r>
    </w:p>
    <w:p w:rsidR="00C91B6A" w:rsidRPr="00224886" w:rsidRDefault="00C91B6A" w:rsidP="00C91B6A">
      <w:pPr>
        <w:jc w:val="both"/>
        <w:rPr>
          <w:color w:val="000000" w:themeColor="text1"/>
          <w:sz w:val="24"/>
          <w:szCs w:val="24"/>
        </w:rPr>
      </w:pPr>
      <w:r w:rsidRPr="00224886">
        <w:rPr>
          <w:color w:val="000000" w:themeColor="text1"/>
          <w:sz w:val="24"/>
          <w:szCs w:val="24"/>
        </w:rPr>
        <w:t>   alla lettera f), le parole: «decreto interministeriale del 14 novembre 2017</w:t>
      </w:r>
      <w:proofErr w:type="gramStart"/>
      <w:r w:rsidRPr="00224886">
        <w:rPr>
          <w:color w:val="000000" w:themeColor="text1"/>
          <w:sz w:val="24"/>
          <w:szCs w:val="24"/>
        </w:rPr>
        <w:t>,</w:t>
      </w:r>
      <w:proofErr w:type="gramEnd"/>
      <w:r w:rsidRPr="00224886">
        <w:rPr>
          <w:color w:val="000000" w:themeColor="text1"/>
          <w:sz w:val="24"/>
          <w:szCs w:val="24"/>
        </w:rPr>
        <w:t>» sono sostituite dalle seguenti: «decreto del Ministro dello sviluppo economico 14 novembre 2017, pubblicato nella Gazzetta Ufficiale n. 14 del 18 gennaio 2018,»;</w:t>
      </w:r>
    </w:p>
    <w:p w:rsidR="00C91B6A" w:rsidRPr="00224886" w:rsidRDefault="00C91B6A" w:rsidP="00C91B6A">
      <w:pPr>
        <w:jc w:val="both"/>
        <w:rPr>
          <w:color w:val="000000" w:themeColor="text1"/>
          <w:sz w:val="24"/>
          <w:szCs w:val="24"/>
        </w:rPr>
      </w:pPr>
      <w:r w:rsidRPr="00224886">
        <w:rPr>
          <w:color w:val="000000" w:themeColor="text1"/>
          <w:sz w:val="24"/>
          <w:szCs w:val="24"/>
        </w:rPr>
        <w:t>   alle lettere f) e g</w:t>
      </w:r>
      <w:proofErr w:type="gramStart"/>
      <w:r w:rsidRPr="00224886">
        <w:rPr>
          <w:color w:val="000000" w:themeColor="text1"/>
          <w:sz w:val="24"/>
          <w:szCs w:val="24"/>
        </w:rPr>
        <w:t>)</w:t>
      </w:r>
      <w:proofErr w:type="gramEnd"/>
      <w:r w:rsidRPr="00224886">
        <w:rPr>
          <w:color w:val="000000" w:themeColor="text1"/>
          <w:sz w:val="24"/>
          <w:szCs w:val="24"/>
        </w:rPr>
        <w:t>, la parola: «percento», ovunque ricorre, è sostituita dalle seguenti: «per cento»;</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comma </w:t>
      </w:r>
      <w:proofErr w:type="gramStart"/>
      <w:r w:rsidRPr="00224886">
        <w:rPr>
          <w:color w:val="000000" w:themeColor="text1"/>
          <w:sz w:val="24"/>
          <w:szCs w:val="24"/>
        </w:rPr>
        <w:t>7</w:t>
      </w:r>
      <w:proofErr w:type="gramEnd"/>
      <w:r w:rsidRPr="00224886">
        <w:rPr>
          <w:color w:val="000000" w:themeColor="text1"/>
          <w:sz w:val="24"/>
          <w:szCs w:val="24"/>
        </w:rPr>
        <w:t>, la parola: «percento» è sostituita dalle seguenti: «per cento»;</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comma </w:t>
      </w:r>
      <w:proofErr w:type="gramStart"/>
      <w:r w:rsidRPr="00224886">
        <w:rPr>
          <w:color w:val="000000" w:themeColor="text1"/>
          <w:sz w:val="24"/>
          <w:szCs w:val="24"/>
        </w:rPr>
        <w:t>8</w:t>
      </w:r>
      <w:proofErr w:type="gramEnd"/>
      <w:r w:rsidRPr="00224886">
        <w:rPr>
          <w:color w:val="000000" w:themeColor="text1"/>
          <w:sz w:val="24"/>
          <w:szCs w:val="24"/>
        </w:rPr>
        <w:t>, le parole: «in possesso del requisito di micro piccola media impresa» sono sostituite dalle seguenti: «in possesso del requisito per la qualificazione come micro, piccola o media impresa» e la parola: «operazioni» è sostituita dalla seguente: «erogazioni»;</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comma </w:t>
      </w:r>
      <w:proofErr w:type="gramStart"/>
      <w:r w:rsidRPr="00224886">
        <w:rPr>
          <w:color w:val="000000" w:themeColor="text1"/>
          <w:sz w:val="24"/>
          <w:szCs w:val="24"/>
        </w:rPr>
        <w:t>9</w:t>
      </w:r>
      <w:proofErr w:type="gramEnd"/>
      <w:r w:rsidRPr="00224886">
        <w:rPr>
          <w:color w:val="000000" w:themeColor="text1"/>
          <w:sz w:val="24"/>
          <w:szCs w:val="24"/>
        </w:rPr>
        <w:t>, il secondo periodo è sostituito dal seguente: «Con decreto del Ministro dell'economia e delle finanze sono apportate al regolamento di cui al decreto</w:t>
      </w:r>
    </w:p>
    <w:p w:rsidR="00C91B6A" w:rsidRPr="00224886" w:rsidRDefault="00C91B6A" w:rsidP="00C91B6A">
      <w:pPr>
        <w:jc w:val="both"/>
        <w:rPr>
          <w:color w:val="000000" w:themeColor="text1"/>
          <w:sz w:val="24"/>
          <w:szCs w:val="24"/>
        </w:rPr>
      </w:pPr>
      <w:proofErr w:type="gramStart"/>
      <w:r w:rsidRPr="00224886">
        <w:rPr>
          <w:color w:val="000000" w:themeColor="text1"/>
          <w:sz w:val="24"/>
          <w:szCs w:val="24"/>
        </w:rPr>
        <w:t>del</w:t>
      </w:r>
      <w:proofErr w:type="gramEnd"/>
      <w:r w:rsidRPr="00224886">
        <w:rPr>
          <w:color w:val="000000" w:themeColor="text1"/>
          <w:sz w:val="24"/>
          <w:szCs w:val="24"/>
        </w:rPr>
        <w:t xml:space="preserve"> Ministro dell'economia e delle finanze 17 ottobre 2014, n. 176, le modificazioni necessarie per adeguarlo alla disposizione di cui al primo periodo del presente comma»;</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comma </w:t>
      </w:r>
      <w:proofErr w:type="gramStart"/>
      <w:r w:rsidRPr="00224886">
        <w:rPr>
          <w:color w:val="000000" w:themeColor="text1"/>
          <w:sz w:val="24"/>
          <w:szCs w:val="24"/>
        </w:rPr>
        <w:t>13</w:t>
      </w:r>
      <w:proofErr w:type="gramEnd"/>
      <w:r w:rsidRPr="00224886">
        <w:rPr>
          <w:color w:val="000000" w:themeColor="text1"/>
          <w:sz w:val="24"/>
          <w:szCs w:val="24"/>
        </w:rPr>
        <w:t>, le parole: «dall'abrogazione di cui al comma 12 e per» sono sostituite dalle seguenti: «dall'abrogazione della disposizione di cui al comma 12 e, quanto a» e dopo le parole: «all'articolo 56, comma 6,» è inserita la seguente: «del».</w:t>
      </w:r>
    </w:p>
    <w:p w:rsidR="00C91B6A" w:rsidRPr="00224886" w:rsidRDefault="00C91B6A" w:rsidP="00C91B6A">
      <w:pPr>
        <w:jc w:val="both"/>
        <w:rPr>
          <w:color w:val="000000" w:themeColor="text1"/>
          <w:sz w:val="24"/>
          <w:szCs w:val="24"/>
        </w:rPr>
      </w:pPr>
    </w:p>
    <w:p w:rsidR="00C91B6A" w:rsidRPr="00224886" w:rsidRDefault="00C91B6A" w:rsidP="00C91B6A">
      <w:pPr>
        <w:jc w:val="both"/>
        <w:rPr>
          <w:color w:val="000000" w:themeColor="text1"/>
          <w:sz w:val="24"/>
          <w:szCs w:val="24"/>
        </w:rPr>
      </w:pPr>
      <w:r w:rsidRPr="00224886">
        <w:rPr>
          <w:color w:val="000000" w:themeColor="text1"/>
          <w:sz w:val="24"/>
          <w:szCs w:val="24"/>
        </w:rPr>
        <w:t>  All'articolo 14:</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  ai commi </w:t>
      </w:r>
      <w:proofErr w:type="gramStart"/>
      <w:r w:rsidRPr="00224886">
        <w:rPr>
          <w:color w:val="000000" w:themeColor="text1"/>
          <w:sz w:val="24"/>
          <w:szCs w:val="24"/>
        </w:rPr>
        <w:t>1</w:t>
      </w:r>
      <w:proofErr w:type="gramEnd"/>
      <w:r w:rsidRPr="00224886">
        <w:rPr>
          <w:color w:val="000000" w:themeColor="text1"/>
          <w:sz w:val="24"/>
          <w:szCs w:val="24"/>
        </w:rPr>
        <w:t xml:space="preserve"> e 2, le parole: «iscritte nel registro di cui all’» sono sostituite dalle seguenti: «iscritte nel registro istituito ai sensi dell’» e le parole: «d. lgs.» sono sostituite dalle seguenti: «decreto legislativo»;</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comma </w:t>
      </w:r>
      <w:proofErr w:type="gramStart"/>
      <w:r w:rsidRPr="00224886">
        <w:rPr>
          <w:color w:val="000000" w:themeColor="text1"/>
          <w:sz w:val="24"/>
          <w:szCs w:val="24"/>
        </w:rPr>
        <w:t>3</w:t>
      </w:r>
      <w:proofErr w:type="gramEnd"/>
      <w:r w:rsidRPr="00224886">
        <w:rPr>
          <w:color w:val="000000" w:themeColor="text1"/>
          <w:sz w:val="24"/>
          <w:szCs w:val="24"/>
        </w:rPr>
        <w:t>, dopo le parole: «all'articolo 56, comma 6,» è inserita la seguente: «del» e sono aggiunte, in fine, le seguenti parole: «, del presente decreto».</w:t>
      </w:r>
    </w:p>
    <w:p w:rsidR="00C91B6A" w:rsidRPr="00224886" w:rsidRDefault="00C91B6A" w:rsidP="00C91B6A">
      <w:pPr>
        <w:jc w:val="both"/>
        <w:rPr>
          <w:color w:val="000000" w:themeColor="text1"/>
          <w:sz w:val="24"/>
          <w:szCs w:val="24"/>
        </w:rPr>
      </w:pPr>
    </w:p>
    <w:p w:rsidR="00C91B6A" w:rsidRPr="00224886" w:rsidRDefault="00C91B6A" w:rsidP="00C91B6A">
      <w:pPr>
        <w:jc w:val="both"/>
        <w:rPr>
          <w:color w:val="000000" w:themeColor="text1"/>
          <w:sz w:val="24"/>
          <w:szCs w:val="24"/>
        </w:rPr>
      </w:pPr>
      <w:r w:rsidRPr="00224886">
        <w:rPr>
          <w:color w:val="000000" w:themeColor="text1"/>
          <w:sz w:val="24"/>
          <w:szCs w:val="24"/>
        </w:rPr>
        <w:t>  All'articolo 15:</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comma </w:t>
      </w:r>
      <w:proofErr w:type="gramStart"/>
      <w:r w:rsidRPr="00224886">
        <w:rPr>
          <w:color w:val="000000" w:themeColor="text1"/>
          <w:sz w:val="24"/>
          <w:szCs w:val="24"/>
        </w:rPr>
        <w:t>1</w:t>
      </w:r>
      <w:proofErr w:type="gramEnd"/>
      <w:r w:rsidRPr="00224886">
        <w:rPr>
          <w:color w:val="000000" w:themeColor="text1"/>
          <w:sz w:val="24"/>
          <w:szCs w:val="24"/>
        </w:rPr>
        <w:t>:</w:t>
      </w:r>
    </w:p>
    <w:p w:rsidR="00C91B6A" w:rsidRPr="00224886" w:rsidRDefault="00C91B6A" w:rsidP="00C91B6A">
      <w:pPr>
        <w:jc w:val="both"/>
        <w:rPr>
          <w:color w:val="000000" w:themeColor="text1"/>
          <w:sz w:val="24"/>
          <w:szCs w:val="24"/>
        </w:rPr>
      </w:pPr>
      <w:r w:rsidRPr="00224886">
        <w:rPr>
          <w:color w:val="000000" w:themeColor="text1"/>
          <w:sz w:val="24"/>
          <w:szCs w:val="24"/>
        </w:rPr>
        <w:t>   al capoverso 3, le parole: «sono soggetti» sono sostituite dalle seguenti: «è soggetto» e le parole: «nei settori di cui all'articolo 4, paragrafo 1, lettere a), b), c), d) ed e), ivi inclusi, nel settore finanziario, quello creditizio e assicurativo, del regolamento (UE) 2019/452 del Parlamento europeo e del Consiglio, del 19 marzo 2019» sono sostituite dalle seguenti: «nei settori di cui all'articolo 4, paragrafo 1, lettere a), b), c), d) ed e), del regolamento (UE) 2019/452 del Parlamento europeo e del Consiglio, del 19 marzo 2019, intendendosi compresi nel settore finanziario i settori creditizio e assicurativo»;</w:t>
      </w:r>
    </w:p>
    <w:p w:rsidR="00C91B6A" w:rsidRPr="00224886" w:rsidRDefault="00C91B6A" w:rsidP="00C91B6A">
      <w:pPr>
        <w:jc w:val="both"/>
        <w:rPr>
          <w:color w:val="000000" w:themeColor="text1"/>
          <w:sz w:val="24"/>
          <w:szCs w:val="24"/>
        </w:rPr>
      </w:pPr>
      <w:r w:rsidRPr="00224886">
        <w:rPr>
          <w:color w:val="000000" w:themeColor="text1"/>
          <w:sz w:val="24"/>
          <w:szCs w:val="24"/>
        </w:rPr>
        <w:t>   al capoverso 3-bis:</w:t>
      </w:r>
    </w:p>
    <w:p w:rsidR="00C91B6A" w:rsidRPr="00224886" w:rsidRDefault="00C91B6A" w:rsidP="00C91B6A">
      <w:pPr>
        <w:jc w:val="both"/>
        <w:rPr>
          <w:color w:val="000000" w:themeColor="text1"/>
          <w:sz w:val="24"/>
          <w:szCs w:val="24"/>
        </w:rPr>
      </w:pPr>
      <w:r w:rsidRPr="00224886">
        <w:rPr>
          <w:color w:val="000000" w:themeColor="text1"/>
          <w:sz w:val="24"/>
          <w:szCs w:val="24"/>
        </w:rPr>
        <w:t>    alla lettera a), le parole: «ivi inclusi, nel settore finanziario, quello creditizio ed assicurativo, ovvero individuati con decreto del Presidente del Consiglio dei ministri di cui al citato articolo 2, comma 1-ter,» sono sostituite dalle seguenti: «intendendosi compresi nel settore finanziario i settori creditizio e assicurativo, nonché le delibere, gli atti o le operazioni individuati con decreto del Presidente del Consiglio dei ministri di cui al citato articolo 2, comma 1-ter, del decreto-legge n. 21 del 2012,»;</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    alla lettera b), le parole: «e il valore complessivo» </w:t>
      </w:r>
      <w:proofErr w:type="gramStart"/>
      <w:r w:rsidRPr="00224886">
        <w:rPr>
          <w:color w:val="000000" w:themeColor="text1"/>
          <w:sz w:val="24"/>
          <w:szCs w:val="24"/>
        </w:rPr>
        <w:t>sono</w:t>
      </w:r>
      <w:proofErr w:type="gramEnd"/>
      <w:r w:rsidRPr="00224886">
        <w:rPr>
          <w:color w:val="000000" w:themeColor="text1"/>
          <w:sz w:val="24"/>
          <w:szCs w:val="24"/>
        </w:rPr>
        <w:t xml:space="preserve"> sostituite dalle seguenti: «quando il valore complessivo» e dopo le parole: «e 50 per cento» sono aggiunte le seguenti: «del capitale»;</w:t>
      </w:r>
    </w:p>
    <w:p w:rsidR="00C91B6A" w:rsidRPr="00224886" w:rsidRDefault="00C91B6A" w:rsidP="00C91B6A">
      <w:pPr>
        <w:jc w:val="both"/>
        <w:rPr>
          <w:color w:val="000000" w:themeColor="text1"/>
          <w:sz w:val="24"/>
          <w:szCs w:val="24"/>
        </w:rPr>
      </w:pPr>
      <w:r w:rsidRPr="00224886">
        <w:rPr>
          <w:color w:val="000000" w:themeColor="text1"/>
          <w:sz w:val="24"/>
          <w:szCs w:val="24"/>
        </w:rPr>
        <w:t>   al capoverso 3-quater:</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secondo periodo, le parole: «al termine di cui al» </w:t>
      </w:r>
      <w:proofErr w:type="gramStart"/>
      <w:r w:rsidRPr="00224886">
        <w:rPr>
          <w:color w:val="000000" w:themeColor="text1"/>
          <w:sz w:val="24"/>
          <w:szCs w:val="24"/>
        </w:rPr>
        <w:t>sono</w:t>
      </w:r>
      <w:proofErr w:type="gramEnd"/>
      <w:r w:rsidRPr="00224886">
        <w:rPr>
          <w:color w:val="000000" w:themeColor="text1"/>
          <w:sz w:val="24"/>
          <w:szCs w:val="24"/>
        </w:rPr>
        <w:t xml:space="preserve"> sostituite dalle seguenti: «al termine del»;</w:t>
      </w:r>
    </w:p>
    <w:p w:rsidR="00C91B6A" w:rsidRPr="00224886" w:rsidRDefault="00C91B6A" w:rsidP="00C91B6A">
      <w:pPr>
        <w:jc w:val="both"/>
        <w:rPr>
          <w:color w:val="000000" w:themeColor="text1"/>
          <w:sz w:val="24"/>
          <w:szCs w:val="24"/>
        </w:rPr>
      </w:pPr>
      <w:r w:rsidRPr="00224886">
        <w:rPr>
          <w:color w:val="000000" w:themeColor="text1"/>
          <w:sz w:val="24"/>
          <w:szCs w:val="24"/>
        </w:rPr>
        <w:lastRenderedPageBreak/>
        <w:t xml:space="preserve">    al terzo periodo, le parole: «e relativi» </w:t>
      </w:r>
      <w:proofErr w:type="gramStart"/>
      <w:r w:rsidRPr="00224886">
        <w:rPr>
          <w:color w:val="000000" w:themeColor="text1"/>
          <w:sz w:val="24"/>
          <w:szCs w:val="24"/>
        </w:rPr>
        <w:t>sono</w:t>
      </w:r>
      <w:proofErr w:type="gramEnd"/>
      <w:r w:rsidRPr="00224886">
        <w:rPr>
          <w:color w:val="000000" w:themeColor="text1"/>
          <w:sz w:val="24"/>
          <w:szCs w:val="24"/>
        </w:rPr>
        <w:t xml:space="preserve"> sostituite dalla seguente: «relativi», le parole: «ivi inclusi, nel settore finanziario, quello creditizio ed assicurativo» sono sostituite dalle seguenti: «intendendosi compresi nel settore finanziario i settori creditizio e assicurativo» e dopo le parole: «dal medesimo articolo 2» è inserito il seguente segno d'interpunzione: «,».</w:t>
      </w:r>
    </w:p>
    <w:p w:rsidR="00C91B6A" w:rsidRPr="00224886" w:rsidRDefault="00C91B6A" w:rsidP="00C91B6A">
      <w:pPr>
        <w:jc w:val="both"/>
        <w:rPr>
          <w:color w:val="000000" w:themeColor="text1"/>
          <w:sz w:val="24"/>
          <w:szCs w:val="24"/>
        </w:rPr>
      </w:pPr>
    </w:p>
    <w:p w:rsidR="00C91B6A" w:rsidRPr="00224886" w:rsidRDefault="00C91B6A" w:rsidP="00C91B6A">
      <w:pPr>
        <w:jc w:val="both"/>
        <w:rPr>
          <w:color w:val="000000" w:themeColor="text1"/>
          <w:sz w:val="24"/>
          <w:szCs w:val="24"/>
        </w:rPr>
      </w:pPr>
      <w:r w:rsidRPr="00224886">
        <w:rPr>
          <w:color w:val="000000" w:themeColor="text1"/>
          <w:sz w:val="24"/>
          <w:szCs w:val="24"/>
        </w:rPr>
        <w:t>  All'articolo 16:</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comma </w:t>
      </w:r>
      <w:proofErr w:type="gramStart"/>
      <w:r w:rsidRPr="00224886">
        <w:rPr>
          <w:color w:val="000000" w:themeColor="text1"/>
          <w:sz w:val="24"/>
          <w:szCs w:val="24"/>
        </w:rPr>
        <w:t>1</w:t>
      </w:r>
      <w:proofErr w:type="gramEnd"/>
      <w:r w:rsidRPr="00224886">
        <w:rPr>
          <w:color w:val="000000" w:themeColor="text1"/>
          <w:sz w:val="24"/>
          <w:szCs w:val="24"/>
        </w:rPr>
        <w:t>:</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   alla lettera a), le parole: «è aggiunto infine il seguente periodo» sono sostituite dalle seguenti: «sono aggiunti, in fine, i seguenti periodi», dopo le parole: «la Presidenza del Consiglio» </w:t>
      </w:r>
      <w:proofErr w:type="gramStart"/>
      <w:r w:rsidRPr="00224886">
        <w:rPr>
          <w:color w:val="000000" w:themeColor="text1"/>
          <w:sz w:val="24"/>
          <w:szCs w:val="24"/>
        </w:rPr>
        <w:t>sono inserite</w:t>
      </w:r>
      <w:proofErr w:type="gramEnd"/>
      <w:r w:rsidRPr="00224886">
        <w:rPr>
          <w:color w:val="000000" w:themeColor="text1"/>
          <w:sz w:val="24"/>
          <w:szCs w:val="24"/>
        </w:rPr>
        <w:t xml:space="preserve"> le seguenti: «dei ministri» e le parole: «previste dal presente articolo,» sono sostituite dalle seguenti: «previsti dal presente articolo»;</w:t>
      </w:r>
    </w:p>
    <w:p w:rsidR="00C91B6A" w:rsidRPr="00224886" w:rsidRDefault="00C91B6A" w:rsidP="00C91B6A">
      <w:pPr>
        <w:jc w:val="both"/>
        <w:rPr>
          <w:color w:val="000000" w:themeColor="text1"/>
          <w:sz w:val="24"/>
          <w:szCs w:val="24"/>
        </w:rPr>
      </w:pPr>
      <w:r w:rsidRPr="00224886">
        <w:rPr>
          <w:color w:val="000000" w:themeColor="text1"/>
          <w:sz w:val="24"/>
          <w:szCs w:val="24"/>
        </w:rPr>
        <w:t>   alla lettera b</w:t>
      </w:r>
      <w:proofErr w:type="gramStart"/>
      <w:r w:rsidRPr="00224886">
        <w:rPr>
          <w:color w:val="000000" w:themeColor="text1"/>
          <w:sz w:val="24"/>
          <w:szCs w:val="24"/>
        </w:rPr>
        <w:t>)</w:t>
      </w:r>
      <w:proofErr w:type="gramEnd"/>
      <w:r w:rsidRPr="00224886">
        <w:rPr>
          <w:color w:val="000000" w:themeColor="text1"/>
          <w:sz w:val="24"/>
          <w:szCs w:val="24"/>
        </w:rPr>
        <w:t>, la parola: «elaborate» è sostituita dalla seguente: «elaborati»;</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   alla lettera c), numero 2), dopo le parole: «la Presidenza del Consiglio» </w:t>
      </w:r>
      <w:proofErr w:type="gramStart"/>
      <w:r w:rsidRPr="00224886">
        <w:rPr>
          <w:color w:val="000000" w:themeColor="text1"/>
          <w:sz w:val="24"/>
          <w:szCs w:val="24"/>
        </w:rPr>
        <w:t>sono</w:t>
      </w:r>
      <w:r>
        <w:rPr>
          <w:color w:val="000000" w:themeColor="text1"/>
          <w:sz w:val="24"/>
          <w:szCs w:val="24"/>
        </w:rPr>
        <w:t xml:space="preserve"> </w:t>
      </w:r>
      <w:r w:rsidRPr="00224886">
        <w:rPr>
          <w:color w:val="000000" w:themeColor="text1"/>
          <w:sz w:val="24"/>
          <w:szCs w:val="24"/>
        </w:rPr>
        <w:t>inserite</w:t>
      </w:r>
      <w:proofErr w:type="gramEnd"/>
      <w:r w:rsidRPr="00224886">
        <w:rPr>
          <w:color w:val="000000" w:themeColor="text1"/>
          <w:sz w:val="24"/>
          <w:szCs w:val="24"/>
        </w:rPr>
        <w:t xml:space="preserve"> le seguenti: «dei ministri» e la parola: «previste» è sostituita dalla seguente: «previsti»;</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   alla lettera d), capoverso 8-bis, dopo le parole: «la Presidenza del Consiglio» </w:t>
      </w:r>
      <w:proofErr w:type="gramStart"/>
      <w:r w:rsidRPr="00224886">
        <w:rPr>
          <w:color w:val="000000" w:themeColor="text1"/>
          <w:sz w:val="24"/>
          <w:szCs w:val="24"/>
        </w:rPr>
        <w:t>sono inserite</w:t>
      </w:r>
      <w:proofErr w:type="gramEnd"/>
      <w:r w:rsidRPr="00224886">
        <w:rPr>
          <w:color w:val="000000" w:themeColor="text1"/>
          <w:sz w:val="24"/>
          <w:szCs w:val="24"/>
        </w:rPr>
        <w:t xml:space="preserve"> le seguenti: «dei ministri» e la parola: «previste» è sostituita dalla seguente: «previsti»;</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   alla lettera e), capoverso </w:t>
      </w:r>
      <w:proofErr w:type="gramStart"/>
      <w:r w:rsidRPr="00224886">
        <w:rPr>
          <w:color w:val="000000" w:themeColor="text1"/>
          <w:sz w:val="24"/>
          <w:szCs w:val="24"/>
        </w:rPr>
        <w:t>3</w:t>
      </w:r>
      <w:proofErr w:type="gramEnd"/>
      <w:r w:rsidRPr="00224886">
        <w:rPr>
          <w:color w:val="000000" w:themeColor="text1"/>
          <w:sz w:val="24"/>
          <w:szCs w:val="24"/>
        </w:rPr>
        <w:t>, le parole: «comma precedente» sono sostituite dalle seguenti: «comma 2».</w:t>
      </w:r>
    </w:p>
    <w:p w:rsidR="00C91B6A" w:rsidRPr="00224886" w:rsidRDefault="00C91B6A" w:rsidP="00C91B6A">
      <w:pPr>
        <w:jc w:val="both"/>
        <w:rPr>
          <w:color w:val="000000" w:themeColor="text1"/>
          <w:sz w:val="24"/>
          <w:szCs w:val="24"/>
        </w:rPr>
      </w:pPr>
    </w:p>
    <w:p w:rsidR="00C91B6A" w:rsidRPr="00224886" w:rsidRDefault="00C91B6A" w:rsidP="00C91B6A">
      <w:pPr>
        <w:jc w:val="both"/>
        <w:rPr>
          <w:color w:val="000000" w:themeColor="text1"/>
          <w:sz w:val="24"/>
          <w:szCs w:val="24"/>
        </w:rPr>
      </w:pPr>
      <w:r w:rsidRPr="00224886">
        <w:rPr>
          <w:color w:val="000000" w:themeColor="text1"/>
          <w:sz w:val="24"/>
          <w:szCs w:val="24"/>
        </w:rPr>
        <w:t>  All'articolo 18:</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comma </w:t>
      </w:r>
      <w:proofErr w:type="gramStart"/>
      <w:r w:rsidRPr="00224886">
        <w:rPr>
          <w:color w:val="000000" w:themeColor="text1"/>
          <w:sz w:val="24"/>
          <w:szCs w:val="24"/>
        </w:rPr>
        <w:t>8</w:t>
      </w:r>
      <w:proofErr w:type="gramEnd"/>
      <w:r w:rsidRPr="00224886">
        <w:rPr>
          <w:color w:val="000000" w:themeColor="text1"/>
          <w:sz w:val="24"/>
          <w:szCs w:val="24"/>
        </w:rPr>
        <w:t>, primo periodo, le parole: «dell'articolo 8, comma 1, del decreto-legge 2 marzo 2020, n. 9, e» sono soppresse e le parole: «per i mesi» sono sostituite dalle seguenti: «e, per i mesi».</w:t>
      </w:r>
    </w:p>
    <w:p w:rsidR="00C91B6A" w:rsidRPr="00224886" w:rsidRDefault="00C91B6A" w:rsidP="00C91B6A">
      <w:pPr>
        <w:jc w:val="both"/>
        <w:rPr>
          <w:color w:val="000000" w:themeColor="text1"/>
          <w:sz w:val="24"/>
          <w:szCs w:val="24"/>
        </w:rPr>
      </w:pPr>
    </w:p>
    <w:p w:rsidR="00C91B6A" w:rsidRPr="00224886" w:rsidRDefault="00C91B6A" w:rsidP="00C91B6A">
      <w:pPr>
        <w:jc w:val="both"/>
        <w:rPr>
          <w:color w:val="000000" w:themeColor="text1"/>
          <w:sz w:val="24"/>
          <w:szCs w:val="24"/>
        </w:rPr>
      </w:pPr>
      <w:r w:rsidRPr="00224886">
        <w:rPr>
          <w:color w:val="000000" w:themeColor="text1"/>
          <w:sz w:val="24"/>
          <w:szCs w:val="24"/>
        </w:rPr>
        <w:t>  All'articolo 20:</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  la rubrica è sostituita dalla seguente: </w:t>
      </w:r>
      <w:proofErr w:type="gramStart"/>
      <w:r w:rsidRPr="00224886">
        <w:rPr>
          <w:color w:val="000000" w:themeColor="text1"/>
          <w:sz w:val="24"/>
          <w:szCs w:val="24"/>
        </w:rPr>
        <w:t>«</w:t>
      </w:r>
      <w:proofErr w:type="gramEnd"/>
      <w:r w:rsidRPr="00224886">
        <w:rPr>
          <w:color w:val="000000" w:themeColor="text1"/>
          <w:sz w:val="24"/>
          <w:szCs w:val="24"/>
        </w:rPr>
        <w:t>Metodo previsionale per la determinazione degli acconti da versare nel mese di giugno».</w:t>
      </w:r>
    </w:p>
    <w:p w:rsidR="00C91B6A" w:rsidRPr="00224886" w:rsidRDefault="00C91B6A" w:rsidP="00C91B6A">
      <w:pPr>
        <w:jc w:val="both"/>
        <w:rPr>
          <w:color w:val="000000" w:themeColor="text1"/>
          <w:sz w:val="24"/>
          <w:szCs w:val="24"/>
        </w:rPr>
      </w:pPr>
    </w:p>
    <w:p w:rsidR="00C91B6A" w:rsidRPr="00224886" w:rsidRDefault="00C91B6A" w:rsidP="00C91B6A">
      <w:pPr>
        <w:jc w:val="both"/>
        <w:rPr>
          <w:color w:val="000000" w:themeColor="text1"/>
          <w:sz w:val="24"/>
          <w:szCs w:val="24"/>
        </w:rPr>
      </w:pPr>
      <w:r w:rsidRPr="00224886">
        <w:rPr>
          <w:color w:val="000000" w:themeColor="text1"/>
          <w:sz w:val="24"/>
          <w:szCs w:val="24"/>
        </w:rPr>
        <w:t>  All'articolo 25:</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comma </w:t>
      </w:r>
      <w:proofErr w:type="gramStart"/>
      <w:r w:rsidRPr="00224886">
        <w:rPr>
          <w:color w:val="000000" w:themeColor="text1"/>
          <w:sz w:val="24"/>
          <w:szCs w:val="24"/>
        </w:rPr>
        <w:t>2</w:t>
      </w:r>
      <w:proofErr w:type="gramEnd"/>
      <w:r w:rsidRPr="00224886">
        <w:rPr>
          <w:color w:val="000000" w:themeColor="text1"/>
          <w:sz w:val="24"/>
          <w:szCs w:val="24"/>
        </w:rPr>
        <w:t>, le parole: «Le modalità di cui al comma 1 sono consentite» sono sostituite dalle seguenti: «L'impiego delle modalità di cui al comma 1 è consentito».</w:t>
      </w:r>
    </w:p>
    <w:p w:rsidR="00C91B6A" w:rsidRPr="00224886" w:rsidRDefault="00C91B6A" w:rsidP="00C91B6A">
      <w:pPr>
        <w:jc w:val="both"/>
        <w:rPr>
          <w:color w:val="000000" w:themeColor="text1"/>
          <w:sz w:val="24"/>
          <w:szCs w:val="24"/>
        </w:rPr>
      </w:pPr>
    </w:p>
    <w:p w:rsidR="00C91B6A" w:rsidRPr="00224886" w:rsidRDefault="00C91B6A" w:rsidP="00C91B6A">
      <w:pPr>
        <w:jc w:val="both"/>
        <w:rPr>
          <w:color w:val="000000" w:themeColor="text1"/>
          <w:sz w:val="24"/>
          <w:szCs w:val="24"/>
        </w:rPr>
      </w:pPr>
      <w:r w:rsidRPr="00224886">
        <w:rPr>
          <w:color w:val="000000" w:themeColor="text1"/>
          <w:sz w:val="24"/>
          <w:szCs w:val="24"/>
        </w:rPr>
        <w:t>  All'articolo 27:</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comma </w:t>
      </w:r>
      <w:proofErr w:type="gramStart"/>
      <w:r w:rsidRPr="00224886">
        <w:rPr>
          <w:color w:val="000000" w:themeColor="text1"/>
          <w:sz w:val="24"/>
          <w:szCs w:val="24"/>
        </w:rPr>
        <w:t>1</w:t>
      </w:r>
      <w:proofErr w:type="gramEnd"/>
      <w:r w:rsidRPr="00224886">
        <w:rPr>
          <w:color w:val="000000" w:themeColor="text1"/>
          <w:sz w:val="24"/>
          <w:szCs w:val="24"/>
        </w:rPr>
        <w:t>, dopo le parole: «dello stesso decreto» sono aggiunte le seguenti: «del Ministro della salute».</w:t>
      </w:r>
    </w:p>
    <w:p w:rsidR="00C91B6A" w:rsidRPr="00224886" w:rsidRDefault="00C91B6A" w:rsidP="00C91B6A">
      <w:pPr>
        <w:jc w:val="both"/>
        <w:rPr>
          <w:color w:val="000000" w:themeColor="text1"/>
          <w:sz w:val="24"/>
          <w:szCs w:val="24"/>
        </w:rPr>
      </w:pPr>
    </w:p>
    <w:p w:rsidR="00C91B6A" w:rsidRPr="00224886" w:rsidRDefault="00C91B6A" w:rsidP="00C91B6A">
      <w:pPr>
        <w:jc w:val="both"/>
        <w:rPr>
          <w:color w:val="000000" w:themeColor="text1"/>
          <w:sz w:val="24"/>
          <w:szCs w:val="24"/>
        </w:rPr>
      </w:pPr>
      <w:r w:rsidRPr="00224886">
        <w:rPr>
          <w:color w:val="000000" w:themeColor="text1"/>
          <w:sz w:val="24"/>
          <w:szCs w:val="24"/>
        </w:rPr>
        <w:t>  All'articolo 28:</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comma </w:t>
      </w:r>
      <w:proofErr w:type="gramStart"/>
      <w:r w:rsidRPr="00224886">
        <w:rPr>
          <w:color w:val="000000" w:themeColor="text1"/>
          <w:sz w:val="24"/>
          <w:szCs w:val="24"/>
        </w:rPr>
        <w:t>1</w:t>
      </w:r>
      <w:proofErr w:type="gramEnd"/>
      <w:r w:rsidRPr="00224886">
        <w:rPr>
          <w:color w:val="000000" w:themeColor="text1"/>
          <w:sz w:val="24"/>
          <w:szCs w:val="24"/>
        </w:rPr>
        <w:t>:</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   alla lettera a), dopo le parole: «al comma </w:t>
      </w:r>
      <w:proofErr w:type="gramStart"/>
      <w:r w:rsidRPr="00224886">
        <w:rPr>
          <w:color w:val="000000" w:themeColor="text1"/>
          <w:sz w:val="24"/>
          <w:szCs w:val="24"/>
        </w:rPr>
        <w:t>1</w:t>
      </w:r>
      <w:proofErr w:type="gramEnd"/>
      <w:r w:rsidRPr="00224886">
        <w:rPr>
          <w:color w:val="000000" w:themeColor="text1"/>
          <w:sz w:val="24"/>
          <w:szCs w:val="24"/>
        </w:rPr>
        <w:t>,» è inserita la seguente: «alinea,»;</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   alla lettera b), le parole: «all'articolo </w:t>
      </w:r>
      <w:proofErr w:type="gramStart"/>
      <w:r w:rsidRPr="00224886">
        <w:rPr>
          <w:color w:val="000000" w:themeColor="text1"/>
          <w:sz w:val="24"/>
          <w:szCs w:val="24"/>
        </w:rPr>
        <w:t>27</w:t>
      </w:r>
      <w:proofErr w:type="gramEnd"/>
      <w:r w:rsidRPr="00224886">
        <w:rPr>
          <w:color w:val="000000" w:themeColor="text1"/>
          <w:sz w:val="24"/>
          <w:szCs w:val="24"/>
        </w:rPr>
        <w:t>, del decreto» sono sostituite dalle seguenti: «all'articolo 27 del decreto».</w:t>
      </w:r>
    </w:p>
    <w:p w:rsidR="00C91B6A" w:rsidRPr="00224886" w:rsidRDefault="00C91B6A" w:rsidP="00C91B6A">
      <w:pPr>
        <w:jc w:val="both"/>
        <w:rPr>
          <w:color w:val="000000" w:themeColor="text1"/>
          <w:sz w:val="24"/>
          <w:szCs w:val="24"/>
        </w:rPr>
      </w:pPr>
    </w:p>
    <w:p w:rsidR="00C91B6A" w:rsidRPr="00224886" w:rsidRDefault="00C91B6A" w:rsidP="00C91B6A">
      <w:pPr>
        <w:jc w:val="both"/>
        <w:rPr>
          <w:color w:val="000000" w:themeColor="text1"/>
          <w:sz w:val="24"/>
          <w:szCs w:val="24"/>
        </w:rPr>
      </w:pPr>
      <w:r w:rsidRPr="00224886">
        <w:rPr>
          <w:color w:val="000000" w:themeColor="text1"/>
          <w:sz w:val="24"/>
          <w:szCs w:val="24"/>
        </w:rPr>
        <w:t>  All'articolo 29:</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comma </w:t>
      </w:r>
      <w:proofErr w:type="gramStart"/>
      <w:r w:rsidRPr="00224886">
        <w:rPr>
          <w:color w:val="000000" w:themeColor="text1"/>
          <w:sz w:val="24"/>
          <w:szCs w:val="24"/>
        </w:rPr>
        <w:t>1</w:t>
      </w:r>
      <w:proofErr w:type="gramEnd"/>
      <w:r w:rsidRPr="00224886">
        <w:rPr>
          <w:color w:val="000000" w:themeColor="text1"/>
          <w:sz w:val="24"/>
          <w:szCs w:val="24"/>
        </w:rPr>
        <w:t>, le parole: «sono tenute» sono sostituite dalle seguenti: «sono tenuti»;</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comma </w:t>
      </w:r>
      <w:proofErr w:type="gramStart"/>
      <w:r w:rsidRPr="00224886">
        <w:rPr>
          <w:color w:val="000000" w:themeColor="text1"/>
          <w:sz w:val="24"/>
          <w:szCs w:val="24"/>
        </w:rPr>
        <w:t>2</w:t>
      </w:r>
      <w:proofErr w:type="gramEnd"/>
      <w:r w:rsidRPr="00224886">
        <w:rPr>
          <w:color w:val="000000" w:themeColor="text1"/>
          <w:sz w:val="24"/>
          <w:szCs w:val="24"/>
        </w:rPr>
        <w:t>, le parole: «è depositata» sono sostituite dalle seguenti: «mediante deposito»;</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comma </w:t>
      </w:r>
      <w:proofErr w:type="gramStart"/>
      <w:r w:rsidRPr="00224886">
        <w:rPr>
          <w:color w:val="000000" w:themeColor="text1"/>
          <w:sz w:val="24"/>
          <w:szCs w:val="24"/>
        </w:rPr>
        <w:t>3</w:t>
      </w:r>
      <w:proofErr w:type="gramEnd"/>
      <w:r w:rsidRPr="00224886">
        <w:rPr>
          <w:color w:val="000000" w:themeColor="text1"/>
          <w:sz w:val="24"/>
          <w:szCs w:val="24"/>
        </w:rPr>
        <w:t>, le parole «articolo 73, comma 1, del presente decreto» sono sostituite dalle seguenti: «articolo 37, comma 1, del presente decreto».</w:t>
      </w:r>
    </w:p>
    <w:p w:rsidR="00C91B6A" w:rsidRPr="00224886" w:rsidRDefault="00C91B6A" w:rsidP="00C91B6A">
      <w:pPr>
        <w:jc w:val="both"/>
        <w:rPr>
          <w:color w:val="000000" w:themeColor="text1"/>
          <w:sz w:val="24"/>
          <w:szCs w:val="24"/>
        </w:rPr>
      </w:pPr>
    </w:p>
    <w:p w:rsidR="00C91B6A" w:rsidRPr="00224886" w:rsidRDefault="00C91B6A" w:rsidP="00C91B6A">
      <w:pPr>
        <w:jc w:val="both"/>
        <w:rPr>
          <w:color w:val="000000" w:themeColor="text1"/>
          <w:sz w:val="24"/>
          <w:szCs w:val="24"/>
        </w:rPr>
      </w:pPr>
      <w:r w:rsidRPr="00224886">
        <w:rPr>
          <w:color w:val="000000" w:themeColor="text1"/>
          <w:sz w:val="24"/>
          <w:szCs w:val="24"/>
        </w:rPr>
        <w:t>  All'articolo 30:</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comma </w:t>
      </w:r>
      <w:proofErr w:type="gramStart"/>
      <w:r w:rsidRPr="00224886">
        <w:rPr>
          <w:color w:val="000000" w:themeColor="text1"/>
          <w:sz w:val="24"/>
          <w:szCs w:val="24"/>
        </w:rPr>
        <w:t>2</w:t>
      </w:r>
      <w:proofErr w:type="gramEnd"/>
      <w:r w:rsidRPr="00224886">
        <w:rPr>
          <w:color w:val="000000" w:themeColor="text1"/>
          <w:sz w:val="24"/>
          <w:szCs w:val="24"/>
        </w:rPr>
        <w:t>, le parole: «di concerto on» sono sostituite dalle seguenti: «di concerto con».</w:t>
      </w:r>
    </w:p>
    <w:p w:rsidR="00C91B6A" w:rsidRPr="00224886" w:rsidRDefault="00C91B6A" w:rsidP="00C91B6A">
      <w:pPr>
        <w:jc w:val="both"/>
        <w:rPr>
          <w:color w:val="000000" w:themeColor="text1"/>
          <w:sz w:val="24"/>
          <w:szCs w:val="24"/>
        </w:rPr>
      </w:pPr>
    </w:p>
    <w:p w:rsidR="00C91B6A" w:rsidRPr="00224886" w:rsidRDefault="00C91B6A" w:rsidP="00C91B6A">
      <w:pPr>
        <w:jc w:val="both"/>
        <w:rPr>
          <w:color w:val="000000" w:themeColor="text1"/>
          <w:sz w:val="24"/>
          <w:szCs w:val="24"/>
        </w:rPr>
      </w:pPr>
      <w:r w:rsidRPr="00224886">
        <w:rPr>
          <w:color w:val="000000" w:themeColor="text1"/>
          <w:sz w:val="24"/>
          <w:szCs w:val="24"/>
        </w:rPr>
        <w:lastRenderedPageBreak/>
        <w:t>  All'articolo 31:</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comma </w:t>
      </w:r>
      <w:proofErr w:type="gramStart"/>
      <w:r w:rsidRPr="00224886">
        <w:rPr>
          <w:color w:val="000000" w:themeColor="text1"/>
          <w:sz w:val="24"/>
          <w:szCs w:val="24"/>
        </w:rPr>
        <w:t>1</w:t>
      </w:r>
      <w:proofErr w:type="gramEnd"/>
      <w:r w:rsidRPr="00224886">
        <w:rPr>
          <w:color w:val="000000" w:themeColor="text1"/>
          <w:sz w:val="24"/>
          <w:szCs w:val="24"/>
        </w:rPr>
        <w:t>, le parole: «in relazione dall'emergenza sanitaria Covid19» sono sostituite dalle seguenti: «in relazione all'emergenza sanitaria derivante dalla diffusione dell'epidemia di COVID-19» e le parole: «dall'abrogazione di cui al comma 2» sono sostituite dalle seguenti: «dall'abrogazione della disposizione di cui al comma 2»;</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comma </w:t>
      </w:r>
      <w:proofErr w:type="gramStart"/>
      <w:r w:rsidRPr="00224886">
        <w:rPr>
          <w:color w:val="000000" w:themeColor="text1"/>
          <w:sz w:val="24"/>
          <w:szCs w:val="24"/>
        </w:rPr>
        <w:t>3</w:t>
      </w:r>
      <w:proofErr w:type="gramEnd"/>
      <w:r w:rsidRPr="00224886">
        <w:rPr>
          <w:color w:val="000000" w:themeColor="text1"/>
          <w:sz w:val="24"/>
          <w:szCs w:val="24"/>
        </w:rPr>
        <w:t>, le parole: «dei monopoli, che provengono» sono sostituite dalle seguenti: «dei monopoli che provengono» e le parole: «del decreto del Presidente della Repubblica 22 settembre 1988, n. 447» sono sostituite dalle seguenti: «del codice di procedura penale».</w:t>
      </w:r>
    </w:p>
    <w:p w:rsidR="00C91B6A" w:rsidRPr="00224886" w:rsidRDefault="00C91B6A" w:rsidP="00C91B6A">
      <w:pPr>
        <w:jc w:val="both"/>
        <w:rPr>
          <w:color w:val="000000" w:themeColor="text1"/>
          <w:sz w:val="24"/>
          <w:szCs w:val="24"/>
        </w:rPr>
      </w:pPr>
    </w:p>
    <w:p w:rsidR="00C91B6A" w:rsidRPr="00224886" w:rsidRDefault="00C91B6A" w:rsidP="00C91B6A">
      <w:pPr>
        <w:jc w:val="both"/>
        <w:rPr>
          <w:color w:val="000000" w:themeColor="text1"/>
          <w:sz w:val="24"/>
          <w:szCs w:val="24"/>
        </w:rPr>
      </w:pPr>
      <w:r w:rsidRPr="00224886">
        <w:rPr>
          <w:color w:val="000000" w:themeColor="text1"/>
          <w:sz w:val="24"/>
          <w:szCs w:val="24"/>
        </w:rPr>
        <w:t>  All'articolo 32:</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comma </w:t>
      </w:r>
      <w:proofErr w:type="gramStart"/>
      <w:r w:rsidRPr="00224886">
        <w:rPr>
          <w:color w:val="000000" w:themeColor="text1"/>
          <w:sz w:val="24"/>
          <w:szCs w:val="24"/>
        </w:rPr>
        <w:t>1</w:t>
      </w:r>
      <w:proofErr w:type="gramEnd"/>
      <w:r w:rsidRPr="00224886">
        <w:rPr>
          <w:color w:val="000000" w:themeColor="text1"/>
          <w:sz w:val="24"/>
          <w:szCs w:val="24"/>
        </w:rPr>
        <w:t>, le parole: «all'emergenza epidemiologica COVID-19» sono sostituite dalle seguenti: «all'emergenza epidemiologica da COVID-19», le parole: «in piano di</w:t>
      </w:r>
    </w:p>
    <w:p w:rsidR="00C91B6A" w:rsidRPr="00224886" w:rsidRDefault="00C91B6A" w:rsidP="00C91B6A">
      <w:pPr>
        <w:jc w:val="both"/>
        <w:rPr>
          <w:color w:val="000000" w:themeColor="text1"/>
          <w:sz w:val="24"/>
          <w:szCs w:val="24"/>
        </w:rPr>
      </w:pPr>
      <w:r w:rsidRPr="00224886">
        <w:rPr>
          <w:color w:val="000000" w:themeColor="text1"/>
          <w:sz w:val="24"/>
          <w:szCs w:val="24"/>
        </w:rPr>
        <w:t>Pag. 48</w:t>
      </w:r>
    </w:p>
    <w:p w:rsidR="00C91B6A" w:rsidRPr="00224886" w:rsidRDefault="00C91B6A" w:rsidP="00C91B6A">
      <w:pPr>
        <w:jc w:val="both"/>
        <w:rPr>
          <w:color w:val="000000" w:themeColor="text1"/>
          <w:sz w:val="24"/>
          <w:szCs w:val="24"/>
        </w:rPr>
      </w:pPr>
      <w:proofErr w:type="gramStart"/>
      <w:r w:rsidRPr="00224886">
        <w:rPr>
          <w:color w:val="000000" w:themeColor="text1"/>
          <w:sz w:val="24"/>
          <w:szCs w:val="24"/>
        </w:rPr>
        <w:t>rientro»</w:t>
      </w:r>
      <w:proofErr w:type="gramEnd"/>
      <w:r w:rsidRPr="00224886">
        <w:rPr>
          <w:color w:val="000000" w:themeColor="text1"/>
          <w:sz w:val="24"/>
          <w:szCs w:val="24"/>
        </w:rPr>
        <w:t xml:space="preserve"> sono sostituite dalle seguenti: «sottoposte a piano di rientro», le parole: «dell'emergenza COVID 19» sono sostituite dalle seguenti: «dell'emergenza da COVID-19» e le parole: «pazienti COVID» sono sostituite dalle seguenti: «pazienti affetti da COVID-19»;</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comma </w:t>
      </w:r>
      <w:proofErr w:type="gramStart"/>
      <w:r w:rsidRPr="00224886">
        <w:rPr>
          <w:color w:val="000000" w:themeColor="text1"/>
          <w:sz w:val="24"/>
          <w:szCs w:val="24"/>
        </w:rPr>
        <w:t>2</w:t>
      </w:r>
      <w:proofErr w:type="gramEnd"/>
      <w:r w:rsidRPr="00224886">
        <w:rPr>
          <w:color w:val="000000" w:themeColor="text1"/>
          <w:sz w:val="24"/>
          <w:szCs w:val="24"/>
        </w:rPr>
        <w:t>, le parole: «previa Intesa con la Conferenza» sono sostituite dalle seguenti: «previa intesa in sede di Conferenza» e le parole: «sono stabilite» sono sostituite dalle seguenti: «sono stabiliti».</w:t>
      </w:r>
    </w:p>
    <w:p w:rsidR="00C91B6A" w:rsidRPr="00224886" w:rsidRDefault="00C91B6A" w:rsidP="00C91B6A">
      <w:pPr>
        <w:jc w:val="both"/>
        <w:rPr>
          <w:color w:val="000000" w:themeColor="text1"/>
          <w:sz w:val="24"/>
          <w:szCs w:val="24"/>
        </w:rPr>
      </w:pPr>
    </w:p>
    <w:p w:rsidR="00C91B6A" w:rsidRPr="00224886" w:rsidRDefault="00C91B6A" w:rsidP="00C91B6A">
      <w:pPr>
        <w:jc w:val="both"/>
        <w:rPr>
          <w:color w:val="000000" w:themeColor="text1"/>
          <w:sz w:val="24"/>
          <w:szCs w:val="24"/>
        </w:rPr>
      </w:pPr>
      <w:r w:rsidRPr="00224886">
        <w:rPr>
          <w:color w:val="000000" w:themeColor="text1"/>
          <w:sz w:val="24"/>
          <w:szCs w:val="24"/>
        </w:rPr>
        <w:t>  All'articolo 33:</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comma </w:t>
      </w:r>
      <w:proofErr w:type="gramStart"/>
      <w:r w:rsidRPr="00224886">
        <w:rPr>
          <w:color w:val="000000" w:themeColor="text1"/>
          <w:sz w:val="24"/>
          <w:szCs w:val="24"/>
        </w:rPr>
        <w:t>1</w:t>
      </w:r>
      <w:proofErr w:type="gramEnd"/>
      <w:r w:rsidRPr="00224886">
        <w:rPr>
          <w:color w:val="000000" w:themeColor="text1"/>
          <w:sz w:val="24"/>
          <w:szCs w:val="24"/>
        </w:rPr>
        <w:t>, le parole: «dell'epidemia COVID-19» sono sostituite dalle seguenti: «dell'epidemia di COVID-19»;</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comma </w:t>
      </w:r>
      <w:proofErr w:type="gramStart"/>
      <w:r w:rsidRPr="00224886">
        <w:rPr>
          <w:color w:val="000000" w:themeColor="text1"/>
          <w:sz w:val="24"/>
          <w:szCs w:val="24"/>
        </w:rPr>
        <w:t>3</w:t>
      </w:r>
      <w:proofErr w:type="gramEnd"/>
      <w:r w:rsidRPr="00224886">
        <w:rPr>
          <w:color w:val="000000" w:themeColor="text1"/>
          <w:sz w:val="24"/>
          <w:szCs w:val="24"/>
        </w:rPr>
        <w:t>, le parole: «nonché dei pagamenti di cui alla lettera e-bis)», sono sostituite dalle seguenti: «nonché dei pagamenti di cui alle lettere c-bis) ed e-bis)». sono sostituite dalle seguenti: ««dei rendiconti di cui all'articolo 11, comma 1, lettere a), b) e c),» sono sostituite dalle seguenti: «dei rendiconti di cui all'articolo 11, comma 1, lettere a), b), c) e c-bis),».</w:t>
      </w:r>
    </w:p>
    <w:p w:rsidR="00C91B6A" w:rsidRPr="00224886" w:rsidRDefault="00C91B6A" w:rsidP="00C91B6A">
      <w:pPr>
        <w:jc w:val="both"/>
        <w:rPr>
          <w:color w:val="000000" w:themeColor="text1"/>
          <w:sz w:val="24"/>
          <w:szCs w:val="24"/>
        </w:rPr>
      </w:pPr>
    </w:p>
    <w:p w:rsidR="00C91B6A" w:rsidRPr="00224886" w:rsidRDefault="00C91B6A" w:rsidP="00C91B6A">
      <w:pPr>
        <w:jc w:val="both"/>
        <w:rPr>
          <w:color w:val="000000" w:themeColor="text1"/>
          <w:sz w:val="24"/>
          <w:szCs w:val="24"/>
        </w:rPr>
      </w:pPr>
      <w:r w:rsidRPr="00224886">
        <w:rPr>
          <w:color w:val="000000" w:themeColor="text1"/>
          <w:sz w:val="24"/>
          <w:szCs w:val="24"/>
        </w:rPr>
        <w:t>  All'articolo 36:</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comma </w:t>
      </w:r>
      <w:proofErr w:type="gramStart"/>
      <w:r w:rsidRPr="00224886">
        <w:rPr>
          <w:color w:val="000000" w:themeColor="text1"/>
          <w:sz w:val="24"/>
          <w:szCs w:val="24"/>
        </w:rPr>
        <w:t>3</w:t>
      </w:r>
      <w:proofErr w:type="gramEnd"/>
      <w:r w:rsidRPr="00224886">
        <w:rPr>
          <w:color w:val="000000" w:themeColor="text1"/>
          <w:sz w:val="24"/>
          <w:szCs w:val="24"/>
        </w:rPr>
        <w:t>, dopo le parole: «codice del processo amministrativo» sono inserite le seguenti: «, di cui all'allegato 1 al decreto legislativo 2 luglio 2010, n. 104,».</w:t>
      </w:r>
    </w:p>
    <w:p w:rsidR="00C91B6A" w:rsidRPr="00224886" w:rsidRDefault="00C91B6A" w:rsidP="00C91B6A">
      <w:pPr>
        <w:jc w:val="both"/>
        <w:rPr>
          <w:color w:val="000000" w:themeColor="text1"/>
          <w:sz w:val="24"/>
          <w:szCs w:val="24"/>
        </w:rPr>
      </w:pPr>
    </w:p>
    <w:p w:rsidR="00C91B6A" w:rsidRPr="00224886" w:rsidRDefault="00C91B6A" w:rsidP="00C91B6A">
      <w:pPr>
        <w:jc w:val="both"/>
        <w:rPr>
          <w:color w:val="000000" w:themeColor="text1"/>
          <w:sz w:val="24"/>
          <w:szCs w:val="24"/>
        </w:rPr>
      </w:pPr>
      <w:r w:rsidRPr="00224886">
        <w:rPr>
          <w:color w:val="000000" w:themeColor="text1"/>
          <w:sz w:val="24"/>
          <w:szCs w:val="24"/>
        </w:rPr>
        <w:t>  All'articolo 38:</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comma </w:t>
      </w:r>
      <w:proofErr w:type="gramStart"/>
      <w:r w:rsidRPr="00224886">
        <w:rPr>
          <w:color w:val="000000" w:themeColor="text1"/>
          <w:sz w:val="24"/>
          <w:szCs w:val="24"/>
        </w:rPr>
        <w:t>1</w:t>
      </w:r>
      <w:proofErr w:type="gramEnd"/>
      <w:r w:rsidRPr="00224886">
        <w:rPr>
          <w:color w:val="000000" w:themeColor="text1"/>
          <w:sz w:val="24"/>
          <w:szCs w:val="24"/>
        </w:rPr>
        <w:t>, le parole: «è riconosciuto l'adeguamento immediato della quota capitaria/oraria ai Medici di Medicina Generale e ai Pediatri di Libera Scelta ai contenuti economici» sono sostituite dalle seguenti: «è riconosciuto ai medici di medicina generale e ai pediatri di libera scelta l'adeguamento immediato delle quote capitaria e oraria ai contenuti economici»;</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comma </w:t>
      </w:r>
      <w:proofErr w:type="gramStart"/>
      <w:r w:rsidRPr="00224886">
        <w:rPr>
          <w:color w:val="000000" w:themeColor="text1"/>
          <w:sz w:val="24"/>
          <w:szCs w:val="24"/>
        </w:rPr>
        <w:t>2</w:t>
      </w:r>
      <w:proofErr w:type="gramEnd"/>
      <w:r w:rsidRPr="00224886">
        <w:rPr>
          <w:color w:val="000000" w:themeColor="text1"/>
          <w:sz w:val="24"/>
          <w:szCs w:val="24"/>
        </w:rPr>
        <w:t>, le parole: «cessano gli effetti di cui al comma 1» sono sostituite dalle seguenti: «cessa l'applicazione delle disposizioni del comma 1»;</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comma </w:t>
      </w:r>
      <w:proofErr w:type="gramStart"/>
      <w:r w:rsidRPr="00224886">
        <w:rPr>
          <w:color w:val="000000" w:themeColor="text1"/>
          <w:sz w:val="24"/>
          <w:szCs w:val="24"/>
        </w:rPr>
        <w:t>6</w:t>
      </w:r>
      <w:proofErr w:type="gramEnd"/>
      <w:r w:rsidRPr="00224886">
        <w:rPr>
          <w:color w:val="000000" w:themeColor="text1"/>
          <w:sz w:val="24"/>
          <w:szCs w:val="24"/>
        </w:rPr>
        <w:t>, le parole: «è riconosciuto l'adeguamento immediato del trattamento economico spettante agli specialisti ambulatoriali, ai contenuti economici» sono sostituite dalle seguenti: «è riconosciuto agli specialisti ambulatoriali l'adeguamento immediato del trattamento economico ai contenuti economici».</w:t>
      </w:r>
    </w:p>
    <w:p w:rsidR="00C91B6A" w:rsidRPr="00224886" w:rsidRDefault="00C91B6A" w:rsidP="00C91B6A">
      <w:pPr>
        <w:jc w:val="both"/>
        <w:rPr>
          <w:color w:val="000000" w:themeColor="text1"/>
          <w:sz w:val="24"/>
          <w:szCs w:val="24"/>
        </w:rPr>
      </w:pPr>
    </w:p>
    <w:p w:rsidR="00C91B6A" w:rsidRPr="00224886" w:rsidRDefault="00C91B6A" w:rsidP="00C91B6A">
      <w:pPr>
        <w:jc w:val="both"/>
        <w:rPr>
          <w:color w:val="000000" w:themeColor="text1"/>
          <w:sz w:val="24"/>
          <w:szCs w:val="24"/>
        </w:rPr>
      </w:pPr>
      <w:r w:rsidRPr="00224886">
        <w:rPr>
          <w:color w:val="000000" w:themeColor="text1"/>
          <w:sz w:val="24"/>
          <w:szCs w:val="24"/>
        </w:rPr>
        <w:t>  All'articolo 39:</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comma </w:t>
      </w:r>
      <w:proofErr w:type="gramStart"/>
      <w:r w:rsidRPr="00224886">
        <w:rPr>
          <w:color w:val="000000" w:themeColor="text1"/>
          <w:sz w:val="24"/>
          <w:szCs w:val="24"/>
        </w:rPr>
        <w:t>1</w:t>
      </w:r>
      <w:proofErr w:type="gramEnd"/>
      <w:r w:rsidRPr="00224886">
        <w:rPr>
          <w:color w:val="000000" w:themeColor="text1"/>
          <w:sz w:val="24"/>
          <w:szCs w:val="24"/>
        </w:rPr>
        <w:t>, le parole: «corredata dal benestare» sono sostituite dalle seguenti: «corredata del benestare» e le parole: «punti 1 e 2» sono sostituite dalle seguenti: «numeri 1) e 2)»;</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comma </w:t>
      </w:r>
      <w:proofErr w:type="gramStart"/>
      <w:r w:rsidRPr="00224886">
        <w:rPr>
          <w:color w:val="000000" w:themeColor="text1"/>
          <w:sz w:val="24"/>
          <w:szCs w:val="24"/>
        </w:rPr>
        <w:t>2</w:t>
      </w:r>
      <w:proofErr w:type="gramEnd"/>
      <w:r w:rsidRPr="00224886">
        <w:rPr>
          <w:color w:val="000000" w:themeColor="text1"/>
          <w:sz w:val="24"/>
          <w:szCs w:val="24"/>
        </w:rPr>
        <w:t>, dopo le parole: «di cui al comma 1» sono inserite le seguenti: «del presente articolo».</w:t>
      </w:r>
    </w:p>
    <w:p w:rsidR="00C91B6A" w:rsidRPr="00224886" w:rsidRDefault="00C91B6A" w:rsidP="00C91B6A">
      <w:pPr>
        <w:jc w:val="both"/>
        <w:rPr>
          <w:color w:val="000000" w:themeColor="text1"/>
          <w:sz w:val="24"/>
          <w:szCs w:val="24"/>
        </w:rPr>
      </w:pPr>
    </w:p>
    <w:p w:rsidR="00C91B6A" w:rsidRPr="00224886" w:rsidRDefault="00C91B6A" w:rsidP="00C91B6A">
      <w:pPr>
        <w:jc w:val="both"/>
        <w:rPr>
          <w:color w:val="000000" w:themeColor="text1"/>
          <w:sz w:val="24"/>
          <w:szCs w:val="24"/>
        </w:rPr>
      </w:pPr>
      <w:r w:rsidRPr="00224886">
        <w:rPr>
          <w:color w:val="000000" w:themeColor="text1"/>
          <w:sz w:val="24"/>
          <w:szCs w:val="24"/>
        </w:rPr>
        <w:t>  All'articolo 40:</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comma </w:t>
      </w:r>
      <w:proofErr w:type="gramStart"/>
      <w:r w:rsidRPr="00224886">
        <w:rPr>
          <w:color w:val="000000" w:themeColor="text1"/>
          <w:sz w:val="24"/>
          <w:szCs w:val="24"/>
        </w:rPr>
        <w:t>2</w:t>
      </w:r>
      <w:proofErr w:type="gramEnd"/>
      <w:r w:rsidRPr="00224886">
        <w:rPr>
          <w:color w:val="000000" w:themeColor="text1"/>
          <w:sz w:val="24"/>
          <w:szCs w:val="24"/>
        </w:rPr>
        <w:t>, le parole: «Commissione tecnico scientifica» sono sostituite dalle seguenti: «Commissione consultiva tecnico-scientifica» e le parole: «Comitato tecnico scientifico» sono sostituite dalle seguenti: «Comitato tecnico-scientifico»;</w:t>
      </w:r>
    </w:p>
    <w:p w:rsidR="00C91B6A" w:rsidRPr="00224886" w:rsidRDefault="00C91B6A" w:rsidP="00C91B6A">
      <w:pPr>
        <w:jc w:val="both"/>
        <w:rPr>
          <w:color w:val="000000" w:themeColor="text1"/>
          <w:sz w:val="24"/>
          <w:szCs w:val="24"/>
        </w:rPr>
      </w:pPr>
      <w:r w:rsidRPr="00224886">
        <w:rPr>
          <w:color w:val="000000" w:themeColor="text1"/>
          <w:sz w:val="24"/>
          <w:szCs w:val="24"/>
        </w:rPr>
        <w:lastRenderedPageBreak/>
        <w:t xml:space="preserve">  al comma </w:t>
      </w:r>
      <w:proofErr w:type="gramStart"/>
      <w:r w:rsidRPr="00224886">
        <w:rPr>
          <w:color w:val="000000" w:themeColor="text1"/>
          <w:sz w:val="24"/>
          <w:szCs w:val="24"/>
        </w:rPr>
        <w:t>5</w:t>
      </w:r>
      <w:proofErr w:type="gramEnd"/>
      <w:r w:rsidRPr="00224886">
        <w:rPr>
          <w:color w:val="000000" w:themeColor="text1"/>
          <w:sz w:val="24"/>
          <w:szCs w:val="24"/>
        </w:rPr>
        <w:t>, le parole: «sito istituzionale» sono sostituite dalle seguenti: «sito internet istituzionale»;</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comma </w:t>
      </w:r>
      <w:proofErr w:type="gramStart"/>
      <w:r w:rsidRPr="00224886">
        <w:rPr>
          <w:color w:val="000000" w:themeColor="text1"/>
          <w:sz w:val="24"/>
          <w:szCs w:val="24"/>
        </w:rPr>
        <w:t>6</w:t>
      </w:r>
      <w:proofErr w:type="gramEnd"/>
      <w:r w:rsidRPr="00224886">
        <w:rPr>
          <w:color w:val="000000" w:themeColor="text1"/>
          <w:sz w:val="24"/>
          <w:szCs w:val="24"/>
        </w:rPr>
        <w:t>, le parole: «non profit» sono sostituite dalle seguenti: «senza scopo di lucro»;</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comma </w:t>
      </w:r>
      <w:proofErr w:type="gramStart"/>
      <w:r w:rsidRPr="00224886">
        <w:rPr>
          <w:color w:val="000000" w:themeColor="text1"/>
          <w:sz w:val="24"/>
          <w:szCs w:val="24"/>
        </w:rPr>
        <w:t>7</w:t>
      </w:r>
      <w:proofErr w:type="gramEnd"/>
      <w:r w:rsidRPr="00224886">
        <w:rPr>
          <w:color w:val="000000" w:themeColor="text1"/>
          <w:sz w:val="24"/>
          <w:szCs w:val="24"/>
        </w:rPr>
        <w:t>, le parole: «non derivano nuovi e maggiori oneri» sono sostituite dalle seguenti: «non devono derivare nuovi o maggiori oneri» e le parole: «sui propri bilanci» sono soppresse;</w:t>
      </w:r>
    </w:p>
    <w:p w:rsidR="00C91B6A" w:rsidRPr="00224886" w:rsidRDefault="00C91B6A" w:rsidP="00C91B6A">
      <w:pPr>
        <w:jc w:val="both"/>
        <w:rPr>
          <w:color w:val="000000" w:themeColor="text1"/>
          <w:sz w:val="24"/>
          <w:szCs w:val="24"/>
        </w:rPr>
      </w:pPr>
    </w:p>
    <w:p w:rsidR="00C91B6A" w:rsidRPr="00224886" w:rsidRDefault="00C91B6A" w:rsidP="00C91B6A">
      <w:pPr>
        <w:jc w:val="both"/>
        <w:rPr>
          <w:color w:val="000000" w:themeColor="text1"/>
          <w:sz w:val="24"/>
          <w:szCs w:val="24"/>
        </w:rPr>
      </w:pPr>
      <w:proofErr w:type="gramStart"/>
      <w:r w:rsidRPr="00224886">
        <w:rPr>
          <w:color w:val="000000" w:themeColor="text1"/>
          <w:sz w:val="24"/>
          <w:szCs w:val="24"/>
        </w:rPr>
        <w:t>alla</w:t>
      </w:r>
      <w:proofErr w:type="gramEnd"/>
      <w:r w:rsidRPr="00224886">
        <w:rPr>
          <w:color w:val="000000" w:themeColor="text1"/>
          <w:sz w:val="24"/>
          <w:szCs w:val="24"/>
        </w:rPr>
        <w:t xml:space="preserve"> rubrica, la parola: «materia» è sostituita dalle seguenti: «in materia».</w:t>
      </w:r>
    </w:p>
    <w:p w:rsidR="00C91B6A" w:rsidRPr="00224886" w:rsidRDefault="00C91B6A" w:rsidP="00C91B6A">
      <w:pPr>
        <w:jc w:val="both"/>
        <w:rPr>
          <w:color w:val="000000" w:themeColor="text1"/>
          <w:sz w:val="24"/>
          <w:szCs w:val="24"/>
        </w:rPr>
      </w:pPr>
    </w:p>
    <w:p w:rsidR="00C91B6A" w:rsidRPr="00224886" w:rsidRDefault="00C91B6A" w:rsidP="00C91B6A">
      <w:pPr>
        <w:jc w:val="both"/>
        <w:rPr>
          <w:color w:val="000000" w:themeColor="text1"/>
          <w:sz w:val="24"/>
          <w:szCs w:val="24"/>
        </w:rPr>
      </w:pPr>
      <w:r w:rsidRPr="00224886">
        <w:rPr>
          <w:color w:val="000000" w:themeColor="text1"/>
          <w:sz w:val="24"/>
          <w:szCs w:val="24"/>
        </w:rPr>
        <w:t>  All'articolo 41:</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comma </w:t>
      </w:r>
      <w:proofErr w:type="gramStart"/>
      <w:r w:rsidRPr="00224886">
        <w:rPr>
          <w:color w:val="000000" w:themeColor="text1"/>
          <w:sz w:val="24"/>
          <w:szCs w:val="24"/>
        </w:rPr>
        <w:t>1</w:t>
      </w:r>
      <w:proofErr w:type="gramEnd"/>
      <w:r w:rsidRPr="00224886">
        <w:rPr>
          <w:color w:val="000000" w:themeColor="text1"/>
          <w:sz w:val="24"/>
          <w:szCs w:val="24"/>
        </w:rPr>
        <w:t>, le parole: «ai i lavoratori» sono sostituite dalle seguenti: «ai lavoratori» e le parole: «dal 24 febbraio 2020 al 17 marzo 2020» sono sostituite dalle seguenti: «tra il 24 febbraio 2020 e il 17 marzo 2020»;</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comma </w:t>
      </w:r>
      <w:proofErr w:type="gramStart"/>
      <w:r w:rsidRPr="00224886">
        <w:rPr>
          <w:color w:val="000000" w:themeColor="text1"/>
          <w:sz w:val="24"/>
          <w:szCs w:val="24"/>
        </w:rPr>
        <w:t>4</w:t>
      </w:r>
      <w:proofErr w:type="gramEnd"/>
      <w:r w:rsidRPr="00224886">
        <w:rPr>
          <w:color w:val="000000" w:themeColor="text1"/>
          <w:sz w:val="24"/>
          <w:szCs w:val="24"/>
        </w:rPr>
        <w:t>, le parole: «degli oneri previsti dal presente articolo, valutati» sono sostituite dalle seguenti: «delle minori entrate derivanti dal comma 3, valutate», dopo le parole: «all'articolo 56, comma 6,» è inserita la seguente: «del» e dopo le parole: «delle risorse» sono inserite le seguenti: «derivanti dall'abrogazione della disposizione».</w:t>
      </w:r>
    </w:p>
    <w:p w:rsidR="00C91B6A" w:rsidRPr="00224886" w:rsidRDefault="00C91B6A" w:rsidP="00C91B6A">
      <w:pPr>
        <w:jc w:val="both"/>
        <w:rPr>
          <w:color w:val="000000" w:themeColor="text1"/>
          <w:sz w:val="24"/>
          <w:szCs w:val="24"/>
        </w:rPr>
      </w:pPr>
    </w:p>
    <w:p w:rsidR="00C91B6A" w:rsidRPr="00224886" w:rsidRDefault="00C91B6A" w:rsidP="00C91B6A">
      <w:pPr>
        <w:jc w:val="both"/>
        <w:rPr>
          <w:color w:val="000000" w:themeColor="text1"/>
          <w:sz w:val="24"/>
          <w:szCs w:val="24"/>
        </w:rPr>
      </w:pPr>
      <w:r w:rsidRPr="00224886">
        <w:rPr>
          <w:color w:val="000000" w:themeColor="text1"/>
          <w:sz w:val="24"/>
          <w:szCs w:val="24"/>
        </w:rPr>
        <w:t>  All'articolo 42:</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comma </w:t>
      </w:r>
      <w:proofErr w:type="gramStart"/>
      <w:r w:rsidRPr="00224886">
        <w:rPr>
          <w:color w:val="000000" w:themeColor="text1"/>
          <w:sz w:val="24"/>
          <w:szCs w:val="24"/>
        </w:rPr>
        <w:t>1</w:t>
      </w:r>
      <w:proofErr w:type="gramEnd"/>
      <w:r w:rsidRPr="00224886">
        <w:rPr>
          <w:color w:val="000000" w:themeColor="text1"/>
          <w:sz w:val="24"/>
          <w:szCs w:val="24"/>
        </w:rPr>
        <w:t>:</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primo periodo, dopo le parole: «province autonome» sono inserite le seguenti: </w:t>
      </w:r>
      <w:proofErr w:type="gramStart"/>
      <w:r w:rsidRPr="00224886">
        <w:rPr>
          <w:color w:val="000000" w:themeColor="text1"/>
          <w:sz w:val="24"/>
          <w:szCs w:val="24"/>
        </w:rPr>
        <w:t>«</w:t>
      </w:r>
      <w:proofErr w:type="gramEnd"/>
      <w:r w:rsidRPr="00224886">
        <w:rPr>
          <w:color w:val="000000" w:themeColor="text1"/>
          <w:sz w:val="24"/>
          <w:szCs w:val="24"/>
        </w:rPr>
        <w:t>di Trento e di Bolzano»;</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sesto periodo, le parole: «salva l'ipotesi di cumulo con altro incarico per il quale già percepisca un </w:t>
      </w:r>
      <w:proofErr w:type="gramStart"/>
      <w:r w:rsidRPr="00224886">
        <w:rPr>
          <w:color w:val="000000" w:themeColor="text1"/>
          <w:sz w:val="24"/>
          <w:szCs w:val="24"/>
        </w:rPr>
        <w:t>compenso»</w:t>
      </w:r>
      <w:proofErr w:type="gramEnd"/>
      <w:r w:rsidRPr="00224886">
        <w:rPr>
          <w:color w:val="000000" w:themeColor="text1"/>
          <w:sz w:val="24"/>
          <w:szCs w:val="24"/>
        </w:rPr>
        <w:t xml:space="preserve"> sono sostituite dalle seguenti: «tranne che nel caso di cumulo con altro incarico per il quale già percepisca un compenso»;</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comma </w:t>
      </w:r>
      <w:proofErr w:type="gramStart"/>
      <w:r w:rsidRPr="00224886">
        <w:rPr>
          <w:color w:val="000000" w:themeColor="text1"/>
          <w:sz w:val="24"/>
          <w:szCs w:val="24"/>
        </w:rPr>
        <w:t>2</w:t>
      </w:r>
      <w:proofErr w:type="gramEnd"/>
      <w:r w:rsidRPr="00224886">
        <w:rPr>
          <w:color w:val="000000" w:themeColor="text1"/>
          <w:sz w:val="24"/>
          <w:szCs w:val="24"/>
        </w:rPr>
        <w:t>, le parole: «e alle successive integrazioni» sono sostituite dalle seguenti: «e delle sue successive integrazioni», le parole: «tecnico operativo» sono sostituite dalla seguente: «tecnico-</w:t>
      </w:r>
      <w:r w:rsidRPr="00224886">
        <w:rPr>
          <w:color w:val="000000" w:themeColor="text1"/>
          <w:sz w:val="24"/>
          <w:szCs w:val="24"/>
        </w:rPr>
        <w:lastRenderedPageBreak/>
        <w:t>operativo» e le parole: «Covid-19 di cui all'articolo 18» sono sostituite dalle seguenti: «COVID-19 ai sensi dell'articolo 18»;</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comma </w:t>
      </w:r>
      <w:proofErr w:type="gramStart"/>
      <w:r w:rsidRPr="00224886">
        <w:rPr>
          <w:color w:val="000000" w:themeColor="text1"/>
          <w:sz w:val="24"/>
          <w:szCs w:val="24"/>
        </w:rPr>
        <w:t>3</w:t>
      </w:r>
      <w:proofErr w:type="gramEnd"/>
      <w:r w:rsidRPr="00224886">
        <w:rPr>
          <w:color w:val="000000" w:themeColor="text1"/>
          <w:sz w:val="24"/>
          <w:szCs w:val="24"/>
        </w:rPr>
        <w:t>:</w:t>
      </w:r>
    </w:p>
    <w:p w:rsidR="00C91B6A" w:rsidRPr="00224886" w:rsidRDefault="00C91B6A" w:rsidP="00C91B6A">
      <w:pPr>
        <w:jc w:val="both"/>
        <w:rPr>
          <w:color w:val="000000" w:themeColor="text1"/>
          <w:sz w:val="24"/>
          <w:szCs w:val="24"/>
        </w:rPr>
      </w:pPr>
      <w:r w:rsidRPr="00224886">
        <w:rPr>
          <w:color w:val="000000" w:themeColor="text1"/>
          <w:sz w:val="24"/>
          <w:szCs w:val="24"/>
        </w:rPr>
        <w:t xml:space="preserve">   al primo periodo, le parole: «agli articoli </w:t>
      </w:r>
      <w:proofErr w:type="gramStart"/>
      <w:r w:rsidRPr="00224886">
        <w:rPr>
          <w:color w:val="000000" w:themeColor="text1"/>
          <w:sz w:val="24"/>
          <w:szCs w:val="24"/>
        </w:rPr>
        <w:t>3</w:t>
      </w:r>
      <w:proofErr w:type="gramEnd"/>
      <w:r w:rsidRPr="00224886">
        <w:rPr>
          <w:color w:val="000000" w:themeColor="text1"/>
          <w:sz w:val="24"/>
          <w:szCs w:val="24"/>
        </w:rPr>
        <w:t xml:space="preserve"> e 4» sono sostituite dalle seguenti: «agli articoli 3, 4, 4-bis e 5-sexies» e le parole: «cui al decreto-legge 9 marzo 2020, n. 14 e ad» sono soppresse;</w:t>
      </w:r>
    </w:p>
    <w:p w:rsidR="00C91B6A" w:rsidRPr="00224886" w:rsidRDefault="00C91B6A" w:rsidP="00C91B6A">
      <w:pPr>
        <w:jc w:val="both"/>
        <w:rPr>
          <w:color w:val="000000" w:themeColor="text1"/>
          <w:sz w:val="24"/>
          <w:szCs w:val="24"/>
        </w:rPr>
      </w:pPr>
      <w:r w:rsidRPr="00224886">
        <w:rPr>
          <w:color w:val="000000" w:themeColor="text1"/>
          <w:sz w:val="24"/>
          <w:szCs w:val="24"/>
        </w:rPr>
        <w:t>   al capoverso, le parole: «Supporta altresì» sono sostituite dalle seguenti: «</w:t>
      </w:r>
      <w:proofErr w:type="gramStart"/>
      <w:r w:rsidRPr="00224886">
        <w:rPr>
          <w:color w:val="000000" w:themeColor="text1"/>
          <w:sz w:val="24"/>
          <w:szCs w:val="24"/>
        </w:rPr>
        <w:t>4</w:t>
      </w:r>
      <w:proofErr w:type="gramEnd"/>
      <w:r w:rsidRPr="00224886">
        <w:rPr>
          <w:color w:val="000000" w:themeColor="text1"/>
          <w:sz w:val="24"/>
          <w:szCs w:val="24"/>
        </w:rPr>
        <w:t>. Il commissario coadiuva altresì».</w:t>
      </w:r>
    </w:p>
    <w:p w:rsidR="00C91B6A" w:rsidRPr="00224886" w:rsidRDefault="00C91B6A" w:rsidP="00C91B6A">
      <w:pPr>
        <w:jc w:val="both"/>
        <w:rPr>
          <w:color w:val="000000" w:themeColor="text1"/>
          <w:sz w:val="24"/>
          <w:szCs w:val="24"/>
        </w:rPr>
      </w:pPr>
    </w:p>
    <w:p w:rsidR="00C91B6A" w:rsidRPr="00224886" w:rsidRDefault="00C91B6A" w:rsidP="00C91B6A">
      <w:pPr>
        <w:jc w:val="both"/>
        <w:rPr>
          <w:color w:val="000000" w:themeColor="text1"/>
          <w:sz w:val="24"/>
          <w:szCs w:val="24"/>
        </w:rPr>
      </w:pPr>
      <w:r w:rsidRPr="00224886">
        <w:rPr>
          <w:color w:val="000000" w:themeColor="text1"/>
          <w:sz w:val="24"/>
          <w:szCs w:val="24"/>
        </w:rPr>
        <w:t>  Alla tabella, al numero 2) – Operazioni di cui all'articolo 2, comma 4, lettera b), alla prima riga è premessa la seguente:</w:t>
      </w:r>
    </w:p>
    <w:p w:rsidR="00C91B6A" w:rsidRPr="00224886" w:rsidRDefault="00C91B6A" w:rsidP="00C91B6A">
      <w:pPr>
        <w:jc w:val="both"/>
        <w:rPr>
          <w:color w:val="000000" w:themeColor="text1"/>
          <w:sz w:val="24"/>
          <w:szCs w:val="24"/>
        </w:rPr>
      </w:pPr>
    </w:p>
    <w:p w:rsidR="00C91B6A" w:rsidRPr="00224886" w:rsidRDefault="00C91B6A" w:rsidP="00C91B6A">
      <w:pPr>
        <w:jc w:val="both"/>
        <w:rPr>
          <w:color w:val="000000" w:themeColor="text1"/>
          <w:sz w:val="24"/>
          <w:szCs w:val="24"/>
        </w:rPr>
      </w:pPr>
      <w:r w:rsidRPr="00224886">
        <w:rPr>
          <w:color w:val="000000" w:themeColor="text1"/>
          <w:sz w:val="24"/>
          <w:szCs w:val="24"/>
        </w:rPr>
        <w:t>«</w:t>
      </w:r>
    </w:p>
    <w:p w:rsidR="00C91B6A" w:rsidRPr="00224886" w:rsidRDefault="00C91B6A" w:rsidP="00C91B6A">
      <w:pPr>
        <w:jc w:val="both"/>
        <w:rPr>
          <w:color w:val="000000" w:themeColor="text1"/>
          <w:sz w:val="24"/>
          <w:szCs w:val="24"/>
        </w:rPr>
      </w:pPr>
    </w:p>
    <w:p w:rsidR="00C91B6A" w:rsidRPr="00224886" w:rsidRDefault="00C91B6A" w:rsidP="00C91B6A">
      <w:pPr>
        <w:jc w:val="both"/>
        <w:rPr>
          <w:color w:val="000000" w:themeColor="text1"/>
          <w:sz w:val="24"/>
          <w:szCs w:val="24"/>
        </w:rPr>
      </w:pPr>
      <w:r w:rsidRPr="00224886">
        <w:rPr>
          <w:color w:val="000000" w:themeColor="text1"/>
          <w:sz w:val="24"/>
          <w:szCs w:val="24"/>
        </w:rPr>
        <w:t>N. Operazione</w:t>
      </w:r>
      <w:r w:rsidRPr="00224886">
        <w:rPr>
          <w:color w:val="000000" w:themeColor="text1"/>
          <w:sz w:val="24"/>
          <w:szCs w:val="24"/>
        </w:rPr>
        <w:tab/>
        <w:t>Esportatore</w:t>
      </w:r>
      <w:r w:rsidRPr="00224886">
        <w:rPr>
          <w:color w:val="000000" w:themeColor="text1"/>
          <w:sz w:val="24"/>
          <w:szCs w:val="24"/>
        </w:rPr>
        <w:tab/>
        <w:t>Debitore/ Garante</w:t>
      </w:r>
      <w:r w:rsidRPr="00224886">
        <w:rPr>
          <w:color w:val="000000" w:themeColor="text1"/>
          <w:sz w:val="24"/>
          <w:szCs w:val="24"/>
        </w:rPr>
        <w:tab/>
        <w:t>Oggetto</w:t>
      </w:r>
      <w:r w:rsidRPr="00224886">
        <w:rPr>
          <w:color w:val="000000" w:themeColor="text1"/>
          <w:sz w:val="24"/>
          <w:szCs w:val="24"/>
        </w:rPr>
        <w:tab/>
        <w:t>Paese</w:t>
      </w:r>
      <w:r w:rsidRPr="00224886">
        <w:rPr>
          <w:color w:val="000000" w:themeColor="text1"/>
          <w:sz w:val="24"/>
          <w:szCs w:val="24"/>
        </w:rPr>
        <w:tab/>
        <w:t>Valore</w:t>
      </w:r>
    </w:p>
    <w:p w:rsidR="00C91B6A" w:rsidRPr="00224886" w:rsidRDefault="00C91B6A" w:rsidP="00C91B6A">
      <w:pPr>
        <w:jc w:val="both"/>
        <w:rPr>
          <w:color w:val="000000" w:themeColor="text1"/>
          <w:sz w:val="24"/>
          <w:szCs w:val="24"/>
        </w:rPr>
      </w:pPr>
      <w:proofErr w:type="gramStart"/>
      <w:r w:rsidRPr="00224886">
        <w:rPr>
          <w:color w:val="000000" w:themeColor="text1"/>
          <w:sz w:val="24"/>
          <w:szCs w:val="24"/>
        </w:rPr>
        <w:t>del</w:t>
      </w:r>
      <w:proofErr w:type="gramEnd"/>
      <w:r w:rsidRPr="00224886">
        <w:rPr>
          <w:color w:val="000000" w:themeColor="text1"/>
          <w:sz w:val="24"/>
          <w:szCs w:val="24"/>
        </w:rPr>
        <w:t xml:space="preserve"> Contratto</w:t>
      </w:r>
      <w:r w:rsidRPr="00224886">
        <w:rPr>
          <w:color w:val="000000" w:themeColor="text1"/>
          <w:sz w:val="24"/>
          <w:szCs w:val="24"/>
        </w:rPr>
        <w:tab/>
        <w:t>Impegno assicurativo</w:t>
      </w:r>
    </w:p>
    <w:p w:rsidR="00C91B6A" w:rsidRPr="00224886" w:rsidRDefault="00C91B6A" w:rsidP="00C91B6A">
      <w:pPr>
        <w:jc w:val="both"/>
        <w:rPr>
          <w:color w:val="000000" w:themeColor="text1"/>
          <w:sz w:val="24"/>
          <w:szCs w:val="24"/>
        </w:rPr>
      </w:pPr>
      <w:proofErr w:type="gramStart"/>
      <w:r w:rsidRPr="00224886">
        <w:rPr>
          <w:color w:val="000000" w:themeColor="text1"/>
          <w:sz w:val="24"/>
          <w:szCs w:val="24"/>
        </w:rPr>
        <w:t>(nominale</w:t>
      </w:r>
      <w:proofErr w:type="gramEnd"/>
      <w:r w:rsidRPr="00224886">
        <w:rPr>
          <w:color w:val="000000" w:themeColor="text1"/>
          <w:sz w:val="24"/>
          <w:szCs w:val="24"/>
        </w:rPr>
        <w:t>/euro)</w:t>
      </w:r>
      <w:r w:rsidRPr="00224886">
        <w:rPr>
          <w:color w:val="000000" w:themeColor="text1"/>
          <w:sz w:val="24"/>
          <w:szCs w:val="24"/>
        </w:rPr>
        <w:tab/>
        <w:t>Durata (anni)</w:t>
      </w:r>
      <w:r w:rsidRPr="00224886">
        <w:rPr>
          <w:color w:val="000000" w:themeColor="text1"/>
          <w:sz w:val="24"/>
          <w:szCs w:val="24"/>
        </w:rPr>
        <w:tab/>
        <w:t>Data Delibera SACE</w:t>
      </w:r>
      <w:r w:rsidRPr="00224886">
        <w:rPr>
          <w:color w:val="000000" w:themeColor="text1"/>
          <w:sz w:val="24"/>
          <w:szCs w:val="24"/>
        </w:rPr>
        <w:tab/>
        <w:t>Superamento Portata Massima</w:t>
      </w:r>
    </w:p>
    <w:p w:rsidR="00C91B6A" w:rsidRPr="00224886" w:rsidRDefault="00C91B6A" w:rsidP="00C91B6A">
      <w:pPr>
        <w:jc w:val="both"/>
        <w:rPr>
          <w:color w:val="000000" w:themeColor="text1"/>
          <w:sz w:val="24"/>
          <w:szCs w:val="24"/>
        </w:rPr>
      </w:pPr>
      <w:r w:rsidRPr="00224886">
        <w:rPr>
          <w:color w:val="000000" w:themeColor="text1"/>
          <w:sz w:val="24"/>
          <w:szCs w:val="24"/>
        </w:rPr>
        <w:t>».</w:t>
      </w:r>
    </w:p>
    <w:p w:rsidR="00C91B6A" w:rsidRPr="00224886" w:rsidRDefault="00C91B6A" w:rsidP="00C91B6A">
      <w:pPr>
        <w:jc w:val="both"/>
        <w:rPr>
          <w:color w:val="000000" w:themeColor="text1"/>
          <w:sz w:val="24"/>
          <w:szCs w:val="24"/>
        </w:rPr>
      </w:pPr>
    </w:p>
    <w:p w:rsidR="00C91B6A" w:rsidRPr="00224886" w:rsidRDefault="00C91B6A" w:rsidP="00C91B6A">
      <w:pPr>
        <w:jc w:val="both"/>
        <w:rPr>
          <w:color w:val="000000" w:themeColor="text1"/>
          <w:sz w:val="24"/>
          <w:szCs w:val="24"/>
        </w:rPr>
      </w:pPr>
      <w:r w:rsidRPr="00224886">
        <w:rPr>
          <w:color w:val="000000" w:themeColor="text1"/>
          <w:sz w:val="24"/>
          <w:szCs w:val="24"/>
        </w:rPr>
        <w:t>   All'articolo 1 del disegno di legge di conversione, dopo il comma 1 è inserito il seguente:</w:t>
      </w:r>
    </w:p>
    <w:p w:rsidR="00C91B6A" w:rsidRPr="00224886" w:rsidRDefault="00C91B6A" w:rsidP="00C91B6A">
      <w:pPr>
        <w:jc w:val="both"/>
        <w:rPr>
          <w:color w:val="000000" w:themeColor="text1"/>
          <w:sz w:val="24"/>
          <w:szCs w:val="24"/>
        </w:rPr>
      </w:pPr>
      <w:r w:rsidRPr="00224886">
        <w:rPr>
          <w:color w:val="000000" w:themeColor="text1"/>
          <w:sz w:val="24"/>
          <w:szCs w:val="24"/>
        </w:rPr>
        <w:t>  «1-bis. Restano validi gli atti e i provvedimenti adottati e sono fatti salvi gli effetti prodottisi e i rapporti giuridici sorti sulla base degli articoli 17, 49, 53, 62, comma 7, e 70 del decreto-legge 17 marzo 2020, n. 18».</w:t>
      </w:r>
    </w:p>
    <w:p w:rsidR="00C91B6A" w:rsidRPr="00793CC1" w:rsidRDefault="00C91B6A" w:rsidP="00C91B6A">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sectPr w:rsidR="00C91B6A" w:rsidRPr="00793CC1" w:rsidSect="00C973FC">
      <w:headerReference w:type="even" r:id="rId9"/>
      <w:headerReference w:type="default" r:id="rId10"/>
      <w:footerReference w:type="even" r:id="rId11"/>
      <w:footerReference w:type="default" r:id="rId12"/>
      <w:headerReference w:type="first" r:id="rId13"/>
      <w:footerReference w:type="first" r:id="rId14"/>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1CA" w:rsidRDefault="00FA41CA">
      <w:pPr>
        <w:spacing w:after="0" w:line="240" w:lineRule="auto"/>
      </w:pPr>
      <w:r>
        <w:separator/>
      </w:r>
    </w:p>
  </w:endnote>
  <w:endnote w:type="continuationSeparator" w:id="0">
    <w:p w:rsidR="00FA41CA" w:rsidRDefault="00FA4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Raleway">
    <w:altName w:val="Arial"/>
    <w:charset w:val="00"/>
    <w:family w:val="swiss"/>
    <w:pitch w:val="variable"/>
    <w:sig w:usb0="00000001" w:usb1="5000005B" w:usb2="00000000" w:usb3="00000000" w:csb0="00000093" w:csb1="00000000"/>
  </w:font>
  <w:font w:name="Calibri Light">
    <w:altName w:val="Consolas"/>
    <w:charset w:val="00"/>
    <w:family w:val="swiss"/>
    <w:pitch w:val="variable"/>
    <w:sig w:usb0="A00002EF" w:usb1="4000207B" w:usb2="00000000"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A2" w:rsidRPr="004D0F93" w:rsidRDefault="008A08A2"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Pr="00C8796C">
      <w:rPr>
        <w:rFonts w:asciiTheme="majorHAnsi" w:hAnsiTheme="majorHAnsi"/>
        <w:color w:val="595959" w:themeColor="text1" w:themeTint="A6"/>
        <w:sz w:val="18"/>
        <w:szCs w:val="18"/>
      </w:rPr>
      <w:fldChar w:fldCharType="separate"/>
    </w:r>
    <w:r w:rsidR="002C30B5">
      <w:rPr>
        <w:rFonts w:asciiTheme="majorHAnsi" w:hAnsiTheme="majorHAnsi"/>
        <w:noProof/>
        <w:color w:val="595959" w:themeColor="text1" w:themeTint="A6"/>
        <w:sz w:val="18"/>
        <w:szCs w:val="18"/>
      </w:rPr>
      <w:t>2</w:t>
    </w:r>
    <w:r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r w:rsidR="002C30B5">
      <w:fldChar w:fldCharType="begin"/>
    </w:r>
    <w:r w:rsidR="002C30B5">
      <w:instrText>NUMPAGES  \* Arabic  \* MERGEFORMAT</w:instrText>
    </w:r>
    <w:r w:rsidR="002C30B5">
      <w:fldChar w:fldCharType="separate"/>
    </w:r>
    <w:r w:rsidR="002C30B5" w:rsidRPr="002C30B5">
      <w:rPr>
        <w:rFonts w:asciiTheme="majorHAnsi" w:hAnsiTheme="majorHAnsi"/>
        <w:noProof/>
        <w:color w:val="595959" w:themeColor="text1" w:themeTint="A6"/>
        <w:sz w:val="18"/>
        <w:szCs w:val="18"/>
      </w:rPr>
      <w:t>103</w:t>
    </w:r>
    <w:r w:rsidR="002C30B5">
      <w:rPr>
        <w:rFonts w:asciiTheme="majorHAnsi" w:hAnsiTheme="majorHAnsi"/>
        <w:noProof/>
        <w:color w:val="595959" w:themeColor="text1" w:themeTint="A6"/>
        <w:sz w:val="18"/>
        <w:szCs w:val="18"/>
      </w:rPr>
      <w:fldChar w:fldCharType="end"/>
    </w:r>
  </w:p>
  <w:p w:rsidR="008A08A2" w:rsidRDefault="008A08A2">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A2" w:rsidRDefault="008A08A2" w:rsidP="004532C6">
    <w:pPr>
      <w:pStyle w:val="Pidipagina"/>
      <w:tabs>
        <w:tab w:val="clear" w:pos="9638"/>
        <w:tab w:val="right" w:pos="10034"/>
      </w:tabs>
      <w:rPr>
        <w:rFonts w:asciiTheme="majorHAnsi" w:hAnsiTheme="majorHAnsi"/>
        <w:sz w:val="18"/>
        <w:szCs w:val="18"/>
      </w:rPr>
    </w:pPr>
  </w:p>
  <w:p w:rsidR="008A08A2" w:rsidRPr="005F27F8" w:rsidRDefault="008A08A2" w:rsidP="004532C6">
    <w:pPr>
      <w:pStyle w:val="Pidipagina"/>
      <w:tabs>
        <w:tab w:val="clear" w:pos="9638"/>
        <w:tab w:val="right" w:pos="10034"/>
      </w:tabs>
      <w:rPr>
        <w:rFonts w:asciiTheme="majorHAnsi" w:hAnsiTheme="majorHAnsi"/>
        <w:color w:val="595959" w:themeColor="text1" w:themeTint="A6"/>
        <w:sz w:val="18"/>
        <w:szCs w:val="18"/>
      </w:rPr>
    </w:pPr>
  </w:p>
  <w:p w:rsidR="008A08A2" w:rsidRPr="005F27F8" w:rsidRDefault="008A08A2"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sidR="002C30B5">
      <w:rPr>
        <w:rFonts w:asciiTheme="majorHAnsi" w:hAnsiTheme="majorHAnsi"/>
        <w:noProof/>
        <w:color w:val="595959" w:themeColor="text1" w:themeTint="A6"/>
        <w:sz w:val="18"/>
        <w:szCs w:val="18"/>
      </w:rPr>
      <w:t>15</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r w:rsidR="002C30B5">
      <w:fldChar w:fldCharType="begin"/>
    </w:r>
    <w:r w:rsidR="002C30B5">
      <w:instrText>NUMPAGES  \* Arabic  \* MERGEFORMAT</w:instrText>
    </w:r>
    <w:r w:rsidR="002C30B5">
      <w:fldChar w:fldCharType="separate"/>
    </w:r>
    <w:r w:rsidR="002C30B5" w:rsidRPr="002C30B5">
      <w:rPr>
        <w:rFonts w:asciiTheme="majorHAnsi" w:hAnsiTheme="majorHAnsi"/>
        <w:noProof/>
        <w:color w:val="595959" w:themeColor="text1" w:themeTint="A6"/>
        <w:sz w:val="18"/>
        <w:szCs w:val="18"/>
      </w:rPr>
      <w:t>103</w:t>
    </w:r>
    <w:r w:rsidR="002C30B5">
      <w:rPr>
        <w:rFonts w:asciiTheme="majorHAnsi" w:hAnsiTheme="majorHAnsi"/>
        <w:noProof/>
        <w:color w:val="595959" w:themeColor="text1" w:themeTint="A6"/>
        <w:sz w:val="18"/>
        <w:szCs w:val="18"/>
      </w:rPr>
      <w:fldChar w:fldCharType="end"/>
    </w:r>
  </w:p>
  <w:p w:rsidR="008A08A2" w:rsidRPr="002739D4" w:rsidRDefault="008A08A2" w:rsidP="002739D4">
    <w:pPr>
      <w:pStyle w:val="Pidipagina"/>
      <w:spacing w:line="360" w:lineRule="auto"/>
      <w:rPr>
        <w:sz w:val="14"/>
        <w:szCs w:val="1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A2" w:rsidRPr="002739D4" w:rsidRDefault="008A08A2" w:rsidP="00B5230B">
    <w:pPr>
      <w:pStyle w:val="Pidipagina"/>
      <w:spacing w:line="360" w:lineRule="auto"/>
      <w:rPr>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1CA" w:rsidRDefault="00FA41CA">
      <w:pPr>
        <w:spacing w:after="0" w:line="240" w:lineRule="auto"/>
      </w:pPr>
      <w:r>
        <w:separator/>
      </w:r>
    </w:p>
  </w:footnote>
  <w:footnote w:type="continuationSeparator" w:id="0">
    <w:p w:rsidR="00FA41CA" w:rsidRDefault="00FA41CA">
      <w:pPr>
        <w:spacing w:after="0" w:line="240" w:lineRule="auto"/>
      </w:pPr>
      <w:r>
        <w:continuationSeparator/>
      </w:r>
    </w:p>
  </w:footnote>
  <w:footnote w:id="1">
    <w:p w:rsidR="008A08A2" w:rsidRPr="000749BB" w:rsidRDefault="008A08A2" w:rsidP="008C6A11">
      <w:pPr>
        <w:jc w:val="both"/>
        <w:rPr>
          <w:color w:val="000000" w:themeColor="text1"/>
        </w:rPr>
      </w:pPr>
      <w:r>
        <w:rPr>
          <w:rStyle w:val="Rimandonotaapidipagina"/>
        </w:rPr>
        <w:footnoteRef/>
      </w:r>
      <w:r>
        <w:t xml:space="preserve"> </w:t>
      </w:r>
      <w:r w:rsidRPr="000749BB">
        <w:rPr>
          <w:color w:val="000000" w:themeColor="text1"/>
        </w:rPr>
        <w:t>1. 96. Berardini, De Girolamo;1. 4. (Nuova formulazione) Moretto, Mor, Ungaro, Marattin, Bendinelli; 1. 5. (Nuova formulazione) Gelmini, Porchietto, Martino, Giacomoni, Cattaneo, Baratto, Angelucci, Giacometto, Mandelli, Prestigiacomo, Barelli, Fiorini, Squeri, Polidori, Carrara, Della Frera.</w:t>
      </w:r>
    </w:p>
    <w:p w:rsidR="008A08A2" w:rsidRDefault="008A08A2">
      <w:pPr>
        <w:pStyle w:val="Testonotaapidipagina"/>
      </w:pPr>
    </w:p>
  </w:footnote>
  <w:footnote w:id="2">
    <w:p w:rsidR="008A08A2" w:rsidRPr="000749BB" w:rsidRDefault="008A08A2" w:rsidP="0004407E">
      <w:pPr>
        <w:jc w:val="both"/>
        <w:rPr>
          <w:color w:val="000000" w:themeColor="text1"/>
        </w:rPr>
      </w:pPr>
      <w:r>
        <w:rPr>
          <w:rStyle w:val="Rimandonotaapidipagina"/>
        </w:rPr>
        <w:footnoteRef/>
      </w:r>
      <w:r>
        <w:t xml:space="preserve"> </w:t>
      </w:r>
      <w:r w:rsidRPr="000749BB">
        <w:rPr>
          <w:color w:val="000000" w:themeColor="text1"/>
        </w:rPr>
        <w:t>1. 47. (Nuova formulazione) Gadda, Moretto.</w:t>
      </w:r>
    </w:p>
    <w:p w:rsidR="008A08A2" w:rsidRDefault="008A08A2">
      <w:pPr>
        <w:pStyle w:val="Testonotaapidipagina"/>
      </w:pPr>
    </w:p>
  </w:footnote>
  <w:footnote w:id="3">
    <w:p w:rsidR="008A08A2" w:rsidRPr="002756C5" w:rsidRDefault="008A08A2" w:rsidP="00375658">
      <w:pPr>
        <w:jc w:val="both"/>
        <w:rPr>
          <w:color w:val="000000" w:themeColor="text1"/>
        </w:rPr>
      </w:pPr>
      <w:r>
        <w:rPr>
          <w:rStyle w:val="Rimandonotaapidipagina"/>
        </w:rPr>
        <w:footnoteRef/>
      </w:r>
      <w:r>
        <w:t xml:space="preserve"> </w:t>
      </w:r>
      <w:r w:rsidRPr="002756C5">
        <w:rPr>
          <w:color w:val="000000" w:themeColor="text1"/>
        </w:rPr>
        <w:t>1. 106. (Nuova formulazione) Fratoianni, Pastorino.</w:t>
      </w:r>
    </w:p>
    <w:p w:rsidR="008A08A2" w:rsidRDefault="008A08A2">
      <w:pPr>
        <w:pStyle w:val="Testonotaapidipagina"/>
      </w:pPr>
    </w:p>
  </w:footnote>
  <w:footnote w:id="4">
    <w:p w:rsidR="008A08A2" w:rsidRPr="00224886" w:rsidRDefault="008A08A2" w:rsidP="007B2AF0">
      <w:pPr>
        <w:jc w:val="both"/>
        <w:rPr>
          <w:color w:val="000000" w:themeColor="text1"/>
        </w:rPr>
      </w:pPr>
      <w:r>
        <w:rPr>
          <w:rStyle w:val="Rimandonotaapidipagina"/>
        </w:rPr>
        <w:footnoteRef/>
      </w:r>
      <w:r>
        <w:t xml:space="preserve"> </w:t>
      </w:r>
      <w:r w:rsidRPr="00224886">
        <w:rPr>
          <w:color w:val="000000" w:themeColor="text1"/>
        </w:rPr>
        <w:t>1. 145. (Nuova formulazione) Nevi, Fiorini, Porchietto, Martino, Giacomoni, Cattaneo, Baratto, Angelucci, Giacometto, Squeri, Polidori, Carrara, Della Frera, Barelli; 1. 150. (Nuova formulazione) Fiorini; 1. 151. (Nuova formulazione) Centemero, Bitonci, Cavandoli, Covolo, Gerardi, Gusmeroli, Alessandro Pagano, Paternoster, Tarantino; 1. 316. (Nuova formulazione) Osnato, Zucconi, Bignami, Baldini.</w:t>
      </w:r>
    </w:p>
    <w:p w:rsidR="008A08A2" w:rsidRDefault="008A08A2">
      <w:pPr>
        <w:pStyle w:val="Testonotaapidipagina"/>
      </w:pPr>
    </w:p>
  </w:footnote>
  <w:footnote w:id="5">
    <w:p w:rsidR="008A08A2" w:rsidRPr="002756C5" w:rsidRDefault="008A08A2" w:rsidP="00533418">
      <w:pPr>
        <w:jc w:val="both"/>
        <w:rPr>
          <w:color w:val="000000" w:themeColor="text1"/>
        </w:rPr>
      </w:pPr>
      <w:r>
        <w:rPr>
          <w:rStyle w:val="Rimandonotaapidipagina"/>
        </w:rPr>
        <w:footnoteRef/>
      </w:r>
      <w:r>
        <w:t xml:space="preserve"> </w:t>
      </w:r>
      <w:r w:rsidRPr="002756C5">
        <w:rPr>
          <w:color w:val="000000" w:themeColor="text1"/>
        </w:rPr>
        <w:t>1. 279. (Nuova formulazione) Amitrano, Villani.</w:t>
      </w:r>
    </w:p>
    <w:p w:rsidR="008A08A2" w:rsidRDefault="008A08A2">
      <w:pPr>
        <w:pStyle w:val="Testonotaapidipagina"/>
      </w:pPr>
    </w:p>
  </w:footnote>
  <w:footnote w:id="6">
    <w:p w:rsidR="008A08A2" w:rsidRPr="002756C5" w:rsidRDefault="008A08A2" w:rsidP="000F53CD">
      <w:pPr>
        <w:jc w:val="both"/>
        <w:rPr>
          <w:color w:val="000000" w:themeColor="text1"/>
        </w:rPr>
      </w:pPr>
      <w:r>
        <w:rPr>
          <w:rStyle w:val="Rimandonotaapidipagina"/>
        </w:rPr>
        <w:footnoteRef/>
      </w:r>
      <w:r>
        <w:t xml:space="preserve"> </w:t>
      </w:r>
      <w:r w:rsidRPr="002756C5">
        <w:rPr>
          <w:color w:val="000000" w:themeColor="text1"/>
        </w:rPr>
        <w:t>1. 321. I Relatori.</w:t>
      </w:r>
    </w:p>
    <w:p w:rsidR="008A08A2" w:rsidRDefault="008A08A2">
      <w:pPr>
        <w:pStyle w:val="Testonotaapidipagina"/>
      </w:pPr>
    </w:p>
  </w:footnote>
  <w:footnote w:id="7">
    <w:p w:rsidR="008A08A2" w:rsidRPr="002756C5" w:rsidRDefault="008A08A2" w:rsidP="00830635">
      <w:pPr>
        <w:jc w:val="both"/>
        <w:rPr>
          <w:color w:val="000000" w:themeColor="text1"/>
        </w:rPr>
      </w:pPr>
      <w:r>
        <w:rPr>
          <w:rStyle w:val="Rimandonotaapidipagina"/>
        </w:rPr>
        <w:footnoteRef/>
      </w:r>
      <w:r>
        <w:t xml:space="preserve"> </w:t>
      </w:r>
      <w:r w:rsidRPr="002756C5">
        <w:rPr>
          <w:color w:val="000000" w:themeColor="text1"/>
        </w:rPr>
        <w:t>1. 287. Rachele Silvestri, De Toma.</w:t>
      </w:r>
    </w:p>
    <w:p w:rsidR="008A08A2" w:rsidRDefault="008A08A2">
      <w:pPr>
        <w:pStyle w:val="Testonotaapidipagina"/>
      </w:pPr>
    </w:p>
  </w:footnote>
  <w:footnote w:id="8">
    <w:p w:rsidR="008A08A2" w:rsidRPr="002756C5" w:rsidRDefault="008A08A2" w:rsidP="00DF6578">
      <w:pPr>
        <w:jc w:val="both"/>
        <w:rPr>
          <w:color w:val="000000" w:themeColor="text1"/>
        </w:rPr>
      </w:pPr>
      <w:r>
        <w:rPr>
          <w:rStyle w:val="Rimandonotaapidipagina"/>
        </w:rPr>
        <w:footnoteRef/>
      </w:r>
      <w:r>
        <w:t xml:space="preserve"> </w:t>
      </w:r>
      <w:r w:rsidRPr="002756C5">
        <w:rPr>
          <w:color w:val="000000" w:themeColor="text1"/>
        </w:rPr>
        <w:t>1. 63. (Nuova formulazione) Fassina, Pastorino, Epifani, Bersani.</w:t>
      </w:r>
    </w:p>
    <w:p w:rsidR="008A08A2" w:rsidRDefault="008A08A2">
      <w:pPr>
        <w:pStyle w:val="Testonotaapidipagina"/>
      </w:pPr>
    </w:p>
  </w:footnote>
  <w:footnote w:id="9">
    <w:p w:rsidR="008A08A2" w:rsidRPr="002756C5" w:rsidRDefault="008A08A2" w:rsidP="00994F45">
      <w:pPr>
        <w:jc w:val="both"/>
        <w:rPr>
          <w:color w:val="000000" w:themeColor="text1"/>
        </w:rPr>
      </w:pPr>
      <w:r>
        <w:rPr>
          <w:rStyle w:val="Rimandonotaapidipagina"/>
        </w:rPr>
        <w:footnoteRef/>
      </w:r>
      <w:r>
        <w:t xml:space="preserve"> </w:t>
      </w:r>
      <w:r w:rsidRPr="002756C5">
        <w:rPr>
          <w:color w:val="000000" w:themeColor="text1"/>
        </w:rPr>
        <w:t>1. 60. (Nuova formulazione) Benamati, Topo, Pezzopane; 1. 62. (Nuova formulazione) Martino, Gelmini, Giacomoni, Cattaneo, Baratto, Angelucci, Giacometto, Porchietto, Barelli, Squeri, Carrara, Polidori, Fiorini, Della Frera.</w:t>
      </w:r>
    </w:p>
    <w:p w:rsidR="008A08A2" w:rsidRDefault="008A08A2">
      <w:pPr>
        <w:pStyle w:val="Testonotaapidipagina"/>
      </w:pPr>
    </w:p>
  </w:footnote>
  <w:footnote w:id="10">
    <w:p w:rsidR="008A08A2" w:rsidRPr="002756C5" w:rsidRDefault="008A08A2" w:rsidP="00525326">
      <w:pPr>
        <w:jc w:val="both"/>
        <w:rPr>
          <w:color w:val="000000" w:themeColor="text1"/>
        </w:rPr>
      </w:pPr>
      <w:r>
        <w:rPr>
          <w:rStyle w:val="Rimandonotaapidipagina"/>
        </w:rPr>
        <w:footnoteRef/>
      </w:r>
      <w:r>
        <w:t xml:space="preserve"> </w:t>
      </w:r>
      <w:r w:rsidRPr="002756C5">
        <w:rPr>
          <w:color w:val="000000" w:themeColor="text1"/>
        </w:rPr>
        <w:t>1. 113. Raduzzi; 1. 250. Mollicone, Osnato, Zucconi, Bignami, Acquaroli, Baldini.</w:t>
      </w:r>
    </w:p>
    <w:p w:rsidR="008A08A2" w:rsidRDefault="008A08A2">
      <w:pPr>
        <w:pStyle w:val="Testonotaapidipagina"/>
      </w:pPr>
    </w:p>
  </w:footnote>
  <w:footnote w:id="11">
    <w:p w:rsidR="008A08A2" w:rsidRPr="002756C5" w:rsidRDefault="008A08A2" w:rsidP="0005286F">
      <w:pPr>
        <w:jc w:val="both"/>
        <w:rPr>
          <w:color w:val="000000" w:themeColor="text1"/>
        </w:rPr>
      </w:pPr>
      <w:r>
        <w:rPr>
          <w:rStyle w:val="Rimandonotaapidipagina"/>
        </w:rPr>
        <w:footnoteRef/>
      </w:r>
      <w:r>
        <w:t xml:space="preserve"> </w:t>
      </w:r>
      <w:r w:rsidRPr="002756C5">
        <w:rPr>
          <w:color w:val="000000" w:themeColor="text1"/>
        </w:rPr>
        <w:t>1. 104. (Nuova formulazione) Zardini, Pezzopane.</w:t>
      </w:r>
    </w:p>
    <w:p w:rsidR="008A08A2" w:rsidRDefault="008A08A2">
      <w:pPr>
        <w:pStyle w:val="Testonotaapidipagina"/>
      </w:pPr>
    </w:p>
  </w:footnote>
  <w:footnote w:id="12">
    <w:p w:rsidR="008A08A2" w:rsidRPr="00224886" w:rsidRDefault="008A08A2" w:rsidP="003F43DE">
      <w:pPr>
        <w:jc w:val="both"/>
        <w:rPr>
          <w:color w:val="000000" w:themeColor="text1"/>
        </w:rPr>
      </w:pPr>
      <w:r>
        <w:rPr>
          <w:rStyle w:val="Rimandonotaapidipagina"/>
        </w:rPr>
        <w:footnoteRef/>
      </w:r>
      <w:r>
        <w:t xml:space="preserve"> </w:t>
      </w:r>
      <w:r w:rsidRPr="00224886">
        <w:rPr>
          <w:color w:val="000000" w:themeColor="text1"/>
        </w:rPr>
        <w:t>1. 210. (Nuova formulazione) Cattaneo, Giacomoni, Martino, Baratto, Angelucci, Giacometto, Porchietto, Barelli, Fiorini, Squeri, Polidori, Carrara, Della Frera.</w:t>
      </w:r>
    </w:p>
    <w:p w:rsidR="008A08A2" w:rsidRDefault="008A08A2">
      <w:pPr>
        <w:pStyle w:val="Testonotaapidipagina"/>
      </w:pPr>
    </w:p>
  </w:footnote>
  <w:footnote w:id="13">
    <w:p w:rsidR="008A08A2" w:rsidRPr="00224886" w:rsidRDefault="008A08A2" w:rsidP="0039147F">
      <w:pPr>
        <w:jc w:val="both"/>
        <w:rPr>
          <w:color w:val="000000" w:themeColor="text1"/>
        </w:rPr>
      </w:pPr>
      <w:r>
        <w:rPr>
          <w:rStyle w:val="Rimandonotaapidipagina"/>
        </w:rPr>
        <w:footnoteRef/>
      </w:r>
      <w:r>
        <w:t xml:space="preserve"> </w:t>
      </w:r>
      <w:r w:rsidRPr="00224886">
        <w:rPr>
          <w:color w:val="000000" w:themeColor="text1"/>
        </w:rPr>
        <w:t>1. 145. (Nuova formulazione) Nevi, Fiorini, Porchietto, Martino, Giacomoni, Cattaneo, Baratto, Angelucci, Giacometto, Squeri, Polidori, Carrara, Della Frera, Barelli; 1. 150. (Nuova formulazione) Fiorini; 1. 151. (Nuova formulazione) Centemero, Bitonci, Cavandoli, Covolo, Gerardi, Gusmeroli, Alessandro Pagano, Paternoster, Tarantino; 1. 316. (Nuova formulazione) Osnato, Zucconi, Bignami, Baldini.</w:t>
      </w:r>
    </w:p>
    <w:p w:rsidR="008A08A2" w:rsidRDefault="008A08A2">
      <w:pPr>
        <w:pStyle w:val="Testonotaapidipagina"/>
      </w:pPr>
    </w:p>
  </w:footnote>
  <w:footnote w:id="14">
    <w:p w:rsidR="008A08A2" w:rsidRPr="00A30F5D" w:rsidRDefault="008A08A2" w:rsidP="00971381">
      <w:pPr>
        <w:jc w:val="both"/>
        <w:rPr>
          <w:color w:val="000000" w:themeColor="text1"/>
        </w:rPr>
      </w:pPr>
      <w:r>
        <w:rPr>
          <w:rStyle w:val="Rimandonotaapidipagina"/>
        </w:rPr>
        <w:footnoteRef/>
      </w:r>
      <w:r>
        <w:t xml:space="preserve"> </w:t>
      </w:r>
      <w:r w:rsidRPr="00A30F5D">
        <w:rPr>
          <w:color w:val="000000" w:themeColor="text1"/>
        </w:rPr>
        <w:t>1. 323. I Relatori.</w:t>
      </w:r>
    </w:p>
    <w:p w:rsidR="008A08A2" w:rsidRDefault="008A08A2">
      <w:pPr>
        <w:pStyle w:val="Testonotaapidipagina"/>
      </w:pPr>
    </w:p>
  </w:footnote>
  <w:footnote w:id="15">
    <w:p w:rsidR="008A08A2" w:rsidRPr="00A30F5D" w:rsidRDefault="008A08A2" w:rsidP="00A34AE9">
      <w:pPr>
        <w:jc w:val="both"/>
        <w:rPr>
          <w:color w:val="000000" w:themeColor="text1"/>
        </w:rPr>
      </w:pPr>
      <w:r>
        <w:rPr>
          <w:rStyle w:val="Rimandonotaapidipagina"/>
        </w:rPr>
        <w:footnoteRef/>
      </w:r>
      <w:r>
        <w:t xml:space="preserve"> </w:t>
      </w:r>
      <w:r w:rsidRPr="00A30F5D">
        <w:rPr>
          <w:color w:val="000000" w:themeColor="text1"/>
        </w:rPr>
        <w:t>1. 322. I Relatori.</w:t>
      </w:r>
    </w:p>
    <w:p w:rsidR="008A08A2" w:rsidRDefault="008A08A2">
      <w:pPr>
        <w:pStyle w:val="Testonotaapidipagina"/>
      </w:pPr>
    </w:p>
  </w:footnote>
  <w:footnote w:id="16">
    <w:p w:rsidR="008A08A2" w:rsidRPr="00224886" w:rsidRDefault="008A08A2" w:rsidP="00B20235">
      <w:pPr>
        <w:jc w:val="both"/>
        <w:rPr>
          <w:color w:val="000000" w:themeColor="text1"/>
        </w:rPr>
      </w:pPr>
      <w:r>
        <w:rPr>
          <w:rStyle w:val="Rimandonotaapidipagina"/>
        </w:rPr>
        <w:footnoteRef/>
      </w:r>
      <w:r>
        <w:t xml:space="preserve"> </w:t>
      </w:r>
      <w:r w:rsidRPr="00224886">
        <w:rPr>
          <w:color w:val="000000" w:themeColor="text1"/>
        </w:rPr>
        <w:t>1. 210. (Nuova formulazione) Cattaneo, Giacomoni, Martino, Baratto, Angelucci, Giacometto, Porchietto, Barelli, Fiorini, Squeri, Polidori, Carrara, Della Frera.</w:t>
      </w:r>
    </w:p>
    <w:p w:rsidR="008A08A2" w:rsidRDefault="008A08A2">
      <w:pPr>
        <w:pStyle w:val="Testonotaapidipagina"/>
      </w:pPr>
    </w:p>
  </w:footnote>
  <w:footnote w:id="17">
    <w:p w:rsidR="008A08A2" w:rsidRPr="003A07A9" w:rsidRDefault="008A08A2" w:rsidP="0028362B">
      <w:pPr>
        <w:jc w:val="both"/>
        <w:rPr>
          <w:color w:val="000000" w:themeColor="text1"/>
        </w:rPr>
      </w:pPr>
      <w:r>
        <w:rPr>
          <w:rStyle w:val="Rimandonotaapidipagina"/>
        </w:rPr>
        <w:footnoteRef/>
      </w:r>
      <w:r>
        <w:t xml:space="preserve"> </w:t>
      </w:r>
      <w:r w:rsidRPr="003A07A9">
        <w:rPr>
          <w:color w:val="000000" w:themeColor="text1"/>
        </w:rPr>
        <w:t xml:space="preserve">1. 030. </w:t>
      </w:r>
      <w:proofErr w:type="gramStart"/>
      <w:r w:rsidRPr="003A07A9">
        <w:rPr>
          <w:color w:val="000000" w:themeColor="text1"/>
        </w:rPr>
        <w:t>(ex</w:t>
      </w:r>
      <w:proofErr w:type="gramEnd"/>
      <w:r w:rsidRPr="003A07A9">
        <w:rPr>
          <w:color w:val="000000" w:themeColor="text1"/>
        </w:rPr>
        <w:t xml:space="preserve"> 01. 02) (Nuova formulazione)  Lupi, Colucci, Sangregorio, Tondo; </w:t>
      </w:r>
      <w:proofErr w:type="gramStart"/>
      <w:r w:rsidRPr="003A07A9">
        <w:rPr>
          <w:color w:val="000000" w:themeColor="text1"/>
        </w:rPr>
        <w:t>1</w:t>
      </w:r>
      <w:proofErr w:type="gramEnd"/>
      <w:r w:rsidRPr="003A07A9">
        <w:rPr>
          <w:color w:val="000000" w:themeColor="text1"/>
        </w:rPr>
        <w:t xml:space="preserve">. 031. (ex </w:t>
      </w:r>
      <w:proofErr w:type="gramStart"/>
      <w:r w:rsidRPr="003A07A9">
        <w:rPr>
          <w:color w:val="000000" w:themeColor="text1"/>
        </w:rPr>
        <w:t>1</w:t>
      </w:r>
      <w:proofErr w:type="gramEnd"/>
      <w:r w:rsidRPr="003A07A9">
        <w:rPr>
          <w:color w:val="000000" w:themeColor="text1"/>
        </w:rPr>
        <w:t xml:space="preserve">. 26) (Nuova formulazione) Giacomoni, Martino, Cattaneo, Baratto, Angelucci, Giacometto, Porchietto, Barelli, Fiorini, Squeri, Polidori, Carrara, Della Frera; 1. 032. (ex </w:t>
      </w:r>
      <w:proofErr w:type="gramStart"/>
      <w:r w:rsidRPr="003A07A9">
        <w:rPr>
          <w:color w:val="000000" w:themeColor="text1"/>
        </w:rPr>
        <w:t>1</w:t>
      </w:r>
      <w:proofErr w:type="gramEnd"/>
      <w:r w:rsidRPr="003A07A9">
        <w:rPr>
          <w:color w:val="000000" w:themeColor="text1"/>
        </w:rPr>
        <w:t xml:space="preserve">. 28) (Nuova formulazione)  Ubaldo Pagano; </w:t>
      </w:r>
      <w:proofErr w:type="gramStart"/>
      <w:r w:rsidRPr="003A07A9">
        <w:rPr>
          <w:color w:val="000000" w:themeColor="text1"/>
        </w:rPr>
        <w:t>1</w:t>
      </w:r>
      <w:proofErr w:type="gramEnd"/>
      <w:r w:rsidRPr="003A07A9">
        <w:rPr>
          <w:color w:val="000000" w:themeColor="text1"/>
        </w:rPr>
        <w:t xml:space="preserve">. 033. (ex </w:t>
      </w:r>
      <w:proofErr w:type="gramStart"/>
      <w:r w:rsidRPr="003A07A9">
        <w:rPr>
          <w:color w:val="000000" w:themeColor="text1"/>
        </w:rPr>
        <w:t>1</w:t>
      </w:r>
      <w:proofErr w:type="gramEnd"/>
      <w:r w:rsidRPr="003A07A9">
        <w:rPr>
          <w:color w:val="000000" w:themeColor="text1"/>
        </w:rPr>
        <w:t xml:space="preserve">. 224) (Nuova formulazione)  Melilli; </w:t>
      </w:r>
      <w:proofErr w:type="gramStart"/>
      <w:r w:rsidRPr="003A07A9">
        <w:rPr>
          <w:color w:val="000000" w:themeColor="text1"/>
        </w:rPr>
        <w:t>1</w:t>
      </w:r>
      <w:proofErr w:type="gramEnd"/>
      <w:r w:rsidRPr="003A07A9">
        <w:rPr>
          <w:color w:val="000000" w:themeColor="text1"/>
        </w:rPr>
        <w:t xml:space="preserve">. 034. (ex </w:t>
      </w:r>
      <w:proofErr w:type="gramStart"/>
      <w:r w:rsidRPr="003A07A9">
        <w:rPr>
          <w:color w:val="000000" w:themeColor="text1"/>
        </w:rPr>
        <w:t>1</w:t>
      </w:r>
      <w:proofErr w:type="gramEnd"/>
      <w:r w:rsidRPr="003A07A9">
        <w:rPr>
          <w:color w:val="000000" w:themeColor="text1"/>
        </w:rPr>
        <w:t xml:space="preserve">. 130) (Nuova formulazione)  Buratti, Mancini, Mura; </w:t>
      </w:r>
      <w:proofErr w:type="gramStart"/>
      <w:r w:rsidRPr="003A07A9">
        <w:rPr>
          <w:color w:val="000000" w:themeColor="text1"/>
        </w:rPr>
        <w:t>1</w:t>
      </w:r>
      <w:proofErr w:type="gramEnd"/>
      <w:r w:rsidRPr="003A07A9">
        <w:rPr>
          <w:color w:val="000000" w:themeColor="text1"/>
        </w:rPr>
        <w:t xml:space="preserve">. 035. (ex </w:t>
      </w:r>
      <w:proofErr w:type="gramStart"/>
      <w:r w:rsidRPr="003A07A9">
        <w:rPr>
          <w:color w:val="000000" w:themeColor="text1"/>
        </w:rPr>
        <w:t>1</w:t>
      </w:r>
      <w:proofErr w:type="gramEnd"/>
      <w:r w:rsidRPr="003A07A9">
        <w:rPr>
          <w:color w:val="000000" w:themeColor="text1"/>
        </w:rPr>
        <w:t xml:space="preserve">. 38) (Nuova formulazione) Lattanzio; 1. 036. (ex </w:t>
      </w:r>
      <w:proofErr w:type="gramStart"/>
      <w:r w:rsidRPr="003A07A9">
        <w:rPr>
          <w:color w:val="000000" w:themeColor="text1"/>
        </w:rPr>
        <w:t>1</w:t>
      </w:r>
      <w:proofErr w:type="gramEnd"/>
      <w:r w:rsidRPr="003A07A9">
        <w:rPr>
          <w:color w:val="000000" w:themeColor="text1"/>
        </w:rPr>
        <w:t xml:space="preserve">. 79) (Nuova formulazione) Pastorino, Bersani; 1. 037. (ex </w:t>
      </w:r>
      <w:proofErr w:type="gramStart"/>
      <w:r w:rsidRPr="003A07A9">
        <w:rPr>
          <w:color w:val="000000" w:themeColor="text1"/>
        </w:rPr>
        <w:t>1</w:t>
      </w:r>
      <w:proofErr w:type="gramEnd"/>
      <w:r w:rsidRPr="003A07A9">
        <w:rPr>
          <w:color w:val="000000" w:themeColor="text1"/>
        </w:rPr>
        <w:t xml:space="preserve">. 152) (Nuova formulazione)  Ungaro; </w:t>
      </w:r>
      <w:proofErr w:type="gramStart"/>
      <w:r w:rsidRPr="003A07A9">
        <w:rPr>
          <w:color w:val="000000" w:themeColor="text1"/>
        </w:rPr>
        <w:t>1</w:t>
      </w:r>
      <w:proofErr w:type="gramEnd"/>
      <w:r w:rsidRPr="003A07A9">
        <w:rPr>
          <w:color w:val="000000" w:themeColor="text1"/>
        </w:rPr>
        <w:t xml:space="preserve">. 042. (ex </w:t>
      </w:r>
      <w:proofErr w:type="gramStart"/>
      <w:r w:rsidRPr="003A07A9">
        <w:rPr>
          <w:color w:val="000000" w:themeColor="text1"/>
        </w:rPr>
        <w:t>1</w:t>
      </w:r>
      <w:proofErr w:type="gramEnd"/>
      <w:r w:rsidRPr="003A07A9">
        <w:rPr>
          <w:color w:val="000000" w:themeColor="text1"/>
        </w:rPr>
        <w:t xml:space="preserve">. 236) (Nuova formulazione)  Berardini, Torto, Baldino, De Girolamo; </w:t>
      </w:r>
      <w:proofErr w:type="gramStart"/>
      <w:r w:rsidRPr="003A07A9">
        <w:rPr>
          <w:color w:val="000000" w:themeColor="text1"/>
        </w:rPr>
        <w:t>1</w:t>
      </w:r>
      <w:proofErr w:type="gramEnd"/>
      <w:r w:rsidRPr="003A07A9">
        <w:rPr>
          <w:color w:val="000000" w:themeColor="text1"/>
        </w:rPr>
        <w:t xml:space="preserve">. 038. (ex </w:t>
      </w:r>
      <w:proofErr w:type="gramStart"/>
      <w:r w:rsidRPr="003A07A9">
        <w:rPr>
          <w:color w:val="000000" w:themeColor="text1"/>
        </w:rPr>
        <w:t>1</w:t>
      </w:r>
      <w:proofErr w:type="gramEnd"/>
      <w:r w:rsidRPr="003A07A9">
        <w:rPr>
          <w:color w:val="000000" w:themeColor="text1"/>
        </w:rPr>
        <w:t xml:space="preserve">. 180) (Nuova formulazione)  Davide Aiello, Salafia, Caso, Lattanzio, Migliorino, Nesci, Piera Aiello, Ascari, Baldino; </w:t>
      </w:r>
      <w:proofErr w:type="gramStart"/>
      <w:r w:rsidRPr="003A07A9">
        <w:rPr>
          <w:color w:val="000000" w:themeColor="text1"/>
        </w:rPr>
        <w:t>1</w:t>
      </w:r>
      <w:proofErr w:type="gramEnd"/>
      <w:r w:rsidRPr="003A07A9">
        <w:rPr>
          <w:color w:val="000000" w:themeColor="text1"/>
        </w:rPr>
        <w:t xml:space="preserve">. 041. (ex </w:t>
      </w:r>
      <w:proofErr w:type="gramStart"/>
      <w:r w:rsidRPr="003A07A9">
        <w:rPr>
          <w:color w:val="000000" w:themeColor="text1"/>
        </w:rPr>
        <w:t>13</w:t>
      </w:r>
      <w:proofErr w:type="gramEnd"/>
      <w:r w:rsidRPr="003A07A9">
        <w:rPr>
          <w:color w:val="000000" w:themeColor="text1"/>
        </w:rPr>
        <w:t xml:space="preserve">. 36) (Nuova formulazione)  Dori, Piera Aiello, Ascari, Barbuto, Cataldi, Di Sarro, D'Orso, Giuliano, Palmisano, Perantoni, Saitta, Salafia, Sarti, Scutellà; </w:t>
      </w:r>
      <w:proofErr w:type="gramStart"/>
      <w:r w:rsidRPr="003A07A9">
        <w:rPr>
          <w:color w:val="000000" w:themeColor="text1"/>
        </w:rPr>
        <w:t>1</w:t>
      </w:r>
      <w:proofErr w:type="gramEnd"/>
      <w:r w:rsidRPr="003A07A9">
        <w:rPr>
          <w:color w:val="000000" w:themeColor="text1"/>
        </w:rPr>
        <w:t xml:space="preserve">. 040. (ex </w:t>
      </w:r>
      <w:proofErr w:type="gramStart"/>
      <w:r w:rsidRPr="003A07A9">
        <w:rPr>
          <w:color w:val="000000" w:themeColor="text1"/>
        </w:rPr>
        <w:t>14</w:t>
      </w:r>
      <w:proofErr w:type="gramEnd"/>
      <w:r w:rsidRPr="003A07A9">
        <w:rPr>
          <w:color w:val="000000" w:themeColor="text1"/>
        </w:rPr>
        <w:t>. 0122) (Nuova formulazione</w:t>
      </w:r>
      <w:proofErr w:type="gramStart"/>
      <w:r w:rsidRPr="003A07A9">
        <w:rPr>
          <w:color w:val="000000" w:themeColor="text1"/>
        </w:rPr>
        <w:t>)</w:t>
      </w:r>
      <w:proofErr w:type="gramEnd"/>
      <w:r w:rsidRPr="003A07A9">
        <w:rPr>
          <w:color w:val="000000" w:themeColor="text1"/>
        </w:rPr>
        <w:t xml:space="preserve">  Rotta, Buratti, Topo, Pezzopane.</w:t>
      </w:r>
    </w:p>
    <w:p w:rsidR="008A08A2" w:rsidRDefault="008A08A2">
      <w:pPr>
        <w:pStyle w:val="Testonotaapidipagina"/>
      </w:pPr>
    </w:p>
  </w:footnote>
  <w:footnote w:id="18">
    <w:p w:rsidR="008A08A2" w:rsidRPr="007E05D3" w:rsidRDefault="008A08A2" w:rsidP="00C31801">
      <w:pPr>
        <w:jc w:val="both"/>
        <w:rPr>
          <w:color w:val="000000" w:themeColor="text1"/>
        </w:rPr>
      </w:pPr>
      <w:r>
        <w:rPr>
          <w:rStyle w:val="Rimandonotaapidipagina"/>
        </w:rPr>
        <w:footnoteRef/>
      </w:r>
      <w:r>
        <w:t xml:space="preserve"> </w:t>
      </w:r>
      <w:r w:rsidRPr="007E05D3">
        <w:rPr>
          <w:color w:val="000000" w:themeColor="text1"/>
        </w:rPr>
        <w:t xml:space="preserve">1. 023. (Nuova formulazione) Gadda, Moretto; 1. 029. (ex </w:t>
      </w:r>
      <w:proofErr w:type="gramStart"/>
      <w:r w:rsidRPr="007E05D3">
        <w:rPr>
          <w:color w:val="000000" w:themeColor="text1"/>
        </w:rPr>
        <w:t>13</w:t>
      </w:r>
      <w:proofErr w:type="gramEnd"/>
      <w:r w:rsidRPr="007E05D3">
        <w:rPr>
          <w:color w:val="000000" w:themeColor="text1"/>
        </w:rPr>
        <w:t>. 0177) (Nuova formulazione</w:t>
      </w:r>
      <w:proofErr w:type="gramStart"/>
      <w:r w:rsidRPr="007E05D3">
        <w:rPr>
          <w:color w:val="000000" w:themeColor="text1"/>
        </w:rPr>
        <w:t>)</w:t>
      </w:r>
      <w:proofErr w:type="gramEnd"/>
      <w:r w:rsidRPr="007E05D3">
        <w:rPr>
          <w:color w:val="000000" w:themeColor="text1"/>
        </w:rPr>
        <w:t xml:space="preserve">  Viviani, Bubisutti, Gastaldi, Golinelli, Liuni, Lolini, Loss, Manzato, Patassini, Andreuzza, Binelli, Colla, Dara, Galli, Guidesi, Tazi, Piastra, Cestari.</w:t>
      </w:r>
    </w:p>
    <w:p w:rsidR="008A08A2" w:rsidRDefault="008A08A2">
      <w:pPr>
        <w:pStyle w:val="Testonotaapidipagina"/>
      </w:pPr>
    </w:p>
  </w:footnote>
  <w:footnote w:id="19">
    <w:p w:rsidR="008A08A2" w:rsidRPr="00224886" w:rsidRDefault="008A08A2" w:rsidP="00564A0B">
      <w:pPr>
        <w:jc w:val="both"/>
        <w:rPr>
          <w:color w:val="000000" w:themeColor="text1"/>
          <w:sz w:val="24"/>
          <w:szCs w:val="24"/>
        </w:rPr>
      </w:pPr>
      <w:r>
        <w:rPr>
          <w:rStyle w:val="Rimandonotaapidipagina"/>
        </w:rPr>
        <w:footnoteRef/>
      </w:r>
      <w:r>
        <w:t xml:space="preserve"> </w:t>
      </w:r>
      <w:r w:rsidRPr="00DE004D">
        <w:rPr>
          <w:color w:val="000000" w:themeColor="text1"/>
        </w:rPr>
        <w:t>0. 2. 7. 2. Paolo Russo, Gelmini, Giacomoni, Martino, Cattaneo, Baratto, Angelucci, Giacometto, Porchietto, Barelli, Squeri, Carrara, Polidori, Della Frera, Occhiuto, Prestigiacomo, D'Attis, Spena, Tartaglione</w:t>
      </w:r>
      <w:r w:rsidRPr="00224886">
        <w:rPr>
          <w:color w:val="000000" w:themeColor="text1"/>
          <w:sz w:val="24"/>
          <w:szCs w:val="24"/>
        </w:rPr>
        <w:t>.</w:t>
      </w:r>
    </w:p>
    <w:p w:rsidR="008A08A2" w:rsidRDefault="008A08A2">
      <w:pPr>
        <w:pStyle w:val="Testonotaapidipagina"/>
      </w:pPr>
    </w:p>
  </w:footnote>
  <w:footnote w:id="20">
    <w:p w:rsidR="008A08A2" w:rsidRPr="00DE004D" w:rsidRDefault="008A08A2" w:rsidP="00564A0B">
      <w:pPr>
        <w:jc w:val="both"/>
        <w:rPr>
          <w:color w:val="000000" w:themeColor="text1"/>
        </w:rPr>
      </w:pPr>
      <w:r>
        <w:rPr>
          <w:rStyle w:val="Rimandonotaapidipagina"/>
        </w:rPr>
        <w:footnoteRef/>
      </w:r>
      <w:r>
        <w:t xml:space="preserve"> </w:t>
      </w:r>
      <w:r w:rsidRPr="00DE004D">
        <w:rPr>
          <w:color w:val="000000" w:themeColor="text1"/>
        </w:rPr>
        <w:t>0. 2. 7. 3. Gastaldi, Viviani, Bubisutti, Golinelli, Liuni, Lolini, Loss, Manzato, Patassini, Andreuzza, Binelli, Colla, Dara, Galli, Guidesi, Pettazzi, Piastra, Cestari.</w:t>
      </w:r>
    </w:p>
    <w:p w:rsidR="008A08A2" w:rsidRDefault="008A08A2">
      <w:pPr>
        <w:pStyle w:val="Testonotaapidipagina"/>
      </w:pPr>
    </w:p>
  </w:footnote>
  <w:footnote w:id="21">
    <w:p w:rsidR="008A08A2" w:rsidRPr="00DE004D" w:rsidRDefault="008A08A2" w:rsidP="0037282C">
      <w:pPr>
        <w:jc w:val="both"/>
        <w:rPr>
          <w:color w:val="000000" w:themeColor="text1"/>
        </w:rPr>
      </w:pPr>
      <w:r>
        <w:rPr>
          <w:rStyle w:val="Rimandonotaapidipagina"/>
        </w:rPr>
        <w:footnoteRef/>
      </w:r>
      <w:r>
        <w:t xml:space="preserve"> </w:t>
      </w:r>
      <w:r w:rsidRPr="00DE004D">
        <w:rPr>
          <w:color w:val="000000" w:themeColor="text1"/>
        </w:rPr>
        <w:t>0. 2. 7. 4. Gelmini, Fiorini, Perego Di Cremnago, Giacomoni, Martino, Cattaneo, Baratto, Angelucci, Giacometto, Porchietto, Barelli, Squeri, Carrara, Polidori, Della Frera, Occhiuto, Prestigiacomo, D'Attis, Paolo Russo, Tartaglione.</w:t>
      </w:r>
    </w:p>
    <w:p w:rsidR="008A08A2" w:rsidRDefault="008A08A2">
      <w:pPr>
        <w:pStyle w:val="Testonotaapidipagina"/>
      </w:pPr>
    </w:p>
  </w:footnote>
  <w:footnote w:id="22">
    <w:p w:rsidR="008A08A2" w:rsidRPr="00DE004D" w:rsidRDefault="008A08A2" w:rsidP="009968B3">
      <w:pPr>
        <w:jc w:val="both"/>
        <w:rPr>
          <w:color w:val="000000" w:themeColor="text1"/>
        </w:rPr>
      </w:pPr>
      <w:r>
        <w:rPr>
          <w:rStyle w:val="Rimandonotaapidipagina"/>
        </w:rPr>
        <w:footnoteRef/>
      </w:r>
      <w:r>
        <w:t xml:space="preserve"> </w:t>
      </w:r>
      <w:r w:rsidRPr="00DE004D">
        <w:rPr>
          <w:color w:val="000000" w:themeColor="text1"/>
        </w:rPr>
        <w:t>0. 2. 7. 5. Paolo Russo, Gelmini, Giacomoni, Martino, Cattaneo, Baratto, Angelucci, Giacometto, Porchietto, Barelli, Squeri, Carrara, Polidori, Della Frera, Occhiuto, Prestigiacomo, D'Attis, Spena, Tartaglione, Fiorini.</w:t>
      </w:r>
    </w:p>
    <w:p w:rsidR="008A08A2" w:rsidRDefault="008A08A2">
      <w:pPr>
        <w:pStyle w:val="Testonotaapidipagina"/>
      </w:pPr>
    </w:p>
  </w:footnote>
  <w:footnote w:id="23">
    <w:p w:rsidR="008A08A2" w:rsidRPr="00DE004D" w:rsidRDefault="008A08A2" w:rsidP="007E050F">
      <w:pPr>
        <w:jc w:val="both"/>
        <w:rPr>
          <w:color w:val="000000" w:themeColor="text1"/>
        </w:rPr>
      </w:pPr>
      <w:r>
        <w:rPr>
          <w:rStyle w:val="Rimandonotaapidipagina"/>
        </w:rPr>
        <w:footnoteRef/>
      </w:r>
      <w:r>
        <w:t xml:space="preserve"> </w:t>
      </w:r>
      <w:r w:rsidRPr="00DE004D">
        <w:rPr>
          <w:color w:val="000000" w:themeColor="text1"/>
        </w:rPr>
        <w:t>0. 2. 7. 6. Ungaro, Carè, Fitzgerald Nissoli, La Marca, Schirò, Siragusa.</w:t>
      </w:r>
    </w:p>
    <w:p w:rsidR="008A08A2" w:rsidRDefault="008A08A2">
      <w:pPr>
        <w:pStyle w:val="Testonotaapidipagina"/>
      </w:pPr>
    </w:p>
  </w:footnote>
  <w:footnote w:id="24">
    <w:p w:rsidR="008A08A2" w:rsidRPr="00DE004D" w:rsidRDefault="008A08A2" w:rsidP="004F3B9F">
      <w:pPr>
        <w:jc w:val="both"/>
        <w:rPr>
          <w:color w:val="000000" w:themeColor="text1"/>
        </w:rPr>
      </w:pPr>
      <w:r>
        <w:rPr>
          <w:rStyle w:val="Rimandonotaapidipagina"/>
        </w:rPr>
        <w:footnoteRef/>
      </w:r>
      <w:r>
        <w:t xml:space="preserve"> </w:t>
      </w:r>
      <w:r w:rsidRPr="00DE004D">
        <w:rPr>
          <w:color w:val="000000" w:themeColor="text1"/>
        </w:rPr>
        <w:t>0. 2. 7. 7. Paolo Russo, Gelmini, Giacomoni, Martino, Cattaneo, Baratto, Angelucci, Giacometto, Porchietto, Barelli, Squeri, Carrara, Polidori, Della Frera, Occhiuto, Prestigiacomo, D'Attis, Tartaglione, Fiorini.</w:t>
      </w:r>
    </w:p>
    <w:p w:rsidR="008A08A2" w:rsidRDefault="008A08A2">
      <w:pPr>
        <w:pStyle w:val="Testonotaapidipagina"/>
      </w:pPr>
    </w:p>
  </w:footnote>
  <w:footnote w:id="25">
    <w:p w:rsidR="008A08A2" w:rsidRPr="00DE004D" w:rsidRDefault="008A08A2" w:rsidP="002F1EE7">
      <w:pPr>
        <w:jc w:val="both"/>
        <w:rPr>
          <w:color w:val="000000" w:themeColor="text1"/>
        </w:rPr>
      </w:pPr>
      <w:r>
        <w:rPr>
          <w:rStyle w:val="Rimandonotaapidipagina"/>
        </w:rPr>
        <w:footnoteRef/>
      </w:r>
      <w:r>
        <w:t xml:space="preserve"> </w:t>
      </w:r>
      <w:r w:rsidRPr="00DE004D">
        <w:rPr>
          <w:color w:val="000000" w:themeColor="text1"/>
        </w:rPr>
        <w:t>2. 7. I Relatori.</w:t>
      </w:r>
    </w:p>
    <w:p w:rsidR="008A08A2" w:rsidRDefault="008A08A2">
      <w:pPr>
        <w:pStyle w:val="Testonotaapidipagina"/>
      </w:pPr>
    </w:p>
  </w:footnote>
  <w:footnote w:id="26">
    <w:p w:rsidR="008A08A2" w:rsidRPr="00DE004D" w:rsidRDefault="008A08A2" w:rsidP="004F3B9F">
      <w:pPr>
        <w:jc w:val="both"/>
        <w:rPr>
          <w:color w:val="000000" w:themeColor="text1"/>
        </w:rPr>
      </w:pPr>
      <w:r>
        <w:rPr>
          <w:rStyle w:val="Rimandonotaapidipagina"/>
        </w:rPr>
        <w:footnoteRef/>
      </w:r>
      <w:r>
        <w:t xml:space="preserve"> </w:t>
      </w:r>
      <w:r w:rsidRPr="00DE004D">
        <w:rPr>
          <w:color w:val="000000" w:themeColor="text1"/>
        </w:rPr>
        <w:t>0. 2. 7. 9. Andreuzza, Binelli, Colla, Dara, Galli, Guidesi, Pettazzi, Piastra.</w:t>
      </w:r>
    </w:p>
    <w:p w:rsidR="008A08A2" w:rsidRDefault="008A08A2">
      <w:pPr>
        <w:pStyle w:val="Testonotaapidipagina"/>
      </w:pPr>
    </w:p>
  </w:footnote>
  <w:footnote w:id="27">
    <w:p w:rsidR="008A08A2" w:rsidRPr="00F33854" w:rsidRDefault="008A08A2" w:rsidP="00786639">
      <w:pPr>
        <w:jc w:val="both"/>
        <w:rPr>
          <w:color w:val="000000" w:themeColor="text1"/>
        </w:rPr>
      </w:pPr>
      <w:r>
        <w:rPr>
          <w:rStyle w:val="Rimandonotaapidipagina"/>
        </w:rPr>
        <w:footnoteRef/>
      </w:r>
      <w:r>
        <w:t xml:space="preserve"> </w:t>
      </w:r>
      <w:r w:rsidRPr="00F33854">
        <w:rPr>
          <w:color w:val="000000" w:themeColor="text1"/>
        </w:rPr>
        <w:t>2. 8. I Relatori.</w:t>
      </w:r>
    </w:p>
    <w:p w:rsidR="008A08A2" w:rsidRDefault="008A08A2">
      <w:pPr>
        <w:pStyle w:val="Testonotaapidipagina"/>
      </w:pPr>
    </w:p>
  </w:footnote>
  <w:footnote w:id="28">
    <w:p w:rsidR="008A08A2" w:rsidRPr="00F6464F" w:rsidRDefault="008A08A2" w:rsidP="00FA77CE">
      <w:pPr>
        <w:jc w:val="both"/>
        <w:rPr>
          <w:color w:val="000000" w:themeColor="text1"/>
        </w:rPr>
      </w:pPr>
      <w:r>
        <w:rPr>
          <w:rStyle w:val="Rimandonotaapidipagina"/>
        </w:rPr>
        <w:footnoteRef/>
      </w:r>
      <w:r>
        <w:t xml:space="preserve"> </w:t>
      </w:r>
      <w:r w:rsidRPr="00F6464F">
        <w:rPr>
          <w:color w:val="000000" w:themeColor="text1"/>
        </w:rPr>
        <w:t>3. 7. (Nuova formulazione) Giacomoni, Colucci.</w:t>
      </w:r>
    </w:p>
    <w:p w:rsidR="008A08A2" w:rsidRDefault="008A08A2">
      <w:pPr>
        <w:pStyle w:val="Testonotaapidipagina"/>
      </w:pPr>
    </w:p>
  </w:footnote>
  <w:footnote w:id="29">
    <w:p w:rsidR="008A08A2" w:rsidRPr="00F33854" w:rsidRDefault="008A08A2" w:rsidP="00897768">
      <w:pPr>
        <w:jc w:val="both"/>
        <w:rPr>
          <w:color w:val="000000" w:themeColor="text1"/>
        </w:rPr>
      </w:pPr>
      <w:r>
        <w:rPr>
          <w:rStyle w:val="Rimandonotaapidipagina"/>
        </w:rPr>
        <w:footnoteRef/>
      </w:r>
      <w:r>
        <w:t xml:space="preserve"> </w:t>
      </w:r>
      <w:r w:rsidRPr="00F33854">
        <w:rPr>
          <w:color w:val="000000" w:themeColor="text1"/>
        </w:rPr>
        <w:t>4. 02. Caso, Baldino, Piera Aiello, Davide Aiello, Ascari, Lattanzio, Migliorino, Nesci, Salafia, Alaimo, Berti, Bilotti, Brescia, Maurizio Cattoi, Corneli, D'Ambrosio, Sabrina De Carlo, Dieni, Forciniti, Macina, Parisse, Suriano, Francesco Silvestri, Elisa Tripodi, Deiana, Ilaria Fontana, Daga, D'Ippolito, Federico, Licatini, Alberto Manca, Maraia, Micillo, Ricciardi, Terzoni, Varrica, Vianello, Vignaroli, Zolezzi.</w:t>
      </w:r>
    </w:p>
    <w:p w:rsidR="008A08A2" w:rsidRDefault="008A08A2">
      <w:pPr>
        <w:pStyle w:val="Testonotaapidipagina"/>
      </w:pPr>
    </w:p>
  </w:footnote>
  <w:footnote w:id="30">
    <w:p w:rsidR="008A08A2" w:rsidRPr="00F33854" w:rsidRDefault="008A08A2" w:rsidP="007F6AB0">
      <w:pPr>
        <w:jc w:val="both"/>
        <w:rPr>
          <w:color w:val="000000" w:themeColor="text1"/>
        </w:rPr>
      </w:pPr>
      <w:r>
        <w:rPr>
          <w:rStyle w:val="Rimandonotaapidipagina"/>
        </w:rPr>
        <w:footnoteRef/>
      </w:r>
      <w:r>
        <w:t xml:space="preserve"> </w:t>
      </w:r>
      <w:r w:rsidRPr="00F33854">
        <w:rPr>
          <w:color w:val="000000" w:themeColor="text1"/>
        </w:rPr>
        <w:t>4. 06. Ilaria Fontana, Deiana, Daga, D'Ippolito, Federico, Licatini, Alberto Manca, Maraia, Micillo, Ricciardi, Terzoni, Varrica, Vianello, Vignaroli, Zolezzi, Pastorino, Muroni.</w:t>
      </w:r>
    </w:p>
    <w:p w:rsidR="008A08A2" w:rsidRDefault="008A08A2">
      <w:pPr>
        <w:pStyle w:val="Testonotaapidipagina"/>
      </w:pPr>
    </w:p>
  </w:footnote>
  <w:footnote w:id="31">
    <w:p w:rsidR="001E773C" w:rsidRPr="007863F2" w:rsidRDefault="001E773C" w:rsidP="001E773C">
      <w:pPr>
        <w:jc w:val="both"/>
        <w:rPr>
          <w:color w:val="000000" w:themeColor="text1"/>
        </w:rPr>
      </w:pPr>
      <w:r>
        <w:rPr>
          <w:rStyle w:val="Rimandonotaapidipagina"/>
        </w:rPr>
        <w:footnoteRef/>
      </w:r>
      <w:r>
        <w:t xml:space="preserve"> </w:t>
      </w:r>
      <w:r w:rsidRPr="007863F2">
        <w:rPr>
          <w:color w:val="000000" w:themeColor="text1"/>
        </w:rPr>
        <w:t>6. 13. Dal Moro, Bazoli, Berlinghieri, Bonomo, Bordo, Enrico Borghi, Buratti, Carnevali, Ceccanti, Cenni, Ciampi, Critelli, De Luca, De Maria, De Menech, Del Basso De Caro, Fassino, Fiano, Giacomelli, Lacarra, Losacco, Lotti, Madia, Gavino Manca, Martina, Melilli, Miceli, Mura, Nardi, Navarra, Orfini, Pellicani, Pezzopane, Prestipino, Andrea Romano, Rossi, Rotta, Sensi, Serracchiani, Soverini, Topo, Vazio.</w:t>
      </w:r>
    </w:p>
    <w:p w:rsidR="001E773C" w:rsidRDefault="001E773C">
      <w:pPr>
        <w:pStyle w:val="Testonotaapidipagina"/>
      </w:pPr>
    </w:p>
  </w:footnote>
  <w:footnote w:id="32">
    <w:p w:rsidR="001E773C" w:rsidRPr="007863F2" w:rsidRDefault="001E773C" w:rsidP="001E773C">
      <w:pPr>
        <w:jc w:val="both"/>
        <w:rPr>
          <w:color w:val="000000" w:themeColor="text1"/>
        </w:rPr>
      </w:pPr>
      <w:r>
        <w:rPr>
          <w:rStyle w:val="Rimandonotaapidipagina"/>
        </w:rPr>
        <w:footnoteRef/>
      </w:r>
      <w:r>
        <w:t xml:space="preserve"> </w:t>
      </w:r>
      <w:r w:rsidRPr="007863F2">
        <w:rPr>
          <w:color w:val="000000" w:themeColor="text1"/>
        </w:rPr>
        <w:t>6. 05. Nardi, Pezzopane, Benamati, Bonomo, Lacarra, Manca, Nardi, Zardini; 6. 06. Zucconi, Osnato, Acquaroli, Bignami, Baldini.</w:t>
      </w:r>
    </w:p>
    <w:p w:rsidR="001E773C" w:rsidRDefault="001E773C">
      <w:pPr>
        <w:pStyle w:val="Testonotaapidipagina"/>
      </w:pPr>
    </w:p>
  </w:footnote>
  <w:footnote w:id="33">
    <w:p w:rsidR="008018CC" w:rsidRPr="007863F2" w:rsidRDefault="008018CC" w:rsidP="008018CC">
      <w:pPr>
        <w:jc w:val="both"/>
        <w:rPr>
          <w:color w:val="000000" w:themeColor="text1"/>
        </w:rPr>
      </w:pPr>
      <w:r>
        <w:rPr>
          <w:rStyle w:val="Rimandonotaapidipagina"/>
        </w:rPr>
        <w:footnoteRef/>
      </w:r>
      <w:r>
        <w:t xml:space="preserve"> </w:t>
      </w:r>
      <w:r w:rsidRPr="007863F2">
        <w:rPr>
          <w:color w:val="000000" w:themeColor="text1"/>
        </w:rPr>
        <w:t>7. 12. Guidesi, Andreuzza, Binelli, Colla, Dara, Galli, Pettazzi, Piastra, Bitonci, Cavandoli, Centemero, Covolo, Gerardi, Gusmeroli, Alessandro Pagano, Paternoster, Tarantino; 7. 13. Pastorino, Bersani; 7. 14. Sut, Alemanno, Berardini, Fantinati, Giarrizzo, Masi, Papiro, Paxia, Perconti, Rizzone, Scanu, Vallascas; 7. 15. Benamati, Buratti, Pezzopane; 7. 16. Marco Di Maio, Moretto.</w:t>
      </w:r>
    </w:p>
    <w:p w:rsidR="008018CC" w:rsidRDefault="008018CC">
      <w:pPr>
        <w:pStyle w:val="Testonotaapidipagina"/>
      </w:pPr>
    </w:p>
  </w:footnote>
  <w:footnote w:id="34">
    <w:p w:rsidR="00B56886" w:rsidRPr="00CE302B" w:rsidRDefault="00B56886" w:rsidP="00B56886">
      <w:pPr>
        <w:jc w:val="both"/>
        <w:rPr>
          <w:color w:val="000000" w:themeColor="text1"/>
        </w:rPr>
      </w:pPr>
      <w:r>
        <w:rPr>
          <w:rStyle w:val="Rimandonotaapidipagina"/>
        </w:rPr>
        <w:footnoteRef/>
      </w:r>
      <w:r>
        <w:t xml:space="preserve"> </w:t>
      </w:r>
      <w:r w:rsidRPr="00CE302B">
        <w:rPr>
          <w:color w:val="000000" w:themeColor="text1"/>
        </w:rPr>
        <w:t>9. 3. Giuliano, Dori, Piera Aiello, Ascari, Barbuto, Cataldi, Di Sarno, D'Orso, Palmisano, Perantoni, Saitta, Salafia, Sarti, Scutellà, Cancelleri, Caso, Currò, Giuliodori, Grimaldi, Maglione, Maniero, Martinciglio, Raduzzi, Ruggiero, Ruocco, Zanichelli, Alemanno, Berardini, Davide Crippa, Fantinati, Giarrizzo, Masi, Papiro, Paxia, Perconti, Rizzone, Scanu, Sut, Vallascas.</w:t>
      </w:r>
    </w:p>
    <w:p w:rsidR="00B56886" w:rsidRDefault="00B56886">
      <w:pPr>
        <w:pStyle w:val="Testonotaapidipagina"/>
      </w:pPr>
    </w:p>
  </w:footnote>
  <w:footnote w:id="35">
    <w:p w:rsidR="007F1389" w:rsidRPr="00CE302B" w:rsidRDefault="007F1389" w:rsidP="007F1389">
      <w:pPr>
        <w:jc w:val="both"/>
        <w:rPr>
          <w:color w:val="000000" w:themeColor="text1"/>
        </w:rPr>
      </w:pPr>
      <w:r>
        <w:rPr>
          <w:rStyle w:val="Rimandonotaapidipagina"/>
        </w:rPr>
        <w:footnoteRef/>
      </w:r>
      <w:r>
        <w:t xml:space="preserve"> </w:t>
      </w:r>
      <w:r w:rsidRPr="00CE302B">
        <w:rPr>
          <w:color w:val="000000" w:themeColor="text1"/>
        </w:rPr>
        <w:t>9. 3. Giuliano, Dori, Piera Aiello, Ascari, Barbuto, Cataldi, Di Sarno, D'Orso, Palmisano, Perantoni, Saitta, Salafia, Sarti, Scutellà, Cancelleri, Caso, Currò, Giuliodori, Grimaldi, Maglione, Maniero, Martinciglio, Raduzzi, Ruggiero, Ruocco, Zanichelli, Alemanno, Berardini, Davide Crippa, Fantinati, Giarrizzo, Masi, Papiro, Paxia, Perconti, Rizzone, Scanu, Sut, Vallascas.</w:t>
      </w:r>
    </w:p>
    <w:p w:rsidR="007F1389" w:rsidRDefault="007F1389">
      <w:pPr>
        <w:pStyle w:val="Testonotaapidipagina"/>
      </w:pPr>
    </w:p>
  </w:footnote>
  <w:footnote w:id="36">
    <w:p w:rsidR="009F54CA" w:rsidRPr="00CE302B" w:rsidRDefault="009F54CA" w:rsidP="009F54CA">
      <w:pPr>
        <w:jc w:val="both"/>
        <w:rPr>
          <w:color w:val="000000" w:themeColor="text1"/>
        </w:rPr>
      </w:pPr>
      <w:r>
        <w:rPr>
          <w:rStyle w:val="Rimandonotaapidipagina"/>
        </w:rPr>
        <w:footnoteRef/>
      </w:r>
      <w:r>
        <w:t xml:space="preserve"> </w:t>
      </w:r>
      <w:r w:rsidRPr="00CE302B">
        <w:rPr>
          <w:color w:val="000000" w:themeColor="text1"/>
        </w:rPr>
        <w:t>9. 3. Giuliano, Dori, Piera Aiello, Ascari, Barbuto, Cataldi, Di Sarno, D'Orso, Palmisano, Perantoni, Saitta, Salafia, Sarti, Scutellà, Cancelleri, Caso, Currò, Giuliodori, Grimaldi, Maglione, Maniero, Martinciglio, Raduzzi, Ruggiero, Ruocco, Zanichelli, Alemanno, Berardini, Davide Crippa, Fantinati, Giarrizzo, Masi, Papiro, Paxia, Perconti, Rizzone, Scanu, Sut, Vallascas.</w:t>
      </w:r>
    </w:p>
    <w:p w:rsidR="009F54CA" w:rsidRDefault="009F54CA">
      <w:pPr>
        <w:pStyle w:val="Testonotaapidipagina"/>
      </w:pPr>
    </w:p>
  </w:footnote>
  <w:footnote w:id="37">
    <w:p w:rsidR="00283BD7" w:rsidRPr="00E00C1D" w:rsidRDefault="00283BD7" w:rsidP="00283BD7">
      <w:pPr>
        <w:jc w:val="both"/>
        <w:rPr>
          <w:color w:val="000000" w:themeColor="text1"/>
        </w:rPr>
      </w:pPr>
      <w:r>
        <w:rPr>
          <w:rStyle w:val="Rimandonotaapidipagina"/>
        </w:rPr>
        <w:footnoteRef/>
      </w:r>
      <w:r>
        <w:t xml:space="preserve"> </w:t>
      </w:r>
      <w:r w:rsidRPr="00E00C1D">
        <w:rPr>
          <w:color w:val="000000" w:themeColor="text1"/>
        </w:rPr>
        <w:t xml:space="preserve">10. 4 (Nuova formulazione)  Bazoli, Verini, Bordo, Vazio, Miceli, Soverini, Zan, Bonomo, Lacarra, Manca, Nardi, Zardini, Buratti, Mancini, Romina Mura, Rotta, Topo; </w:t>
      </w:r>
      <w:proofErr w:type="gramStart"/>
      <w:r w:rsidRPr="00E00C1D">
        <w:rPr>
          <w:color w:val="000000" w:themeColor="text1"/>
        </w:rPr>
        <w:t>10</w:t>
      </w:r>
      <w:proofErr w:type="gramEnd"/>
      <w:r w:rsidRPr="00E00C1D">
        <w:rPr>
          <w:color w:val="000000" w:themeColor="text1"/>
        </w:rPr>
        <w:t xml:space="preserve">. 5. (Nuova formulazione)  Marattin, Ungaro, Moretto, Mor; </w:t>
      </w:r>
      <w:proofErr w:type="gramStart"/>
      <w:r w:rsidRPr="00E00C1D">
        <w:rPr>
          <w:color w:val="000000" w:themeColor="text1"/>
        </w:rPr>
        <w:t>10</w:t>
      </w:r>
      <w:proofErr w:type="gramEnd"/>
      <w:r w:rsidRPr="00E00C1D">
        <w:rPr>
          <w:color w:val="000000" w:themeColor="text1"/>
        </w:rPr>
        <w:t xml:space="preserve">. 6. (Nuova formulazione)  Covolo, Bitonci, Cavandoli, Centemero, Gerardi, Gusmeroli, Alessandro Pagano, </w:t>
      </w:r>
      <w:proofErr w:type="gramStart"/>
      <w:r w:rsidRPr="00E00C1D">
        <w:rPr>
          <w:color w:val="000000" w:themeColor="text1"/>
        </w:rPr>
        <w:t>Paternoster</w:t>
      </w:r>
      <w:proofErr w:type="gramEnd"/>
      <w:r w:rsidRPr="00E00C1D">
        <w:rPr>
          <w:color w:val="000000" w:themeColor="text1"/>
        </w:rPr>
        <w:t xml:space="preserve">, Tarantino; 10. 7. (Nuova formulazione)  Benamati, Pezzopane; </w:t>
      </w:r>
      <w:proofErr w:type="gramStart"/>
      <w:r w:rsidRPr="00E00C1D">
        <w:rPr>
          <w:color w:val="000000" w:themeColor="text1"/>
        </w:rPr>
        <w:t>10</w:t>
      </w:r>
      <w:proofErr w:type="gramEnd"/>
      <w:r w:rsidRPr="00E00C1D">
        <w:rPr>
          <w:color w:val="000000" w:themeColor="text1"/>
        </w:rPr>
        <w:t>. 8. (Nuova formulazione)  Giacomoni, Martino, Gelmini, Angelucci, Della Frera, Polidori, Squeri, Carrara, Barelli, Fiorini, Giacometto, Baratto, Cattaneo, Porchietto.</w:t>
      </w:r>
    </w:p>
    <w:p w:rsidR="00283BD7" w:rsidRDefault="00283BD7">
      <w:pPr>
        <w:pStyle w:val="Testonotaapidipagina"/>
      </w:pPr>
    </w:p>
  </w:footnote>
  <w:footnote w:id="38">
    <w:p w:rsidR="007739F3" w:rsidRPr="00E00C1D" w:rsidRDefault="007739F3" w:rsidP="007739F3">
      <w:pPr>
        <w:jc w:val="both"/>
        <w:rPr>
          <w:color w:val="000000" w:themeColor="text1"/>
        </w:rPr>
      </w:pPr>
      <w:r>
        <w:rPr>
          <w:rStyle w:val="Rimandonotaapidipagina"/>
        </w:rPr>
        <w:footnoteRef/>
      </w:r>
      <w:r>
        <w:t xml:space="preserve"> </w:t>
      </w:r>
      <w:r w:rsidRPr="00E00C1D">
        <w:rPr>
          <w:color w:val="000000" w:themeColor="text1"/>
        </w:rPr>
        <w:t xml:space="preserve">10. 4 (Nuova formulazione)  Bazoli, Verini, Bordo, Vazio, Miceli, Soverini, Zan, Bonomo, Lacarra, Manca, Nardi, Zardini, Buratti, Mancini, Romina Mura, Rotta, Topo; </w:t>
      </w:r>
      <w:proofErr w:type="gramStart"/>
      <w:r w:rsidRPr="00E00C1D">
        <w:rPr>
          <w:color w:val="000000" w:themeColor="text1"/>
        </w:rPr>
        <w:t>10</w:t>
      </w:r>
      <w:proofErr w:type="gramEnd"/>
      <w:r w:rsidRPr="00E00C1D">
        <w:rPr>
          <w:color w:val="000000" w:themeColor="text1"/>
        </w:rPr>
        <w:t xml:space="preserve">. 5. (Nuova formulazione)  Marattin, Ungaro, Moretto, Mor; </w:t>
      </w:r>
      <w:proofErr w:type="gramStart"/>
      <w:r w:rsidRPr="00E00C1D">
        <w:rPr>
          <w:color w:val="000000" w:themeColor="text1"/>
        </w:rPr>
        <w:t>10</w:t>
      </w:r>
      <w:proofErr w:type="gramEnd"/>
      <w:r w:rsidRPr="00E00C1D">
        <w:rPr>
          <w:color w:val="000000" w:themeColor="text1"/>
        </w:rPr>
        <w:t xml:space="preserve">. 6. (Nuova formulazione)  Covolo, Bitonci, Cavandoli, Centemero, Gerardi, Gusmeroli, Alessandro Pagano, </w:t>
      </w:r>
      <w:proofErr w:type="gramStart"/>
      <w:r w:rsidRPr="00E00C1D">
        <w:rPr>
          <w:color w:val="000000" w:themeColor="text1"/>
        </w:rPr>
        <w:t>Paternoster</w:t>
      </w:r>
      <w:proofErr w:type="gramEnd"/>
      <w:r w:rsidRPr="00E00C1D">
        <w:rPr>
          <w:color w:val="000000" w:themeColor="text1"/>
        </w:rPr>
        <w:t xml:space="preserve">, Tarantino; 10. 7. (Nuova formulazione)  Benamati, Pezzopane; </w:t>
      </w:r>
      <w:proofErr w:type="gramStart"/>
      <w:r w:rsidRPr="00E00C1D">
        <w:rPr>
          <w:color w:val="000000" w:themeColor="text1"/>
        </w:rPr>
        <w:t>10</w:t>
      </w:r>
      <w:proofErr w:type="gramEnd"/>
      <w:r w:rsidRPr="00E00C1D">
        <w:rPr>
          <w:color w:val="000000" w:themeColor="text1"/>
        </w:rPr>
        <w:t>. 8. (Nuova formulazione)  Giacomoni, Martino, Gelmini, Angelucci, Della Frera, Polidori, Squeri, Carrara, Barelli, Fiorini, Giacometto, Baratto, Cattaneo, Porchietto.</w:t>
      </w:r>
    </w:p>
    <w:p w:rsidR="007739F3" w:rsidRDefault="007739F3">
      <w:pPr>
        <w:pStyle w:val="Testonotaapidipagina"/>
      </w:pPr>
    </w:p>
  </w:footnote>
  <w:footnote w:id="39">
    <w:p w:rsidR="008A08A2" w:rsidRPr="00D06905" w:rsidRDefault="008A08A2" w:rsidP="00DC19C1">
      <w:pPr>
        <w:jc w:val="both"/>
        <w:rPr>
          <w:color w:val="000000" w:themeColor="text1"/>
        </w:rPr>
      </w:pPr>
      <w:r>
        <w:rPr>
          <w:rStyle w:val="Rimandonotaapidipagina"/>
        </w:rPr>
        <w:footnoteRef/>
      </w:r>
      <w:r>
        <w:t xml:space="preserve"> </w:t>
      </w:r>
      <w:r w:rsidRPr="00D06905">
        <w:rPr>
          <w:color w:val="000000" w:themeColor="text1"/>
        </w:rPr>
        <w:t>11. 1. Marattin, Ferri, Buratti, Mancini, Romina Mura, Rotta, Topo, Benamati, Bonomo, Lacarra, Manca, Nardi, Zardini, Zennaro, Nitti, Rospi, Berardini, Cancelleri, Caso, Currò, Giuliodori, Grimaldi, Maglione, Maniero, Martinciglio, Migliorino, Raduzzi, Ruggiero, Ruocco, Zanichelli, Angelucci, Baratto, Cattaneo, Giacometto, Giacomoni, Martino, Porchietto, Barelli, Carrara, Della Frera, Fiorini, Polidori, Squeri, Conte, Pastorino, Fornaro, Zucconi, Osnato, Acquaroli, Colucci, De Toma, Rachele Silvestri.</w:t>
      </w:r>
    </w:p>
    <w:p w:rsidR="008A08A2" w:rsidRDefault="008A08A2">
      <w:pPr>
        <w:pStyle w:val="Testonotaapidipagina"/>
      </w:pPr>
    </w:p>
  </w:footnote>
  <w:footnote w:id="40">
    <w:p w:rsidR="008A08A2" w:rsidRPr="00D06905" w:rsidRDefault="008A08A2" w:rsidP="00175EC9">
      <w:pPr>
        <w:jc w:val="both"/>
        <w:rPr>
          <w:color w:val="000000" w:themeColor="text1"/>
        </w:rPr>
      </w:pPr>
      <w:r>
        <w:rPr>
          <w:rStyle w:val="Rimandonotaapidipagina"/>
        </w:rPr>
        <w:footnoteRef/>
      </w:r>
      <w:r>
        <w:t xml:space="preserve"> </w:t>
      </w:r>
      <w:r w:rsidRPr="00D06905">
        <w:rPr>
          <w:color w:val="000000" w:themeColor="text1"/>
        </w:rPr>
        <w:t>11. 1. Marattin, Ferri, Buratti, Mancini, Romina Mura, Rotta, Topo, Benamati, Bonomo, Lacarra, Manca, Nardi, Zardini, Zennaro, Nitti, Rospi, Berardini, Cancelleri, Caso, Currò, Giuliodori, Grimaldi, Maglione, Maniero, Martinciglio, Migliorino, Raduzzi, Ruggiero, Ruocco, Zanichelli, Angelucci, Baratto, Cattaneo, Giacometto, Giacomoni, Martino, Porchietto, Barelli, Carrara, Della Frera, Fiorini, Polidori, Squeri, Conte, Pastorino, Fornaro, Zucconi, Osnato, Acquaroli, Colucci, De Toma, Rachele Silvestri.</w:t>
      </w:r>
    </w:p>
    <w:p w:rsidR="008A08A2" w:rsidRDefault="008A08A2">
      <w:pPr>
        <w:pStyle w:val="Testonotaapidipagina"/>
      </w:pPr>
    </w:p>
  </w:footnote>
  <w:footnote w:id="41">
    <w:p w:rsidR="0079622F" w:rsidRPr="00E00C1D" w:rsidRDefault="0079622F" w:rsidP="0079622F">
      <w:pPr>
        <w:jc w:val="both"/>
        <w:rPr>
          <w:color w:val="000000" w:themeColor="text1"/>
        </w:rPr>
      </w:pPr>
      <w:r>
        <w:rPr>
          <w:rStyle w:val="Rimandonotaapidipagina"/>
        </w:rPr>
        <w:footnoteRef/>
      </w:r>
      <w:r>
        <w:t xml:space="preserve"> </w:t>
      </w:r>
      <w:r w:rsidRPr="00E00C1D">
        <w:rPr>
          <w:color w:val="000000" w:themeColor="text1"/>
        </w:rPr>
        <w:t xml:space="preserve">12. 2 (Nuova formulazione)  Ungaro, Marattin, Moretto, Mor; </w:t>
      </w:r>
      <w:proofErr w:type="gramStart"/>
      <w:r w:rsidRPr="00E00C1D">
        <w:rPr>
          <w:color w:val="000000" w:themeColor="text1"/>
        </w:rPr>
        <w:t>12</w:t>
      </w:r>
      <w:proofErr w:type="gramEnd"/>
      <w:r w:rsidRPr="00E00C1D">
        <w:rPr>
          <w:color w:val="000000" w:themeColor="text1"/>
        </w:rPr>
        <w:t xml:space="preserve">. 6 (Nuova formulazione)  Nardi, Bonomo, Lacarra, Gavino Manca, Zardini, Mancini, Romina, Rotta, Nardi, Zardini; </w:t>
      </w:r>
      <w:proofErr w:type="gramStart"/>
      <w:r w:rsidRPr="00E00C1D">
        <w:rPr>
          <w:color w:val="000000" w:themeColor="text1"/>
        </w:rPr>
        <w:t>12</w:t>
      </w:r>
      <w:proofErr w:type="gramEnd"/>
      <w:r w:rsidRPr="00E00C1D">
        <w:rPr>
          <w:color w:val="000000" w:themeColor="text1"/>
        </w:rPr>
        <w:t xml:space="preserve">. 9 (Nuova formulazione)  Masi, Rachele Silvestri, De Toma, Colucci; </w:t>
      </w:r>
      <w:proofErr w:type="gramStart"/>
      <w:r w:rsidRPr="00E00C1D">
        <w:rPr>
          <w:color w:val="000000" w:themeColor="text1"/>
        </w:rPr>
        <w:t>12</w:t>
      </w:r>
      <w:proofErr w:type="gramEnd"/>
      <w:r w:rsidRPr="00E00C1D">
        <w:rPr>
          <w:color w:val="000000" w:themeColor="text1"/>
        </w:rPr>
        <w:t xml:space="preserve">. 10 (Nuova formulazione)  Raduzzi, Cancelleri, Caso, Currò, Giuliodori, Grimaldi, Maglione, Maniero, Martinciglio, Ruggiero, Ruocco, Zanichelli, Alemanno, Bernardini, Davide Crippa, Fantinati, Giarrizzo, Masi, Papiro, Paxia, Perconti, Rizzone, Scanu, Sut, Vallascas, Pastorino, Trano; </w:t>
      </w:r>
      <w:proofErr w:type="gramStart"/>
      <w:r w:rsidRPr="00E00C1D">
        <w:rPr>
          <w:color w:val="000000" w:themeColor="text1"/>
        </w:rPr>
        <w:t>12</w:t>
      </w:r>
      <w:proofErr w:type="gramEnd"/>
      <w:r w:rsidRPr="00E00C1D">
        <w:rPr>
          <w:color w:val="000000" w:themeColor="text1"/>
        </w:rPr>
        <w:t xml:space="preserve">. 11 (Nuova formulazione)  Squeri; </w:t>
      </w:r>
      <w:proofErr w:type="gramStart"/>
      <w:r w:rsidRPr="00E00C1D">
        <w:rPr>
          <w:color w:val="000000" w:themeColor="text1"/>
        </w:rPr>
        <w:t>12</w:t>
      </w:r>
      <w:proofErr w:type="gramEnd"/>
      <w:r w:rsidRPr="00E00C1D">
        <w:rPr>
          <w:color w:val="000000" w:themeColor="text1"/>
        </w:rPr>
        <w:t xml:space="preserve">. 17 (Nuova formulazione)  Benamati, Buratti, Topo, Mura; </w:t>
      </w:r>
      <w:proofErr w:type="gramStart"/>
      <w:r w:rsidRPr="00E00C1D">
        <w:rPr>
          <w:color w:val="000000" w:themeColor="text1"/>
        </w:rPr>
        <w:t>12</w:t>
      </w:r>
      <w:proofErr w:type="gramEnd"/>
      <w:r w:rsidRPr="00E00C1D">
        <w:rPr>
          <w:color w:val="000000" w:themeColor="text1"/>
        </w:rPr>
        <w:t xml:space="preserve">. 33 (Nuova formulazione)  Zucconi, Osnato, Acquaroli, Bignami, Baldini; </w:t>
      </w:r>
      <w:proofErr w:type="gramStart"/>
      <w:r w:rsidRPr="00E00C1D">
        <w:rPr>
          <w:color w:val="000000" w:themeColor="text1"/>
        </w:rPr>
        <w:t>12</w:t>
      </w:r>
      <w:proofErr w:type="gramEnd"/>
      <w:r w:rsidRPr="00E00C1D">
        <w:rPr>
          <w:color w:val="000000" w:themeColor="text1"/>
        </w:rPr>
        <w:t xml:space="preserve">. 13 (Nuova formulazione)  Rizzetto; </w:t>
      </w:r>
      <w:proofErr w:type="gramStart"/>
      <w:r w:rsidRPr="00E00C1D">
        <w:rPr>
          <w:color w:val="000000" w:themeColor="text1"/>
        </w:rPr>
        <w:t>12</w:t>
      </w:r>
      <w:proofErr w:type="gramEnd"/>
      <w:r w:rsidRPr="00E00C1D">
        <w:rPr>
          <w:color w:val="000000" w:themeColor="text1"/>
        </w:rPr>
        <w:t xml:space="preserve">. 14 (Nuova formulazione)  Raciti, Pezzopane; </w:t>
      </w:r>
      <w:proofErr w:type="gramStart"/>
      <w:r w:rsidRPr="00E00C1D">
        <w:rPr>
          <w:color w:val="000000" w:themeColor="text1"/>
        </w:rPr>
        <w:t>12</w:t>
      </w:r>
      <w:proofErr w:type="gramEnd"/>
      <w:r w:rsidRPr="00E00C1D">
        <w:rPr>
          <w:color w:val="000000" w:themeColor="text1"/>
        </w:rPr>
        <w:t>. 18 (Nuova formulazione)  Gribaudo, Orfini, Pini, Raciti, Rizzo Nervo.</w:t>
      </w:r>
    </w:p>
    <w:p w:rsidR="0079622F" w:rsidRDefault="0079622F">
      <w:pPr>
        <w:pStyle w:val="Testonotaapidipagina"/>
      </w:pPr>
    </w:p>
  </w:footnote>
  <w:footnote w:id="42">
    <w:p w:rsidR="0079622F" w:rsidRPr="00E00C1D" w:rsidRDefault="0079622F" w:rsidP="0079622F">
      <w:pPr>
        <w:jc w:val="both"/>
        <w:rPr>
          <w:color w:val="000000" w:themeColor="text1"/>
        </w:rPr>
      </w:pPr>
      <w:r>
        <w:rPr>
          <w:rStyle w:val="Rimandonotaapidipagina"/>
        </w:rPr>
        <w:footnoteRef/>
      </w:r>
      <w:r>
        <w:t xml:space="preserve"> </w:t>
      </w:r>
      <w:r w:rsidRPr="00E00C1D">
        <w:rPr>
          <w:color w:val="000000" w:themeColor="text1"/>
        </w:rPr>
        <w:t xml:space="preserve">12. 2 (Nuova formulazione)  Ungaro, Marattin, Moretto, Mor; </w:t>
      </w:r>
      <w:proofErr w:type="gramStart"/>
      <w:r w:rsidRPr="00E00C1D">
        <w:rPr>
          <w:color w:val="000000" w:themeColor="text1"/>
        </w:rPr>
        <w:t>12</w:t>
      </w:r>
      <w:proofErr w:type="gramEnd"/>
      <w:r w:rsidRPr="00E00C1D">
        <w:rPr>
          <w:color w:val="000000" w:themeColor="text1"/>
        </w:rPr>
        <w:t xml:space="preserve">. 6 (Nuova formulazione)  Nardi, Bonomo, Lacarra, Gavino Manca, Zardini, Mancini, Romina, Rotta, Nardi, Zardini; </w:t>
      </w:r>
      <w:proofErr w:type="gramStart"/>
      <w:r w:rsidRPr="00E00C1D">
        <w:rPr>
          <w:color w:val="000000" w:themeColor="text1"/>
        </w:rPr>
        <w:t>12</w:t>
      </w:r>
      <w:proofErr w:type="gramEnd"/>
      <w:r w:rsidRPr="00E00C1D">
        <w:rPr>
          <w:color w:val="000000" w:themeColor="text1"/>
        </w:rPr>
        <w:t xml:space="preserve">. 9 (Nuova formulazione)  Masi, Rachele Silvestri, De Toma, Colucci; </w:t>
      </w:r>
      <w:proofErr w:type="gramStart"/>
      <w:r w:rsidRPr="00E00C1D">
        <w:rPr>
          <w:color w:val="000000" w:themeColor="text1"/>
        </w:rPr>
        <w:t>12</w:t>
      </w:r>
      <w:proofErr w:type="gramEnd"/>
      <w:r w:rsidRPr="00E00C1D">
        <w:rPr>
          <w:color w:val="000000" w:themeColor="text1"/>
        </w:rPr>
        <w:t xml:space="preserve">. 10 (Nuova formulazione)  Raduzzi, Cancelleri, Caso, Currò, Giuliodori, Grimaldi, Maglione, Maniero, Martinciglio, Ruggiero, Ruocco, Zanichelli, Alemanno, Bernardini, Davide Crippa, Fantinati, Giarrizzo, Masi, Papiro, Paxia, Perconti, Rizzone, Scanu, Sut, Vallascas, Pastorino, Trano; </w:t>
      </w:r>
      <w:proofErr w:type="gramStart"/>
      <w:r w:rsidRPr="00E00C1D">
        <w:rPr>
          <w:color w:val="000000" w:themeColor="text1"/>
        </w:rPr>
        <w:t>12</w:t>
      </w:r>
      <w:proofErr w:type="gramEnd"/>
      <w:r w:rsidRPr="00E00C1D">
        <w:rPr>
          <w:color w:val="000000" w:themeColor="text1"/>
        </w:rPr>
        <w:t xml:space="preserve">. 11 (Nuova formulazione)  Squeri; </w:t>
      </w:r>
      <w:proofErr w:type="gramStart"/>
      <w:r w:rsidRPr="00E00C1D">
        <w:rPr>
          <w:color w:val="000000" w:themeColor="text1"/>
        </w:rPr>
        <w:t>12</w:t>
      </w:r>
      <w:proofErr w:type="gramEnd"/>
      <w:r w:rsidRPr="00E00C1D">
        <w:rPr>
          <w:color w:val="000000" w:themeColor="text1"/>
        </w:rPr>
        <w:t xml:space="preserve">. 17 (Nuova formulazione)  Benamati, Buratti, Topo, Mura; </w:t>
      </w:r>
      <w:proofErr w:type="gramStart"/>
      <w:r w:rsidRPr="00E00C1D">
        <w:rPr>
          <w:color w:val="000000" w:themeColor="text1"/>
        </w:rPr>
        <w:t>12</w:t>
      </w:r>
      <w:proofErr w:type="gramEnd"/>
      <w:r w:rsidRPr="00E00C1D">
        <w:rPr>
          <w:color w:val="000000" w:themeColor="text1"/>
        </w:rPr>
        <w:t xml:space="preserve">. 33 (Nuova formulazione)  Zucconi, Osnato, Acquaroli, Bignami, Baldini; </w:t>
      </w:r>
      <w:proofErr w:type="gramStart"/>
      <w:r w:rsidRPr="00E00C1D">
        <w:rPr>
          <w:color w:val="000000" w:themeColor="text1"/>
        </w:rPr>
        <w:t>12</w:t>
      </w:r>
      <w:proofErr w:type="gramEnd"/>
      <w:r w:rsidRPr="00E00C1D">
        <w:rPr>
          <w:color w:val="000000" w:themeColor="text1"/>
        </w:rPr>
        <w:t xml:space="preserve">. 13 (Nuova formulazione)  Rizzetto; </w:t>
      </w:r>
      <w:proofErr w:type="gramStart"/>
      <w:r w:rsidRPr="00E00C1D">
        <w:rPr>
          <w:color w:val="000000" w:themeColor="text1"/>
        </w:rPr>
        <w:t>12</w:t>
      </w:r>
      <w:proofErr w:type="gramEnd"/>
      <w:r w:rsidRPr="00E00C1D">
        <w:rPr>
          <w:color w:val="000000" w:themeColor="text1"/>
        </w:rPr>
        <w:t xml:space="preserve">. 14 (Nuova formulazione)  Raciti, Pezzopane; </w:t>
      </w:r>
      <w:proofErr w:type="gramStart"/>
      <w:r w:rsidRPr="00E00C1D">
        <w:rPr>
          <w:color w:val="000000" w:themeColor="text1"/>
        </w:rPr>
        <w:t>12</w:t>
      </w:r>
      <w:proofErr w:type="gramEnd"/>
      <w:r w:rsidRPr="00E00C1D">
        <w:rPr>
          <w:color w:val="000000" w:themeColor="text1"/>
        </w:rPr>
        <w:t>. 18 (Nuova formulazione)  Gribaudo, Orfini, Pini, Raciti, Rizzo Nervo.</w:t>
      </w:r>
    </w:p>
    <w:p w:rsidR="0079622F" w:rsidRDefault="0079622F">
      <w:pPr>
        <w:pStyle w:val="Testonotaapidipagina"/>
      </w:pPr>
    </w:p>
  </w:footnote>
  <w:footnote w:id="43">
    <w:p w:rsidR="00B80E82" w:rsidRPr="00B53CE7" w:rsidRDefault="00B80E82" w:rsidP="00B80E82">
      <w:pPr>
        <w:jc w:val="both"/>
        <w:rPr>
          <w:color w:val="000000" w:themeColor="text1"/>
        </w:rPr>
      </w:pPr>
      <w:r>
        <w:rPr>
          <w:rStyle w:val="Rimandonotaapidipagina"/>
        </w:rPr>
        <w:footnoteRef/>
      </w:r>
      <w:r>
        <w:t xml:space="preserve"> </w:t>
      </w:r>
      <w:r w:rsidRPr="00B53CE7">
        <w:rPr>
          <w:color w:val="000000" w:themeColor="text1"/>
        </w:rPr>
        <w:t xml:space="preserve">12. 22. </w:t>
      </w:r>
      <w:proofErr w:type="gramStart"/>
      <w:r w:rsidRPr="00B53CE7">
        <w:rPr>
          <w:color w:val="000000" w:themeColor="text1"/>
        </w:rPr>
        <w:t>(Nuova</w:t>
      </w:r>
      <w:proofErr w:type="gramEnd"/>
      <w:r w:rsidRPr="00B53CE7">
        <w:rPr>
          <w:color w:val="000000" w:themeColor="text1"/>
        </w:rPr>
        <w:t xml:space="preserve"> formulazione)  Mancini, Pezzopane, Berardini.</w:t>
      </w:r>
    </w:p>
    <w:p w:rsidR="00B80E82" w:rsidRDefault="00B80E82">
      <w:pPr>
        <w:pStyle w:val="Testonotaapidipagina"/>
      </w:pPr>
    </w:p>
  </w:footnote>
  <w:footnote w:id="44">
    <w:p w:rsidR="005B18A9" w:rsidRPr="00B53CE7" w:rsidRDefault="005B18A9" w:rsidP="005B18A9">
      <w:pPr>
        <w:jc w:val="both"/>
        <w:rPr>
          <w:color w:val="000000" w:themeColor="text1"/>
        </w:rPr>
      </w:pPr>
      <w:r>
        <w:rPr>
          <w:rStyle w:val="Rimandonotaapidipagina"/>
        </w:rPr>
        <w:footnoteRef/>
      </w:r>
      <w:r>
        <w:t xml:space="preserve"> </w:t>
      </w:r>
      <w:r w:rsidRPr="00B53CE7">
        <w:rPr>
          <w:color w:val="000000" w:themeColor="text1"/>
        </w:rPr>
        <w:t>12. 020. Fiorini, Gelmini, Perego Di Cremnago, Martino, Barelli, Giacomoni, Porchietto, Polidori, Giacometto, Baratto, Cattaneo, Carrara, Squeri, Della Frera, Angelucci, Ungaro, Zucconi, Moretto, Alemanno, Bernardini, Davide Crippa, Fantinati, Giarrizzo, Masi, Papiro, Paxia, Perconti, Rizzone, Scanu, Sut, Vallascas, Cancelleri, Caso, Currò, Giuliodori, Grimaldi, Maglione, Maniero, Martinciglio, Raduzzi, Ruggiero, Ruocco, Zanichelli, Colucci, De Toma, Rachele Silvestri, Cassinelli.</w:t>
      </w:r>
    </w:p>
    <w:p w:rsidR="005B18A9" w:rsidRDefault="005B18A9">
      <w:pPr>
        <w:pStyle w:val="Testonotaapidipagina"/>
      </w:pPr>
    </w:p>
  </w:footnote>
  <w:footnote w:id="45">
    <w:p w:rsidR="005B18A9" w:rsidRPr="00B53CE7" w:rsidRDefault="005B18A9" w:rsidP="005B18A9">
      <w:pPr>
        <w:jc w:val="both"/>
        <w:rPr>
          <w:color w:val="000000" w:themeColor="text1"/>
        </w:rPr>
      </w:pPr>
      <w:r>
        <w:rPr>
          <w:rStyle w:val="Rimandonotaapidipagina"/>
        </w:rPr>
        <w:footnoteRef/>
      </w:r>
      <w:r>
        <w:t xml:space="preserve"> </w:t>
      </w:r>
      <w:r w:rsidRPr="00B53CE7">
        <w:rPr>
          <w:color w:val="000000" w:themeColor="text1"/>
        </w:rPr>
        <w:t xml:space="preserve">12. 026. </w:t>
      </w:r>
      <w:proofErr w:type="gramStart"/>
      <w:r w:rsidRPr="00B53CE7">
        <w:rPr>
          <w:color w:val="000000" w:themeColor="text1"/>
        </w:rPr>
        <w:t>(Nuova</w:t>
      </w:r>
      <w:proofErr w:type="gramEnd"/>
      <w:r w:rsidRPr="00B53CE7">
        <w:rPr>
          <w:color w:val="000000" w:themeColor="text1"/>
        </w:rPr>
        <w:t xml:space="preserve"> formulazione)  Gelmini, Fiorini, Perego Di Cremnago, Martino, Barelli, Giacomoni, Porchietto, Polidori, Giacometto, Baratto, Cattaneo, Carrara, Squeri, Della Frera, Angelucci, Occhiuto.</w:t>
      </w:r>
    </w:p>
    <w:p w:rsidR="005B18A9" w:rsidRDefault="005B18A9">
      <w:pPr>
        <w:pStyle w:val="Testonotaapidipagina"/>
      </w:pPr>
    </w:p>
  </w:footnote>
  <w:footnote w:id="46">
    <w:p w:rsidR="00376984" w:rsidRPr="00B53CE7" w:rsidRDefault="00376984" w:rsidP="00376984">
      <w:pPr>
        <w:jc w:val="both"/>
        <w:rPr>
          <w:color w:val="000000" w:themeColor="text1"/>
        </w:rPr>
      </w:pPr>
      <w:r>
        <w:rPr>
          <w:rStyle w:val="Rimandonotaapidipagina"/>
        </w:rPr>
        <w:footnoteRef/>
      </w:r>
      <w:r>
        <w:t xml:space="preserve"> </w:t>
      </w:r>
      <w:r w:rsidRPr="00B53CE7">
        <w:rPr>
          <w:color w:val="000000" w:themeColor="text1"/>
        </w:rPr>
        <w:t>12. 023. Gelmini, Fiorini, Perego Di Cremnago, Martino, Barelli, Giacomoni, Porchietto, Polidori, Giacometto, Baratto, Cattaneo, Carrara, Squeri, Della Frera, Angelucci, Nevi.</w:t>
      </w:r>
    </w:p>
    <w:p w:rsidR="00376984" w:rsidRDefault="00376984">
      <w:pPr>
        <w:pStyle w:val="Testonotaapidipagina"/>
      </w:pPr>
    </w:p>
  </w:footnote>
  <w:footnote w:id="47">
    <w:p w:rsidR="008A08A2" w:rsidRPr="00D6163D" w:rsidRDefault="008A08A2" w:rsidP="009F006D">
      <w:pPr>
        <w:jc w:val="both"/>
        <w:rPr>
          <w:rFonts w:asciiTheme="minorHAnsi" w:hAnsiTheme="minorHAnsi"/>
          <w:color w:val="000000" w:themeColor="text1"/>
        </w:rPr>
      </w:pPr>
      <w:r>
        <w:rPr>
          <w:rStyle w:val="Rimandonotaapidipagina"/>
        </w:rPr>
        <w:footnoteRef/>
      </w:r>
      <w:r>
        <w:t xml:space="preserve"> </w:t>
      </w:r>
      <w:r w:rsidRPr="00D6163D">
        <w:rPr>
          <w:rFonts w:asciiTheme="minorHAnsi" w:hAnsiTheme="minorHAnsi"/>
          <w:color w:val="000000" w:themeColor="text1"/>
        </w:rPr>
        <w:t>13. 4. (Nuova formulaz</w:t>
      </w:r>
      <w:r w:rsidRPr="00D6163D">
        <w:rPr>
          <w:color w:val="000000" w:themeColor="text1"/>
        </w:rPr>
        <w:t xml:space="preserve">ione) Braga, Buratti, Pezzopane; </w:t>
      </w:r>
      <w:r w:rsidRPr="00D6163D">
        <w:rPr>
          <w:rFonts w:asciiTheme="minorHAnsi" w:hAnsiTheme="minorHAnsi"/>
          <w:color w:val="000000" w:themeColor="text1"/>
        </w:rPr>
        <w:t>13. 5. (Nuova formulazione) Topo, Mancini, Buratti, Mura, Pezzopane, Mura, Rotta, Benamati, Bonomo, Lacarra, Man</w:t>
      </w:r>
      <w:r w:rsidRPr="00D6163D">
        <w:rPr>
          <w:color w:val="000000" w:themeColor="text1"/>
        </w:rPr>
        <w:t xml:space="preserve">ca, Nardi, Zardini; </w:t>
      </w:r>
      <w:r w:rsidRPr="00D6163D">
        <w:rPr>
          <w:rFonts w:asciiTheme="minorHAnsi" w:hAnsiTheme="minorHAnsi"/>
          <w:color w:val="000000" w:themeColor="text1"/>
        </w:rPr>
        <w:t xml:space="preserve">13. </w:t>
      </w:r>
      <w:r w:rsidRPr="00D6163D">
        <w:rPr>
          <w:color w:val="000000" w:themeColor="text1"/>
        </w:rPr>
        <w:t xml:space="preserve">6. (Nuova formulazione) Angiola; </w:t>
      </w:r>
      <w:r w:rsidRPr="00D6163D">
        <w:rPr>
          <w:rFonts w:asciiTheme="minorHAnsi" w:hAnsiTheme="minorHAnsi"/>
          <w:color w:val="000000" w:themeColor="text1"/>
        </w:rPr>
        <w:t xml:space="preserve">13. 7. (Nuova </w:t>
      </w:r>
      <w:r w:rsidRPr="00D6163D">
        <w:rPr>
          <w:color w:val="000000" w:themeColor="text1"/>
        </w:rPr>
        <w:t xml:space="preserve">formulazione) Pella, Porchietto; </w:t>
      </w:r>
      <w:r w:rsidRPr="00D6163D">
        <w:rPr>
          <w:rFonts w:asciiTheme="minorHAnsi" w:hAnsiTheme="minorHAnsi"/>
          <w:color w:val="000000" w:themeColor="text1"/>
        </w:rPr>
        <w:t>13. 8. (Nuova formulazione) Pastorino, Nardi.</w:t>
      </w:r>
    </w:p>
    <w:p w:rsidR="008A08A2" w:rsidRDefault="008A08A2">
      <w:pPr>
        <w:pStyle w:val="Testonotaapidipagina"/>
      </w:pPr>
    </w:p>
  </w:footnote>
  <w:footnote w:id="48">
    <w:p w:rsidR="00334BAF" w:rsidRPr="00B53CE7" w:rsidRDefault="00334BAF" w:rsidP="00334BAF">
      <w:pPr>
        <w:jc w:val="both"/>
        <w:rPr>
          <w:color w:val="000000" w:themeColor="text1"/>
        </w:rPr>
      </w:pPr>
      <w:r>
        <w:rPr>
          <w:rStyle w:val="Rimandonotaapidipagina"/>
        </w:rPr>
        <w:footnoteRef/>
      </w:r>
      <w:r>
        <w:t xml:space="preserve"> </w:t>
      </w:r>
      <w:r w:rsidRPr="00B53CE7">
        <w:rPr>
          <w:color w:val="000000" w:themeColor="text1"/>
        </w:rPr>
        <w:t xml:space="preserve">13. 38. </w:t>
      </w:r>
      <w:proofErr w:type="gramStart"/>
      <w:r w:rsidRPr="00B53CE7">
        <w:rPr>
          <w:color w:val="000000" w:themeColor="text1"/>
        </w:rPr>
        <w:t>(Nuova</w:t>
      </w:r>
      <w:proofErr w:type="gramEnd"/>
      <w:r w:rsidRPr="00B53CE7">
        <w:rPr>
          <w:color w:val="000000" w:themeColor="text1"/>
        </w:rPr>
        <w:t xml:space="preserve"> formulazione)  Porchietto, Gelmini, Cattaneo, Giacomoni, Baratto, Martino, Angelucci, Giacometto, Barelli, Fiorini, Squeri, Polidori, Carrara, Della Frera; 13. 27. (Nuova formulazione)  Guidesi, Andreuzza, Binelli, Colla, Dara, Galli, Pettazzi, Piastra, Bitonci, Cavandoli, Centemero, Covolo, Gerardi, Gusmeroli, Alessandro Pagano, </w:t>
      </w:r>
      <w:proofErr w:type="gramStart"/>
      <w:r w:rsidRPr="00B53CE7">
        <w:rPr>
          <w:color w:val="000000" w:themeColor="text1"/>
        </w:rPr>
        <w:t>Paternoster</w:t>
      </w:r>
      <w:proofErr w:type="gramEnd"/>
      <w:r w:rsidRPr="00B53CE7">
        <w:rPr>
          <w:color w:val="000000" w:themeColor="text1"/>
        </w:rPr>
        <w:t xml:space="preserve">, Tarantino; 13. 20. (Nuova formulazione)  Lollobrigida, Osnato, Zucconi, Bignami, Baldini, Ciaburro, Caretta; </w:t>
      </w:r>
      <w:proofErr w:type="gramStart"/>
      <w:r w:rsidRPr="00B53CE7">
        <w:rPr>
          <w:color w:val="000000" w:themeColor="text1"/>
        </w:rPr>
        <w:t>13</w:t>
      </w:r>
      <w:proofErr w:type="gramEnd"/>
      <w:r w:rsidRPr="00B53CE7">
        <w:rPr>
          <w:color w:val="000000" w:themeColor="text1"/>
        </w:rPr>
        <w:t>. 26. (Nuova formulazione)  Mura, Topo, Pezzopane.</w:t>
      </w:r>
    </w:p>
    <w:p w:rsidR="00334BAF" w:rsidRDefault="00334BAF">
      <w:pPr>
        <w:pStyle w:val="Testonotaapidipagina"/>
      </w:pPr>
    </w:p>
  </w:footnote>
  <w:footnote w:id="49">
    <w:p w:rsidR="008A08A2" w:rsidRPr="00714183" w:rsidRDefault="008A08A2" w:rsidP="00A504CE">
      <w:pPr>
        <w:jc w:val="both"/>
        <w:rPr>
          <w:rFonts w:asciiTheme="minorHAnsi" w:hAnsiTheme="minorHAnsi"/>
          <w:color w:val="000000" w:themeColor="text1"/>
        </w:rPr>
      </w:pPr>
      <w:r>
        <w:rPr>
          <w:rStyle w:val="Rimandonotaapidipagina"/>
        </w:rPr>
        <w:footnoteRef/>
      </w:r>
      <w:r>
        <w:t xml:space="preserve"> </w:t>
      </w:r>
      <w:r w:rsidRPr="00714183">
        <w:rPr>
          <w:color w:val="000000" w:themeColor="text1"/>
        </w:rPr>
        <w:t xml:space="preserve">13. 53. Mancini, Pezzopane; </w:t>
      </w:r>
      <w:r w:rsidRPr="00714183">
        <w:rPr>
          <w:rFonts w:asciiTheme="minorHAnsi" w:hAnsiTheme="minorHAnsi"/>
          <w:color w:val="000000" w:themeColor="text1"/>
        </w:rPr>
        <w:t xml:space="preserve">13. 60. Pedrazzini, Benigni, </w:t>
      </w:r>
      <w:r w:rsidRPr="00714183">
        <w:rPr>
          <w:color w:val="000000" w:themeColor="text1"/>
        </w:rPr>
        <w:t xml:space="preserve">Gagliardi, Silli, Sorte; </w:t>
      </w:r>
      <w:r w:rsidRPr="00714183">
        <w:rPr>
          <w:rFonts w:asciiTheme="minorHAnsi" w:hAnsiTheme="minorHAnsi"/>
          <w:color w:val="000000" w:themeColor="text1"/>
        </w:rPr>
        <w:t>13. 54. Osnato, Trancassini, Zucconi, Bignami, Baldini.</w:t>
      </w:r>
    </w:p>
    <w:p w:rsidR="008A08A2" w:rsidRDefault="008A08A2">
      <w:pPr>
        <w:pStyle w:val="Testonotaapidipagina"/>
      </w:pPr>
    </w:p>
  </w:footnote>
  <w:footnote w:id="50">
    <w:p w:rsidR="008A08A2" w:rsidRPr="00714183" w:rsidRDefault="008A08A2" w:rsidP="00ED2781">
      <w:pPr>
        <w:jc w:val="both"/>
        <w:rPr>
          <w:rFonts w:asciiTheme="minorHAnsi" w:hAnsiTheme="minorHAnsi"/>
          <w:color w:val="000000" w:themeColor="text1"/>
        </w:rPr>
      </w:pPr>
      <w:r>
        <w:rPr>
          <w:rStyle w:val="Rimandonotaapidipagina"/>
        </w:rPr>
        <w:footnoteRef/>
      </w:r>
      <w:r>
        <w:t xml:space="preserve"> </w:t>
      </w:r>
      <w:r w:rsidRPr="00714183">
        <w:rPr>
          <w:rFonts w:asciiTheme="minorHAnsi" w:hAnsiTheme="minorHAnsi"/>
          <w:color w:val="000000" w:themeColor="text1"/>
        </w:rPr>
        <w:t>13. 39. (Nuova formulazione) De T</w:t>
      </w:r>
      <w:r w:rsidRPr="00714183">
        <w:rPr>
          <w:color w:val="000000" w:themeColor="text1"/>
        </w:rPr>
        <w:t>oma, Rachele Silvestri, Colucci;</w:t>
      </w:r>
      <w:r w:rsidRPr="00714183">
        <w:rPr>
          <w:rFonts w:asciiTheme="minorHAnsi" w:hAnsiTheme="minorHAnsi"/>
          <w:color w:val="000000" w:themeColor="text1"/>
        </w:rPr>
        <w:t xml:space="preserve">13. 43. (Nuova formulazione) Nardi, Ungaro, Moretto, Troiani, Cancelleri, Caso, Currò, Giuliodori, Grimaldi, Maglione, Maniero, Martinciglio, Migliorino, Raduzzi, Ruggiero, Ruocco, Zanichelli, Mancini, Rotta, </w:t>
      </w:r>
      <w:r w:rsidRPr="00714183">
        <w:rPr>
          <w:color w:val="000000" w:themeColor="text1"/>
        </w:rPr>
        <w:t xml:space="preserve">Bonomo, Lacarra, Manca, Zardini; </w:t>
      </w:r>
      <w:r w:rsidRPr="00714183">
        <w:rPr>
          <w:rFonts w:asciiTheme="minorHAnsi" w:hAnsiTheme="minorHAnsi"/>
          <w:color w:val="000000" w:themeColor="text1"/>
        </w:rPr>
        <w:t>13. 47. (Nuova formulazione) S</w:t>
      </w:r>
      <w:r w:rsidRPr="00714183">
        <w:rPr>
          <w:color w:val="000000" w:themeColor="text1"/>
        </w:rPr>
        <w:t xml:space="preserve">queri; </w:t>
      </w:r>
      <w:r w:rsidRPr="00714183">
        <w:rPr>
          <w:rFonts w:asciiTheme="minorHAnsi" w:hAnsiTheme="minorHAnsi"/>
          <w:color w:val="000000" w:themeColor="text1"/>
        </w:rPr>
        <w:t>13. 12. (Nuova formulazione) Zucconi, Osna</w:t>
      </w:r>
      <w:r w:rsidRPr="00714183">
        <w:rPr>
          <w:color w:val="000000" w:themeColor="text1"/>
        </w:rPr>
        <w:t xml:space="preserve">to, Acquaroli, Bignami, Baldini; </w:t>
      </w:r>
      <w:r w:rsidRPr="00714183">
        <w:rPr>
          <w:rFonts w:asciiTheme="minorHAnsi" w:hAnsiTheme="minorHAnsi"/>
          <w:color w:val="000000" w:themeColor="text1"/>
        </w:rPr>
        <w:t>13. 14. (Nuova formulazione) Benamati,</w:t>
      </w:r>
      <w:r w:rsidRPr="00714183">
        <w:rPr>
          <w:color w:val="000000" w:themeColor="text1"/>
        </w:rPr>
        <w:t xml:space="preserve"> Buratti, Topo, Mura, Pezzopane; </w:t>
      </w:r>
      <w:r w:rsidRPr="00714183">
        <w:rPr>
          <w:rFonts w:asciiTheme="minorHAnsi" w:hAnsiTheme="minorHAnsi"/>
          <w:color w:val="000000" w:themeColor="text1"/>
        </w:rPr>
        <w:t>13. 49. (Nuova formulazione) Paxia, Sut, Berardini, Alemanno, Crippa, Fantinati, Giarrizzo, Masi, Papiro, Perconti, Rizzone, Scanu, Sut, Vallascas.</w:t>
      </w:r>
    </w:p>
    <w:p w:rsidR="008A08A2" w:rsidRDefault="008A08A2">
      <w:pPr>
        <w:pStyle w:val="Testonotaapidipagina"/>
      </w:pPr>
    </w:p>
  </w:footnote>
  <w:footnote w:id="51">
    <w:p w:rsidR="008A08A2" w:rsidRPr="00714183" w:rsidRDefault="008A08A2" w:rsidP="009837D1">
      <w:pPr>
        <w:jc w:val="both"/>
        <w:rPr>
          <w:rFonts w:asciiTheme="minorHAnsi" w:hAnsiTheme="minorHAnsi"/>
          <w:color w:val="000000" w:themeColor="text1"/>
        </w:rPr>
      </w:pPr>
      <w:r>
        <w:rPr>
          <w:rStyle w:val="Rimandonotaapidipagina"/>
        </w:rPr>
        <w:footnoteRef/>
      </w:r>
      <w:r>
        <w:t xml:space="preserve"> </w:t>
      </w:r>
      <w:r w:rsidRPr="00714183">
        <w:rPr>
          <w:rFonts w:asciiTheme="minorHAnsi" w:hAnsiTheme="minorHAnsi"/>
          <w:color w:val="000000" w:themeColor="text1"/>
        </w:rPr>
        <w:t>13. 69.</w:t>
      </w:r>
      <w:r w:rsidRPr="00714183">
        <w:rPr>
          <w:color w:val="000000" w:themeColor="text1"/>
        </w:rPr>
        <w:t xml:space="preserve"> (Nuova formulazione) Acquaroli; </w:t>
      </w:r>
      <w:r w:rsidRPr="00714183">
        <w:rPr>
          <w:rFonts w:asciiTheme="minorHAnsi" w:hAnsiTheme="minorHAnsi"/>
          <w:color w:val="000000" w:themeColor="text1"/>
        </w:rPr>
        <w:t>13. 59. (Nuova formulazione) Bitonci, Cavandoli, Centemero, Covolo, Gerardi, Gusmeroli, Alessandro Pagano, Paternoster, Tarantino, Guidesi, Andreuzza, Binelli,</w:t>
      </w:r>
      <w:r w:rsidRPr="00714183">
        <w:rPr>
          <w:color w:val="000000" w:themeColor="text1"/>
        </w:rPr>
        <w:t xml:space="preserve"> Colla, Dara, Pettazzi, Piastra; </w:t>
      </w:r>
      <w:r w:rsidRPr="00714183">
        <w:rPr>
          <w:rFonts w:asciiTheme="minorHAnsi" w:hAnsiTheme="minorHAnsi"/>
          <w:color w:val="000000" w:themeColor="text1"/>
        </w:rPr>
        <w:t>1</w:t>
      </w:r>
      <w:r w:rsidRPr="00714183">
        <w:rPr>
          <w:color w:val="000000" w:themeColor="text1"/>
        </w:rPr>
        <w:t xml:space="preserve">3. 63. (Nuova formulazione) Sut; </w:t>
      </w:r>
      <w:r w:rsidRPr="00714183">
        <w:rPr>
          <w:rFonts w:asciiTheme="minorHAnsi" w:hAnsiTheme="minorHAnsi"/>
          <w:color w:val="000000" w:themeColor="text1"/>
        </w:rPr>
        <w:t>13. 64. (Nuova formulazione) Dal Moro, Bazoli, Berlinghieri, Bonomo, Bordo, Enrico Borghi, Buratti, Carnevali, Ceccanti, Cenni, Ciampi, Critelli, De Luca, De Maria, De Menech, Del Basso De Caro, Fassino, Fiano, Giacomelli, Gribaudo, Lacarra, Losacco, Lotti, Madia, Gavino Manca, Martina, Melilli, Miceli, Mura, Nardi, Navarra, Orfini, Pellicani, Pezzopane, Prestipino, Andrea Romano, Rossi, Rotta, Sensi, Serracchiani, Soverini, Topo, Va</w:t>
      </w:r>
      <w:r w:rsidRPr="00714183">
        <w:rPr>
          <w:color w:val="000000" w:themeColor="text1"/>
        </w:rPr>
        <w:t xml:space="preserve">zio, Mancini, Benamati, Zardini; </w:t>
      </w:r>
      <w:r w:rsidRPr="00714183">
        <w:rPr>
          <w:rFonts w:asciiTheme="minorHAnsi" w:hAnsiTheme="minorHAnsi"/>
          <w:color w:val="000000" w:themeColor="text1"/>
        </w:rPr>
        <w:t xml:space="preserve">13. </w:t>
      </w:r>
      <w:r w:rsidRPr="00714183">
        <w:rPr>
          <w:color w:val="000000" w:themeColor="text1"/>
        </w:rPr>
        <w:t xml:space="preserve">86. (Nuova formulazione) Ungaro; </w:t>
      </w:r>
      <w:r w:rsidRPr="00714183">
        <w:rPr>
          <w:rFonts w:asciiTheme="minorHAnsi" w:hAnsiTheme="minorHAnsi"/>
          <w:color w:val="000000" w:themeColor="text1"/>
        </w:rPr>
        <w:t>13. 62. (Nuova formulazione) Colletti.</w:t>
      </w:r>
    </w:p>
    <w:p w:rsidR="008A08A2" w:rsidRDefault="008A08A2">
      <w:pPr>
        <w:pStyle w:val="Testonotaapidipagina"/>
      </w:pPr>
    </w:p>
  </w:footnote>
  <w:footnote w:id="52">
    <w:p w:rsidR="008A08A2" w:rsidRPr="00083383" w:rsidRDefault="008A08A2" w:rsidP="00B44950">
      <w:pPr>
        <w:jc w:val="both"/>
        <w:rPr>
          <w:rFonts w:asciiTheme="minorHAnsi" w:hAnsiTheme="minorHAnsi"/>
          <w:color w:val="000000" w:themeColor="text1"/>
        </w:rPr>
      </w:pPr>
      <w:r>
        <w:rPr>
          <w:rStyle w:val="Rimandonotaapidipagina"/>
        </w:rPr>
        <w:footnoteRef/>
      </w:r>
      <w:r>
        <w:t xml:space="preserve"> </w:t>
      </w:r>
      <w:r w:rsidRPr="00083383">
        <w:rPr>
          <w:rFonts w:asciiTheme="minorHAnsi" w:hAnsiTheme="minorHAnsi"/>
          <w:color w:val="000000" w:themeColor="text1"/>
        </w:rPr>
        <w:t>13. 66. (Nuova formulazione) Cavandoli, Bitonci, Gusmeroli, Centemero, Covolo, Gerardi, Alessandro Pagano, Paternoster, Tarantino, Andreuzza, Guidesi, Binelli, Colla,</w:t>
      </w:r>
      <w:r w:rsidRPr="00083383">
        <w:rPr>
          <w:color w:val="000000" w:themeColor="text1"/>
        </w:rPr>
        <w:t xml:space="preserve"> Dara, Galli, Pettazzi, Piastra; </w:t>
      </w:r>
      <w:r w:rsidRPr="00083383">
        <w:rPr>
          <w:rFonts w:asciiTheme="minorHAnsi" w:hAnsiTheme="minorHAnsi"/>
          <w:color w:val="000000" w:themeColor="text1"/>
        </w:rPr>
        <w:t>13. 55. (Nuova formulazione) Mura, Topo, Pezzopane, Buratti, Mancini, Rotta, Benamati, Bonomo,</w:t>
      </w:r>
      <w:r w:rsidRPr="00083383">
        <w:rPr>
          <w:color w:val="000000" w:themeColor="text1"/>
        </w:rPr>
        <w:t xml:space="preserve"> Lacarra, Manca, Nardi, Zardini; </w:t>
      </w:r>
      <w:r w:rsidRPr="00083383">
        <w:rPr>
          <w:rFonts w:asciiTheme="minorHAnsi" w:hAnsiTheme="minorHAnsi"/>
          <w:color w:val="000000" w:themeColor="text1"/>
        </w:rPr>
        <w:t>13. 57. (Nuova fo</w:t>
      </w:r>
      <w:r w:rsidRPr="00083383">
        <w:rPr>
          <w:color w:val="000000" w:themeColor="text1"/>
        </w:rPr>
        <w:t xml:space="preserve">rmulazione) Moretto, Bendinelli; </w:t>
      </w:r>
      <w:r w:rsidRPr="00083383">
        <w:rPr>
          <w:rFonts w:asciiTheme="minorHAnsi" w:hAnsiTheme="minorHAnsi"/>
          <w:color w:val="000000" w:themeColor="text1"/>
        </w:rPr>
        <w:t>13. 84. (Nuova formulazione) Lollobrigida, Osnato, Zucconi, Bign</w:t>
      </w:r>
      <w:r w:rsidRPr="00083383">
        <w:rPr>
          <w:color w:val="000000" w:themeColor="text1"/>
        </w:rPr>
        <w:t xml:space="preserve">ami, Baldini, Ciaburro, Caretta; </w:t>
      </w:r>
      <w:r w:rsidRPr="00083383">
        <w:rPr>
          <w:rFonts w:asciiTheme="minorHAnsi" w:hAnsiTheme="minorHAnsi"/>
          <w:color w:val="000000" w:themeColor="text1"/>
        </w:rPr>
        <w:t>13. 79. (Nuova formulazione) Cattaneo, Giacomoni, Gelmini, Giacometto, Porchietto, Baratto, Martino, Angelucci, Barelli, Fiorini, Squeri, Polidori, Carrara, Della Frera.</w:t>
      </w:r>
    </w:p>
    <w:p w:rsidR="008A08A2" w:rsidRDefault="008A08A2">
      <w:pPr>
        <w:pStyle w:val="Testonotaapidipagina"/>
      </w:pPr>
    </w:p>
  </w:footnote>
  <w:footnote w:id="53">
    <w:p w:rsidR="00703482" w:rsidRPr="00B53CE7" w:rsidRDefault="00703482" w:rsidP="00703482">
      <w:pPr>
        <w:jc w:val="both"/>
        <w:rPr>
          <w:color w:val="000000" w:themeColor="text1"/>
        </w:rPr>
      </w:pPr>
      <w:r>
        <w:rPr>
          <w:rStyle w:val="Rimandonotaapidipagina"/>
        </w:rPr>
        <w:footnoteRef/>
      </w:r>
      <w:r>
        <w:t xml:space="preserve"> </w:t>
      </w:r>
      <w:r w:rsidRPr="00B53CE7">
        <w:rPr>
          <w:color w:val="000000" w:themeColor="text1"/>
        </w:rPr>
        <w:t xml:space="preserve">13. 101. </w:t>
      </w:r>
      <w:proofErr w:type="gramStart"/>
      <w:r w:rsidRPr="00B53CE7">
        <w:rPr>
          <w:color w:val="000000" w:themeColor="text1"/>
        </w:rPr>
        <w:t>(Nuova</w:t>
      </w:r>
      <w:proofErr w:type="gramEnd"/>
      <w:r w:rsidRPr="00B53CE7">
        <w:rPr>
          <w:color w:val="000000" w:themeColor="text1"/>
        </w:rPr>
        <w:t xml:space="preserve"> formulazione)  Benamati, Buratti, Mancini, Romina Mura, Rotta, Topo, Benamati, Bonomo, Lacarra, Manca, Nardi, Zardini; 13. 98. (Nuova formulazione)  Ungaro, Moretto, Mor, Marattin; </w:t>
      </w:r>
      <w:proofErr w:type="gramStart"/>
      <w:r w:rsidRPr="00B53CE7">
        <w:rPr>
          <w:color w:val="000000" w:themeColor="text1"/>
        </w:rPr>
        <w:t>13</w:t>
      </w:r>
      <w:proofErr w:type="gramEnd"/>
      <w:r w:rsidRPr="00B53CE7">
        <w:rPr>
          <w:color w:val="000000" w:themeColor="text1"/>
        </w:rPr>
        <w:t xml:space="preserve">. 108. (Nuova formulazione)  Porchietto, Gelmini, Martino, Giacomoni, Cattaneo, Baratto, Angelucci, Giacometto, Barelli, Squeri, Carrara, Polidori, Fiorini, Della Frera; </w:t>
      </w:r>
      <w:proofErr w:type="gramStart"/>
      <w:r w:rsidRPr="00B53CE7">
        <w:rPr>
          <w:color w:val="000000" w:themeColor="text1"/>
        </w:rPr>
        <w:t>13</w:t>
      </w:r>
      <w:proofErr w:type="gramEnd"/>
      <w:r w:rsidRPr="00B53CE7">
        <w:rPr>
          <w:color w:val="000000" w:themeColor="text1"/>
        </w:rPr>
        <w:t xml:space="preserve">. 93. (Nuova formulazione)  Guidesi, Andreuzza, Binelli, Colla, Dara, Galli, Pettazzi, Piastra, Bitonci, Cavandoli, Centemero, Covolo, Gerardi, Gusmeroli, Alessandro Pagano, </w:t>
      </w:r>
      <w:proofErr w:type="gramStart"/>
      <w:r w:rsidRPr="00B53CE7">
        <w:rPr>
          <w:color w:val="000000" w:themeColor="text1"/>
        </w:rPr>
        <w:t>Paternoster</w:t>
      </w:r>
      <w:proofErr w:type="gramEnd"/>
      <w:r w:rsidRPr="00B53CE7">
        <w:rPr>
          <w:color w:val="000000" w:themeColor="text1"/>
        </w:rPr>
        <w:t xml:space="preserve">, Tarantino; 13. 121. (Nuova formulazione)  Manzo, Donno; </w:t>
      </w:r>
      <w:proofErr w:type="gramStart"/>
      <w:r w:rsidRPr="00B53CE7">
        <w:rPr>
          <w:color w:val="000000" w:themeColor="text1"/>
        </w:rPr>
        <w:t>13</w:t>
      </w:r>
      <w:proofErr w:type="gramEnd"/>
      <w:r w:rsidRPr="00B53CE7">
        <w:rPr>
          <w:color w:val="000000" w:themeColor="text1"/>
        </w:rPr>
        <w:t>. 122. (Nuova formulazione)  Berardini.</w:t>
      </w:r>
    </w:p>
    <w:p w:rsidR="00703482" w:rsidRDefault="00703482">
      <w:pPr>
        <w:pStyle w:val="Testonotaapidipagina"/>
      </w:pPr>
    </w:p>
  </w:footnote>
  <w:footnote w:id="54">
    <w:p w:rsidR="008A08A2" w:rsidRPr="00D535A2" w:rsidRDefault="008A08A2" w:rsidP="008D24AE">
      <w:pPr>
        <w:jc w:val="both"/>
        <w:rPr>
          <w:rFonts w:asciiTheme="minorHAnsi" w:hAnsiTheme="minorHAnsi"/>
          <w:color w:val="000000" w:themeColor="text1"/>
        </w:rPr>
      </w:pPr>
      <w:r>
        <w:rPr>
          <w:rStyle w:val="Rimandonotaapidipagina"/>
        </w:rPr>
        <w:footnoteRef/>
      </w:r>
      <w:r>
        <w:t xml:space="preserve"> </w:t>
      </w:r>
      <w:r w:rsidRPr="00D535A2">
        <w:rPr>
          <w:rFonts w:asciiTheme="minorHAnsi" w:hAnsiTheme="minorHAnsi"/>
          <w:color w:val="000000" w:themeColor="text1"/>
        </w:rPr>
        <w:t>13. 126. (Nuova formulazione) Lazzarini, Lucchini, Andreuzza, Binelli, Colla, Dara, Ga</w:t>
      </w:r>
      <w:r w:rsidRPr="00D535A2">
        <w:rPr>
          <w:color w:val="000000" w:themeColor="text1"/>
        </w:rPr>
        <w:t xml:space="preserve">lli, Guidesi, Pettazzi, Piastra; </w:t>
      </w:r>
      <w:r w:rsidRPr="00D535A2">
        <w:rPr>
          <w:rFonts w:asciiTheme="minorHAnsi" w:hAnsiTheme="minorHAnsi"/>
          <w:color w:val="000000" w:themeColor="text1"/>
        </w:rPr>
        <w:t>13. 127. (Nuova formulazione) Moretto, Bendinelli, Buratti, Mancini, Mura, Rotta, Topo, Benamati, Bonomo,</w:t>
      </w:r>
      <w:r w:rsidRPr="00D535A2">
        <w:rPr>
          <w:color w:val="000000" w:themeColor="text1"/>
        </w:rPr>
        <w:t xml:space="preserve"> Lacarra, Manca, Nardi, Zardini; </w:t>
      </w:r>
      <w:r w:rsidRPr="00D535A2">
        <w:rPr>
          <w:rFonts w:asciiTheme="minorHAnsi" w:hAnsiTheme="minorHAnsi"/>
          <w:color w:val="000000" w:themeColor="text1"/>
        </w:rPr>
        <w:t>13. 128. (Nuova formulazione) Andreuzza, Binelli, Colla, Dara, Galli, Guidesi, Pettazzi, Piastra, Bitonci, Cavandoli, Centemero, Covolo, Gerardi, Gusmeroli, Alessandro</w:t>
      </w:r>
      <w:r w:rsidRPr="00D535A2">
        <w:rPr>
          <w:color w:val="000000" w:themeColor="text1"/>
        </w:rPr>
        <w:t xml:space="preserve"> Pagano, Paternoster, Tarantino; </w:t>
      </w:r>
      <w:r w:rsidRPr="00D535A2">
        <w:rPr>
          <w:rFonts w:asciiTheme="minorHAnsi" w:hAnsiTheme="minorHAnsi"/>
          <w:color w:val="000000" w:themeColor="text1"/>
        </w:rPr>
        <w:t>13. 129. (Nuova formulazione) Zucconi, Osnato, Acquaro</w:t>
      </w:r>
      <w:r w:rsidRPr="00D535A2">
        <w:rPr>
          <w:color w:val="000000" w:themeColor="text1"/>
        </w:rPr>
        <w:t xml:space="preserve">li, Bignami, Baldini, Mollicone; </w:t>
      </w:r>
      <w:r w:rsidRPr="00D535A2">
        <w:rPr>
          <w:rFonts w:asciiTheme="minorHAnsi" w:hAnsiTheme="minorHAnsi"/>
          <w:color w:val="000000" w:themeColor="text1"/>
        </w:rPr>
        <w:t>13. 130. (Nu</w:t>
      </w:r>
      <w:r w:rsidRPr="00D535A2">
        <w:rPr>
          <w:color w:val="000000" w:themeColor="text1"/>
        </w:rPr>
        <w:t xml:space="preserve">ova formulazione) Trano, Aprile; </w:t>
      </w:r>
      <w:r w:rsidRPr="00D535A2">
        <w:rPr>
          <w:rFonts w:asciiTheme="minorHAnsi" w:hAnsiTheme="minorHAnsi"/>
          <w:color w:val="000000" w:themeColor="text1"/>
        </w:rPr>
        <w:t>13. 393. (Nuova formulazione) Angiola.</w:t>
      </w:r>
    </w:p>
    <w:p w:rsidR="008A08A2" w:rsidRDefault="008A08A2">
      <w:pPr>
        <w:pStyle w:val="Testonotaapidipagina"/>
      </w:pPr>
    </w:p>
  </w:footnote>
  <w:footnote w:id="55">
    <w:p w:rsidR="008A08A2" w:rsidRPr="000749BB" w:rsidRDefault="008A08A2" w:rsidP="004226BC">
      <w:pPr>
        <w:jc w:val="both"/>
        <w:rPr>
          <w:color w:val="000000" w:themeColor="text1"/>
        </w:rPr>
      </w:pPr>
      <w:r>
        <w:rPr>
          <w:rStyle w:val="Rimandonotaapidipagina"/>
        </w:rPr>
        <w:footnoteRef/>
      </w:r>
      <w:r>
        <w:t xml:space="preserve"> </w:t>
      </w:r>
      <w:r w:rsidRPr="000749BB">
        <w:rPr>
          <w:color w:val="000000" w:themeColor="text1"/>
        </w:rPr>
        <w:t>1. 96. Berardini, De Girolamo;1. 4. (Nuova formulazione) Moretto, Mor, Ungaro, Marattin, Bendinelli; 1. 5. (Nuova formulazione) Gelmini, Porchietto, Martino, Giacomoni, Cattaneo, Baratto, Angelucci, Giacometto, Mandelli, Prestigiacomo, Barelli, Fiorini, Squeri, Polidori, Carrara, Della Frera.</w:t>
      </w:r>
    </w:p>
    <w:p w:rsidR="008A08A2" w:rsidRDefault="008A08A2">
      <w:pPr>
        <w:pStyle w:val="Testonotaapidipagina"/>
      </w:pPr>
    </w:p>
  </w:footnote>
  <w:footnote w:id="56">
    <w:p w:rsidR="008A08A2" w:rsidRPr="00D535A2" w:rsidRDefault="008A08A2" w:rsidP="00037EE5">
      <w:pPr>
        <w:jc w:val="both"/>
        <w:rPr>
          <w:rFonts w:asciiTheme="minorHAnsi" w:hAnsiTheme="minorHAnsi"/>
          <w:color w:val="000000" w:themeColor="text1"/>
        </w:rPr>
      </w:pPr>
      <w:r>
        <w:rPr>
          <w:rStyle w:val="Rimandonotaapidipagina"/>
        </w:rPr>
        <w:footnoteRef/>
      </w:r>
      <w:r>
        <w:t xml:space="preserve"> </w:t>
      </w:r>
      <w:r w:rsidRPr="00D535A2">
        <w:rPr>
          <w:rFonts w:asciiTheme="minorHAnsi" w:hAnsiTheme="minorHAnsi"/>
          <w:color w:val="000000" w:themeColor="text1"/>
        </w:rPr>
        <w:t>13. 248. (Nuova formulazione) De T</w:t>
      </w:r>
      <w:r w:rsidRPr="00D535A2">
        <w:rPr>
          <w:color w:val="000000" w:themeColor="text1"/>
        </w:rPr>
        <w:t xml:space="preserve">oma, Rachele Silvestri, Colucci; </w:t>
      </w:r>
      <w:r w:rsidRPr="00D535A2">
        <w:rPr>
          <w:rFonts w:asciiTheme="minorHAnsi" w:hAnsiTheme="minorHAnsi"/>
          <w:color w:val="000000" w:themeColor="text1"/>
        </w:rPr>
        <w:t>13. 239. (Nuova formulazione) Squeri</w:t>
      </w:r>
      <w:r w:rsidRPr="00D535A2">
        <w:rPr>
          <w:color w:val="000000" w:themeColor="text1"/>
        </w:rPr>
        <w:t xml:space="preserve">, D'Ettore; </w:t>
      </w:r>
      <w:r w:rsidRPr="00D535A2">
        <w:rPr>
          <w:rFonts w:asciiTheme="minorHAnsi" w:hAnsiTheme="minorHAnsi"/>
          <w:color w:val="000000" w:themeColor="text1"/>
        </w:rPr>
        <w:t>13. 183. (Nuova formulazione) Rotta, Buratti, Pezzopane, Morgoni, Fioramonti, Mancini, Mura, Topo, Benamati, Bonomo, Lacarra</w:t>
      </w:r>
      <w:r w:rsidRPr="00D535A2">
        <w:rPr>
          <w:color w:val="000000" w:themeColor="text1"/>
        </w:rPr>
        <w:t xml:space="preserve">, Manca, Nardi, Zardini, Ungaro; </w:t>
      </w:r>
      <w:r w:rsidRPr="00D535A2">
        <w:rPr>
          <w:rFonts w:asciiTheme="minorHAnsi" w:hAnsiTheme="minorHAnsi"/>
          <w:color w:val="000000" w:themeColor="text1"/>
        </w:rPr>
        <w:t>13. 310. (Nuova formulazione) Alemanno, Grimaldi, Cancelleri, Caso, Currò, Giuliodori, Maglione, Maniero, Martinciglio, Migliorino, Raduzzi, Ruggiero, Ruocco, Zanichelli.</w:t>
      </w:r>
    </w:p>
    <w:p w:rsidR="008A08A2" w:rsidRDefault="008A08A2">
      <w:pPr>
        <w:pStyle w:val="Testonotaapidipagina"/>
      </w:pPr>
    </w:p>
  </w:footnote>
  <w:footnote w:id="57">
    <w:p w:rsidR="008A08A2" w:rsidRPr="0000422C" w:rsidRDefault="008A08A2" w:rsidP="00012BB5">
      <w:pPr>
        <w:jc w:val="both"/>
        <w:rPr>
          <w:color w:val="000000" w:themeColor="text1"/>
        </w:rPr>
      </w:pPr>
      <w:r>
        <w:rPr>
          <w:rStyle w:val="Rimandonotaapidipagina"/>
        </w:rPr>
        <w:footnoteRef/>
      </w:r>
      <w:r>
        <w:t xml:space="preserve"> </w:t>
      </w:r>
      <w:r w:rsidRPr="0000422C">
        <w:rPr>
          <w:rFonts w:asciiTheme="minorHAnsi" w:hAnsiTheme="minorHAnsi"/>
          <w:color w:val="000000" w:themeColor="text1"/>
        </w:rPr>
        <w:t>13. 30. (Nuova formulazione) Guidesi, Boniardi, Andreuzza, Binelli, Colla, Dara, Galli, Pettazzi, Piastra, Bitonci, Cavandoli, Centemero, Covolo, Gerardi, Gusmeroli, Alessandro Pagano, Paternoster, Taranti</w:t>
      </w:r>
      <w:r w:rsidRPr="0000422C">
        <w:rPr>
          <w:color w:val="000000" w:themeColor="text1"/>
        </w:rPr>
        <w:t xml:space="preserve">no; </w:t>
      </w:r>
      <w:r w:rsidRPr="0000422C">
        <w:rPr>
          <w:rFonts w:asciiTheme="minorHAnsi" w:hAnsiTheme="minorHAnsi"/>
          <w:color w:val="000000" w:themeColor="text1"/>
        </w:rPr>
        <w:t>13. 197. (Nuova fo</w:t>
      </w:r>
      <w:r w:rsidRPr="0000422C">
        <w:rPr>
          <w:color w:val="000000" w:themeColor="text1"/>
        </w:rPr>
        <w:t xml:space="preserve">rmulazione) Raduzzi, Sut, Trano; </w:t>
      </w:r>
      <w:r w:rsidRPr="0000422C">
        <w:rPr>
          <w:rFonts w:asciiTheme="minorHAnsi" w:hAnsiTheme="minorHAnsi"/>
          <w:color w:val="000000" w:themeColor="text1"/>
        </w:rPr>
        <w:t>13. 148. (Nuova formulazione) Boschi,</w:t>
      </w:r>
      <w:r w:rsidRPr="0000422C">
        <w:rPr>
          <w:color w:val="000000" w:themeColor="text1"/>
        </w:rPr>
        <w:t xml:space="preserve"> Marattin, Ungaro, Moretto, Mor; </w:t>
      </w:r>
      <w:r w:rsidRPr="0000422C">
        <w:rPr>
          <w:rFonts w:asciiTheme="minorHAnsi" w:hAnsiTheme="minorHAnsi"/>
          <w:color w:val="000000" w:themeColor="text1"/>
        </w:rPr>
        <w:t>13. 136. (Nuova formulazione)</w:t>
      </w:r>
      <w:r w:rsidRPr="0000422C">
        <w:rPr>
          <w:color w:val="000000" w:themeColor="text1"/>
        </w:rPr>
        <w:t xml:space="preserve"> Ungaro, Moretto, Mor, Marattin; </w:t>
      </w:r>
      <w:r w:rsidRPr="0000422C">
        <w:rPr>
          <w:rFonts w:asciiTheme="minorHAnsi" w:hAnsiTheme="minorHAnsi"/>
          <w:color w:val="000000" w:themeColor="text1"/>
        </w:rPr>
        <w:t>13. 147. (Nuova formulaz</w:t>
      </w:r>
      <w:r w:rsidRPr="0000422C">
        <w:rPr>
          <w:color w:val="000000" w:themeColor="text1"/>
        </w:rPr>
        <w:t xml:space="preserve">ione) Benamati, Topo, Pezzopane; </w:t>
      </w:r>
      <w:r w:rsidRPr="0000422C">
        <w:rPr>
          <w:rFonts w:asciiTheme="minorHAnsi" w:hAnsiTheme="minorHAnsi"/>
          <w:color w:val="000000" w:themeColor="text1"/>
        </w:rPr>
        <w:t>13. 190. (Nuova formulazione) Giacometto, Baratto, Gelmini, Martino, Giacomoni, Cattaneo, Angelucci, Porchietto, Barelli, Squeri, Carrara,</w:t>
      </w:r>
      <w:r w:rsidRPr="0000422C">
        <w:rPr>
          <w:color w:val="000000" w:themeColor="text1"/>
        </w:rPr>
        <w:t xml:space="preserve"> Polidori, Fiorini, Della Frera; </w:t>
      </w:r>
      <w:r w:rsidRPr="0000422C">
        <w:rPr>
          <w:rFonts w:asciiTheme="minorHAnsi" w:hAnsiTheme="minorHAnsi"/>
          <w:color w:val="000000" w:themeColor="text1"/>
        </w:rPr>
        <w:t>13. 213. (Nuova formulazione) Bitonci, Centemero, Cavandoli, Covolo, Gerardi, Gusmeroli, Alessandro</w:t>
      </w:r>
      <w:r w:rsidRPr="0000422C">
        <w:rPr>
          <w:color w:val="000000" w:themeColor="text1"/>
        </w:rPr>
        <w:t xml:space="preserve"> Pagano, Paternoster, Tarantino; </w:t>
      </w:r>
      <w:r w:rsidRPr="0000422C">
        <w:rPr>
          <w:rFonts w:asciiTheme="minorHAnsi" w:hAnsiTheme="minorHAnsi"/>
          <w:color w:val="000000" w:themeColor="text1"/>
        </w:rPr>
        <w:t>13. 258. (Nuova form</w:t>
      </w:r>
      <w:r w:rsidRPr="0000422C">
        <w:rPr>
          <w:color w:val="000000" w:themeColor="text1"/>
        </w:rPr>
        <w:t xml:space="preserve">ulazione) Paxia, Sut, Berardini; </w:t>
      </w:r>
      <w:r w:rsidRPr="0000422C">
        <w:rPr>
          <w:rFonts w:asciiTheme="minorHAnsi" w:hAnsiTheme="minorHAnsi"/>
          <w:color w:val="000000" w:themeColor="text1"/>
        </w:rPr>
        <w:t>13. 259. (Nuov</w:t>
      </w:r>
      <w:r w:rsidRPr="0000422C">
        <w:rPr>
          <w:color w:val="000000" w:themeColor="text1"/>
        </w:rPr>
        <w:t xml:space="preserve">a formulazione) Masi, Berardini; </w:t>
      </w:r>
      <w:r w:rsidRPr="0000422C">
        <w:rPr>
          <w:rFonts w:asciiTheme="minorHAnsi" w:hAnsiTheme="minorHAnsi"/>
          <w:color w:val="000000" w:themeColor="text1"/>
        </w:rPr>
        <w:t>13. 413. (ex 1.263) (Nuova formulazione) Dal Moro, Bazoli, Berlinghieri, Bonomo, Bordo, Enrico Borghi, Bruno Bossio, Buratti, Carnevali, Ceccanti, Cenni, Ciampi, Critelli, De Luca, De Maria, De Menech, Del Basso De Caro, Fassino, Fiano, Giacomelli, Gribaudo, Lacarra, Losacco, Lotti, Madia, Gavino Manca, Martina, Melilli, Miceli, Mura, Nardi, Navarra, Orfini, Pellicani, Pezzopane, Prestipino, Andrea Romano, Rossi, Rotta, Sensi, Serr</w:t>
      </w:r>
      <w:r w:rsidRPr="0000422C">
        <w:rPr>
          <w:color w:val="000000" w:themeColor="text1"/>
        </w:rPr>
        <w:t xml:space="preserve">acchiani, Soverini, Topo, Vazio; </w:t>
      </w:r>
      <w:r w:rsidRPr="0000422C">
        <w:rPr>
          <w:rFonts w:asciiTheme="minorHAnsi" w:hAnsiTheme="minorHAnsi"/>
          <w:color w:val="000000" w:themeColor="text1"/>
        </w:rPr>
        <w:t>13. 403. (ex 1.290) (Nuova formulazione) Prisco, Os</w:t>
      </w:r>
      <w:r w:rsidRPr="0000422C">
        <w:rPr>
          <w:color w:val="000000" w:themeColor="text1"/>
        </w:rPr>
        <w:t xml:space="preserve">nato, Zucconi, Bignami, Baldini; </w:t>
      </w:r>
      <w:r w:rsidRPr="0000422C">
        <w:rPr>
          <w:rFonts w:asciiTheme="minorHAnsi" w:hAnsiTheme="minorHAnsi"/>
          <w:color w:val="000000" w:themeColor="text1"/>
        </w:rPr>
        <w:t>13. 404. (ex 1.90) (Nuova formulazione) Lupi, Co</w:t>
      </w:r>
      <w:r w:rsidRPr="0000422C">
        <w:rPr>
          <w:color w:val="000000" w:themeColor="text1"/>
        </w:rPr>
        <w:t xml:space="preserve">lucci, Sangregorio, Tondo; </w:t>
      </w:r>
      <w:r w:rsidRPr="0000422C">
        <w:rPr>
          <w:rFonts w:asciiTheme="minorHAnsi" w:hAnsiTheme="minorHAnsi"/>
          <w:color w:val="000000" w:themeColor="text1"/>
        </w:rPr>
        <w:t>13. 405. (ex 1.146) (Nuova form</w:t>
      </w:r>
      <w:r w:rsidRPr="0000422C">
        <w:rPr>
          <w:color w:val="000000" w:themeColor="text1"/>
        </w:rPr>
        <w:t xml:space="preserve">ulazione) Rospi, Zennaro, Nitti; </w:t>
      </w:r>
      <w:r w:rsidRPr="0000422C">
        <w:rPr>
          <w:rFonts w:asciiTheme="minorHAnsi" w:hAnsiTheme="minorHAnsi"/>
          <w:color w:val="000000" w:themeColor="text1"/>
        </w:rPr>
        <w:t>13. 406. (ex 1.153) (Nuova formulazione) Gusmeroli, Bitonci, Cavandoli, Centemero, Covolo, Gerardi, Alessandro</w:t>
      </w:r>
      <w:r w:rsidRPr="0000422C">
        <w:rPr>
          <w:color w:val="000000" w:themeColor="text1"/>
        </w:rPr>
        <w:t xml:space="preserve"> Pagano, Paternoster, Tarantino; </w:t>
      </w:r>
      <w:r w:rsidRPr="0000422C">
        <w:rPr>
          <w:rFonts w:asciiTheme="minorHAnsi" w:hAnsiTheme="minorHAnsi"/>
          <w:color w:val="000000" w:themeColor="text1"/>
        </w:rPr>
        <w:t>13. 407. (ex 1.161) (Nuova for</w:t>
      </w:r>
      <w:r w:rsidRPr="0000422C">
        <w:rPr>
          <w:color w:val="000000" w:themeColor="text1"/>
        </w:rPr>
        <w:t xml:space="preserve">mulazione) Mor, Ungaro, Moretto; </w:t>
      </w:r>
      <w:r w:rsidRPr="0000422C">
        <w:rPr>
          <w:rFonts w:asciiTheme="minorHAnsi" w:hAnsiTheme="minorHAnsi"/>
          <w:color w:val="000000" w:themeColor="text1"/>
        </w:rPr>
        <w:t>13. 408. (ex 1.165) (Nuova formulazione) Baldini, Osna</w:t>
      </w:r>
      <w:r w:rsidRPr="0000422C">
        <w:rPr>
          <w:color w:val="000000" w:themeColor="text1"/>
        </w:rPr>
        <w:t xml:space="preserve">to, Zucconi, Bignami, Acquaroli; </w:t>
      </w:r>
      <w:r w:rsidRPr="0000422C">
        <w:rPr>
          <w:rFonts w:asciiTheme="minorHAnsi" w:hAnsiTheme="minorHAnsi"/>
          <w:color w:val="000000" w:themeColor="text1"/>
        </w:rPr>
        <w:t xml:space="preserve">13. 409. (ex 1.300) (Nuova formulazione) Giacomoni, Martino, Cattaneo, Baratto, Angelucci, Giacometto, Porchietto, Barelli, Fiorini, Squeri, </w:t>
      </w:r>
      <w:r w:rsidRPr="0000422C">
        <w:rPr>
          <w:color w:val="000000" w:themeColor="text1"/>
        </w:rPr>
        <w:t xml:space="preserve">Polidori, Carrara, Della Frera; </w:t>
      </w:r>
      <w:r w:rsidRPr="0000422C">
        <w:rPr>
          <w:rFonts w:asciiTheme="minorHAnsi" w:hAnsiTheme="minorHAnsi"/>
          <w:color w:val="000000" w:themeColor="text1"/>
        </w:rPr>
        <w:t>13. 410. (ex 1.311) (Nuova fo</w:t>
      </w:r>
      <w:r w:rsidRPr="0000422C">
        <w:rPr>
          <w:color w:val="000000" w:themeColor="text1"/>
        </w:rPr>
        <w:t xml:space="preserve">rmulazione) Zardini, Pezzopane; </w:t>
      </w:r>
      <w:r w:rsidRPr="0000422C">
        <w:rPr>
          <w:rFonts w:asciiTheme="minorHAnsi" w:hAnsiTheme="minorHAnsi"/>
          <w:color w:val="000000" w:themeColor="text1"/>
        </w:rPr>
        <w:t>13. 411. (ex 1.309) (Nuova formulazione) Pastorino, Bersani, Epifani.</w:t>
      </w:r>
    </w:p>
    <w:p w:rsidR="008A08A2" w:rsidRDefault="008A08A2">
      <w:pPr>
        <w:pStyle w:val="Testonotaapidipagina"/>
      </w:pPr>
    </w:p>
  </w:footnote>
  <w:footnote w:id="58">
    <w:p w:rsidR="008A08A2" w:rsidRPr="00BC5362" w:rsidRDefault="008A08A2" w:rsidP="006E6FFB">
      <w:pPr>
        <w:jc w:val="both"/>
        <w:rPr>
          <w:color w:val="000000" w:themeColor="text1"/>
        </w:rPr>
      </w:pPr>
      <w:r>
        <w:rPr>
          <w:rStyle w:val="Rimandonotaapidipagina"/>
        </w:rPr>
        <w:footnoteRef/>
      </w:r>
      <w:r>
        <w:t xml:space="preserve"> </w:t>
      </w:r>
      <w:r w:rsidRPr="00BC5362">
        <w:rPr>
          <w:rFonts w:asciiTheme="minorHAnsi" w:hAnsiTheme="minorHAnsi"/>
          <w:color w:val="000000" w:themeColor="text1"/>
        </w:rPr>
        <w:t>13. 152. (Nuova formulazione) Saltamartini, Andreuzza, Binelli, Colla, Dara, Galli, Guidesi, Pettazzi, Piastra, Bitonci, Cavandoli, Centemero, Covolo, Gerardi, Gusmeroli, Alessandro</w:t>
      </w:r>
      <w:r w:rsidRPr="00BC5362">
        <w:rPr>
          <w:color w:val="000000" w:themeColor="text1"/>
        </w:rPr>
        <w:t xml:space="preserve"> Pagano, Paternoster, Tarantino; </w:t>
      </w:r>
      <w:r w:rsidRPr="00BC5362">
        <w:rPr>
          <w:rFonts w:asciiTheme="minorHAnsi" w:hAnsiTheme="minorHAnsi"/>
          <w:color w:val="000000" w:themeColor="text1"/>
        </w:rPr>
        <w:t>13. 158. (Nuova formulazione) Verini, Pezzopane, Morgoni, Melilli, Buratti, Mancini, Mura, Rotta, Topo, Benamati, Bonomo,</w:t>
      </w:r>
      <w:r w:rsidRPr="00BC5362">
        <w:rPr>
          <w:color w:val="000000" w:themeColor="text1"/>
        </w:rPr>
        <w:t xml:space="preserve"> Lacarra, Manca, Nardi, Zardini; </w:t>
      </w:r>
      <w:r w:rsidRPr="00BC5362">
        <w:rPr>
          <w:rFonts w:asciiTheme="minorHAnsi" w:hAnsiTheme="minorHAnsi"/>
          <w:color w:val="000000" w:themeColor="text1"/>
        </w:rPr>
        <w:t>13. 224. (Nuova formulazione) Gabriele Lorenzoni, Terzoni, Corneli</w:t>
      </w:r>
      <w:r w:rsidRPr="00BC5362">
        <w:rPr>
          <w:color w:val="000000" w:themeColor="text1"/>
        </w:rPr>
        <w:t xml:space="preserve">, Grippa, Berardini, Gallinella; </w:t>
      </w:r>
      <w:r w:rsidRPr="00BC5362">
        <w:rPr>
          <w:rFonts w:asciiTheme="minorHAnsi" w:hAnsiTheme="minorHAnsi"/>
          <w:color w:val="000000" w:themeColor="text1"/>
        </w:rPr>
        <w:t>13. 412. (ex 1.216) (Nuova formulazione) Caparvi, Marchetti, Patassini, Benvenuto, Lucchini, Badole, D'Eramo, Gobbato, Parolo, Raffaelli, Valbusa, Vallotto, Bellachioma, Basini, De Angelis, Durigon, Latini, Paolini, Zicchieri.</w:t>
      </w:r>
    </w:p>
    <w:p w:rsidR="008A08A2" w:rsidRDefault="008A08A2">
      <w:pPr>
        <w:pStyle w:val="Testonotaapidipagina"/>
      </w:pPr>
    </w:p>
  </w:footnote>
  <w:footnote w:id="59">
    <w:p w:rsidR="008A08A2" w:rsidRPr="00BC5362" w:rsidRDefault="008A08A2" w:rsidP="006E6FFB">
      <w:pPr>
        <w:jc w:val="both"/>
        <w:rPr>
          <w:color w:val="000000" w:themeColor="text1"/>
        </w:rPr>
      </w:pPr>
      <w:r>
        <w:rPr>
          <w:rStyle w:val="Rimandonotaapidipagina"/>
        </w:rPr>
        <w:footnoteRef/>
      </w:r>
      <w:r>
        <w:t xml:space="preserve"> </w:t>
      </w:r>
      <w:r w:rsidRPr="00BC5362">
        <w:rPr>
          <w:rFonts w:asciiTheme="minorHAnsi" w:hAnsiTheme="minorHAnsi"/>
          <w:color w:val="000000" w:themeColor="text1"/>
        </w:rPr>
        <w:t>13. 152. (Nuova formulazione) Saltamartini, Andreuzza, Binelli, Colla, Dara, Galli, Guidesi, Pettazzi, Piastra, Bitonci, Cavandoli, Centemero, Covolo, Gerardi, Gusmeroli, Alessandro</w:t>
      </w:r>
      <w:r w:rsidRPr="00BC5362">
        <w:rPr>
          <w:color w:val="000000" w:themeColor="text1"/>
        </w:rPr>
        <w:t xml:space="preserve"> Pagano, Paternoster, Tarantino; </w:t>
      </w:r>
      <w:r w:rsidRPr="00BC5362">
        <w:rPr>
          <w:rFonts w:asciiTheme="minorHAnsi" w:hAnsiTheme="minorHAnsi"/>
          <w:color w:val="000000" w:themeColor="text1"/>
        </w:rPr>
        <w:t>13. 158. (Nuova formulazione) Verini, Pezzopane, Morgoni, Melilli, Buratti, Mancini, Mura, Rotta, Topo, Benamati, Bonomo,</w:t>
      </w:r>
      <w:r w:rsidRPr="00BC5362">
        <w:rPr>
          <w:color w:val="000000" w:themeColor="text1"/>
        </w:rPr>
        <w:t xml:space="preserve"> Lacarra, Manca, Nardi, Zardini; </w:t>
      </w:r>
      <w:r w:rsidRPr="00BC5362">
        <w:rPr>
          <w:rFonts w:asciiTheme="minorHAnsi" w:hAnsiTheme="minorHAnsi"/>
          <w:color w:val="000000" w:themeColor="text1"/>
        </w:rPr>
        <w:t>13. 224. (Nuova formulazione) Gabriele Lorenzoni, Terzoni, Corneli</w:t>
      </w:r>
      <w:r w:rsidRPr="00BC5362">
        <w:rPr>
          <w:color w:val="000000" w:themeColor="text1"/>
        </w:rPr>
        <w:t xml:space="preserve">, Grippa, Berardini, Gallinella; </w:t>
      </w:r>
      <w:r w:rsidRPr="00BC5362">
        <w:rPr>
          <w:rFonts w:asciiTheme="minorHAnsi" w:hAnsiTheme="minorHAnsi"/>
          <w:color w:val="000000" w:themeColor="text1"/>
        </w:rPr>
        <w:t>13. 412. (ex 1.216) (Nuova formulazione) Caparvi, Marchetti, Patassini, Benvenuto, Lucchini, Badole, D'Eramo, Gobbato, Parolo, Raffaelli, Valbusa, Vallotto, Bellachioma, Basini, De Angelis, Durigon, Latini, Paolini, Zicchieri.</w:t>
      </w:r>
    </w:p>
    <w:p w:rsidR="008A08A2" w:rsidRDefault="008A08A2">
      <w:pPr>
        <w:pStyle w:val="Testonotaapidipagina"/>
      </w:pPr>
    </w:p>
  </w:footnote>
  <w:footnote w:id="60">
    <w:p w:rsidR="008A08A2" w:rsidRPr="00BC5362" w:rsidRDefault="008A08A2" w:rsidP="009868D8">
      <w:pPr>
        <w:jc w:val="both"/>
        <w:rPr>
          <w:rFonts w:asciiTheme="minorHAnsi" w:hAnsiTheme="minorHAnsi"/>
          <w:color w:val="000000" w:themeColor="text1"/>
        </w:rPr>
      </w:pPr>
      <w:r>
        <w:rPr>
          <w:rStyle w:val="Rimandonotaapidipagina"/>
        </w:rPr>
        <w:footnoteRef/>
      </w:r>
      <w:r>
        <w:t xml:space="preserve"> </w:t>
      </w:r>
      <w:r w:rsidRPr="00BC5362">
        <w:rPr>
          <w:rFonts w:asciiTheme="minorHAnsi" w:hAnsiTheme="minorHAnsi"/>
          <w:color w:val="000000" w:themeColor="text1"/>
        </w:rPr>
        <w:t>13. 234. (Nuova formulazione) Pastorino</w:t>
      </w:r>
      <w:r w:rsidRPr="00BC5362">
        <w:rPr>
          <w:color w:val="000000" w:themeColor="text1"/>
        </w:rPr>
        <w:t xml:space="preserve">; </w:t>
      </w:r>
      <w:r w:rsidRPr="00BC5362">
        <w:rPr>
          <w:rFonts w:asciiTheme="minorHAnsi" w:hAnsiTheme="minorHAnsi"/>
          <w:color w:val="000000" w:themeColor="text1"/>
        </w:rPr>
        <w:t>13. 138. (Nuova fo</w:t>
      </w:r>
      <w:r w:rsidRPr="00BC5362">
        <w:rPr>
          <w:color w:val="000000" w:themeColor="text1"/>
        </w:rPr>
        <w:t xml:space="preserve">rmulazione) Moretto, Bendinelli; </w:t>
      </w:r>
      <w:r w:rsidRPr="00BC5362">
        <w:rPr>
          <w:rFonts w:asciiTheme="minorHAnsi" w:hAnsiTheme="minorHAnsi"/>
          <w:color w:val="000000" w:themeColor="text1"/>
        </w:rPr>
        <w:t>13. 161. (Nuova formulazione) Zardini, Mancini, Mura, Rotta</w:t>
      </w:r>
      <w:r w:rsidRPr="00BC5362">
        <w:rPr>
          <w:color w:val="000000" w:themeColor="text1"/>
        </w:rPr>
        <w:t xml:space="preserve">, Bonomo, Lacarra, Manca, Nardi; </w:t>
      </w:r>
      <w:r w:rsidRPr="00BC5362">
        <w:rPr>
          <w:rFonts w:asciiTheme="minorHAnsi" w:hAnsiTheme="minorHAnsi"/>
          <w:color w:val="000000" w:themeColor="text1"/>
        </w:rPr>
        <w:t>13. 137. (Nuova formulazione) Mollicone, Osnato, Zucconi, B</w:t>
      </w:r>
      <w:r w:rsidRPr="00BC5362">
        <w:rPr>
          <w:color w:val="000000" w:themeColor="text1"/>
        </w:rPr>
        <w:t xml:space="preserve">ignami, Acquaroli, Baldini; </w:t>
      </w:r>
      <w:r w:rsidRPr="00BC5362">
        <w:rPr>
          <w:rFonts w:asciiTheme="minorHAnsi" w:hAnsiTheme="minorHAnsi"/>
          <w:color w:val="000000" w:themeColor="text1"/>
        </w:rPr>
        <w:t>13. 220. (Nuova formulazione) Baratto, Giacomoni, Martino, Cattaneo, Angelucci, Giacometto, Porchietto, Barelli, Fiorini, Squeri,</w:t>
      </w:r>
      <w:r w:rsidRPr="00BC5362">
        <w:rPr>
          <w:color w:val="000000" w:themeColor="text1"/>
        </w:rPr>
        <w:t xml:space="preserve"> Polidori, Carrara, Della Frera; </w:t>
      </w:r>
      <w:r w:rsidRPr="00BC5362">
        <w:rPr>
          <w:rFonts w:asciiTheme="minorHAnsi" w:hAnsiTheme="minorHAnsi"/>
          <w:color w:val="000000" w:themeColor="text1"/>
        </w:rPr>
        <w:t>13. 185. (Nuova formulazione) Gelmini</w:t>
      </w:r>
      <w:r w:rsidRPr="00BC5362">
        <w:rPr>
          <w:color w:val="000000" w:themeColor="text1"/>
        </w:rPr>
        <w:t xml:space="preserve">, Perego Di Cremnago, Giacomoni; </w:t>
      </w:r>
      <w:r w:rsidRPr="00BC5362">
        <w:rPr>
          <w:rFonts w:asciiTheme="minorHAnsi" w:hAnsiTheme="minorHAnsi"/>
          <w:color w:val="000000" w:themeColor="text1"/>
        </w:rPr>
        <w:t>13. 180. (Nuova formulazione) Lollobrigida, Trancassini, Osnato, Zucconi, Bign</w:t>
      </w:r>
      <w:r w:rsidRPr="00BC5362">
        <w:rPr>
          <w:color w:val="000000" w:themeColor="text1"/>
        </w:rPr>
        <w:t xml:space="preserve">ami, Baldini, Ciaburro, Caretta; </w:t>
      </w:r>
      <w:r w:rsidRPr="00BC5362">
        <w:rPr>
          <w:rFonts w:asciiTheme="minorHAnsi" w:hAnsiTheme="minorHAnsi"/>
          <w:color w:val="000000" w:themeColor="text1"/>
        </w:rPr>
        <w:t>13. 145. (Nuova formulazion</w:t>
      </w:r>
      <w:r w:rsidRPr="00BC5362">
        <w:rPr>
          <w:color w:val="000000" w:themeColor="text1"/>
        </w:rPr>
        <w:t xml:space="preserve">e) Benamati, Buratti, Pezzopane; </w:t>
      </w:r>
      <w:r w:rsidRPr="00BC5362">
        <w:rPr>
          <w:rFonts w:asciiTheme="minorHAnsi" w:hAnsiTheme="minorHAnsi"/>
          <w:color w:val="000000" w:themeColor="text1"/>
        </w:rPr>
        <w:t>13. 150. (Nuova formulazione) Saltamartini, Bitonci, Di Muro, Andreuzza, Binelli, Colla, Dara, Galli, Guidesi, Pettazzi, Piastra, Cavandoli, Centemero, Covolo, Gerardi, Gusmeroli, Alessandro</w:t>
      </w:r>
      <w:r w:rsidRPr="00BC5362">
        <w:rPr>
          <w:color w:val="000000" w:themeColor="text1"/>
        </w:rPr>
        <w:t xml:space="preserve"> Pagano, Paternoster, Tarantino; </w:t>
      </w:r>
      <w:r w:rsidRPr="00BC5362">
        <w:rPr>
          <w:rFonts w:asciiTheme="minorHAnsi" w:hAnsiTheme="minorHAnsi"/>
          <w:color w:val="000000" w:themeColor="text1"/>
        </w:rPr>
        <w:t>13. 139. (Nuova formulazione) T</w:t>
      </w:r>
      <w:r w:rsidRPr="00BC5362">
        <w:rPr>
          <w:color w:val="000000" w:themeColor="text1"/>
        </w:rPr>
        <w:t xml:space="preserve">opo; </w:t>
      </w:r>
      <w:r w:rsidRPr="00BC5362">
        <w:rPr>
          <w:rFonts w:asciiTheme="minorHAnsi" w:hAnsiTheme="minorHAnsi"/>
          <w:color w:val="000000" w:themeColor="text1"/>
        </w:rPr>
        <w:t>13. 175. (Nuova formulazione) Ungaro.</w:t>
      </w:r>
    </w:p>
    <w:p w:rsidR="008A08A2" w:rsidRDefault="008A08A2">
      <w:pPr>
        <w:pStyle w:val="Testonotaapidipagina"/>
      </w:pPr>
    </w:p>
  </w:footnote>
  <w:footnote w:id="61">
    <w:p w:rsidR="008A08A2" w:rsidRPr="0000422C" w:rsidRDefault="008A08A2" w:rsidP="00A35C5F">
      <w:pPr>
        <w:jc w:val="both"/>
        <w:rPr>
          <w:color w:val="000000" w:themeColor="text1"/>
        </w:rPr>
      </w:pPr>
      <w:r>
        <w:rPr>
          <w:rStyle w:val="Rimandonotaapidipagina"/>
        </w:rPr>
        <w:footnoteRef/>
      </w:r>
      <w:r>
        <w:t xml:space="preserve"> </w:t>
      </w:r>
      <w:r w:rsidRPr="0000422C">
        <w:rPr>
          <w:rFonts w:asciiTheme="minorHAnsi" w:hAnsiTheme="minorHAnsi"/>
          <w:color w:val="000000" w:themeColor="text1"/>
        </w:rPr>
        <w:t>13. 30. (Nuova formulazione) Guidesi, Boniardi, Andreuzza, Binelli, Colla, Dara, Galli, Pettazzi, Piastra, Bitonci, Cavandoli, Centemero, Covolo, Gerardi, Gusmeroli, Alessandro Pagano, Paternoster, Taranti</w:t>
      </w:r>
      <w:r w:rsidRPr="0000422C">
        <w:rPr>
          <w:color w:val="000000" w:themeColor="text1"/>
        </w:rPr>
        <w:t xml:space="preserve">no; </w:t>
      </w:r>
      <w:r w:rsidRPr="0000422C">
        <w:rPr>
          <w:rFonts w:asciiTheme="minorHAnsi" w:hAnsiTheme="minorHAnsi"/>
          <w:color w:val="000000" w:themeColor="text1"/>
        </w:rPr>
        <w:t>13. 197. (Nuova fo</w:t>
      </w:r>
      <w:r w:rsidRPr="0000422C">
        <w:rPr>
          <w:color w:val="000000" w:themeColor="text1"/>
        </w:rPr>
        <w:t xml:space="preserve">rmulazione) Raduzzi, Sut, Trano; </w:t>
      </w:r>
      <w:r w:rsidRPr="0000422C">
        <w:rPr>
          <w:rFonts w:asciiTheme="minorHAnsi" w:hAnsiTheme="minorHAnsi"/>
          <w:color w:val="000000" w:themeColor="text1"/>
        </w:rPr>
        <w:t>13. 148. (Nuova formulazione) Boschi,</w:t>
      </w:r>
      <w:r w:rsidRPr="0000422C">
        <w:rPr>
          <w:color w:val="000000" w:themeColor="text1"/>
        </w:rPr>
        <w:t xml:space="preserve"> Marattin, Ungaro, Moretto, Mor; </w:t>
      </w:r>
      <w:r w:rsidRPr="0000422C">
        <w:rPr>
          <w:rFonts w:asciiTheme="minorHAnsi" w:hAnsiTheme="minorHAnsi"/>
          <w:color w:val="000000" w:themeColor="text1"/>
        </w:rPr>
        <w:t>13. 136. (Nuova formulazione)</w:t>
      </w:r>
      <w:r w:rsidRPr="0000422C">
        <w:rPr>
          <w:color w:val="000000" w:themeColor="text1"/>
        </w:rPr>
        <w:t xml:space="preserve"> Ungaro, Moretto, Mor, Marattin; </w:t>
      </w:r>
      <w:r w:rsidRPr="0000422C">
        <w:rPr>
          <w:rFonts w:asciiTheme="minorHAnsi" w:hAnsiTheme="minorHAnsi"/>
          <w:color w:val="000000" w:themeColor="text1"/>
        </w:rPr>
        <w:t>13. 147. (Nuova formulaz</w:t>
      </w:r>
      <w:r w:rsidRPr="0000422C">
        <w:rPr>
          <w:color w:val="000000" w:themeColor="text1"/>
        </w:rPr>
        <w:t xml:space="preserve">ione) Benamati, Topo, Pezzopane; </w:t>
      </w:r>
      <w:r w:rsidRPr="0000422C">
        <w:rPr>
          <w:rFonts w:asciiTheme="minorHAnsi" w:hAnsiTheme="minorHAnsi"/>
          <w:color w:val="000000" w:themeColor="text1"/>
        </w:rPr>
        <w:t>13. 190. (Nuova formulazione) Giacometto, Baratto, Gelmini, Martino, Giacomoni, Cattaneo, Angelucci, Porchietto, Barelli, Squeri, Carrara,</w:t>
      </w:r>
      <w:r w:rsidRPr="0000422C">
        <w:rPr>
          <w:color w:val="000000" w:themeColor="text1"/>
        </w:rPr>
        <w:t xml:space="preserve"> Polidori, Fiorini, Della Frera; </w:t>
      </w:r>
      <w:r w:rsidRPr="0000422C">
        <w:rPr>
          <w:rFonts w:asciiTheme="minorHAnsi" w:hAnsiTheme="minorHAnsi"/>
          <w:color w:val="000000" w:themeColor="text1"/>
        </w:rPr>
        <w:t>13. 213. (Nuova formulazione) Bitonci, Centemero, Cavandoli, Covolo, Gerardi, Gusmeroli, Alessandro</w:t>
      </w:r>
      <w:r w:rsidRPr="0000422C">
        <w:rPr>
          <w:color w:val="000000" w:themeColor="text1"/>
        </w:rPr>
        <w:t xml:space="preserve"> Pagano, Paternoster, Tarantino; </w:t>
      </w:r>
      <w:r w:rsidRPr="0000422C">
        <w:rPr>
          <w:rFonts w:asciiTheme="minorHAnsi" w:hAnsiTheme="minorHAnsi"/>
          <w:color w:val="000000" w:themeColor="text1"/>
        </w:rPr>
        <w:t>13. 258. (Nuova form</w:t>
      </w:r>
      <w:r w:rsidRPr="0000422C">
        <w:rPr>
          <w:color w:val="000000" w:themeColor="text1"/>
        </w:rPr>
        <w:t xml:space="preserve">ulazione) Paxia, Sut, Berardini; </w:t>
      </w:r>
      <w:r w:rsidRPr="0000422C">
        <w:rPr>
          <w:rFonts w:asciiTheme="minorHAnsi" w:hAnsiTheme="minorHAnsi"/>
          <w:color w:val="000000" w:themeColor="text1"/>
        </w:rPr>
        <w:t>13. 259. (Nuov</w:t>
      </w:r>
      <w:r w:rsidRPr="0000422C">
        <w:rPr>
          <w:color w:val="000000" w:themeColor="text1"/>
        </w:rPr>
        <w:t xml:space="preserve">a formulazione) Masi, Berardini; </w:t>
      </w:r>
      <w:r w:rsidRPr="0000422C">
        <w:rPr>
          <w:rFonts w:asciiTheme="minorHAnsi" w:hAnsiTheme="minorHAnsi"/>
          <w:color w:val="000000" w:themeColor="text1"/>
        </w:rPr>
        <w:t>13. 413. (ex 1.263) (Nuova formulazione) Dal Moro, Bazoli, Berlinghieri, Bonomo, Bordo, Enrico Borghi, Bruno Bossio, Buratti, Carnevali, Ceccanti, Cenni, Ciampi, Critelli, De Luca, De Maria, De Menech, Del Basso De Caro, Fassino, Fiano, Giacomelli, Gribaudo, Lacarra, Losacco, Lotti, Madia, Gavino Manca, Martina, Melilli, Miceli, Mura, Nardi, Navarra, Orfini, Pellicani, Pezzopane, Prestipino, Andrea Romano, Rossi, Rotta, Sensi, Serr</w:t>
      </w:r>
      <w:r w:rsidRPr="0000422C">
        <w:rPr>
          <w:color w:val="000000" w:themeColor="text1"/>
        </w:rPr>
        <w:t xml:space="preserve">acchiani, Soverini, Topo, Vazio; </w:t>
      </w:r>
      <w:r w:rsidRPr="0000422C">
        <w:rPr>
          <w:rFonts w:asciiTheme="minorHAnsi" w:hAnsiTheme="minorHAnsi"/>
          <w:color w:val="000000" w:themeColor="text1"/>
        </w:rPr>
        <w:t>13. 403. (ex 1.290) (Nuova formulazione) Prisco, Os</w:t>
      </w:r>
      <w:r w:rsidRPr="0000422C">
        <w:rPr>
          <w:color w:val="000000" w:themeColor="text1"/>
        </w:rPr>
        <w:t xml:space="preserve">nato, Zucconi, Bignami, Baldini; </w:t>
      </w:r>
      <w:r w:rsidRPr="0000422C">
        <w:rPr>
          <w:rFonts w:asciiTheme="minorHAnsi" w:hAnsiTheme="minorHAnsi"/>
          <w:color w:val="000000" w:themeColor="text1"/>
        </w:rPr>
        <w:t>13. 404. (ex 1.90) (Nuova formulazione) Lupi, Co</w:t>
      </w:r>
      <w:r w:rsidRPr="0000422C">
        <w:rPr>
          <w:color w:val="000000" w:themeColor="text1"/>
        </w:rPr>
        <w:t xml:space="preserve">lucci, Sangregorio, Tondo; </w:t>
      </w:r>
      <w:r w:rsidRPr="0000422C">
        <w:rPr>
          <w:rFonts w:asciiTheme="minorHAnsi" w:hAnsiTheme="minorHAnsi"/>
          <w:color w:val="000000" w:themeColor="text1"/>
        </w:rPr>
        <w:t>13. 405. (ex 1.146) (Nuova form</w:t>
      </w:r>
      <w:r w:rsidRPr="0000422C">
        <w:rPr>
          <w:color w:val="000000" w:themeColor="text1"/>
        </w:rPr>
        <w:t xml:space="preserve">ulazione) Rospi, Zennaro, Nitti; </w:t>
      </w:r>
      <w:r w:rsidRPr="0000422C">
        <w:rPr>
          <w:rFonts w:asciiTheme="minorHAnsi" w:hAnsiTheme="minorHAnsi"/>
          <w:color w:val="000000" w:themeColor="text1"/>
        </w:rPr>
        <w:t>13. 406. (ex 1.153) (Nuova formulazione) Gusmeroli, Bitonci, Cavandoli, Centemero, Covolo, Gerardi, Alessandro</w:t>
      </w:r>
      <w:r w:rsidRPr="0000422C">
        <w:rPr>
          <w:color w:val="000000" w:themeColor="text1"/>
        </w:rPr>
        <w:t xml:space="preserve"> Pagano, Paternoster, Tarantino; </w:t>
      </w:r>
      <w:r w:rsidRPr="0000422C">
        <w:rPr>
          <w:rFonts w:asciiTheme="minorHAnsi" w:hAnsiTheme="minorHAnsi"/>
          <w:color w:val="000000" w:themeColor="text1"/>
        </w:rPr>
        <w:t>13. 407. (ex 1.161) (Nuova for</w:t>
      </w:r>
      <w:r w:rsidRPr="0000422C">
        <w:rPr>
          <w:color w:val="000000" w:themeColor="text1"/>
        </w:rPr>
        <w:t xml:space="preserve">mulazione) Mor, Ungaro, Moretto; </w:t>
      </w:r>
      <w:r w:rsidRPr="0000422C">
        <w:rPr>
          <w:rFonts w:asciiTheme="minorHAnsi" w:hAnsiTheme="minorHAnsi"/>
          <w:color w:val="000000" w:themeColor="text1"/>
        </w:rPr>
        <w:t>13. 408. (ex 1.165) (Nuova formulazione) Baldini, Osna</w:t>
      </w:r>
      <w:r w:rsidRPr="0000422C">
        <w:rPr>
          <w:color w:val="000000" w:themeColor="text1"/>
        </w:rPr>
        <w:t xml:space="preserve">to, Zucconi, Bignami, Acquaroli; </w:t>
      </w:r>
      <w:r w:rsidRPr="0000422C">
        <w:rPr>
          <w:rFonts w:asciiTheme="minorHAnsi" w:hAnsiTheme="minorHAnsi"/>
          <w:color w:val="000000" w:themeColor="text1"/>
        </w:rPr>
        <w:t xml:space="preserve">13. 409. (ex 1.300) (Nuova formulazione) Giacomoni, Martino, Cattaneo, Baratto, Angelucci, Giacometto, Porchietto, Barelli, Fiorini, Squeri, </w:t>
      </w:r>
      <w:r w:rsidRPr="0000422C">
        <w:rPr>
          <w:color w:val="000000" w:themeColor="text1"/>
        </w:rPr>
        <w:t xml:space="preserve">Polidori, Carrara, Della Frera; </w:t>
      </w:r>
      <w:r w:rsidRPr="0000422C">
        <w:rPr>
          <w:rFonts w:asciiTheme="minorHAnsi" w:hAnsiTheme="minorHAnsi"/>
          <w:color w:val="000000" w:themeColor="text1"/>
        </w:rPr>
        <w:t>13. 410. (ex 1.311) (Nuova fo</w:t>
      </w:r>
      <w:r w:rsidRPr="0000422C">
        <w:rPr>
          <w:color w:val="000000" w:themeColor="text1"/>
        </w:rPr>
        <w:t xml:space="preserve">rmulazione) Zardini, Pezzopane; </w:t>
      </w:r>
      <w:r w:rsidRPr="0000422C">
        <w:rPr>
          <w:rFonts w:asciiTheme="minorHAnsi" w:hAnsiTheme="minorHAnsi"/>
          <w:color w:val="000000" w:themeColor="text1"/>
        </w:rPr>
        <w:t>13. 411. (ex 1.309) (Nuova formulazione) Pastorino, Bersani, Epifani.</w:t>
      </w:r>
    </w:p>
    <w:p w:rsidR="008A08A2" w:rsidRDefault="008A08A2">
      <w:pPr>
        <w:pStyle w:val="Testonotaapidipagina"/>
      </w:pPr>
    </w:p>
  </w:footnote>
  <w:footnote w:id="62">
    <w:p w:rsidR="00690660" w:rsidRDefault="00690660">
      <w:pPr>
        <w:pStyle w:val="Testonotaapidipagina"/>
      </w:pPr>
      <w:r>
        <w:rPr>
          <w:rStyle w:val="Rimandonotaapidipagina"/>
        </w:rPr>
        <w:footnoteRef/>
      </w:r>
      <w:r>
        <w:t xml:space="preserve"> </w:t>
      </w:r>
      <w:r w:rsidRPr="00930721">
        <w:rPr>
          <w:color w:val="000000" w:themeColor="text1"/>
        </w:rPr>
        <w:t xml:space="preserve">13. 255. </w:t>
      </w:r>
      <w:proofErr w:type="gramStart"/>
      <w:r w:rsidRPr="00930721">
        <w:rPr>
          <w:color w:val="000000" w:themeColor="text1"/>
        </w:rPr>
        <w:t>(Nuova</w:t>
      </w:r>
      <w:proofErr w:type="gramEnd"/>
      <w:r w:rsidRPr="00930721">
        <w:rPr>
          <w:color w:val="000000" w:themeColor="text1"/>
        </w:rPr>
        <w:t xml:space="preserve"> formulazione)  Berardini, Torto, Sut, De Girolamo, Buratti, Mancini, Romina Mura, Rotta, Topo, Benamati, Bonomo, Lacarra, Manca, Nardi, Zardini, Cancelleri, Caso, Currò, Giuliodori, Grimaldi, Maglione, Maniero, Martinciglio, Raduzzi, Ruggiero, Ruocco, Zanichelli, Alemanno, Bernardini, Davide Crippa, Fantinati, Giarrizzo, Masi, Papiro, Paxia, Perconti, Rizzone, Scanu, Vallascas</w:t>
      </w:r>
    </w:p>
  </w:footnote>
  <w:footnote w:id="63">
    <w:p w:rsidR="008A08A2" w:rsidRPr="0000422C" w:rsidRDefault="008A08A2" w:rsidP="00A35C5F">
      <w:pPr>
        <w:jc w:val="both"/>
        <w:rPr>
          <w:color w:val="000000" w:themeColor="text1"/>
        </w:rPr>
      </w:pPr>
      <w:r>
        <w:rPr>
          <w:rStyle w:val="Rimandonotaapidipagina"/>
        </w:rPr>
        <w:footnoteRef/>
      </w:r>
      <w:r>
        <w:t xml:space="preserve"> </w:t>
      </w:r>
      <w:r w:rsidRPr="0000422C">
        <w:rPr>
          <w:rFonts w:asciiTheme="minorHAnsi" w:hAnsiTheme="minorHAnsi"/>
          <w:color w:val="000000" w:themeColor="text1"/>
        </w:rPr>
        <w:t>13. 30. (Nuova formulazione) Guidesi, Boniardi, Andreuzza, Binelli, Colla, Dara, Galli, Pettazzi, Piastra, Bitonci, Cavandoli, Centemero, Covolo, Gerardi, Gusmeroli, Alessandro Pagano, Paternoster, Taranti</w:t>
      </w:r>
      <w:r w:rsidRPr="0000422C">
        <w:rPr>
          <w:color w:val="000000" w:themeColor="text1"/>
        </w:rPr>
        <w:t xml:space="preserve">no; </w:t>
      </w:r>
      <w:r w:rsidRPr="0000422C">
        <w:rPr>
          <w:rFonts w:asciiTheme="minorHAnsi" w:hAnsiTheme="minorHAnsi"/>
          <w:color w:val="000000" w:themeColor="text1"/>
        </w:rPr>
        <w:t>13. 197. (Nuova fo</w:t>
      </w:r>
      <w:r w:rsidRPr="0000422C">
        <w:rPr>
          <w:color w:val="000000" w:themeColor="text1"/>
        </w:rPr>
        <w:t xml:space="preserve">rmulazione) Raduzzi, Sut, Trano; </w:t>
      </w:r>
      <w:r w:rsidRPr="0000422C">
        <w:rPr>
          <w:rFonts w:asciiTheme="minorHAnsi" w:hAnsiTheme="minorHAnsi"/>
          <w:color w:val="000000" w:themeColor="text1"/>
        </w:rPr>
        <w:t>13. 148. (Nuova formulazione) Boschi,</w:t>
      </w:r>
      <w:r w:rsidRPr="0000422C">
        <w:rPr>
          <w:color w:val="000000" w:themeColor="text1"/>
        </w:rPr>
        <w:t xml:space="preserve"> Marattin, Ungaro, Moretto, Mor; </w:t>
      </w:r>
      <w:r w:rsidRPr="0000422C">
        <w:rPr>
          <w:rFonts w:asciiTheme="minorHAnsi" w:hAnsiTheme="minorHAnsi"/>
          <w:color w:val="000000" w:themeColor="text1"/>
        </w:rPr>
        <w:t>13. 136. (Nuova formulazione)</w:t>
      </w:r>
      <w:r w:rsidRPr="0000422C">
        <w:rPr>
          <w:color w:val="000000" w:themeColor="text1"/>
        </w:rPr>
        <w:t xml:space="preserve"> Ungaro, Moretto, Mor, Marattin; </w:t>
      </w:r>
      <w:r w:rsidRPr="0000422C">
        <w:rPr>
          <w:rFonts w:asciiTheme="minorHAnsi" w:hAnsiTheme="minorHAnsi"/>
          <w:color w:val="000000" w:themeColor="text1"/>
        </w:rPr>
        <w:t>13. 147. (Nuova formulaz</w:t>
      </w:r>
      <w:r w:rsidRPr="0000422C">
        <w:rPr>
          <w:color w:val="000000" w:themeColor="text1"/>
        </w:rPr>
        <w:t xml:space="preserve">ione) Benamati, Topo, Pezzopane; </w:t>
      </w:r>
      <w:r w:rsidRPr="0000422C">
        <w:rPr>
          <w:rFonts w:asciiTheme="minorHAnsi" w:hAnsiTheme="minorHAnsi"/>
          <w:color w:val="000000" w:themeColor="text1"/>
        </w:rPr>
        <w:t>13. 190. (Nuova formulazione) Giacometto, Baratto, Gelmini, Martino, Giacomoni, Cattaneo, Angelucci, Porchietto, Barelli, Squeri, Carrara,</w:t>
      </w:r>
      <w:r w:rsidRPr="0000422C">
        <w:rPr>
          <w:color w:val="000000" w:themeColor="text1"/>
        </w:rPr>
        <w:t xml:space="preserve"> Polidori, Fiorini, Della Frera; </w:t>
      </w:r>
      <w:r w:rsidRPr="0000422C">
        <w:rPr>
          <w:rFonts w:asciiTheme="minorHAnsi" w:hAnsiTheme="minorHAnsi"/>
          <w:color w:val="000000" w:themeColor="text1"/>
        </w:rPr>
        <w:t>13. 213. (Nuova formulazione) Bitonci, Centemero, Cavandoli, Covolo, Gerardi, Gusmeroli, Alessandro</w:t>
      </w:r>
      <w:r w:rsidRPr="0000422C">
        <w:rPr>
          <w:color w:val="000000" w:themeColor="text1"/>
        </w:rPr>
        <w:t xml:space="preserve"> Pagano, Paternoster, Tarantino; </w:t>
      </w:r>
      <w:r w:rsidRPr="0000422C">
        <w:rPr>
          <w:rFonts w:asciiTheme="minorHAnsi" w:hAnsiTheme="minorHAnsi"/>
          <w:color w:val="000000" w:themeColor="text1"/>
        </w:rPr>
        <w:t>13. 258. (Nuova form</w:t>
      </w:r>
      <w:r w:rsidRPr="0000422C">
        <w:rPr>
          <w:color w:val="000000" w:themeColor="text1"/>
        </w:rPr>
        <w:t xml:space="preserve">ulazione) Paxia, Sut, Berardini; </w:t>
      </w:r>
      <w:r w:rsidRPr="0000422C">
        <w:rPr>
          <w:rFonts w:asciiTheme="minorHAnsi" w:hAnsiTheme="minorHAnsi"/>
          <w:color w:val="000000" w:themeColor="text1"/>
        </w:rPr>
        <w:t>13. 259. (Nuov</w:t>
      </w:r>
      <w:r w:rsidRPr="0000422C">
        <w:rPr>
          <w:color w:val="000000" w:themeColor="text1"/>
        </w:rPr>
        <w:t xml:space="preserve">a formulazione) Masi, Berardini; </w:t>
      </w:r>
      <w:r w:rsidRPr="0000422C">
        <w:rPr>
          <w:rFonts w:asciiTheme="minorHAnsi" w:hAnsiTheme="minorHAnsi"/>
          <w:color w:val="000000" w:themeColor="text1"/>
        </w:rPr>
        <w:t>13. 413. (ex 1.263) (Nuova formulazione) Dal Moro, Bazoli, Berlinghieri, Bonomo, Bordo, Enrico Borghi, Bruno Bossio, Buratti, Carnevali, Ceccanti, Cenni, Ciampi, Critelli, De Luca, De Maria, De Menech, Del Basso De Caro, Fassino, Fiano, Giacomelli, Gribaudo, Lacarra, Losacco, Lotti, Madia, Gavino Manca, Martina, Melilli, Miceli, Mura, Nardi, Navarra, Orfini, Pellicani, Pezzopane, Prestipino, Andrea Romano, Rossi, Rotta, Sensi, Serr</w:t>
      </w:r>
      <w:r w:rsidRPr="0000422C">
        <w:rPr>
          <w:color w:val="000000" w:themeColor="text1"/>
        </w:rPr>
        <w:t xml:space="preserve">acchiani, Soverini, Topo, Vazio; </w:t>
      </w:r>
      <w:r w:rsidRPr="0000422C">
        <w:rPr>
          <w:rFonts w:asciiTheme="minorHAnsi" w:hAnsiTheme="minorHAnsi"/>
          <w:color w:val="000000" w:themeColor="text1"/>
        </w:rPr>
        <w:t>13. 403. (ex 1.290) (Nuova formulazione) Prisco, Os</w:t>
      </w:r>
      <w:r w:rsidRPr="0000422C">
        <w:rPr>
          <w:color w:val="000000" w:themeColor="text1"/>
        </w:rPr>
        <w:t xml:space="preserve">nato, Zucconi, Bignami, Baldini; </w:t>
      </w:r>
      <w:r w:rsidRPr="0000422C">
        <w:rPr>
          <w:rFonts w:asciiTheme="minorHAnsi" w:hAnsiTheme="minorHAnsi"/>
          <w:color w:val="000000" w:themeColor="text1"/>
        </w:rPr>
        <w:t>13. 404. (ex 1.90) (Nuova formulazione) Lupi, Co</w:t>
      </w:r>
      <w:r w:rsidRPr="0000422C">
        <w:rPr>
          <w:color w:val="000000" w:themeColor="text1"/>
        </w:rPr>
        <w:t xml:space="preserve">lucci, Sangregorio, Tondo; </w:t>
      </w:r>
      <w:r w:rsidRPr="0000422C">
        <w:rPr>
          <w:rFonts w:asciiTheme="minorHAnsi" w:hAnsiTheme="minorHAnsi"/>
          <w:color w:val="000000" w:themeColor="text1"/>
        </w:rPr>
        <w:t>13. 405. (ex 1.146) (Nuova form</w:t>
      </w:r>
      <w:r w:rsidRPr="0000422C">
        <w:rPr>
          <w:color w:val="000000" w:themeColor="text1"/>
        </w:rPr>
        <w:t xml:space="preserve">ulazione) Rospi, Zennaro, Nitti; </w:t>
      </w:r>
      <w:r w:rsidRPr="0000422C">
        <w:rPr>
          <w:rFonts w:asciiTheme="minorHAnsi" w:hAnsiTheme="minorHAnsi"/>
          <w:color w:val="000000" w:themeColor="text1"/>
        </w:rPr>
        <w:t>13. 406. (ex 1.153) (Nuova formulazione) Gusmeroli, Bitonci, Cavandoli, Centemero, Covolo, Gerardi, Alessandro</w:t>
      </w:r>
      <w:r w:rsidRPr="0000422C">
        <w:rPr>
          <w:color w:val="000000" w:themeColor="text1"/>
        </w:rPr>
        <w:t xml:space="preserve"> Pagano, Paternoster, Tarantino; </w:t>
      </w:r>
      <w:r w:rsidRPr="0000422C">
        <w:rPr>
          <w:rFonts w:asciiTheme="minorHAnsi" w:hAnsiTheme="minorHAnsi"/>
          <w:color w:val="000000" w:themeColor="text1"/>
        </w:rPr>
        <w:t>13. 407. (ex 1.161) (Nuova for</w:t>
      </w:r>
      <w:r w:rsidRPr="0000422C">
        <w:rPr>
          <w:color w:val="000000" w:themeColor="text1"/>
        </w:rPr>
        <w:t xml:space="preserve">mulazione) Mor, Ungaro, Moretto; </w:t>
      </w:r>
      <w:r w:rsidRPr="0000422C">
        <w:rPr>
          <w:rFonts w:asciiTheme="minorHAnsi" w:hAnsiTheme="minorHAnsi"/>
          <w:color w:val="000000" w:themeColor="text1"/>
        </w:rPr>
        <w:t>13. 408. (ex 1.165) (Nuova formulazione) Baldini, Osna</w:t>
      </w:r>
      <w:r w:rsidRPr="0000422C">
        <w:rPr>
          <w:color w:val="000000" w:themeColor="text1"/>
        </w:rPr>
        <w:t xml:space="preserve">to, Zucconi, Bignami, Acquaroli; </w:t>
      </w:r>
      <w:r w:rsidRPr="0000422C">
        <w:rPr>
          <w:rFonts w:asciiTheme="minorHAnsi" w:hAnsiTheme="minorHAnsi"/>
          <w:color w:val="000000" w:themeColor="text1"/>
        </w:rPr>
        <w:t xml:space="preserve">13. 409. (ex 1.300) (Nuova formulazione) Giacomoni, Martino, Cattaneo, Baratto, Angelucci, Giacometto, Porchietto, Barelli, Fiorini, Squeri, </w:t>
      </w:r>
      <w:r w:rsidRPr="0000422C">
        <w:rPr>
          <w:color w:val="000000" w:themeColor="text1"/>
        </w:rPr>
        <w:t xml:space="preserve">Polidori, Carrara, Della Frera; </w:t>
      </w:r>
      <w:r w:rsidRPr="0000422C">
        <w:rPr>
          <w:rFonts w:asciiTheme="minorHAnsi" w:hAnsiTheme="minorHAnsi"/>
          <w:color w:val="000000" w:themeColor="text1"/>
        </w:rPr>
        <w:t>13. 410. (ex 1.311) (Nuova fo</w:t>
      </w:r>
      <w:r w:rsidRPr="0000422C">
        <w:rPr>
          <w:color w:val="000000" w:themeColor="text1"/>
        </w:rPr>
        <w:t xml:space="preserve">rmulazione) Zardini, Pezzopane; </w:t>
      </w:r>
      <w:r w:rsidRPr="0000422C">
        <w:rPr>
          <w:rFonts w:asciiTheme="minorHAnsi" w:hAnsiTheme="minorHAnsi"/>
          <w:color w:val="000000" w:themeColor="text1"/>
        </w:rPr>
        <w:t>13. 411. (ex 1.309) (Nuova formulazione) Pastorino, Bersani, Epifani.</w:t>
      </w:r>
    </w:p>
    <w:p w:rsidR="008A08A2" w:rsidRDefault="008A08A2">
      <w:pPr>
        <w:pStyle w:val="Testonotaapidipagina"/>
      </w:pPr>
    </w:p>
  </w:footnote>
  <w:footnote w:id="64">
    <w:p w:rsidR="008A08A2" w:rsidRPr="00BC5362" w:rsidRDefault="008A08A2" w:rsidP="006E6FFB">
      <w:pPr>
        <w:jc w:val="both"/>
        <w:rPr>
          <w:color w:val="000000" w:themeColor="text1"/>
        </w:rPr>
      </w:pPr>
      <w:r>
        <w:rPr>
          <w:rStyle w:val="Rimandonotaapidipagina"/>
        </w:rPr>
        <w:footnoteRef/>
      </w:r>
      <w:r>
        <w:t xml:space="preserve"> </w:t>
      </w:r>
      <w:r w:rsidRPr="00BC5362">
        <w:rPr>
          <w:rFonts w:asciiTheme="minorHAnsi" w:hAnsiTheme="minorHAnsi"/>
          <w:color w:val="000000" w:themeColor="text1"/>
        </w:rPr>
        <w:t>13. 152. (Nuova formulazione) Saltamartini, Andreuzza, Binelli, Colla, Dara, Galli, Guidesi, Pettazzi, Piastra, Bitonci, Cavandoli, Centemero, Covolo, Gerardi, Gusmeroli, Alessandro</w:t>
      </w:r>
      <w:r w:rsidRPr="00BC5362">
        <w:rPr>
          <w:color w:val="000000" w:themeColor="text1"/>
        </w:rPr>
        <w:t xml:space="preserve"> Pagano, Paternoster, Tarantino; </w:t>
      </w:r>
      <w:r w:rsidRPr="00BC5362">
        <w:rPr>
          <w:rFonts w:asciiTheme="minorHAnsi" w:hAnsiTheme="minorHAnsi"/>
          <w:color w:val="000000" w:themeColor="text1"/>
        </w:rPr>
        <w:t>13. 158. (Nuova formulazione) Verini, Pezzopane, Morgoni, Melilli, Buratti, Mancini, Mura, Rotta, Topo, Benamati, Bonomo,</w:t>
      </w:r>
      <w:r w:rsidRPr="00BC5362">
        <w:rPr>
          <w:color w:val="000000" w:themeColor="text1"/>
        </w:rPr>
        <w:t xml:space="preserve"> Lacarra, Manca, Nardi, Zardini; </w:t>
      </w:r>
      <w:r w:rsidRPr="00BC5362">
        <w:rPr>
          <w:rFonts w:asciiTheme="minorHAnsi" w:hAnsiTheme="minorHAnsi"/>
          <w:color w:val="000000" w:themeColor="text1"/>
        </w:rPr>
        <w:t>13. 224. (Nuova formulazione) Gabriele Lorenzoni, Terzoni, Corneli</w:t>
      </w:r>
      <w:r w:rsidRPr="00BC5362">
        <w:rPr>
          <w:color w:val="000000" w:themeColor="text1"/>
        </w:rPr>
        <w:t xml:space="preserve">, Grippa, Berardini, Gallinella; </w:t>
      </w:r>
      <w:r w:rsidRPr="00BC5362">
        <w:rPr>
          <w:rFonts w:asciiTheme="minorHAnsi" w:hAnsiTheme="minorHAnsi"/>
          <w:color w:val="000000" w:themeColor="text1"/>
        </w:rPr>
        <w:t>13. 412. (ex 1.216) (Nuova formulazione) Caparvi, Marchetti, Patassini, Benvenuto, Lucchini, Badole, D'Eramo, Gobbato, Parolo, Raffaelli, Valbusa, Vallotto, Bellachioma, Basini, De Angelis, Durigon, Latini, Paolini, Zicchieri.</w:t>
      </w:r>
    </w:p>
    <w:p w:rsidR="008A08A2" w:rsidRDefault="008A08A2">
      <w:pPr>
        <w:pStyle w:val="Testonotaapidipagina"/>
      </w:pPr>
    </w:p>
  </w:footnote>
  <w:footnote w:id="65">
    <w:p w:rsidR="008A08A2" w:rsidRPr="00626EC0" w:rsidRDefault="008A08A2" w:rsidP="00F93539">
      <w:pPr>
        <w:jc w:val="both"/>
        <w:rPr>
          <w:color w:val="000000" w:themeColor="text1"/>
        </w:rPr>
      </w:pPr>
      <w:r>
        <w:rPr>
          <w:rStyle w:val="Rimandonotaapidipagina"/>
        </w:rPr>
        <w:footnoteRef/>
      </w:r>
      <w:r>
        <w:t xml:space="preserve"> </w:t>
      </w:r>
      <w:r w:rsidRPr="00626EC0">
        <w:rPr>
          <w:rFonts w:asciiTheme="minorHAnsi" w:hAnsiTheme="minorHAnsi"/>
          <w:color w:val="000000" w:themeColor="text1"/>
        </w:rPr>
        <w:t>13.</w:t>
      </w:r>
      <w:r w:rsidRPr="00626EC0">
        <w:rPr>
          <w:color w:val="000000" w:themeColor="text1"/>
        </w:rPr>
        <w:t xml:space="preserve"> 164. Benamati, Topo, Pezzopane; </w:t>
      </w:r>
      <w:r w:rsidRPr="00626EC0">
        <w:rPr>
          <w:rFonts w:asciiTheme="minorHAnsi" w:hAnsiTheme="minorHAnsi"/>
          <w:color w:val="000000" w:themeColor="text1"/>
        </w:rPr>
        <w:t>13. 275. Dara, Andreuzza, Binelli, Colla, Galli, Guidesi, Pettazzi, Piastra, Bitonci, Cavandoli, Centemero, Covolo, Gerardi, Gusmeroli, Alessandro Pagano, Paternoster, Ta</w:t>
      </w:r>
      <w:r w:rsidRPr="00626EC0">
        <w:rPr>
          <w:color w:val="000000" w:themeColor="text1"/>
        </w:rPr>
        <w:t xml:space="preserve">rantino; </w:t>
      </w:r>
      <w:r w:rsidRPr="00626EC0">
        <w:rPr>
          <w:rFonts w:asciiTheme="minorHAnsi" w:hAnsiTheme="minorHAnsi"/>
          <w:color w:val="000000" w:themeColor="text1"/>
        </w:rPr>
        <w:t>13. 282. Fiorini, Giacometto, Baratto, Gelmini, Martino, Giacomoni, Cattaneo, Angelucci, Porchietto, Barelli, Squeri,</w:t>
      </w:r>
      <w:r w:rsidRPr="00626EC0">
        <w:rPr>
          <w:color w:val="000000" w:themeColor="text1"/>
        </w:rPr>
        <w:t xml:space="preserve"> Carrara, Polidori, Della Frera; </w:t>
      </w:r>
      <w:r w:rsidRPr="00626EC0">
        <w:rPr>
          <w:rFonts w:asciiTheme="minorHAnsi" w:hAnsiTheme="minorHAnsi"/>
          <w:color w:val="000000" w:themeColor="text1"/>
        </w:rPr>
        <w:t>13. 295. Sut, Alemanno, Berardini, Fantinati, Giarrizzo, Masi, Papiro, Paxia, Perconti, Rizzone, Scanu, Vallascas.</w:t>
      </w:r>
    </w:p>
    <w:p w:rsidR="008A08A2" w:rsidRDefault="008A08A2">
      <w:pPr>
        <w:pStyle w:val="Testonotaapidipagina"/>
      </w:pPr>
    </w:p>
  </w:footnote>
  <w:footnote w:id="66">
    <w:p w:rsidR="008A08A2" w:rsidRPr="00626EC0" w:rsidRDefault="008A08A2" w:rsidP="001533B3">
      <w:pPr>
        <w:jc w:val="both"/>
        <w:rPr>
          <w:rFonts w:asciiTheme="minorHAnsi" w:hAnsiTheme="minorHAnsi"/>
          <w:color w:val="000000" w:themeColor="text1"/>
        </w:rPr>
      </w:pPr>
      <w:r>
        <w:rPr>
          <w:rStyle w:val="Rimandonotaapidipagina"/>
        </w:rPr>
        <w:footnoteRef/>
      </w:r>
      <w:r>
        <w:t xml:space="preserve"> </w:t>
      </w:r>
      <w:r w:rsidRPr="00626EC0">
        <w:rPr>
          <w:rFonts w:asciiTheme="minorHAnsi" w:hAnsiTheme="minorHAnsi"/>
          <w:color w:val="000000" w:themeColor="text1"/>
        </w:rPr>
        <w:t>13. 286. (Nuova formulazione) Faro, Donno.</w:t>
      </w:r>
    </w:p>
    <w:p w:rsidR="008A08A2" w:rsidRDefault="008A08A2">
      <w:pPr>
        <w:pStyle w:val="Testonotaapidipagina"/>
      </w:pPr>
    </w:p>
  </w:footnote>
  <w:footnote w:id="67">
    <w:p w:rsidR="008A08A2" w:rsidRPr="00626EC0" w:rsidRDefault="008A08A2" w:rsidP="007E5AE3">
      <w:pPr>
        <w:jc w:val="both"/>
        <w:rPr>
          <w:rFonts w:asciiTheme="minorHAnsi" w:hAnsiTheme="minorHAnsi"/>
          <w:color w:val="000000" w:themeColor="text1"/>
        </w:rPr>
      </w:pPr>
      <w:r>
        <w:rPr>
          <w:rStyle w:val="Rimandonotaapidipagina"/>
        </w:rPr>
        <w:footnoteRef/>
      </w:r>
      <w:r>
        <w:t xml:space="preserve"> </w:t>
      </w:r>
      <w:r w:rsidRPr="00626EC0">
        <w:rPr>
          <w:rFonts w:asciiTheme="minorHAnsi" w:hAnsiTheme="minorHAnsi"/>
          <w:color w:val="000000" w:themeColor="text1"/>
        </w:rPr>
        <w:t xml:space="preserve">13. 44. (Nuova formulazione) Nardi, Pezzopane, Buratti, Mancini, Mura, Rotta, Topo, Benamati, </w:t>
      </w:r>
      <w:r w:rsidRPr="00626EC0">
        <w:rPr>
          <w:color w:val="000000" w:themeColor="text1"/>
        </w:rPr>
        <w:t xml:space="preserve">Bonomo, Lacarra, Manca, Zardini; </w:t>
      </w:r>
      <w:r w:rsidRPr="00626EC0">
        <w:rPr>
          <w:rFonts w:asciiTheme="minorHAnsi" w:hAnsiTheme="minorHAnsi"/>
          <w:color w:val="000000" w:themeColor="text1"/>
        </w:rPr>
        <w:t>13. 42. (Nuova formulazi</w:t>
      </w:r>
      <w:r w:rsidRPr="00626EC0">
        <w:rPr>
          <w:color w:val="000000" w:themeColor="text1"/>
        </w:rPr>
        <w:t xml:space="preserve">one) De Toma, Rachele Silvestri; </w:t>
      </w:r>
      <w:r w:rsidRPr="00626EC0">
        <w:rPr>
          <w:rFonts w:asciiTheme="minorHAnsi" w:hAnsiTheme="minorHAnsi"/>
          <w:color w:val="000000" w:themeColor="text1"/>
        </w:rPr>
        <w:t>13. 22. (Nuova f</w:t>
      </w:r>
      <w:r w:rsidRPr="00626EC0">
        <w:rPr>
          <w:color w:val="000000" w:themeColor="text1"/>
        </w:rPr>
        <w:t xml:space="preserve">ormulazione) Squeri; </w:t>
      </w:r>
      <w:r w:rsidRPr="00626EC0">
        <w:rPr>
          <w:rFonts w:asciiTheme="minorHAnsi" w:hAnsiTheme="minorHAnsi"/>
          <w:color w:val="000000" w:themeColor="text1"/>
        </w:rPr>
        <w:t>13. 32. (Nuova formulazione) Zucconi, Osna</w:t>
      </w:r>
      <w:r w:rsidRPr="00626EC0">
        <w:rPr>
          <w:color w:val="000000" w:themeColor="text1"/>
        </w:rPr>
        <w:t xml:space="preserve">to, Acquaroli, Bignami, Baldini; </w:t>
      </w:r>
      <w:r w:rsidRPr="00626EC0">
        <w:rPr>
          <w:rFonts w:asciiTheme="minorHAnsi" w:hAnsiTheme="minorHAnsi"/>
          <w:color w:val="000000" w:themeColor="text1"/>
        </w:rPr>
        <w:t>1</w:t>
      </w:r>
      <w:r w:rsidRPr="00626EC0">
        <w:rPr>
          <w:color w:val="000000" w:themeColor="text1"/>
        </w:rPr>
        <w:t xml:space="preserve">3. 18. (Nuova formulazione) Mor; </w:t>
      </w:r>
      <w:r w:rsidRPr="00626EC0">
        <w:rPr>
          <w:rFonts w:asciiTheme="minorHAnsi" w:hAnsiTheme="minorHAnsi"/>
          <w:color w:val="000000" w:themeColor="text1"/>
        </w:rPr>
        <w:t>13. 299 Raduzzi</w:t>
      </w:r>
    </w:p>
    <w:p w:rsidR="008A08A2" w:rsidRDefault="008A08A2">
      <w:pPr>
        <w:pStyle w:val="Testonotaapidipagina"/>
      </w:pPr>
    </w:p>
  </w:footnote>
  <w:footnote w:id="68">
    <w:p w:rsidR="008A08A2" w:rsidRPr="007466A9" w:rsidRDefault="008A08A2" w:rsidP="00A55601">
      <w:pPr>
        <w:jc w:val="both"/>
        <w:rPr>
          <w:rFonts w:asciiTheme="minorHAnsi" w:hAnsiTheme="minorHAnsi"/>
          <w:color w:val="000000" w:themeColor="text1"/>
        </w:rPr>
      </w:pPr>
      <w:r>
        <w:rPr>
          <w:rStyle w:val="Rimandonotaapidipagina"/>
        </w:rPr>
        <w:footnoteRef/>
      </w:r>
      <w:r>
        <w:t xml:space="preserve"> </w:t>
      </w:r>
      <w:r w:rsidRPr="007466A9">
        <w:rPr>
          <w:rFonts w:asciiTheme="minorHAnsi" w:hAnsiTheme="minorHAnsi"/>
          <w:color w:val="000000" w:themeColor="text1"/>
        </w:rPr>
        <w:t>13. 303. (Nuova formulazione) Zucconi, Osna</w:t>
      </w:r>
      <w:r w:rsidRPr="007466A9">
        <w:rPr>
          <w:color w:val="000000" w:themeColor="text1"/>
        </w:rPr>
        <w:t xml:space="preserve">to, Acquaroli, Bignami, Baldini; </w:t>
      </w:r>
      <w:r w:rsidRPr="007466A9">
        <w:rPr>
          <w:rFonts w:asciiTheme="minorHAnsi" w:hAnsiTheme="minorHAnsi"/>
          <w:color w:val="000000" w:themeColor="text1"/>
        </w:rPr>
        <w:t>13. 304. (Nuova formulazione) Saltamartini, Andreuzza, Binelli, Colla, Dara, Galli, Guidesi, Pettazzi, Piastra, Bitonci, Cavandoli, Centemero, Covolo, Gerardi, Gusmeroli, Alessandro Pagano, Paternoster, Tarantino.</w:t>
      </w:r>
    </w:p>
    <w:p w:rsidR="008A08A2" w:rsidRDefault="008A08A2">
      <w:pPr>
        <w:pStyle w:val="Testonotaapidipagina"/>
      </w:pPr>
    </w:p>
  </w:footnote>
  <w:footnote w:id="69">
    <w:p w:rsidR="008A08A2" w:rsidRPr="007466A9" w:rsidRDefault="008A08A2" w:rsidP="00522252">
      <w:pPr>
        <w:jc w:val="both"/>
        <w:rPr>
          <w:rFonts w:asciiTheme="minorHAnsi" w:hAnsiTheme="minorHAnsi"/>
          <w:color w:val="000000" w:themeColor="text1"/>
        </w:rPr>
      </w:pPr>
      <w:r>
        <w:rPr>
          <w:rStyle w:val="Rimandonotaapidipagina"/>
        </w:rPr>
        <w:footnoteRef/>
      </w:r>
      <w:r>
        <w:t xml:space="preserve"> </w:t>
      </w:r>
      <w:r w:rsidRPr="007466A9">
        <w:rPr>
          <w:rFonts w:asciiTheme="minorHAnsi" w:hAnsiTheme="minorHAnsi"/>
          <w:color w:val="000000" w:themeColor="text1"/>
        </w:rPr>
        <w:t>13. 309. Sut, Alemanno, Berardini, Fantinati, Giarrizzo, Masi, Papiro, Paxia, Perconti, Rizzone, Scanu, Vallascas.</w:t>
      </w:r>
    </w:p>
    <w:p w:rsidR="008A08A2" w:rsidRDefault="008A08A2">
      <w:pPr>
        <w:pStyle w:val="Testonotaapidipagina"/>
      </w:pPr>
    </w:p>
  </w:footnote>
  <w:footnote w:id="70">
    <w:p w:rsidR="0078197C" w:rsidRPr="00930721" w:rsidRDefault="0078197C" w:rsidP="0078197C">
      <w:pPr>
        <w:jc w:val="both"/>
        <w:rPr>
          <w:color w:val="000000" w:themeColor="text1"/>
        </w:rPr>
      </w:pPr>
      <w:r>
        <w:rPr>
          <w:rStyle w:val="Rimandonotaapidipagina"/>
        </w:rPr>
        <w:footnoteRef/>
      </w:r>
      <w:r>
        <w:t xml:space="preserve"> </w:t>
      </w:r>
      <w:r w:rsidRPr="00930721">
        <w:rPr>
          <w:color w:val="000000" w:themeColor="text1"/>
        </w:rPr>
        <w:t xml:space="preserve">13. 342. </w:t>
      </w:r>
      <w:proofErr w:type="gramStart"/>
      <w:r w:rsidRPr="00930721">
        <w:rPr>
          <w:color w:val="000000" w:themeColor="text1"/>
        </w:rPr>
        <w:t>(Nuova</w:t>
      </w:r>
      <w:proofErr w:type="gramEnd"/>
      <w:r w:rsidRPr="00930721">
        <w:rPr>
          <w:color w:val="000000" w:themeColor="text1"/>
        </w:rPr>
        <w:t xml:space="preserve"> formulazione)  Baratto, Giacomoni, Martino, Cattaneo, Angelucci, Giacometto, Porchietto, Barelli, Fiorini, Squeri, Polidori, Carrara, Della Frera, Trano.</w:t>
      </w:r>
    </w:p>
    <w:p w:rsidR="0078197C" w:rsidRDefault="0078197C">
      <w:pPr>
        <w:pStyle w:val="Testonotaapidipagina"/>
      </w:pPr>
    </w:p>
  </w:footnote>
  <w:footnote w:id="71">
    <w:p w:rsidR="00EC0CF6" w:rsidRPr="00930721" w:rsidRDefault="00EC0CF6" w:rsidP="00EC0CF6">
      <w:pPr>
        <w:jc w:val="both"/>
        <w:rPr>
          <w:color w:val="000000" w:themeColor="text1"/>
        </w:rPr>
      </w:pPr>
      <w:r>
        <w:rPr>
          <w:rStyle w:val="Rimandonotaapidipagina"/>
        </w:rPr>
        <w:footnoteRef/>
      </w:r>
      <w:r>
        <w:t xml:space="preserve"> </w:t>
      </w:r>
      <w:r w:rsidRPr="00930721">
        <w:rPr>
          <w:color w:val="000000" w:themeColor="text1"/>
        </w:rPr>
        <w:t xml:space="preserve">13. 368. </w:t>
      </w:r>
      <w:proofErr w:type="gramStart"/>
      <w:r w:rsidRPr="00930721">
        <w:rPr>
          <w:color w:val="000000" w:themeColor="text1"/>
        </w:rPr>
        <w:t>(Nuova</w:t>
      </w:r>
      <w:proofErr w:type="gramEnd"/>
      <w:r w:rsidRPr="00930721">
        <w:rPr>
          <w:color w:val="000000" w:themeColor="text1"/>
        </w:rPr>
        <w:t xml:space="preserve"> formulazione)  Cenni, Incerti, Critelli, Cappellani, Dal Moro, Frailis, Martina, Pezzopane, Buratti, Mancini, Romina Mura, Rotta, Topo, Benamati, Bonomo, Lacarra, Manca, Nardi, Zardini; 13. 364. (Nuova formulazione)  Moretto, Bendinelli; </w:t>
      </w:r>
      <w:proofErr w:type="gramStart"/>
      <w:r w:rsidRPr="00930721">
        <w:rPr>
          <w:color w:val="000000" w:themeColor="text1"/>
        </w:rPr>
        <w:t>13</w:t>
      </w:r>
      <w:proofErr w:type="gramEnd"/>
      <w:r w:rsidRPr="00930721">
        <w:rPr>
          <w:color w:val="000000" w:themeColor="text1"/>
        </w:rPr>
        <w:t>. 376. (Nuova formulazione)  Gagnarli, Cadeddu, Cassese, Cillis, Cimino, Del Sesto, Galizia, Gallinella, Lombardo, Lovecchio, Maglione, Alberto Manca, Marzana, Parentela, Pignatone.</w:t>
      </w:r>
    </w:p>
    <w:p w:rsidR="00EC0CF6" w:rsidRDefault="00EC0CF6">
      <w:pPr>
        <w:pStyle w:val="Testonotaapidipagina"/>
      </w:pPr>
    </w:p>
  </w:footnote>
  <w:footnote w:id="72">
    <w:p w:rsidR="008A08A2" w:rsidRPr="007466A9" w:rsidRDefault="008A08A2" w:rsidP="00257BDB">
      <w:pPr>
        <w:jc w:val="both"/>
        <w:rPr>
          <w:color w:val="000000" w:themeColor="text1"/>
        </w:rPr>
      </w:pPr>
      <w:r>
        <w:rPr>
          <w:rStyle w:val="Rimandonotaapidipagina"/>
        </w:rPr>
        <w:footnoteRef/>
      </w:r>
      <w:r>
        <w:t xml:space="preserve"> </w:t>
      </w:r>
      <w:r w:rsidRPr="007466A9">
        <w:rPr>
          <w:rFonts w:asciiTheme="minorHAnsi" w:hAnsiTheme="minorHAnsi"/>
          <w:color w:val="000000" w:themeColor="text1"/>
        </w:rPr>
        <w:t>13. 219. (Nuova form</w:t>
      </w:r>
      <w:r w:rsidRPr="007466A9">
        <w:rPr>
          <w:color w:val="000000" w:themeColor="text1"/>
        </w:rPr>
        <w:t xml:space="preserve">ulazione) Masi, Zanichelli, Sut; </w:t>
      </w:r>
      <w:r w:rsidRPr="007466A9">
        <w:rPr>
          <w:rFonts w:asciiTheme="minorHAnsi" w:hAnsiTheme="minorHAnsi"/>
          <w:color w:val="000000" w:themeColor="text1"/>
        </w:rPr>
        <w:t>13. 160. (Nuova fo</w:t>
      </w:r>
      <w:r w:rsidRPr="007466A9">
        <w:rPr>
          <w:color w:val="000000" w:themeColor="text1"/>
        </w:rPr>
        <w:t xml:space="preserve">rmulazione) Comaroli, Cavandoli; </w:t>
      </w:r>
      <w:r w:rsidRPr="007466A9">
        <w:rPr>
          <w:rFonts w:asciiTheme="minorHAnsi" w:hAnsiTheme="minorHAnsi"/>
          <w:color w:val="000000" w:themeColor="text1"/>
        </w:rPr>
        <w:t>13. 233. (Nuova formulazione) Past</w:t>
      </w:r>
      <w:r w:rsidRPr="007466A9">
        <w:rPr>
          <w:color w:val="000000" w:themeColor="text1"/>
        </w:rPr>
        <w:t xml:space="preserve">orino, Muroni, Fassina, Fornaro; </w:t>
      </w:r>
      <w:r w:rsidRPr="007466A9">
        <w:rPr>
          <w:rFonts w:asciiTheme="minorHAnsi" w:hAnsiTheme="minorHAnsi"/>
          <w:color w:val="000000" w:themeColor="text1"/>
        </w:rPr>
        <w:t>13. 316. (Nuova formula</w:t>
      </w:r>
      <w:r w:rsidRPr="007466A9">
        <w:rPr>
          <w:color w:val="000000" w:themeColor="text1"/>
        </w:rPr>
        <w:t xml:space="preserve">zione) Ubaldo Pagano, Pezzopane; </w:t>
      </w:r>
      <w:r w:rsidRPr="007466A9">
        <w:rPr>
          <w:rFonts w:asciiTheme="minorHAnsi" w:hAnsiTheme="minorHAnsi"/>
          <w:color w:val="000000" w:themeColor="text1"/>
        </w:rPr>
        <w:t>13. 351. (Nuo</w:t>
      </w:r>
      <w:r w:rsidRPr="007466A9">
        <w:rPr>
          <w:color w:val="000000" w:themeColor="text1"/>
        </w:rPr>
        <w:t xml:space="preserve">va formulazione) Gadda, Moretto; </w:t>
      </w:r>
      <w:r w:rsidRPr="007466A9">
        <w:rPr>
          <w:rFonts w:asciiTheme="minorHAnsi" w:hAnsiTheme="minorHAnsi"/>
          <w:color w:val="000000" w:themeColor="text1"/>
        </w:rPr>
        <w:t>13.</w:t>
      </w:r>
      <w:r w:rsidRPr="007466A9">
        <w:rPr>
          <w:color w:val="000000" w:themeColor="text1"/>
        </w:rPr>
        <w:t xml:space="preserve"> 350. (Nuova formulazione) Lupi; </w:t>
      </w:r>
      <w:r w:rsidRPr="007466A9">
        <w:rPr>
          <w:rFonts w:asciiTheme="minorHAnsi" w:hAnsiTheme="minorHAnsi"/>
          <w:color w:val="000000" w:themeColor="text1"/>
        </w:rPr>
        <w:t>13. 355. (Nuova formulazione) Lorenzin, Carnevali, Rizzo Nervo,</w:t>
      </w:r>
      <w:r w:rsidRPr="007466A9">
        <w:rPr>
          <w:color w:val="000000" w:themeColor="text1"/>
        </w:rPr>
        <w:t xml:space="preserve"> Siani, Pini, Schirò, Pezzopane; </w:t>
      </w:r>
      <w:r w:rsidRPr="007466A9">
        <w:rPr>
          <w:rFonts w:asciiTheme="minorHAnsi" w:hAnsiTheme="minorHAnsi"/>
          <w:color w:val="000000" w:themeColor="text1"/>
        </w:rPr>
        <w:t>13. 400. (ex 1.33) (Nuova formulazione) Lepri, Carnevali, Serracchiani, Gribaudo, Viscomi, Mura, Carla Cantone, Rizzo Nervo,</w:t>
      </w:r>
      <w:r w:rsidRPr="007466A9">
        <w:rPr>
          <w:color w:val="000000" w:themeColor="text1"/>
        </w:rPr>
        <w:t xml:space="preserve"> Siani, Pini, Schirò, Pezzopane; </w:t>
      </w:r>
      <w:r w:rsidRPr="007466A9">
        <w:rPr>
          <w:rFonts w:asciiTheme="minorHAnsi" w:hAnsiTheme="minorHAnsi"/>
          <w:color w:val="000000" w:themeColor="text1"/>
        </w:rPr>
        <w:t>13. 401. (ex 1.27) (Nuova formulazione) Verini, Serracchiani, Quartapelle Procopio, Morgoni, Ub</w:t>
      </w:r>
      <w:r w:rsidRPr="007466A9">
        <w:rPr>
          <w:color w:val="000000" w:themeColor="text1"/>
        </w:rPr>
        <w:t xml:space="preserve">aldo Pagano, Pezzopane, De Luca; </w:t>
      </w:r>
      <w:r w:rsidRPr="007466A9">
        <w:rPr>
          <w:rFonts w:asciiTheme="minorHAnsi" w:hAnsiTheme="minorHAnsi"/>
          <w:color w:val="000000" w:themeColor="text1"/>
        </w:rPr>
        <w:t>3. 402. (ex 1.12) (Nuova formulazione) Piccoli Nardelli, Di Giorgi, Prestipino, Rossi, Ciampi, Orfini, Pezzopane.</w:t>
      </w:r>
    </w:p>
    <w:p w:rsidR="008A08A2" w:rsidRDefault="008A08A2">
      <w:pPr>
        <w:pStyle w:val="Testonotaapidipagina"/>
      </w:pPr>
    </w:p>
  </w:footnote>
  <w:footnote w:id="73">
    <w:p w:rsidR="008A08A2" w:rsidRPr="007466A9" w:rsidRDefault="008A08A2" w:rsidP="00030D03">
      <w:pPr>
        <w:jc w:val="both"/>
        <w:rPr>
          <w:rFonts w:asciiTheme="minorHAnsi" w:hAnsiTheme="minorHAnsi"/>
          <w:color w:val="000000" w:themeColor="text1"/>
        </w:rPr>
      </w:pPr>
      <w:r>
        <w:rPr>
          <w:rStyle w:val="Rimandonotaapidipagina"/>
        </w:rPr>
        <w:footnoteRef/>
      </w:r>
      <w:r>
        <w:t xml:space="preserve"> </w:t>
      </w:r>
      <w:r w:rsidRPr="007466A9">
        <w:rPr>
          <w:rFonts w:asciiTheme="minorHAnsi" w:hAnsiTheme="minorHAnsi"/>
          <w:color w:val="000000" w:themeColor="text1"/>
        </w:rPr>
        <w:t>13. 399. I Relatori.</w:t>
      </w:r>
    </w:p>
    <w:p w:rsidR="008A08A2" w:rsidRDefault="008A08A2">
      <w:pPr>
        <w:pStyle w:val="Testonotaapidipagina"/>
      </w:pPr>
    </w:p>
  </w:footnote>
  <w:footnote w:id="74">
    <w:p w:rsidR="008A08A2" w:rsidRPr="007466A9" w:rsidRDefault="008A08A2" w:rsidP="008C18C2">
      <w:pPr>
        <w:jc w:val="both"/>
        <w:rPr>
          <w:rFonts w:asciiTheme="minorHAnsi" w:hAnsiTheme="minorHAnsi"/>
          <w:color w:val="000000" w:themeColor="text1"/>
        </w:rPr>
      </w:pPr>
      <w:r>
        <w:rPr>
          <w:rStyle w:val="Rimandonotaapidipagina"/>
        </w:rPr>
        <w:footnoteRef/>
      </w:r>
      <w:r>
        <w:t xml:space="preserve"> </w:t>
      </w:r>
      <w:r w:rsidRPr="007466A9">
        <w:rPr>
          <w:rFonts w:asciiTheme="minorHAnsi" w:hAnsiTheme="minorHAnsi"/>
          <w:color w:val="000000" w:themeColor="text1"/>
        </w:rPr>
        <w:t>13. 063. (Nuova formulazione) Francesco Silvestri, Davide Aiello, Caso, Lattanzio, Migliorino, Nesci, Piera Aiello, Ascari, Barbuto, Cataldi, Di Sarno, Dori, D'Orso, Giuliano, Palmisano, Perantoni, Saitta, Salafia, Sarti, Scutellà, Cancelleri, Currò, Giuliodori, Grimaldi, Maglione, Maniero, Martinciglio, Raduzzi, Ruggiero, Ruocco, Zanichelli, Pastorino, Buratti, Mancini, Mura, Rotta, Topo, Benamati, Bonomo, Lacarra, Manca, Nardi, Zardini.</w:t>
      </w:r>
    </w:p>
    <w:p w:rsidR="008A08A2" w:rsidRDefault="008A08A2">
      <w:pPr>
        <w:pStyle w:val="Testonotaapidipagina"/>
      </w:pPr>
    </w:p>
  </w:footnote>
  <w:footnote w:id="75">
    <w:p w:rsidR="008C4C14" w:rsidRPr="00930721" w:rsidRDefault="008C4C14" w:rsidP="008C4C14">
      <w:pPr>
        <w:jc w:val="both"/>
        <w:rPr>
          <w:color w:val="000000" w:themeColor="text1"/>
        </w:rPr>
      </w:pPr>
      <w:r>
        <w:rPr>
          <w:rStyle w:val="Rimandonotaapidipagina"/>
        </w:rPr>
        <w:footnoteRef/>
      </w:r>
      <w:r>
        <w:t xml:space="preserve"> </w:t>
      </w:r>
      <w:r w:rsidRPr="00930721">
        <w:rPr>
          <w:color w:val="000000" w:themeColor="text1"/>
        </w:rPr>
        <w:t>13. 0116. Mancini, Buratti, Mura, Rotta, Topo.</w:t>
      </w:r>
    </w:p>
    <w:p w:rsidR="008C4C14" w:rsidRDefault="008C4C14">
      <w:pPr>
        <w:pStyle w:val="Testonotaapidipagina"/>
      </w:pPr>
    </w:p>
  </w:footnote>
  <w:footnote w:id="76">
    <w:p w:rsidR="008C4C14" w:rsidRPr="00930721" w:rsidRDefault="008C4C14" w:rsidP="008C4C14">
      <w:pPr>
        <w:jc w:val="both"/>
        <w:rPr>
          <w:color w:val="000000" w:themeColor="text1"/>
        </w:rPr>
      </w:pPr>
      <w:r>
        <w:rPr>
          <w:rStyle w:val="Rimandonotaapidipagina"/>
        </w:rPr>
        <w:footnoteRef/>
      </w:r>
      <w:r>
        <w:t xml:space="preserve"> </w:t>
      </w:r>
      <w:r w:rsidRPr="00930721">
        <w:rPr>
          <w:color w:val="000000" w:themeColor="text1"/>
        </w:rPr>
        <w:t>14. 21. I Relatori.</w:t>
      </w:r>
    </w:p>
    <w:p w:rsidR="008C4C14" w:rsidRDefault="008C4C14">
      <w:pPr>
        <w:pStyle w:val="Testonotaapidipagina"/>
      </w:pPr>
    </w:p>
  </w:footnote>
  <w:footnote w:id="77">
    <w:p w:rsidR="00193CF8" w:rsidRPr="00930721" w:rsidRDefault="00193CF8" w:rsidP="00193CF8">
      <w:pPr>
        <w:jc w:val="both"/>
        <w:rPr>
          <w:color w:val="000000" w:themeColor="text1"/>
        </w:rPr>
      </w:pPr>
      <w:r>
        <w:rPr>
          <w:rStyle w:val="Rimandonotaapidipagina"/>
        </w:rPr>
        <w:footnoteRef/>
      </w:r>
      <w:r>
        <w:t xml:space="preserve"> </w:t>
      </w:r>
      <w:r w:rsidRPr="00930721">
        <w:rPr>
          <w:color w:val="000000" w:themeColor="text1"/>
        </w:rPr>
        <w:t xml:space="preserve">14. 037. </w:t>
      </w:r>
      <w:proofErr w:type="gramStart"/>
      <w:r w:rsidRPr="00930721">
        <w:rPr>
          <w:color w:val="000000" w:themeColor="text1"/>
        </w:rPr>
        <w:t>(Nuova</w:t>
      </w:r>
      <w:proofErr w:type="gramEnd"/>
      <w:r w:rsidRPr="00930721">
        <w:rPr>
          <w:color w:val="000000" w:themeColor="text1"/>
        </w:rPr>
        <w:t xml:space="preserve"> formulazione)  Martinciglio, Gagnarli, Cadeddu, Cassese, Cillis, Cimino, Del Sesto, Galizia, Gallinella, Lombardo, Lovecchio, Maglione, Alberto Manca, Marzana, Parentela, Pignatone.</w:t>
      </w:r>
    </w:p>
    <w:p w:rsidR="00193CF8" w:rsidRDefault="00193CF8">
      <w:pPr>
        <w:pStyle w:val="Testonotaapidipagina"/>
      </w:pPr>
    </w:p>
  </w:footnote>
  <w:footnote w:id="78">
    <w:p w:rsidR="00440598" w:rsidRPr="00772497" w:rsidRDefault="00440598" w:rsidP="00440598">
      <w:pPr>
        <w:jc w:val="both"/>
        <w:rPr>
          <w:color w:val="000000" w:themeColor="text1"/>
        </w:rPr>
      </w:pPr>
      <w:r>
        <w:rPr>
          <w:rStyle w:val="Rimandonotaapidipagina"/>
        </w:rPr>
        <w:footnoteRef/>
      </w:r>
      <w:r>
        <w:t xml:space="preserve"> </w:t>
      </w:r>
      <w:r w:rsidRPr="00772497">
        <w:rPr>
          <w:color w:val="000000" w:themeColor="text1"/>
        </w:rPr>
        <w:t xml:space="preserve">14. 041. </w:t>
      </w:r>
      <w:proofErr w:type="gramStart"/>
      <w:r w:rsidRPr="00772497">
        <w:rPr>
          <w:color w:val="000000" w:themeColor="text1"/>
        </w:rPr>
        <w:t>(Nuova</w:t>
      </w:r>
      <w:proofErr w:type="gramEnd"/>
      <w:r w:rsidRPr="00772497">
        <w:rPr>
          <w:color w:val="000000" w:themeColor="text1"/>
        </w:rPr>
        <w:t xml:space="preserve"> formulazione)  Elisa Tripodi, Berardini, Ruggiero, Parolo, Moretto, Ungaro, Pastorino, Cavandoli, Benamati, Bonomo, Lacarra, Manca, Nardi, Zardini, Fregolent, Binelli.</w:t>
      </w:r>
    </w:p>
    <w:p w:rsidR="00440598" w:rsidRDefault="00440598">
      <w:pPr>
        <w:pStyle w:val="Testonotaapidipagina"/>
      </w:pPr>
    </w:p>
  </w:footnote>
  <w:footnote w:id="79">
    <w:p w:rsidR="00C025B8" w:rsidRPr="007340A9" w:rsidRDefault="00C025B8" w:rsidP="00C025B8">
      <w:pPr>
        <w:jc w:val="both"/>
        <w:rPr>
          <w:color w:val="000000" w:themeColor="text1"/>
        </w:rPr>
      </w:pPr>
      <w:r>
        <w:rPr>
          <w:rStyle w:val="Rimandonotaapidipagina"/>
        </w:rPr>
        <w:footnoteRef/>
      </w:r>
      <w:r>
        <w:t xml:space="preserve"> </w:t>
      </w:r>
      <w:r w:rsidRPr="007340A9">
        <w:rPr>
          <w:color w:val="000000" w:themeColor="text1"/>
        </w:rPr>
        <w:t>15. 03. (Nuova formulazione) Sut.</w:t>
      </w:r>
    </w:p>
    <w:p w:rsidR="00C025B8" w:rsidRDefault="00C025B8">
      <w:pPr>
        <w:pStyle w:val="Testonotaapidipagina"/>
      </w:pPr>
    </w:p>
  </w:footnote>
  <w:footnote w:id="80">
    <w:p w:rsidR="000436F3" w:rsidRPr="007340A9" w:rsidRDefault="000436F3" w:rsidP="000436F3">
      <w:pPr>
        <w:jc w:val="both"/>
        <w:rPr>
          <w:color w:val="000000" w:themeColor="text1"/>
        </w:rPr>
      </w:pPr>
      <w:r>
        <w:rPr>
          <w:rStyle w:val="Rimandonotaapidipagina"/>
        </w:rPr>
        <w:footnoteRef/>
      </w:r>
      <w:r>
        <w:t xml:space="preserve"> </w:t>
      </w:r>
      <w:r w:rsidRPr="007340A9">
        <w:rPr>
          <w:color w:val="000000" w:themeColor="text1"/>
        </w:rPr>
        <w:t>16. 1. I Relatori.</w:t>
      </w:r>
    </w:p>
    <w:p w:rsidR="000436F3" w:rsidRDefault="000436F3">
      <w:pPr>
        <w:pStyle w:val="Testonotaapidipagina"/>
      </w:pPr>
    </w:p>
  </w:footnote>
  <w:footnote w:id="81">
    <w:p w:rsidR="00CF78B9" w:rsidRPr="007340A9" w:rsidRDefault="00CF78B9" w:rsidP="00CF78B9">
      <w:pPr>
        <w:jc w:val="both"/>
        <w:rPr>
          <w:color w:val="000000" w:themeColor="text1"/>
        </w:rPr>
      </w:pPr>
      <w:r>
        <w:rPr>
          <w:rStyle w:val="Rimandonotaapidipagina"/>
        </w:rPr>
        <w:footnoteRef/>
      </w:r>
      <w:r>
        <w:t xml:space="preserve"> </w:t>
      </w:r>
      <w:r w:rsidRPr="007340A9">
        <w:rPr>
          <w:color w:val="000000" w:themeColor="text1"/>
        </w:rPr>
        <w:t>17. 3. (Nuova formulazione) Saltamartini, Andreuzza, Binelli, Colla, Dara, Galli, Guidesi, Pettazzi, Piastra, Bitonci, Cavandoli, Centemero, Covolo, Gerardi, Gusmeroli, Alessandro Pagano, Paternoster, Tarantino, Pastorino, Colucci, Barelli.</w:t>
      </w:r>
    </w:p>
    <w:p w:rsidR="00CF78B9" w:rsidRDefault="00CF78B9">
      <w:pPr>
        <w:pStyle w:val="Testonotaapidipagina"/>
      </w:pPr>
    </w:p>
  </w:footnote>
  <w:footnote w:id="82">
    <w:p w:rsidR="00026241" w:rsidRPr="007340A9" w:rsidRDefault="00026241" w:rsidP="00026241">
      <w:pPr>
        <w:jc w:val="both"/>
        <w:rPr>
          <w:color w:val="000000" w:themeColor="text1"/>
        </w:rPr>
      </w:pPr>
      <w:r>
        <w:rPr>
          <w:rStyle w:val="Rimandonotaapidipagina"/>
        </w:rPr>
        <w:footnoteRef/>
      </w:r>
      <w:r>
        <w:t xml:space="preserve"> </w:t>
      </w:r>
      <w:r w:rsidRPr="007340A9">
        <w:rPr>
          <w:color w:val="000000" w:themeColor="text1"/>
        </w:rPr>
        <w:t>18. 155. Giacometto, Giacomoni, Martino, Gelmini, Cattaneo, Baratto, Angelucci, Porchietto, Barelli, Fiorini, Squeri, Polidori, Carrara, Della Frera, Giaccone, Molinari, Boldi, Pettazzi, Giaccone, Molinari, Boldi, Pettazzi.</w:t>
      </w:r>
    </w:p>
    <w:p w:rsidR="00026241" w:rsidRDefault="00026241">
      <w:pPr>
        <w:pStyle w:val="Testonotaapidipagina"/>
      </w:pPr>
    </w:p>
  </w:footnote>
  <w:footnote w:id="83">
    <w:p w:rsidR="00026241" w:rsidRPr="007340A9" w:rsidRDefault="00026241" w:rsidP="00026241">
      <w:pPr>
        <w:jc w:val="both"/>
        <w:rPr>
          <w:color w:val="000000" w:themeColor="text1"/>
        </w:rPr>
      </w:pPr>
      <w:r>
        <w:rPr>
          <w:rStyle w:val="Rimandonotaapidipagina"/>
        </w:rPr>
        <w:footnoteRef/>
      </w:r>
      <w:r>
        <w:t xml:space="preserve"> </w:t>
      </w:r>
      <w:r w:rsidRPr="007340A9">
        <w:rPr>
          <w:color w:val="000000" w:themeColor="text1"/>
        </w:rPr>
        <w:t>18. 56 (Nuova formulazione) D'Attis, Fiorini, Ungaro.</w:t>
      </w:r>
    </w:p>
    <w:p w:rsidR="00026241" w:rsidRDefault="00026241">
      <w:pPr>
        <w:pStyle w:val="Testonotaapidipagina"/>
      </w:pPr>
    </w:p>
  </w:footnote>
  <w:footnote w:id="84">
    <w:p w:rsidR="000C5070" w:rsidRPr="007340A9" w:rsidRDefault="000C5070" w:rsidP="000C5070">
      <w:pPr>
        <w:jc w:val="both"/>
        <w:rPr>
          <w:color w:val="000000" w:themeColor="text1"/>
        </w:rPr>
      </w:pPr>
      <w:r>
        <w:rPr>
          <w:rStyle w:val="Rimandonotaapidipagina"/>
        </w:rPr>
        <w:footnoteRef/>
      </w:r>
      <w:r>
        <w:t xml:space="preserve"> </w:t>
      </w:r>
      <w:r w:rsidRPr="007340A9">
        <w:rPr>
          <w:color w:val="000000" w:themeColor="text1"/>
        </w:rPr>
        <w:t>18. 0276. I Relatori.</w:t>
      </w:r>
    </w:p>
    <w:p w:rsidR="000C5070" w:rsidRDefault="000C5070">
      <w:pPr>
        <w:pStyle w:val="Testonotaapidipagina"/>
      </w:pPr>
    </w:p>
  </w:footnote>
  <w:footnote w:id="85">
    <w:p w:rsidR="0062528E" w:rsidRPr="007340A9" w:rsidRDefault="0062528E" w:rsidP="0062528E">
      <w:pPr>
        <w:jc w:val="both"/>
        <w:rPr>
          <w:color w:val="000000" w:themeColor="text1"/>
        </w:rPr>
      </w:pPr>
      <w:r>
        <w:rPr>
          <w:rStyle w:val="Rimandonotaapidipagina"/>
        </w:rPr>
        <w:footnoteRef/>
      </w:r>
      <w:r>
        <w:t xml:space="preserve"> </w:t>
      </w:r>
      <w:r w:rsidRPr="007340A9">
        <w:rPr>
          <w:color w:val="000000" w:themeColor="text1"/>
        </w:rPr>
        <w:t>25. 2. I Relatori.</w:t>
      </w:r>
    </w:p>
    <w:p w:rsidR="0062528E" w:rsidRDefault="0062528E">
      <w:pPr>
        <w:pStyle w:val="Testonotaapidipagina"/>
      </w:pPr>
    </w:p>
  </w:footnote>
  <w:footnote w:id="86">
    <w:p w:rsidR="003F3E64" w:rsidRPr="0028387D" w:rsidRDefault="003F3E64" w:rsidP="003F3E64">
      <w:pPr>
        <w:jc w:val="both"/>
        <w:rPr>
          <w:color w:val="000000" w:themeColor="text1"/>
        </w:rPr>
      </w:pPr>
      <w:r>
        <w:rPr>
          <w:rStyle w:val="Rimandonotaapidipagina"/>
        </w:rPr>
        <w:footnoteRef/>
      </w:r>
      <w:r>
        <w:t xml:space="preserve"> </w:t>
      </w:r>
      <w:r w:rsidRPr="0028387D">
        <w:rPr>
          <w:color w:val="000000" w:themeColor="text1"/>
        </w:rPr>
        <w:t xml:space="preserve">27. 04. </w:t>
      </w:r>
      <w:proofErr w:type="gramStart"/>
      <w:r w:rsidRPr="0028387D">
        <w:rPr>
          <w:color w:val="000000" w:themeColor="text1"/>
        </w:rPr>
        <w:t>(Nuova</w:t>
      </w:r>
      <w:proofErr w:type="gramEnd"/>
      <w:r w:rsidRPr="0028387D">
        <w:rPr>
          <w:color w:val="000000" w:themeColor="text1"/>
        </w:rPr>
        <w:t xml:space="preserve"> formulazione)  Garavaglia, Comaroli, Bitonci, Cavandoli, Centemero, Covolo, Gerardi, Gusmeroli, Alessandro Pagano, Paternoster, Tarantino.</w:t>
      </w:r>
    </w:p>
    <w:p w:rsidR="003F3E64" w:rsidRDefault="003F3E64">
      <w:pPr>
        <w:pStyle w:val="Testonotaapidipagina"/>
      </w:pPr>
    </w:p>
  </w:footnote>
  <w:footnote w:id="87">
    <w:p w:rsidR="007D6828" w:rsidRPr="0028387D" w:rsidRDefault="007D6828" w:rsidP="007D6828">
      <w:pPr>
        <w:jc w:val="both"/>
        <w:rPr>
          <w:color w:val="000000" w:themeColor="text1"/>
        </w:rPr>
      </w:pPr>
      <w:r>
        <w:rPr>
          <w:rStyle w:val="Rimandonotaapidipagina"/>
        </w:rPr>
        <w:footnoteRef/>
      </w:r>
      <w:r>
        <w:t xml:space="preserve"> </w:t>
      </w:r>
      <w:r w:rsidRPr="0028387D">
        <w:rPr>
          <w:color w:val="000000" w:themeColor="text1"/>
        </w:rPr>
        <w:t xml:space="preserve">27. 08. </w:t>
      </w:r>
      <w:proofErr w:type="gramStart"/>
      <w:r w:rsidRPr="0028387D">
        <w:rPr>
          <w:color w:val="000000" w:themeColor="text1"/>
        </w:rPr>
        <w:t>(Nuova</w:t>
      </w:r>
      <w:proofErr w:type="gramEnd"/>
      <w:r w:rsidRPr="0028387D">
        <w:rPr>
          <w:color w:val="000000" w:themeColor="text1"/>
        </w:rPr>
        <w:t xml:space="preserve"> formulazione)  Gemmato, Osnato, Zucconi, Bignami, Baldini, Ciaburro, Caretta.</w:t>
      </w:r>
    </w:p>
    <w:p w:rsidR="007D6828" w:rsidRDefault="007D6828">
      <w:pPr>
        <w:pStyle w:val="Testonotaapidipagina"/>
      </w:pPr>
    </w:p>
  </w:footnote>
  <w:footnote w:id="88">
    <w:p w:rsidR="00D62F5B" w:rsidRPr="0028387D" w:rsidRDefault="00D62F5B" w:rsidP="00D62F5B">
      <w:pPr>
        <w:jc w:val="both"/>
        <w:rPr>
          <w:color w:val="000000" w:themeColor="text1"/>
        </w:rPr>
      </w:pPr>
      <w:r>
        <w:rPr>
          <w:rStyle w:val="Rimandonotaapidipagina"/>
        </w:rPr>
        <w:footnoteRef/>
      </w:r>
      <w:r>
        <w:t xml:space="preserve"> </w:t>
      </w:r>
      <w:r w:rsidRPr="0028387D">
        <w:rPr>
          <w:color w:val="000000" w:themeColor="text1"/>
        </w:rPr>
        <w:t xml:space="preserve">29. 02 (Nuova formulazione)  Schullian, Gebhard, Plangger, Emanuela Rossini; </w:t>
      </w:r>
      <w:proofErr w:type="gramStart"/>
      <w:r w:rsidRPr="0028387D">
        <w:rPr>
          <w:color w:val="000000" w:themeColor="text1"/>
        </w:rPr>
        <w:t>29</w:t>
      </w:r>
      <w:proofErr w:type="gramEnd"/>
      <w:r w:rsidRPr="0028387D">
        <w:rPr>
          <w:color w:val="000000" w:themeColor="text1"/>
        </w:rPr>
        <w:t>. 010 (Nuova formulazione)  Nardi, Pezzopane, Buratti, Mancini, Romina Mura, Rotta, Topo, Benamati, Bonomo, Lacarra, Manca, Nardi, Zardini.</w:t>
      </w:r>
    </w:p>
    <w:p w:rsidR="00D62F5B" w:rsidRDefault="00D62F5B">
      <w:pPr>
        <w:pStyle w:val="Testonotaapidipagina"/>
      </w:pPr>
    </w:p>
  </w:footnote>
  <w:footnote w:id="89">
    <w:p w:rsidR="00784015" w:rsidRPr="0028387D" w:rsidRDefault="00784015" w:rsidP="00784015">
      <w:pPr>
        <w:jc w:val="both"/>
        <w:rPr>
          <w:color w:val="000000" w:themeColor="text1"/>
        </w:rPr>
      </w:pPr>
      <w:r>
        <w:rPr>
          <w:rStyle w:val="Rimandonotaapidipagina"/>
        </w:rPr>
        <w:footnoteRef/>
      </w:r>
      <w:r>
        <w:t xml:space="preserve"> </w:t>
      </w:r>
      <w:r w:rsidRPr="0028387D">
        <w:rPr>
          <w:color w:val="000000" w:themeColor="text1"/>
        </w:rPr>
        <w:t>30. 038. (Nuova formulazione) Zolezzi, Deiana, Ilaria Fontana, Daga, D'Ippolito, Federico, Licatini, Alberto Manca, Maraia, Micillo, Ricciardi, Terzoni, Varrica, Vianello, Vignaroli, Cancelleri, Caso, Currò, Giuliodori, Grimaldi, Maglione, Maniero, Martinciglio, Raduzzi, Ruggiero, Ruocco, Zanichelli, Alemanno, Bernardini, Davide Crippa, Fantinati, Giarrizzo, Masi, Papiro, Paxia, Perconti, Rizzone, Scanu, Sut, Vallascas.</w:t>
      </w:r>
    </w:p>
    <w:p w:rsidR="00784015" w:rsidRDefault="00784015">
      <w:pPr>
        <w:pStyle w:val="Testonotaapidipagina"/>
      </w:pPr>
    </w:p>
  </w:footnote>
  <w:footnote w:id="90">
    <w:p w:rsidR="00D83DA1" w:rsidRPr="0028387D" w:rsidRDefault="00D83DA1" w:rsidP="00D83DA1">
      <w:pPr>
        <w:jc w:val="both"/>
        <w:rPr>
          <w:color w:val="000000" w:themeColor="text1"/>
        </w:rPr>
      </w:pPr>
      <w:r>
        <w:rPr>
          <w:rStyle w:val="Rimandonotaapidipagina"/>
        </w:rPr>
        <w:footnoteRef/>
      </w:r>
      <w:r>
        <w:t xml:space="preserve"> </w:t>
      </w:r>
      <w:r w:rsidRPr="0028387D">
        <w:rPr>
          <w:color w:val="000000" w:themeColor="text1"/>
        </w:rPr>
        <w:t>32. 20. I Relatori.</w:t>
      </w:r>
    </w:p>
    <w:p w:rsidR="00D83DA1" w:rsidRDefault="00D83DA1">
      <w:pPr>
        <w:pStyle w:val="Testonotaapidipagina"/>
      </w:pPr>
    </w:p>
  </w:footnote>
  <w:footnote w:id="91">
    <w:p w:rsidR="001D3118" w:rsidRPr="0028387D" w:rsidRDefault="001D3118" w:rsidP="001D3118">
      <w:pPr>
        <w:jc w:val="both"/>
        <w:rPr>
          <w:color w:val="000000" w:themeColor="text1"/>
        </w:rPr>
      </w:pPr>
      <w:r>
        <w:rPr>
          <w:rStyle w:val="Rimandonotaapidipagina"/>
        </w:rPr>
        <w:footnoteRef/>
      </w:r>
      <w:r>
        <w:t xml:space="preserve"> </w:t>
      </w:r>
      <w:r w:rsidRPr="0028387D">
        <w:rPr>
          <w:color w:val="000000" w:themeColor="text1"/>
        </w:rPr>
        <w:t>33. 05. Pastorino.</w:t>
      </w:r>
    </w:p>
    <w:p w:rsidR="001D3118" w:rsidRDefault="001D3118">
      <w:pPr>
        <w:pStyle w:val="Testonotaapidipagina"/>
      </w:pPr>
    </w:p>
  </w:footnote>
  <w:footnote w:id="92">
    <w:p w:rsidR="00F21119" w:rsidRPr="0028387D" w:rsidRDefault="00F21119" w:rsidP="00F21119">
      <w:pPr>
        <w:jc w:val="both"/>
        <w:rPr>
          <w:color w:val="000000" w:themeColor="text1"/>
        </w:rPr>
      </w:pPr>
      <w:r>
        <w:rPr>
          <w:rStyle w:val="Rimandonotaapidipagina"/>
        </w:rPr>
        <w:footnoteRef/>
      </w:r>
      <w:r>
        <w:t xml:space="preserve"> </w:t>
      </w:r>
      <w:r w:rsidRPr="0028387D">
        <w:rPr>
          <w:color w:val="000000" w:themeColor="text1"/>
        </w:rPr>
        <w:t xml:space="preserve">37. 011. (Nuova formulazione) Berardini, Torto, Sut, Buompane, Segneri, De Girolamo, Trano, Ungaro, De Toma, Rachele Silvestri, Alemanno, Bernardini, Davide Crippa, Fantinati, Giarrizzo, Masi, Papiro, Paxia, Perconti, Rizzone, Scanu, Vallascas; 37. 025. (ex 1.181) (Nuova formulazione)  Grimaldi, Cancelleri, Caso, Currò, Giuliodori, Maglione, Maniero, Martinciglio, Migliorino, Raduzzi, Ruggiero, Ruocco, Zanichelli; </w:t>
      </w:r>
      <w:proofErr w:type="gramStart"/>
      <w:r w:rsidRPr="0028387D">
        <w:rPr>
          <w:color w:val="000000" w:themeColor="text1"/>
        </w:rPr>
        <w:t>37</w:t>
      </w:r>
      <w:proofErr w:type="gramEnd"/>
      <w:r w:rsidRPr="0028387D">
        <w:rPr>
          <w:color w:val="000000" w:themeColor="text1"/>
        </w:rPr>
        <w:t xml:space="preserve">. 026. (ex 3.04) (Nuova formulazione) Lupi, Colucci, Sangregorio, Tondo; </w:t>
      </w:r>
      <w:proofErr w:type="gramStart"/>
      <w:r w:rsidRPr="0028387D">
        <w:rPr>
          <w:color w:val="000000" w:themeColor="text1"/>
        </w:rPr>
        <w:t>37</w:t>
      </w:r>
      <w:proofErr w:type="gramEnd"/>
      <w:r w:rsidRPr="0028387D">
        <w:rPr>
          <w:color w:val="000000" w:themeColor="text1"/>
        </w:rPr>
        <w:t xml:space="preserve">. 029. (ex 11.02) (Nuova formulazione) Squeri; </w:t>
      </w:r>
      <w:proofErr w:type="gramStart"/>
      <w:r w:rsidRPr="0028387D">
        <w:rPr>
          <w:color w:val="000000" w:themeColor="text1"/>
        </w:rPr>
        <w:t>37</w:t>
      </w:r>
      <w:proofErr w:type="gramEnd"/>
      <w:r w:rsidRPr="0028387D">
        <w:rPr>
          <w:color w:val="000000" w:themeColor="text1"/>
        </w:rPr>
        <w:t xml:space="preserve">. 027. (ex 11.06) (Nuova formulazione) Benamati, Buratti, Topo, Mura, Pezzopane, Mancini, Romina Mura, Rotta, Bonomo, Lacarra, Manca, Nardi, Zardini, Pastorino; </w:t>
      </w:r>
      <w:proofErr w:type="gramStart"/>
      <w:r w:rsidRPr="0028387D">
        <w:rPr>
          <w:color w:val="000000" w:themeColor="text1"/>
        </w:rPr>
        <w:t>37</w:t>
      </w:r>
      <w:proofErr w:type="gramEnd"/>
      <w:r w:rsidRPr="0028387D">
        <w:rPr>
          <w:color w:val="000000" w:themeColor="text1"/>
        </w:rPr>
        <w:t xml:space="preserve">. 028. (ex 11.07) (Nuova formulazione) Bitonci, Cavandoli, Covolo, Gerardi, Gusmeroli, Alessandro Pagano, </w:t>
      </w:r>
      <w:proofErr w:type="gramStart"/>
      <w:r w:rsidRPr="0028387D">
        <w:rPr>
          <w:color w:val="000000" w:themeColor="text1"/>
        </w:rPr>
        <w:t>Paternoster</w:t>
      </w:r>
      <w:proofErr w:type="gramEnd"/>
      <w:r w:rsidRPr="0028387D">
        <w:rPr>
          <w:color w:val="000000" w:themeColor="text1"/>
        </w:rPr>
        <w:t>, Tarantino, Furgiuele, Di Muro, Andreuzza, Binelli, Colla, Dara, Galli, Guidesi, Pettazzi, Piastra; 37. 030. </w:t>
      </w:r>
      <w:proofErr w:type="gramStart"/>
      <w:r w:rsidRPr="0028387D">
        <w:rPr>
          <w:color w:val="000000" w:themeColor="text1"/>
        </w:rPr>
        <w:t>(</w:t>
      </w:r>
      <w:proofErr w:type="gramEnd"/>
      <w:r w:rsidRPr="0028387D">
        <w:rPr>
          <w:color w:val="000000" w:themeColor="text1"/>
        </w:rPr>
        <w:t>ex 11.012) (Nuova formulazione) Zucconi, Osnato, Acquaroli, Bignami, Baldini.</w:t>
      </w:r>
    </w:p>
    <w:p w:rsidR="00F21119" w:rsidRDefault="00F21119">
      <w:pPr>
        <w:pStyle w:val="Testonotaapidipagina"/>
      </w:pPr>
    </w:p>
  </w:footnote>
  <w:footnote w:id="93">
    <w:p w:rsidR="00A7707F" w:rsidRPr="0028387D" w:rsidRDefault="00A7707F" w:rsidP="00A7707F">
      <w:pPr>
        <w:jc w:val="both"/>
        <w:rPr>
          <w:color w:val="000000" w:themeColor="text1"/>
        </w:rPr>
      </w:pPr>
      <w:r>
        <w:rPr>
          <w:rStyle w:val="Rimandonotaapidipagina"/>
        </w:rPr>
        <w:footnoteRef/>
      </w:r>
      <w:r>
        <w:t xml:space="preserve"> </w:t>
      </w:r>
      <w:r w:rsidRPr="0028387D">
        <w:rPr>
          <w:color w:val="000000" w:themeColor="text1"/>
        </w:rPr>
        <w:t>41. 50. I Relatori.</w:t>
      </w:r>
    </w:p>
    <w:p w:rsidR="00A7707F" w:rsidRDefault="00A7707F">
      <w:pPr>
        <w:pStyle w:val="Testonotaapidipagina"/>
      </w:pPr>
    </w:p>
  </w:footnote>
  <w:footnote w:id="94">
    <w:p w:rsidR="004D07BE" w:rsidRPr="0066492F" w:rsidRDefault="004D07BE" w:rsidP="004D07BE">
      <w:pPr>
        <w:jc w:val="both"/>
        <w:rPr>
          <w:color w:val="000000" w:themeColor="text1"/>
        </w:rPr>
      </w:pPr>
      <w:r>
        <w:rPr>
          <w:rStyle w:val="Rimandonotaapidipagina"/>
        </w:rPr>
        <w:footnoteRef/>
      </w:r>
      <w:r>
        <w:t xml:space="preserve"> </w:t>
      </w:r>
      <w:r w:rsidRPr="0066492F">
        <w:rPr>
          <w:color w:val="000000" w:themeColor="text1"/>
        </w:rPr>
        <w:t>41. 33. (Nuova formulazione) Paolo Russo, Maglione.</w:t>
      </w:r>
    </w:p>
    <w:p w:rsidR="004D07BE" w:rsidRDefault="004D07BE">
      <w:pPr>
        <w:pStyle w:val="Testonotaapidipagina"/>
      </w:pPr>
    </w:p>
  </w:footnote>
  <w:footnote w:id="95">
    <w:p w:rsidR="00C500B3" w:rsidRPr="0019767C" w:rsidRDefault="00C500B3" w:rsidP="00C500B3">
      <w:pPr>
        <w:jc w:val="both"/>
        <w:rPr>
          <w:color w:val="000000" w:themeColor="text1"/>
        </w:rPr>
      </w:pPr>
      <w:r>
        <w:rPr>
          <w:rStyle w:val="Rimandonotaapidipagina"/>
        </w:rPr>
        <w:footnoteRef/>
      </w:r>
      <w:r>
        <w:t xml:space="preserve"> </w:t>
      </w:r>
      <w:r w:rsidRPr="0019767C">
        <w:rPr>
          <w:color w:val="000000" w:themeColor="text1"/>
        </w:rPr>
        <w:t xml:space="preserve">42. 1. </w:t>
      </w:r>
      <w:proofErr w:type="gramStart"/>
      <w:r w:rsidRPr="0019767C">
        <w:rPr>
          <w:color w:val="000000" w:themeColor="text1"/>
        </w:rPr>
        <w:t>(Nuova</w:t>
      </w:r>
      <w:proofErr w:type="gramEnd"/>
      <w:r w:rsidRPr="0019767C">
        <w:rPr>
          <w:color w:val="000000" w:themeColor="text1"/>
        </w:rPr>
        <w:t xml:space="preserve"> formulazione)  De Luca, Pezzopane, Buratti, Mancini, Romina Mura, Rotta, Topo, Benamati, Bonomo, Lacarra, Manca, Nardi, Zardini.</w:t>
      </w:r>
    </w:p>
    <w:p w:rsidR="00C500B3" w:rsidRDefault="00C500B3">
      <w:pPr>
        <w:pStyle w:val="Testonotaapidipagina"/>
      </w:pPr>
    </w:p>
  </w:footnote>
  <w:footnote w:id="96">
    <w:p w:rsidR="00C500B3" w:rsidRPr="000B0F49" w:rsidRDefault="00C500B3" w:rsidP="00C500B3">
      <w:pPr>
        <w:jc w:val="both"/>
        <w:rPr>
          <w:color w:val="000000" w:themeColor="text1"/>
        </w:rPr>
      </w:pPr>
      <w:r>
        <w:rPr>
          <w:rStyle w:val="Rimandonotaapidipagina"/>
        </w:rPr>
        <w:footnoteRef/>
      </w:r>
      <w:r>
        <w:t xml:space="preserve"> </w:t>
      </w:r>
      <w:r w:rsidRPr="000B0F49">
        <w:rPr>
          <w:color w:val="000000" w:themeColor="text1"/>
        </w:rPr>
        <w:t>42. 018. Schullian, Gebhard, Plangger, Emanuela Rossini, Vanessa Cattoi, Binelli, Loss, Sutto.</w:t>
      </w:r>
    </w:p>
    <w:p w:rsidR="00C500B3" w:rsidRDefault="00C500B3">
      <w:pPr>
        <w:pStyle w:val="Testonotaapidipagina"/>
      </w:pPr>
    </w:p>
  </w:footnote>
  <w:footnote w:id="97">
    <w:p w:rsidR="00C500B3" w:rsidRPr="00F817D6" w:rsidRDefault="00C500B3" w:rsidP="00C500B3">
      <w:pPr>
        <w:jc w:val="both"/>
        <w:rPr>
          <w:color w:val="000000" w:themeColor="text1"/>
        </w:rPr>
      </w:pPr>
      <w:r>
        <w:rPr>
          <w:rStyle w:val="Rimandonotaapidipagina"/>
        </w:rPr>
        <w:footnoteRef/>
      </w:r>
      <w:r>
        <w:t xml:space="preserve"> </w:t>
      </w:r>
      <w:r w:rsidRPr="00F817D6">
        <w:rPr>
          <w:color w:val="000000" w:themeColor="text1"/>
        </w:rPr>
        <w:t xml:space="preserve">42. 019. </w:t>
      </w:r>
      <w:proofErr w:type="gramStart"/>
      <w:r w:rsidRPr="00F817D6">
        <w:rPr>
          <w:color w:val="000000" w:themeColor="text1"/>
        </w:rPr>
        <w:t>(Nuova</w:t>
      </w:r>
      <w:proofErr w:type="gramEnd"/>
      <w:r w:rsidRPr="00F817D6">
        <w:rPr>
          <w:color w:val="000000" w:themeColor="text1"/>
        </w:rPr>
        <w:t xml:space="preserve"> formulazione)  Prestigiacomo, Germanà, Bartolozzi, Siracusano, Scoma, Giacomoni, Martino, Cattaneo, Baratto, Angelucci, Giacometto, Porchietto, Barelli, Fiorini, Squeri, Polidori, Carrara, Della Frera.</w:t>
      </w:r>
    </w:p>
    <w:p w:rsidR="00C500B3" w:rsidRDefault="00C500B3">
      <w:pPr>
        <w:pStyle w:val="Testonotaapidipagina"/>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A2" w:rsidRDefault="008A08A2" w:rsidP="00473B76">
    <w:pPr>
      <w:pStyle w:val="Intestazione"/>
      <w:tabs>
        <w:tab w:val="clear" w:pos="4819"/>
        <w:tab w:val="clear" w:pos="9638"/>
        <w:tab w:val="left" w:pos="811"/>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A2" w:rsidRPr="00A82891" w:rsidRDefault="008A08A2" w:rsidP="007C573D">
    <w:pPr>
      <w:spacing w:after="0" w:line="240" w:lineRule="aut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A2" w:rsidRDefault="008A08A2" w:rsidP="00E257C8">
    <w:pPr>
      <w:pStyle w:val="Intestazione"/>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4">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9">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1">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2">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4">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7">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2">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3">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4">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5">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6">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abstractNumId w:val="2"/>
  </w:num>
  <w:num w:numId="2">
    <w:abstractNumId w:val="12"/>
  </w:num>
  <w:num w:numId="3">
    <w:abstractNumId w:val="10"/>
  </w:num>
  <w:num w:numId="4">
    <w:abstractNumId w:val="7"/>
  </w:num>
  <w:num w:numId="5">
    <w:abstractNumId w:val="18"/>
  </w:num>
  <w:num w:numId="6">
    <w:abstractNumId w:val="4"/>
  </w:num>
  <w:num w:numId="7">
    <w:abstractNumId w:val="20"/>
  </w:num>
  <w:num w:numId="8">
    <w:abstractNumId w:val="17"/>
  </w:num>
  <w:num w:numId="9">
    <w:abstractNumId w:val="9"/>
  </w:num>
  <w:num w:numId="10">
    <w:abstractNumId w:val="6"/>
  </w:num>
  <w:num w:numId="11">
    <w:abstractNumId w:val="5"/>
  </w:num>
  <w:num w:numId="1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9"/>
  </w:num>
  <w:num w:numId="14">
    <w:abstractNumId w:val="26"/>
  </w:num>
  <w:num w:numId="15">
    <w:abstractNumId w:val="24"/>
  </w:num>
  <w:num w:numId="16">
    <w:abstractNumId w:val="22"/>
  </w:num>
  <w:num w:numId="17">
    <w:abstractNumId w:val="21"/>
  </w:num>
  <w:num w:numId="18">
    <w:abstractNumId w:val="3"/>
  </w:num>
  <w:num w:numId="19">
    <w:abstractNumId w:val="23"/>
  </w:num>
  <w:num w:numId="20">
    <w:abstractNumId w:val="13"/>
  </w:num>
  <w:num w:numId="21">
    <w:abstractNumId w:val="0"/>
  </w:num>
  <w:num w:numId="22">
    <w:abstractNumId w:val="1"/>
  </w:num>
  <w:num w:numId="23">
    <w:abstractNumId w:val="8"/>
  </w:num>
  <w:num w:numId="24">
    <w:abstractNumId w:val="11"/>
  </w:num>
  <w:num w:numId="25">
    <w:abstractNumId w:val="16"/>
  </w:num>
  <w:num w:numId="26">
    <w:abstractNumId w:val="25"/>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displayBackgroundShape/>
  <w:mirrorMargins/>
  <w:proofState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14F"/>
    <w:rsid w:val="0000283B"/>
    <w:rsid w:val="0000392B"/>
    <w:rsid w:val="00011639"/>
    <w:rsid w:val="00012BB5"/>
    <w:rsid w:val="0001354D"/>
    <w:rsid w:val="0001412B"/>
    <w:rsid w:val="00014F29"/>
    <w:rsid w:val="00020E62"/>
    <w:rsid w:val="00026241"/>
    <w:rsid w:val="00030D03"/>
    <w:rsid w:val="000312C3"/>
    <w:rsid w:val="000331CC"/>
    <w:rsid w:val="000334E1"/>
    <w:rsid w:val="00037EE5"/>
    <w:rsid w:val="00040E4A"/>
    <w:rsid w:val="00042E03"/>
    <w:rsid w:val="000436F3"/>
    <w:rsid w:val="0004407E"/>
    <w:rsid w:val="00051A57"/>
    <w:rsid w:val="000525CC"/>
    <w:rsid w:val="0005286F"/>
    <w:rsid w:val="000548FD"/>
    <w:rsid w:val="00055E6C"/>
    <w:rsid w:val="00062B9B"/>
    <w:rsid w:val="00065D85"/>
    <w:rsid w:val="0009180C"/>
    <w:rsid w:val="00095FE5"/>
    <w:rsid w:val="000A078D"/>
    <w:rsid w:val="000A0A41"/>
    <w:rsid w:val="000B4E72"/>
    <w:rsid w:val="000B5D07"/>
    <w:rsid w:val="000C3A15"/>
    <w:rsid w:val="000C45FD"/>
    <w:rsid w:val="000C5070"/>
    <w:rsid w:val="000C50F1"/>
    <w:rsid w:val="000D6B51"/>
    <w:rsid w:val="000D78D2"/>
    <w:rsid w:val="000E2A19"/>
    <w:rsid w:val="000E58CB"/>
    <w:rsid w:val="000F53CD"/>
    <w:rsid w:val="000F7413"/>
    <w:rsid w:val="000F7F93"/>
    <w:rsid w:val="00105332"/>
    <w:rsid w:val="0011107C"/>
    <w:rsid w:val="00112F2F"/>
    <w:rsid w:val="00113CFE"/>
    <w:rsid w:val="00113F64"/>
    <w:rsid w:val="001160F9"/>
    <w:rsid w:val="0012190D"/>
    <w:rsid w:val="00125203"/>
    <w:rsid w:val="00125CBA"/>
    <w:rsid w:val="00126E8F"/>
    <w:rsid w:val="0013117C"/>
    <w:rsid w:val="0013176B"/>
    <w:rsid w:val="00133E8D"/>
    <w:rsid w:val="001340A7"/>
    <w:rsid w:val="00134C90"/>
    <w:rsid w:val="00137B3F"/>
    <w:rsid w:val="001406E9"/>
    <w:rsid w:val="001413DF"/>
    <w:rsid w:val="00141485"/>
    <w:rsid w:val="001533B3"/>
    <w:rsid w:val="0015538C"/>
    <w:rsid w:val="00163604"/>
    <w:rsid w:val="001636BB"/>
    <w:rsid w:val="00165484"/>
    <w:rsid w:val="00166CB1"/>
    <w:rsid w:val="0017004E"/>
    <w:rsid w:val="00175EC9"/>
    <w:rsid w:val="0017723D"/>
    <w:rsid w:val="00182895"/>
    <w:rsid w:val="00187D36"/>
    <w:rsid w:val="0019195A"/>
    <w:rsid w:val="001927D7"/>
    <w:rsid w:val="00193CF8"/>
    <w:rsid w:val="001A1A70"/>
    <w:rsid w:val="001A22CF"/>
    <w:rsid w:val="001A275C"/>
    <w:rsid w:val="001A749A"/>
    <w:rsid w:val="001B3F84"/>
    <w:rsid w:val="001B687E"/>
    <w:rsid w:val="001C0AB0"/>
    <w:rsid w:val="001D04E2"/>
    <w:rsid w:val="001D1E46"/>
    <w:rsid w:val="001D3118"/>
    <w:rsid w:val="001E773C"/>
    <w:rsid w:val="001F378B"/>
    <w:rsid w:val="001F5EA4"/>
    <w:rsid w:val="001F6D3A"/>
    <w:rsid w:val="001F75AD"/>
    <w:rsid w:val="0020198A"/>
    <w:rsid w:val="00201A99"/>
    <w:rsid w:val="0020737D"/>
    <w:rsid w:val="0021022B"/>
    <w:rsid w:val="00213445"/>
    <w:rsid w:val="00215E69"/>
    <w:rsid w:val="00220748"/>
    <w:rsid w:val="0022078B"/>
    <w:rsid w:val="002273FB"/>
    <w:rsid w:val="00227FEC"/>
    <w:rsid w:val="00234096"/>
    <w:rsid w:val="00236326"/>
    <w:rsid w:val="0024213A"/>
    <w:rsid w:val="00245260"/>
    <w:rsid w:val="00251FEF"/>
    <w:rsid w:val="002565F2"/>
    <w:rsid w:val="00257BDB"/>
    <w:rsid w:val="00262F41"/>
    <w:rsid w:val="00264750"/>
    <w:rsid w:val="002739D4"/>
    <w:rsid w:val="00276E23"/>
    <w:rsid w:val="0028362B"/>
    <w:rsid w:val="00283714"/>
    <w:rsid w:val="00283BD7"/>
    <w:rsid w:val="002846E6"/>
    <w:rsid w:val="002857B8"/>
    <w:rsid w:val="00294ADF"/>
    <w:rsid w:val="0029625E"/>
    <w:rsid w:val="002971FC"/>
    <w:rsid w:val="002A02BE"/>
    <w:rsid w:val="002A0A24"/>
    <w:rsid w:val="002B44C9"/>
    <w:rsid w:val="002C30B5"/>
    <w:rsid w:val="002C7E0D"/>
    <w:rsid w:val="002D6ED1"/>
    <w:rsid w:val="002D7720"/>
    <w:rsid w:val="002F18B4"/>
    <w:rsid w:val="002F1EE7"/>
    <w:rsid w:val="002F2BAA"/>
    <w:rsid w:val="003063A8"/>
    <w:rsid w:val="003078B7"/>
    <w:rsid w:val="0031282F"/>
    <w:rsid w:val="00312DBA"/>
    <w:rsid w:val="003151B6"/>
    <w:rsid w:val="00315935"/>
    <w:rsid w:val="003169C1"/>
    <w:rsid w:val="0031763F"/>
    <w:rsid w:val="003178E9"/>
    <w:rsid w:val="00322A69"/>
    <w:rsid w:val="00323F0B"/>
    <w:rsid w:val="00325718"/>
    <w:rsid w:val="00327588"/>
    <w:rsid w:val="00327D1A"/>
    <w:rsid w:val="003315DB"/>
    <w:rsid w:val="00334BAF"/>
    <w:rsid w:val="00341212"/>
    <w:rsid w:val="0034367D"/>
    <w:rsid w:val="00346C59"/>
    <w:rsid w:val="00351552"/>
    <w:rsid w:val="00354FAF"/>
    <w:rsid w:val="00356968"/>
    <w:rsid w:val="0036194E"/>
    <w:rsid w:val="00363304"/>
    <w:rsid w:val="00364A97"/>
    <w:rsid w:val="0037282C"/>
    <w:rsid w:val="00375658"/>
    <w:rsid w:val="00376984"/>
    <w:rsid w:val="00377D10"/>
    <w:rsid w:val="003905DB"/>
    <w:rsid w:val="0039147F"/>
    <w:rsid w:val="003A2813"/>
    <w:rsid w:val="003B55CF"/>
    <w:rsid w:val="003B618F"/>
    <w:rsid w:val="003C13CE"/>
    <w:rsid w:val="003C2822"/>
    <w:rsid w:val="003D1E5D"/>
    <w:rsid w:val="003D2A0B"/>
    <w:rsid w:val="003D492A"/>
    <w:rsid w:val="003D602D"/>
    <w:rsid w:val="003D6F56"/>
    <w:rsid w:val="003E19B6"/>
    <w:rsid w:val="003E6C3F"/>
    <w:rsid w:val="003F2553"/>
    <w:rsid w:val="003F3306"/>
    <w:rsid w:val="003F3E64"/>
    <w:rsid w:val="003F43DE"/>
    <w:rsid w:val="003F51F8"/>
    <w:rsid w:val="004033D2"/>
    <w:rsid w:val="004035C7"/>
    <w:rsid w:val="004041F4"/>
    <w:rsid w:val="00410BE0"/>
    <w:rsid w:val="00410C42"/>
    <w:rsid w:val="0041357C"/>
    <w:rsid w:val="00420460"/>
    <w:rsid w:val="004226BC"/>
    <w:rsid w:val="00422E52"/>
    <w:rsid w:val="00424DB6"/>
    <w:rsid w:val="00434AA2"/>
    <w:rsid w:val="00440598"/>
    <w:rsid w:val="00440F4A"/>
    <w:rsid w:val="00441A04"/>
    <w:rsid w:val="00441B99"/>
    <w:rsid w:val="00450D5B"/>
    <w:rsid w:val="004519D7"/>
    <w:rsid w:val="00451BB1"/>
    <w:rsid w:val="004532C6"/>
    <w:rsid w:val="004545F6"/>
    <w:rsid w:val="00454637"/>
    <w:rsid w:val="00456787"/>
    <w:rsid w:val="00465F1C"/>
    <w:rsid w:val="00473B76"/>
    <w:rsid w:val="004764A8"/>
    <w:rsid w:val="0048054C"/>
    <w:rsid w:val="00481C8C"/>
    <w:rsid w:val="004832BA"/>
    <w:rsid w:val="0048371F"/>
    <w:rsid w:val="004850A2"/>
    <w:rsid w:val="00487615"/>
    <w:rsid w:val="00496E31"/>
    <w:rsid w:val="004B288A"/>
    <w:rsid w:val="004B4327"/>
    <w:rsid w:val="004C16CF"/>
    <w:rsid w:val="004C7ECF"/>
    <w:rsid w:val="004D04A9"/>
    <w:rsid w:val="004D07BE"/>
    <w:rsid w:val="004D0F93"/>
    <w:rsid w:val="004D533E"/>
    <w:rsid w:val="004D588C"/>
    <w:rsid w:val="004D72A3"/>
    <w:rsid w:val="004D7FDD"/>
    <w:rsid w:val="004E4696"/>
    <w:rsid w:val="004E56A0"/>
    <w:rsid w:val="004E6060"/>
    <w:rsid w:val="004F0EE3"/>
    <w:rsid w:val="004F227F"/>
    <w:rsid w:val="004F3B9F"/>
    <w:rsid w:val="004F5448"/>
    <w:rsid w:val="0050205B"/>
    <w:rsid w:val="005028B7"/>
    <w:rsid w:val="00510FB9"/>
    <w:rsid w:val="005127BF"/>
    <w:rsid w:val="005155CB"/>
    <w:rsid w:val="00516E7D"/>
    <w:rsid w:val="005171AF"/>
    <w:rsid w:val="00522252"/>
    <w:rsid w:val="00523A2C"/>
    <w:rsid w:val="00525326"/>
    <w:rsid w:val="00533418"/>
    <w:rsid w:val="005334F4"/>
    <w:rsid w:val="005345AF"/>
    <w:rsid w:val="00535DE3"/>
    <w:rsid w:val="0053600A"/>
    <w:rsid w:val="00536959"/>
    <w:rsid w:val="00537EE1"/>
    <w:rsid w:val="00541E41"/>
    <w:rsid w:val="005455B5"/>
    <w:rsid w:val="00553F54"/>
    <w:rsid w:val="00564A0B"/>
    <w:rsid w:val="005705AA"/>
    <w:rsid w:val="0057099F"/>
    <w:rsid w:val="00571386"/>
    <w:rsid w:val="00572BE9"/>
    <w:rsid w:val="0058489B"/>
    <w:rsid w:val="00590380"/>
    <w:rsid w:val="00592362"/>
    <w:rsid w:val="005926F7"/>
    <w:rsid w:val="005934CD"/>
    <w:rsid w:val="005A0F9A"/>
    <w:rsid w:val="005B18A9"/>
    <w:rsid w:val="005B3648"/>
    <w:rsid w:val="005B4FD5"/>
    <w:rsid w:val="005C16F5"/>
    <w:rsid w:val="005C7C10"/>
    <w:rsid w:val="005D50F5"/>
    <w:rsid w:val="005D520C"/>
    <w:rsid w:val="005D53A6"/>
    <w:rsid w:val="005E0892"/>
    <w:rsid w:val="005E472D"/>
    <w:rsid w:val="005E72C2"/>
    <w:rsid w:val="005F1255"/>
    <w:rsid w:val="005F1A2D"/>
    <w:rsid w:val="005F27F8"/>
    <w:rsid w:val="005F4267"/>
    <w:rsid w:val="006054DE"/>
    <w:rsid w:val="00606053"/>
    <w:rsid w:val="0061002C"/>
    <w:rsid w:val="006173DE"/>
    <w:rsid w:val="0062159B"/>
    <w:rsid w:val="00623045"/>
    <w:rsid w:val="00623577"/>
    <w:rsid w:val="0062528E"/>
    <w:rsid w:val="006361BB"/>
    <w:rsid w:val="00644AD8"/>
    <w:rsid w:val="006508D0"/>
    <w:rsid w:val="00652AF5"/>
    <w:rsid w:val="00653758"/>
    <w:rsid w:val="0065552E"/>
    <w:rsid w:val="0065699F"/>
    <w:rsid w:val="00656B6D"/>
    <w:rsid w:val="0066178A"/>
    <w:rsid w:val="00666366"/>
    <w:rsid w:val="00671FC2"/>
    <w:rsid w:val="00677E92"/>
    <w:rsid w:val="00682580"/>
    <w:rsid w:val="006839D6"/>
    <w:rsid w:val="00690660"/>
    <w:rsid w:val="0069179E"/>
    <w:rsid w:val="006973EE"/>
    <w:rsid w:val="006A1DE0"/>
    <w:rsid w:val="006A579B"/>
    <w:rsid w:val="006B30B2"/>
    <w:rsid w:val="006C4C74"/>
    <w:rsid w:val="006D1C75"/>
    <w:rsid w:val="006E2B63"/>
    <w:rsid w:val="006E302B"/>
    <w:rsid w:val="006E522F"/>
    <w:rsid w:val="006E6FFB"/>
    <w:rsid w:val="006F455D"/>
    <w:rsid w:val="006F5E11"/>
    <w:rsid w:val="006F6F3C"/>
    <w:rsid w:val="00703482"/>
    <w:rsid w:val="00704B03"/>
    <w:rsid w:val="007053B8"/>
    <w:rsid w:val="0070663F"/>
    <w:rsid w:val="007156B5"/>
    <w:rsid w:val="007207DA"/>
    <w:rsid w:val="0072446D"/>
    <w:rsid w:val="007329D0"/>
    <w:rsid w:val="00734D39"/>
    <w:rsid w:val="00740F55"/>
    <w:rsid w:val="00744976"/>
    <w:rsid w:val="0074650F"/>
    <w:rsid w:val="00747EC8"/>
    <w:rsid w:val="00751D46"/>
    <w:rsid w:val="00753E34"/>
    <w:rsid w:val="00754B81"/>
    <w:rsid w:val="00756258"/>
    <w:rsid w:val="007739F3"/>
    <w:rsid w:val="0077462B"/>
    <w:rsid w:val="007811E7"/>
    <w:rsid w:val="0078197C"/>
    <w:rsid w:val="00783AF0"/>
    <w:rsid w:val="00784015"/>
    <w:rsid w:val="00786639"/>
    <w:rsid w:val="00792ADB"/>
    <w:rsid w:val="00793B10"/>
    <w:rsid w:val="00793CC1"/>
    <w:rsid w:val="0079622F"/>
    <w:rsid w:val="007A1606"/>
    <w:rsid w:val="007A35B6"/>
    <w:rsid w:val="007A66FC"/>
    <w:rsid w:val="007B16C8"/>
    <w:rsid w:val="007B2AF0"/>
    <w:rsid w:val="007B3A12"/>
    <w:rsid w:val="007B5023"/>
    <w:rsid w:val="007B5275"/>
    <w:rsid w:val="007C3B1E"/>
    <w:rsid w:val="007C436B"/>
    <w:rsid w:val="007C573D"/>
    <w:rsid w:val="007C70BC"/>
    <w:rsid w:val="007D14FF"/>
    <w:rsid w:val="007D36E1"/>
    <w:rsid w:val="007D6828"/>
    <w:rsid w:val="007D7409"/>
    <w:rsid w:val="007E050F"/>
    <w:rsid w:val="007E1E10"/>
    <w:rsid w:val="007E4D43"/>
    <w:rsid w:val="007E4F90"/>
    <w:rsid w:val="007E5AE3"/>
    <w:rsid w:val="007E5FDD"/>
    <w:rsid w:val="007F1389"/>
    <w:rsid w:val="007F2DFA"/>
    <w:rsid w:val="007F34E5"/>
    <w:rsid w:val="007F4B1D"/>
    <w:rsid w:val="007F50A8"/>
    <w:rsid w:val="007F6AB0"/>
    <w:rsid w:val="00800796"/>
    <w:rsid w:val="00800D74"/>
    <w:rsid w:val="008018CC"/>
    <w:rsid w:val="0080396B"/>
    <w:rsid w:val="00804187"/>
    <w:rsid w:val="00814947"/>
    <w:rsid w:val="00816A2D"/>
    <w:rsid w:val="008246C0"/>
    <w:rsid w:val="00830635"/>
    <w:rsid w:val="0084772D"/>
    <w:rsid w:val="00854469"/>
    <w:rsid w:val="0086411D"/>
    <w:rsid w:val="00873812"/>
    <w:rsid w:val="0088040D"/>
    <w:rsid w:val="008857CB"/>
    <w:rsid w:val="00885EE4"/>
    <w:rsid w:val="00891EE5"/>
    <w:rsid w:val="00892983"/>
    <w:rsid w:val="0089371A"/>
    <w:rsid w:val="00897768"/>
    <w:rsid w:val="008A08A2"/>
    <w:rsid w:val="008A15BB"/>
    <w:rsid w:val="008A7373"/>
    <w:rsid w:val="008B2177"/>
    <w:rsid w:val="008C18C2"/>
    <w:rsid w:val="008C1950"/>
    <w:rsid w:val="008C4C14"/>
    <w:rsid w:val="008C6A11"/>
    <w:rsid w:val="008D0E7A"/>
    <w:rsid w:val="008D24AE"/>
    <w:rsid w:val="008D3ABD"/>
    <w:rsid w:val="008D5A12"/>
    <w:rsid w:val="008E3353"/>
    <w:rsid w:val="008E3C4F"/>
    <w:rsid w:val="008F1B4E"/>
    <w:rsid w:val="008F7901"/>
    <w:rsid w:val="00902675"/>
    <w:rsid w:val="00903114"/>
    <w:rsid w:val="00906464"/>
    <w:rsid w:val="00906668"/>
    <w:rsid w:val="00906D72"/>
    <w:rsid w:val="009154FE"/>
    <w:rsid w:val="0092229A"/>
    <w:rsid w:val="00924849"/>
    <w:rsid w:val="00930666"/>
    <w:rsid w:val="0093508D"/>
    <w:rsid w:val="00936FBB"/>
    <w:rsid w:val="00937028"/>
    <w:rsid w:val="009413E8"/>
    <w:rsid w:val="00952A50"/>
    <w:rsid w:val="00954A51"/>
    <w:rsid w:val="00954CF6"/>
    <w:rsid w:val="00954FA6"/>
    <w:rsid w:val="009553AE"/>
    <w:rsid w:val="00955763"/>
    <w:rsid w:val="00956698"/>
    <w:rsid w:val="0096056C"/>
    <w:rsid w:val="009624C1"/>
    <w:rsid w:val="009636B3"/>
    <w:rsid w:val="00971381"/>
    <w:rsid w:val="00972961"/>
    <w:rsid w:val="00974127"/>
    <w:rsid w:val="00977105"/>
    <w:rsid w:val="009837D1"/>
    <w:rsid w:val="009868D8"/>
    <w:rsid w:val="0099337D"/>
    <w:rsid w:val="00993538"/>
    <w:rsid w:val="00994F45"/>
    <w:rsid w:val="009962ED"/>
    <w:rsid w:val="009968B3"/>
    <w:rsid w:val="009A74B2"/>
    <w:rsid w:val="009B23A9"/>
    <w:rsid w:val="009B53F9"/>
    <w:rsid w:val="009C53EF"/>
    <w:rsid w:val="009C570D"/>
    <w:rsid w:val="009E014F"/>
    <w:rsid w:val="009F006D"/>
    <w:rsid w:val="009F11A4"/>
    <w:rsid w:val="009F26AF"/>
    <w:rsid w:val="009F3802"/>
    <w:rsid w:val="009F3C67"/>
    <w:rsid w:val="009F54CA"/>
    <w:rsid w:val="00A00765"/>
    <w:rsid w:val="00A03B51"/>
    <w:rsid w:val="00A07323"/>
    <w:rsid w:val="00A07672"/>
    <w:rsid w:val="00A16EC0"/>
    <w:rsid w:val="00A16FC1"/>
    <w:rsid w:val="00A20BEE"/>
    <w:rsid w:val="00A24F3A"/>
    <w:rsid w:val="00A30BD7"/>
    <w:rsid w:val="00A313F5"/>
    <w:rsid w:val="00A33CDD"/>
    <w:rsid w:val="00A34AE9"/>
    <w:rsid w:val="00A35C5F"/>
    <w:rsid w:val="00A37720"/>
    <w:rsid w:val="00A43B43"/>
    <w:rsid w:val="00A5014D"/>
    <w:rsid w:val="00A504CE"/>
    <w:rsid w:val="00A5211E"/>
    <w:rsid w:val="00A54685"/>
    <w:rsid w:val="00A55601"/>
    <w:rsid w:val="00A55A78"/>
    <w:rsid w:val="00A61AF7"/>
    <w:rsid w:val="00A6378C"/>
    <w:rsid w:val="00A705D9"/>
    <w:rsid w:val="00A75719"/>
    <w:rsid w:val="00A7707F"/>
    <w:rsid w:val="00A808EB"/>
    <w:rsid w:val="00A82891"/>
    <w:rsid w:val="00A854AD"/>
    <w:rsid w:val="00A918F9"/>
    <w:rsid w:val="00A92EF0"/>
    <w:rsid w:val="00AA11AD"/>
    <w:rsid w:val="00AA120E"/>
    <w:rsid w:val="00AA127C"/>
    <w:rsid w:val="00AA5107"/>
    <w:rsid w:val="00AA706F"/>
    <w:rsid w:val="00AB6F71"/>
    <w:rsid w:val="00AC3A3B"/>
    <w:rsid w:val="00AD1B0C"/>
    <w:rsid w:val="00AD5AFD"/>
    <w:rsid w:val="00AE708D"/>
    <w:rsid w:val="00AF590A"/>
    <w:rsid w:val="00B0286F"/>
    <w:rsid w:val="00B07423"/>
    <w:rsid w:val="00B13F9F"/>
    <w:rsid w:val="00B159D2"/>
    <w:rsid w:val="00B16393"/>
    <w:rsid w:val="00B20235"/>
    <w:rsid w:val="00B2344F"/>
    <w:rsid w:val="00B23C5F"/>
    <w:rsid w:val="00B2603D"/>
    <w:rsid w:val="00B26435"/>
    <w:rsid w:val="00B26C50"/>
    <w:rsid w:val="00B32CFF"/>
    <w:rsid w:val="00B32F3D"/>
    <w:rsid w:val="00B42702"/>
    <w:rsid w:val="00B42FCB"/>
    <w:rsid w:val="00B44950"/>
    <w:rsid w:val="00B4529F"/>
    <w:rsid w:val="00B45315"/>
    <w:rsid w:val="00B51638"/>
    <w:rsid w:val="00B520D6"/>
    <w:rsid w:val="00B5230B"/>
    <w:rsid w:val="00B52F6C"/>
    <w:rsid w:val="00B56801"/>
    <w:rsid w:val="00B56886"/>
    <w:rsid w:val="00B61054"/>
    <w:rsid w:val="00B62016"/>
    <w:rsid w:val="00B645F5"/>
    <w:rsid w:val="00B67116"/>
    <w:rsid w:val="00B67C39"/>
    <w:rsid w:val="00B76C9A"/>
    <w:rsid w:val="00B778D4"/>
    <w:rsid w:val="00B80E82"/>
    <w:rsid w:val="00B82448"/>
    <w:rsid w:val="00B82DA5"/>
    <w:rsid w:val="00B93B12"/>
    <w:rsid w:val="00BA3423"/>
    <w:rsid w:val="00BB608C"/>
    <w:rsid w:val="00BB62AF"/>
    <w:rsid w:val="00BC2F2E"/>
    <w:rsid w:val="00BC2F98"/>
    <w:rsid w:val="00BC49F4"/>
    <w:rsid w:val="00BC4B89"/>
    <w:rsid w:val="00BD415D"/>
    <w:rsid w:val="00BD4A22"/>
    <w:rsid w:val="00BE31DC"/>
    <w:rsid w:val="00BE3369"/>
    <w:rsid w:val="00BE42ED"/>
    <w:rsid w:val="00BE50CB"/>
    <w:rsid w:val="00BE5171"/>
    <w:rsid w:val="00BE5A1B"/>
    <w:rsid w:val="00BE5EE1"/>
    <w:rsid w:val="00BE6A6C"/>
    <w:rsid w:val="00C025B8"/>
    <w:rsid w:val="00C02901"/>
    <w:rsid w:val="00C051A0"/>
    <w:rsid w:val="00C0623F"/>
    <w:rsid w:val="00C14E8D"/>
    <w:rsid w:val="00C2005D"/>
    <w:rsid w:val="00C20DE6"/>
    <w:rsid w:val="00C2564D"/>
    <w:rsid w:val="00C31801"/>
    <w:rsid w:val="00C32577"/>
    <w:rsid w:val="00C4624D"/>
    <w:rsid w:val="00C500B3"/>
    <w:rsid w:val="00C50F7C"/>
    <w:rsid w:val="00C51C68"/>
    <w:rsid w:val="00C5243A"/>
    <w:rsid w:val="00C553DF"/>
    <w:rsid w:val="00C76E5E"/>
    <w:rsid w:val="00C86438"/>
    <w:rsid w:val="00C8754B"/>
    <w:rsid w:val="00C908BC"/>
    <w:rsid w:val="00C91B38"/>
    <w:rsid w:val="00C91B6A"/>
    <w:rsid w:val="00C9381B"/>
    <w:rsid w:val="00C973FC"/>
    <w:rsid w:val="00CA6FB6"/>
    <w:rsid w:val="00CA7386"/>
    <w:rsid w:val="00CB0296"/>
    <w:rsid w:val="00CB2D1D"/>
    <w:rsid w:val="00CB3CA1"/>
    <w:rsid w:val="00CB5E62"/>
    <w:rsid w:val="00CB5F02"/>
    <w:rsid w:val="00CC3DC5"/>
    <w:rsid w:val="00CD386D"/>
    <w:rsid w:val="00CE0751"/>
    <w:rsid w:val="00CE692C"/>
    <w:rsid w:val="00CE7AE2"/>
    <w:rsid w:val="00CF5ED7"/>
    <w:rsid w:val="00CF78B9"/>
    <w:rsid w:val="00D015AC"/>
    <w:rsid w:val="00D025C8"/>
    <w:rsid w:val="00D03F5F"/>
    <w:rsid w:val="00D13684"/>
    <w:rsid w:val="00D13A58"/>
    <w:rsid w:val="00D16843"/>
    <w:rsid w:val="00D22E40"/>
    <w:rsid w:val="00D26D33"/>
    <w:rsid w:val="00D27808"/>
    <w:rsid w:val="00D3239E"/>
    <w:rsid w:val="00D33922"/>
    <w:rsid w:val="00D34A99"/>
    <w:rsid w:val="00D35B55"/>
    <w:rsid w:val="00D43152"/>
    <w:rsid w:val="00D455DA"/>
    <w:rsid w:val="00D52D9C"/>
    <w:rsid w:val="00D55161"/>
    <w:rsid w:val="00D62F5B"/>
    <w:rsid w:val="00D66E90"/>
    <w:rsid w:val="00D6709B"/>
    <w:rsid w:val="00D727AF"/>
    <w:rsid w:val="00D76A6D"/>
    <w:rsid w:val="00D80B36"/>
    <w:rsid w:val="00D83DA1"/>
    <w:rsid w:val="00D854D2"/>
    <w:rsid w:val="00D90935"/>
    <w:rsid w:val="00D90D1C"/>
    <w:rsid w:val="00D946FA"/>
    <w:rsid w:val="00DA1D50"/>
    <w:rsid w:val="00DC03D0"/>
    <w:rsid w:val="00DC19C1"/>
    <w:rsid w:val="00DC3B6D"/>
    <w:rsid w:val="00DC77AE"/>
    <w:rsid w:val="00DD1A90"/>
    <w:rsid w:val="00DD243B"/>
    <w:rsid w:val="00DD5954"/>
    <w:rsid w:val="00DD7918"/>
    <w:rsid w:val="00DE0168"/>
    <w:rsid w:val="00DE23E5"/>
    <w:rsid w:val="00DE294B"/>
    <w:rsid w:val="00DE41E7"/>
    <w:rsid w:val="00DE54E2"/>
    <w:rsid w:val="00DE709C"/>
    <w:rsid w:val="00DF1B53"/>
    <w:rsid w:val="00DF1D3E"/>
    <w:rsid w:val="00DF3B3B"/>
    <w:rsid w:val="00DF4C64"/>
    <w:rsid w:val="00DF61F7"/>
    <w:rsid w:val="00DF6578"/>
    <w:rsid w:val="00DF7694"/>
    <w:rsid w:val="00E10939"/>
    <w:rsid w:val="00E10B48"/>
    <w:rsid w:val="00E10F35"/>
    <w:rsid w:val="00E119AB"/>
    <w:rsid w:val="00E12D33"/>
    <w:rsid w:val="00E12DC7"/>
    <w:rsid w:val="00E149B5"/>
    <w:rsid w:val="00E20887"/>
    <w:rsid w:val="00E24809"/>
    <w:rsid w:val="00E257C8"/>
    <w:rsid w:val="00E34094"/>
    <w:rsid w:val="00E37BEC"/>
    <w:rsid w:val="00E447A6"/>
    <w:rsid w:val="00E44F44"/>
    <w:rsid w:val="00E477A5"/>
    <w:rsid w:val="00E52027"/>
    <w:rsid w:val="00E52913"/>
    <w:rsid w:val="00E7709B"/>
    <w:rsid w:val="00E810E2"/>
    <w:rsid w:val="00E8364C"/>
    <w:rsid w:val="00E87237"/>
    <w:rsid w:val="00E94B93"/>
    <w:rsid w:val="00EA41FC"/>
    <w:rsid w:val="00EB45F6"/>
    <w:rsid w:val="00EB6C23"/>
    <w:rsid w:val="00EC0CF6"/>
    <w:rsid w:val="00EC1DCD"/>
    <w:rsid w:val="00EC58C7"/>
    <w:rsid w:val="00ED0087"/>
    <w:rsid w:val="00ED2781"/>
    <w:rsid w:val="00ED3475"/>
    <w:rsid w:val="00EE1DD8"/>
    <w:rsid w:val="00EE4D49"/>
    <w:rsid w:val="00EE5B75"/>
    <w:rsid w:val="00EE5D4B"/>
    <w:rsid w:val="00EE7D35"/>
    <w:rsid w:val="00EF0D42"/>
    <w:rsid w:val="00EF3D6D"/>
    <w:rsid w:val="00EF5680"/>
    <w:rsid w:val="00EF7DC4"/>
    <w:rsid w:val="00EF7E38"/>
    <w:rsid w:val="00F00276"/>
    <w:rsid w:val="00F009FD"/>
    <w:rsid w:val="00F00B1C"/>
    <w:rsid w:val="00F05A11"/>
    <w:rsid w:val="00F11632"/>
    <w:rsid w:val="00F13D70"/>
    <w:rsid w:val="00F21119"/>
    <w:rsid w:val="00F25B8E"/>
    <w:rsid w:val="00F25BDF"/>
    <w:rsid w:val="00F305F6"/>
    <w:rsid w:val="00F30C03"/>
    <w:rsid w:val="00F347CD"/>
    <w:rsid w:val="00F41ECE"/>
    <w:rsid w:val="00F41FA0"/>
    <w:rsid w:val="00F42C0E"/>
    <w:rsid w:val="00F43227"/>
    <w:rsid w:val="00F46BB9"/>
    <w:rsid w:val="00F51528"/>
    <w:rsid w:val="00F5379F"/>
    <w:rsid w:val="00F61292"/>
    <w:rsid w:val="00F627C9"/>
    <w:rsid w:val="00F64885"/>
    <w:rsid w:val="00F65A63"/>
    <w:rsid w:val="00F6661B"/>
    <w:rsid w:val="00F679DD"/>
    <w:rsid w:val="00F70338"/>
    <w:rsid w:val="00F74A55"/>
    <w:rsid w:val="00F77BB8"/>
    <w:rsid w:val="00F8139A"/>
    <w:rsid w:val="00F8188D"/>
    <w:rsid w:val="00F86181"/>
    <w:rsid w:val="00F863AD"/>
    <w:rsid w:val="00F916C7"/>
    <w:rsid w:val="00F93539"/>
    <w:rsid w:val="00F96968"/>
    <w:rsid w:val="00FA0928"/>
    <w:rsid w:val="00FA0BE3"/>
    <w:rsid w:val="00FA41CA"/>
    <w:rsid w:val="00FA77CE"/>
    <w:rsid w:val="00FB097F"/>
    <w:rsid w:val="00FB6FCB"/>
    <w:rsid w:val="00FC1D7E"/>
    <w:rsid w:val="00FC3D6D"/>
    <w:rsid w:val="00FC5C2F"/>
    <w:rsid w:val="00FC6D35"/>
    <w:rsid w:val="00FD1CFE"/>
    <w:rsid w:val="00FD4993"/>
    <w:rsid w:val="00FF21C7"/>
    <w:rsid w:val="00FF3505"/>
    <w:rsid w:val="00FF60DE"/>
    <w:rsid w:val="00FF659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4F0EE3"/>
  </w:style>
  <w:style w:type="character" w:styleId="Collegamentoipertestuale">
    <w:name w:val="Hyperlink"/>
    <w:basedOn w:val="Caratterepredefinitoparagrafo"/>
    <w:uiPriority w:val="99"/>
    <w:unhideWhenUsed/>
    <w:rsid w:val="00364A97"/>
    <w:rPr>
      <w:color w:val="0563C1" w:themeColor="hyperlink"/>
      <w:u w:val="single"/>
    </w:rPr>
  </w:style>
  <w:style w:type="character" w:styleId="Collegamentovisitato">
    <w:name w:val="FollowedHyperlink"/>
    <w:basedOn w:val="Caratterepredefinitoparagrafo"/>
    <w:uiPriority w:val="99"/>
    <w:semiHidden/>
    <w:unhideWhenUsed/>
    <w:rsid w:val="00364A97"/>
    <w:rPr>
      <w:color w:val="954F72" w:themeColor="followedHyperlink"/>
      <w:u w:val="single"/>
    </w:rPr>
  </w:style>
  <w:style w:type="character" w:styleId="Numeropagina">
    <w:name w:val="page number"/>
    <w:basedOn w:val="Caratterepredefinitoparagrafo"/>
    <w:uiPriority w:val="99"/>
    <w:semiHidden/>
    <w:unhideWhenUsed/>
    <w:rsid w:val="0069179E"/>
  </w:style>
  <w:style w:type="character" w:styleId="Enfasigrassetto">
    <w:name w:val="Strong"/>
    <w:basedOn w:val="Caratterepredefinitoparagrafo"/>
    <w:uiPriority w:val="22"/>
    <w:qFormat/>
    <w:rsid w:val="00473B76"/>
    <w:rPr>
      <w:b/>
      <w:bCs/>
    </w:rPr>
  </w:style>
  <w:style w:type="paragraph" w:styleId="Paragrafoelenco">
    <w:name w:val="List Paragraph"/>
    <w:basedOn w:val="Normale"/>
    <w:uiPriority w:val="1"/>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attere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attere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attere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atterepredefinitoparagrafo"/>
    <w:rsid w:val="005934CD"/>
  </w:style>
  <w:style w:type="character" w:customStyle="1" w:styleId="numeropagina0">
    <w:name w:val="numeropagina"/>
    <w:basedOn w:val="Caratterepredefinitoparagrafo"/>
    <w:rsid w:val="00F64885"/>
  </w:style>
  <w:style w:type="character" w:styleId="AcronimoHTML">
    <w:name w:val="HTML Acronym"/>
    <w:basedOn w:val="Carattere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atterepredefinitoparagrafo"/>
    <w:link w:val="Testonotaapidipagina"/>
    <w:uiPriority w:val="99"/>
    <w:semiHidden/>
    <w:rsid w:val="00CE0751"/>
    <w:rPr>
      <w:rFonts w:ascii="Calibri" w:hAnsi="Calibri"/>
    </w:rPr>
  </w:style>
  <w:style w:type="character" w:styleId="Rimandonotaapidipagina">
    <w:name w:val="footnote reference"/>
    <w:basedOn w:val="Carattere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atterepredefinitoparagrafo"/>
    <w:link w:val="Titolo1"/>
    <w:uiPriority w:val="9"/>
    <w:rsid w:val="00EE4D49"/>
    <w:rPr>
      <w:rFonts w:ascii="Calibri" w:hAnsi="Calibri"/>
      <w:b/>
      <w:sz w:val="48"/>
      <w:szCs w:val="48"/>
    </w:rPr>
  </w:style>
  <w:style w:type="character" w:customStyle="1" w:styleId="Titolo2Carattere">
    <w:name w:val="Titolo 2 Carattere"/>
    <w:basedOn w:val="Caratterepredefinitoparagrafo"/>
    <w:link w:val="Titolo2"/>
    <w:uiPriority w:val="9"/>
    <w:rsid w:val="00EE4D49"/>
    <w:rPr>
      <w:rFonts w:ascii="Calibri" w:hAnsi="Calibri"/>
      <w:b/>
      <w:sz w:val="36"/>
      <w:szCs w:val="36"/>
    </w:rPr>
  </w:style>
  <w:style w:type="character" w:customStyle="1" w:styleId="Titolo3Carattere">
    <w:name w:val="Titolo 3 Carattere"/>
    <w:basedOn w:val="Caratterepredefinitoparagrafo"/>
    <w:link w:val="Titolo3"/>
    <w:uiPriority w:val="9"/>
    <w:rsid w:val="00EE4D49"/>
    <w:rPr>
      <w:rFonts w:ascii="Calibri" w:hAnsi="Calibri"/>
      <w:b/>
      <w:sz w:val="28"/>
      <w:szCs w:val="28"/>
    </w:rPr>
  </w:style>
  <w:style w:type="character" w:customStyle="1" w:styleId="Titolo4Carattere">
    <w:name w:val="Titolo 4 Carattere"/>
    <w:basedOn w:val="Caratterepredefinitoparagrafo"/>
    <w:link w:val="Titolo4"/>
    <w:uiPriority w:val="9"/>
    <w:rsid w:val="00EE4D49"/>
    <w:rPr>
      <w:rFonts w:ascii="Calibri" w:hAnsi="Calibri"/>
      <w:b/>
      <w:sz w:val="24"/>
      <w:szCs w:val="24"/>
    </w:rPr>
  </w:style>
  <w:style w:type="character" w:customStyle="1" w:styleId="Titolo5Carattere">
    <w:name w:val="Titolo 5 Carattere"/>
    <w:basedOn w:val="Caratterepredefinitoparagrafo"/>
    <w:link w:val="Titolo5"/>
    <w:uiPriority w:val="9"/>
    <w:rsid w:val="00EE4D49"/>
    <w:rPr>
      <w:rFonts w:ascii="Calibri" w:hAnsi="Calibri"/>
      <w:b/>
      <w:sz w:val="22"/>
      <w:szCs w:val="22"/>
    </w:rPr>
  </w:style>
  <w:style w:type="character" w:customStyle="1" w:styleId="Titolo6Carattere">
    <w:name w:val="Titolo 6 Carattere"/>
    <w:basedOn w:val="Caratterepredefinitoparagrafo"/>
    <w:link w:val="Titolo6"/>
    <w:uiPriority w:val="9"/>
    <w:rsid w:val="00EE4D49"/>
    <w:rPr>
      <w:rFonts w:ascii="Calibri" w:hAnsi="Calibri"/>
      <w:b/>
    </w:rPr>
  </w:style>
  <w:style w:type="character" w:customStyle="1" w:styleId="Titolo7Carattere">
    <w:name w:val="Titolo 7 Carattere"/>
    <w:basedOn w:val="Carattere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attere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attere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atterepredefinitoparagrafo"/>
    <w:link w:val="Titolo"/>
    <w:uiPriority w:val="10"/>
    <w:rsid w:val="00EE4D49"/>
    <w:rPr>
      <w:rFonts w:ascii="Calibri" w:hAnsi="Calibri"/>
      <w:b/>
      <w:sz w:val="72"/>
      <w:szCs w:val="72"/>
    </w:rPr>
  </w:style>
  <w:style w:type="character" w:customStyle="1" w:styleId="SottotitoloCarattere">
    <w:name w:val="Sottotitolo Carattere"/>
    <w:basedOn w:val="Carattere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attere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attere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attere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attere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attere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attere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attere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atterepredefinitoparagrafo"/>
    <w:uiPriority w:val="30"/>
    <w:rsid w:val="00EE4D49"/>
    <w:rPr>
      <w:rFonts w:ascii="Calibri" w:hAnsi="Calibri"/>
      <w:i/>
      <w:iCs/>
      <w:color w:val="5B9BD5" w:themeColor="accent1"/>
    </w:rPr>
  </w:style>
  <w:style w:type="character" w:styleId="Enfasidelicata">
    <w:name w:val="Subtle Emphasis"/>
    <w:basedOn w:val="Caratterepredefinitoparagrafo"/>
    <w:uiPriority w:val="19"/>
    <w:qFormat/>
    <w:rsid w:val="00EE4D49"/>
    <w:rPr>
      <w:i/>
      <w:iCs/>
      <w:color w:val="404040" w:themeColor="text1" w:themeTint="BF"/>
    </w:rPr>
  </w:style>
  <w:style w:type="character" w:styleId="Enfasiintensa">
    <w:name w:val="Intense Emphasis"/>
    <w:basedOn w:val="Caratterepredefinitoparagrafo"/>
    <w:uiPriority w:val="21"/>
    <w:qFormat/>
    <w:rsid w:val="00EE4D49"/>
    <w:rPr>
      <w:i/>
      <w:iCs/>
      <w:color w:val="5B9BD5" w:themeColor="accent1"/>
    </w:rPr>
  </w:style>
  <w:style w:type="character" w:styleId="Riferimentodelicato">
    <w:name w:val="Subtle Reference"/>
    <w:basedOn w:val="Caratterepredefinitoparagrafo"/>
    <w:uiPriority w:val="31"/>
    <w:qFormat/>
    <w:rsid w:val="00EE4D49"/>
    <w:rPr>
      <w:smallCaps/>
      <w:color w:val="5A5A5A" w:themeColor="text1" w:themeTint="A5"/>
    </w:rPr>
  </w:style>
  <w:style w:type="character" w:styleId="Riferimentointenso">
    <w:name w:val="Intense Reference"/>
    <w:basedOn w:val="Caratterepredefinitoparagrafo"/>
    <w:uiPriority w:val="32"/>
    <w:qFormat/>
    <w:rsid w:val="00EE4D49"/>
    <w:rPr>
      <w:b/>
      <w:bCs/>
      <w:smallCaps/>
      <w:color w:val="5B9BD5" w:themeColor="accent1"/>
      <w:spacing w:val="5"/>
    </w:rPr>
  </w:style>
  <w:style w:type="character" w:styleId="Titolodellibro">
    <w:name w:val="Book Title"/>
    <w:basedOn w:val="Carattere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atterepredefinitoparagrafo"/>
    <w:link w:val="Testonotadichiusura"/>
    <w:uiPriority w:val="99"/>
    <w:semiHidden/>
    <w:rsid w:val="00656B6D"/>
    <w:rPr>
      <w:rFonts w:ascii="Calibri" w:hAnsi="Calibri"/>
    </w:rPr>
  </w:style>
  <w:style w:type="character" w:styleId="Rimandonotadichiusura">
    <w:name w:val="endnote reference"/>
    <w:basedOn w:val="Caratterepredefinitoparagrafo"/>
    <w:uiPriority w:val="99"/>
    <w:semiHidden/>
    <w:unhideWhenUsed/>
    <w:rsid w:val="00656B6D"/>
    <w:rPr>
      <w:vertAlign w:val="superscript"/>
    </w:rPr>
  </w:style>
  <w:style w:type="paragraph" w:styleId="Corpodeltesto">
    <w:name w:val="Body Text"/>
    <w:basedOn w:val="Normale"/>
    <w:link w:val="Corpodel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deltestoCarattere">
    <w:name w:val="Corpo del testo Carattere"/>
    <w:basedOn w:val="Caratterepredefinitoparagrafo"/>
    <w:link w:val="Corpodel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4F0EE3"/>
  </w:style>
  <w:style w:type="character" w:styleId="Collegamentoipertestuale">
    <w:name w:val="Hyperlink"/>
    <w:basedOn w:val="Caratterepredefinitoparagrafo"/>
    <w:uiPriority w:val="99"/>
    <w:unhideWhenUsed/>
    <w:rsid w:val="00364A97"/>
    <w:rPr>
      <w:color w:val="0563C1" w:themeColor="hyperlink"/>
      <w:u w:val="single"/>
    </w:rPr>
  </w:style>
  <w:style w:type="character" w:styleId="Collegamentovisitato">
    <w:name w:val="FollowedHyperlink"/>
    <w:basedOn w:val="Caratterepredefinitoparagrafo"/>
    <w:uiPriority w:val="99"/>
    <w:semiHidden/>
    <w:unhideWhenUsed/>
    <w:rsid w:val="00364A97"/>
    <w:rPr>
      <w:color w:val="954F72" w:themeColor="followedHyperlink"/>
      <w:u w:val="single"/>
    </w:rPr>
  </w:style>
  <w:style w:type="character" w:styleId="Numeropagina">
    <w:name w:val="page number"/>
    <w:basedOn w:val="Caratterepredefinitoparagrafo"/>
    <w:uiPriority w:val="99"/>
    <w:semiHidden/>
    <w:unhideWhenUsed/>
    <w:rsid w:val="0069179E"/>
  </w:style>
  <w:style w:type="character" w:styleId="Enfasigrassetto">
    <w:name w:val="Strong"/>
    <w:basedOn w:val="Caratterepredefinitoparagrafo"/>
    <w:uiPriority w:val="22"/>
    <w:qFormat/>
    <w:rsid w:val="00473B76"/>
    <w:rPr>
      <w:b/>
      <w:bCs/>
    </w:rPr>
  </w:style>
  <w:style w:type="paragraph" w:styleId="Paragrafoelenco">
    <w:name w:val="List Paragraph"/>
    <w:basedOn w:val="Normale"/>
    <w:uiPriority w:val="1"/>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attere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attere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attere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atterepredefinitoparagrafo"/>
    <w:rsid w:val="005934CD"/>
  </w:style>
  <w:style w:type="character" w:customStyle="1" w:styleId="numeropagina0">
    <w:name w:val="numeropagina"/>
    <w:basedOn w:val="Caratterepredefinitoparagrafo"/>
    <w:rsid w:val="00F64885"/>
  </w:style>
  <w:style w:type="character" w:styleId="AcronimoHTML">
    <w:name w:val="HTML Acronym"/>
    <w:basedOn w:val="Carattere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atterepredefinitoparagrafo"/>
    <w:link w:val="Testonotaapidipagina"/>
    <w:uiPriority w:val="99"/>
    <w:semiHidden/>
    <w:rsid w:val="00CE0751"/>
    <w:rPr>
      <w:rFonts w:ascii="Calibri" w:hAnsi="Calibri"/>
    </w:rPr>
  </w:style>
  <w:style w:type="character" w:styleId="Rimandonotaapidipagina">
    <w:name w:val="footnote reference"/>
    <w:basedOn w:val="Carattere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atterepredefinitoparagrafo"/>
    <w:link w:val="Titolo1"/>
    <w:uiPriority w:val="9"/>
    <w:rsid w:val="00EE4D49"/>
    <w:rPr>
      <w:rFonts w:ascii="Calibri" w:hAnsi="Calibri"/>
      <w:b/>
      <w:sz w:val="48"/>
      <w:szCs w:val="48"/>
    </w:rPr>
  </w:style>
  <w:style w:type="character" w:customStyle="1" w:styleId="Titolo2Carattere">
    <w:name w:val="Titolo 2 Carattere"/>
    <w:basedOn w:val="Caratterepredefinitoparagrafo"/>
    <w:link w:val="Titolo2"/>
    <w:uiPriority w:val="9"/>
    <w:rsid w:val="00EE4D49"/>
    <w:rPr>
      <w:rFonts w:ascii="Calibri" w:hAnsi="Calibri"/>
      <w:b/>
      <w:sz w:val="36"/>
      <w:szCs w:val="36"/>
    </w:rPr>
  </w:style>
  <w:style w:type="character" w:customStyle="1" w:styleId="Titolo3Carattere">
    <w:name w:val="Titolo 3 Carattere"/>
    <w:basedOn w:val="Caratterepredefinitoparagrafo"/>
    <w:link w:val="Titolo3"/>
    <w:uiPriority w:val="9"/>
    <w:rsid w:val="00EE4D49"/>
    <w:rPr>
      <w:rFonts w:ascii="Calibri" w:hAnsi="Calibri"/>
      <w:b/>
      <w:sz w:val="28"/>
      <w:szCs w:val="28"/>
    </w:rPr>
  </w:style>
  <w:style w:type="character" w:customStyle="1" w:styleId="Titolo4Carattere">
    <w:name w:val="Titolo 4 Carattere"/>
    <w:basedOn w:val="Caratterepredefinitoparagrafo"/>
    <w:link w:val="Titolo4"/>
    <w:uiPriority w:val="9"/>
    <w:rsid w:val="00EE4D49"/>
    <w:rPr>
      <w:rFonts w:ascii="Calibri" w:hAnsi="Calibri"/>
      <w:b/>
      <w:sz w:val="24"/>
      <w:szCs w:val="24"/>
    </w:rPr>
  </w:style>
  <w:style w:type="character" w:customStyle="1" w:styleId="Titolo5Carattere">
    <w:name w:val="Titolo 5 Carattere"/>
    <w:basedOn w:val="Caratterepredefinitoparagrafo"/>
    <w:link w:val="Titolo5"/>
    <w:uiPriority w:val="9"/>
    <w:rsid w:val="00EE4D49"/>
    <w:rPr>
      <w:rFonts w:ascii="Calibri" w:hAnsi="Calibri"/>
      <w:b/>
      <w:sz w:val="22"/>
      <w:szCs w:val="22"/>
    </w:rPr>
  </w:style>
  <w:style w:type="character" w:customStyle="1" w:styleId="Titolo6Carattere">
    <w:name w:val="Titolo 6 Carattere"/>
    <w:basedOn w:val="Caratterepredefinitoparagrafo"/>
    <w:link w:val="Titolo6"/>
    <w:uiPriority w:val="9"/>
    <w:rsid w:val="00EE4D49"/>
    <w:rPr>
      <w:rFonts w:ascii="Calibri" w:hAnsi="Calibri"/>
      <w:b/>
    </w:rPr>
  </w:style>
  <w:style w:type="character" w:customStyle="1" w:styleId="Titolo7Carattere">
    <w:name w:val="Titolo 7 Carattere"/>
    <w:basedOn w:val="Carattere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attere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attere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atterepredefinitoparagrafo"/>
    <w:link w:val="Titolo"/>
    <w:uiPriority w:val="10"/>
    <w:rsid w:val="00EE4D49"/>
    <w:rPr>
      <w:rFonts w:ascii="Calibri" w:hAnsi="Calibri"/>
      <w:b/>
      <w:sz w:val="72"/>
      <w:szCs w:val="72"/>
    </w:rPr>
  </w:style>
  <w:style w:type="character" w:customStyle="1" w:styleId="SottotitoloCarattere">
    <w:name w:val="Sottotitolo Carattere"/>
    <w:basedOn w:val="Carattere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attere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attere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attere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attere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attere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attere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attere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atterepredefinitoparagrafo"/>
    <w:uiPriority w:val="30"/>
    <w:rsid w:val="00EE4D49"/>
    <w:rPr>
      <w:rFonts w:ascii="Calibri" w:hAnsi="Calibri"/>
      <w:i/>
      <w:iCs/>
      <w:color w:val="5B9BD5" w:themeColor="accent1"/>
    </w:rPr>
  </w:style>
  <w:style w:type="character" w:styleId="Enfasidelicata">
    <w:name w:val="Subtle Emphasis"/>
    <w:basedOn w:val="Caratterepredefinitoparagrafo"/>
    <w:uiPriority w:val="19"/>
    <w:qFormat/>
    <w:rsid w:val="00EE4D49"/>
    <w:rPr>
      <w:i/>
      <w:iCs/>
      <w:color w:val="404040" w:themeColor="text1" w:themeTint="BF"/>
    </w:rPr>
  </w:style>
  <w:style w:type="character" w:styleId="Enfasiintensa">
    <w:name w:val="Intense Emphasis"/>
    <w:basedOn w:val="Caratterepredefinitoparagrafo"/>
    <w:uiPriority w:val="21"/>
    <w:qFormat/>
    <w:rsid w:val="00EE4D49"/>
    <w:rPr>
      <w:i/>
      <w:iCs/>
      <w:color w:val="5B9BD5" w:themeColor="accent1"/>
    </w:rPr>
  </w:style>
  <w:style w:type="character" w:styleId="Riferimentodelicato">
    <w:name w:val="Subtle Reference"/>
    <w:basedOn w:val="Caratterepredefinitoparagrafo"/>
    <w:uiPriority w:val="31"/>
    <w:qFormat/>
    <w:rsid w:val="00EE4D49"/>
    <w:rPr>
      <w:smallCaps/>
      <w:color w:val="5A5A5A" w:themeColor="text1" w:themeTint="A5"/>
    </w:rPr>
  </w:style>
  <w:style w:type="character" w:styleId="Riferimentointenso">
    <w:name w:val="Intense Reference"/>
    <w:basedOn w:val="Caratterepredefinitoparagrafo"/>
    <w:uiPriority w:val="32"/>
    <w:qFormat/>
    <w:rsid w:val="00EE4D49"/>
    <w:rPr>
      <w:b/>
      <w:bCs/>
      <w:smallCaps/>
      <w:color w:val="5B9BD5" w:themeColor="accent1"/>
      <w:spacing w:val="5"/>
    </w:rPr>
  </w:style>
  <w:style w:type="character" w:styleId="Titolodellibro">
    <w:name w:val="Book Title"/>
    <w:basedOn w:val="Carattere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atterepredefinitoparagrafo"/>
    <w:link w:val="Testonotadichiusura"/>
    <w:uiPriority w:val="99"/>
    <w:semiHidden/>
    <w:rsid w:val="00656B6D"/>
    <w:rPr>
      <w:rFonts w:ascii="Calibri" w:hAnsi="Calibri"/>
    </w:rPr>
  </w:style>
  <w:style w:type="character" w:styleId="Rimandonotadichiusura">
    <w:name w:val="endnote reference"/>
    <w:basedOn w:val="Caratterepredefinitoparagrafo"/>
    <w:uiPriority w:val="99"/>
    <w:semiHidden/>
    <w:unhideWhenUsed/>
    <w:rsid w:val="00656B6D"/>
    <w:rPr>
      <w:vertAlign w:val="superscript"/>
    </w:rPr>
  </w:style>
  <w:style w:type="paragraph" w:styleId="Corpodeltesto">
    <w:name w:val="Body Text"/>
    <w:basedOn w:val="Normale"/>
    <w:link w:val="Corpodel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deltestoCarattere">
    <w:name w:val="Corpo del testo Carattere"/>
    <w:basedOn w:val="Caratterepredefinitoparagrafo"/>
    <w:link w:val="Corpodel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74156303">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583DB-4D86-F54C-8936-8CDE8E6F0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103</Pages>
  <Words>30643</Words>
  <Characters>174669</Characters>
  <Application>Microsoft Macintosh Word</Application>
  <DocSecurity>0</DocSecurity>
  <Lines>1455</Lines>
  <Paragraphs>409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aaabbb aaabbb</cp:lastModifiedBy>
  <cp:revision>2</cp:revision>
  <cp:lastPrinted>2019-01-08T11:23:00Z</cp:lastPrinted>
  <dcterms:created xsi:type="dcterms:W3CDTF">2020-05-22T09:06:00Z</dcterms:created>
  <dcterms:modified xsi:type="dcterms:W3CDTF">2020-05-22T09:06:00Z</dcterms:modified>
</cp:coreProperties>
</file>