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12E0F1E" w14:textId="77777777" w:rsidR="00F46BB9" w:rsidRPr="00793CC1" w:rsidRDefault="00F46BB9" w:rsidP="00793CC1">
      <w:pPr>
        <w:tabs>
          <w:tab w:val="left" w:pos="993"/>
        </w:tabs>
        <w:spacing w:after="140"/>
        <w:rPr>
          <w:rFonts w:asciiTheme="minorHAnsi" w:hAnsiTheme="minorHAnsi"/>
          <w:sz w:val="24"/>
          <w:szCs w:val="24"/>
        </w:rPr>
      </w:pPr>
    </w:p>
    <w:p w14:paraId="67E88232" w14:textId="77777777" w:rsidR="003775B3" w:rsidRPr="00793CC1" w:rsidRDefault="003775B3" w:rsidP="003775B3">
      <w:pPr>
        <w:pStyle w:val="NormaleWeb"/>
        <w:shd w:val="clear" w:color="auto" w:fill="FFFFFF"/>
        <w:tabs>
          <w:tab w:val="left" w:pos="993"/>
        </w:tabs>
        <w:jc w:val="center"/>
        <w:rPr>
          <w:rFonts w:asciiTheme="minorHAnsi" w:hAnsiTheme="minorHAnsi" w:cs="Arial"/>
          <w:color w:val="000000" w:themeColor="text1"/>
        </w:rPr>
      </w:pPr>
      <w:r w:rsidRPr="00793CC1">
        <w:rPr>
          <w:rFonts w:asciiTheme="minorHAnsi" w:hAnsiTheme="minorHAnsi" w:cs="Arial"/>
          <w:bCs/>
          <w:color w:val="000000" w:themeColor="text1"/>
        </w:rPr>
        <w:t>DISEGNO DI LEGGE</w:t>
      </w:r>
    </w:p>
    <w:p w14:paraId="5DD7AE79" w14:textId="77777777" w:rsidR="003775B3" w:rsidRPr="00AD1B0C" w:rsidRDefault="003775B3" w:rsidP="003775B3">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C.2461 - Conversione in legge del decreto-legge 8 aprile 2020, n. 23, recante misure urgenti in materia di accesso al credito e di adempimenti fiscali per le imprese, di poteri speciali nei settori strategici, nonché interventi in materia di salute e lavoro, di proroga di termini amministrativi e processuali</w:t>
      </w:r>
    </w:p>
    <w:p w14:paraId="6F389F39" w14:textId="77777777" w:rsidR="00AD1B0C" w:rsidRDefault="00AD1B0C" w:rsidP="00793CC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A415241" w14:textId="43200B33" w:rsidR="00AD1B0C" w:rsidRDefault="00EF5680" w:rsidP="00793CC1">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r w:rsidRPr="00EF5680">
        <w:rPr>
          <w:rFonts w:asciiTheme="minorHAnsi" w:eastAsia="Times New Roman" w:hAnsiTheme="minorHAnsi" w:cs="Times New Roman"/>
          <w:b/>
          <w:bCs/>
          <w:color w:val="000000" w:themeColor="text1"/>
          <w:sz w:val="24"/>
          <w:szCs w:val="24"/>
          <w:u w:val="single"/>
        </w:rPr>
        <w:t>C.2461</w:t>
      </w:r>
      <w:r>
        <w:rPr>
          <w:rFonts w:asciiTheme="minorHAnsi" w:eastAsia="Times New Roman" w:hAnsiTheme="minorHAnsi" w:cs="Times New Roman"/>
          <w:bCs/>
          <w:i/>
          <w:color w:val="000000" w:themeColor="text1"/>
          <w:sz w:val="24"/>
          <w:szCs w:val="24"/>
        </w:rPr>
        <w:t xml:space="preserve"> - </w:t>
      </w:r>
      <w:r w:rsidRPr="00EF5680">
        <w:rPr>
          <w:rFonts w:asciiTheme="minorHAnsi" w:eastAsia="Times New Roman" w:hAnsiTheme="minorHAnsi" w:cs="Times New Roman"/>
          <w:bCs/>
          <w:i/>
          <w:color w:val="000000" w:themeColor="text1"/>
          <w:sz w:val="24"/>
          <w:szCs w:val="24"/>
        </w:rPr>
        <w:t xml:space="preserve">Nella giornata </w:t>
      </w:r>
      <w:r w:rsidR="003775B3">
        <w:rPr>
          <w:rFonts w:asciiTheme="minorHAnsi" w:eastAsia="Times New Roman" w:hAnsiTheme="minorHAnsi" w:cs="Times New Roman"/>
          <w:bCs/>
          <w:i/>
          <w:color w:val="000000" w:themeColor="text1"/>
          <w:sz w:val="24"/>
          <w:szCs w:val="24"/>
        </w:rPr>
        <w:t>seduta di</w:t>
      </w:r>
      <w:r w:rsidRPr="00EF5680">
        <w:rPr>
          <w:rFonts w:asciiTheme="minorHAnsi" w:eastAsia="Times New Roman" w:hAnsiTheme="minorHAnsi" w:cs="Times New Roman"/>
          <w:bCs/>
          <w:i/>
          <w:color w:val="000000" w:themeColor="text1"/>
          <w:sz w:val="24"/>
          <w:szCs w:val="24"/>
        </w:rPr>
        <w:t xml:space="preserve"> </w:t>
      </w:r>
      <w:r w:rsidR="00163604">
        <w:rPr>
          <w:rFonts w:asciiTheme="minorHAnsi" w:eastAsia="Times New Roman" w:hAnsiTheme="minorHAnsi" w:cs="Times New Roman"/>
          <w:bCs/>
          <w:i/>
          <w:color w:val="000000" w:themeColor="text1"/>
          <w:sz w:val="24"/>
          <w:szCs w:val="24"/>
        </w:rPr>
        <w:t>mercoledì</w:t>
      </w:r>
      <w:r>
        <w:rPr>
          <w:rFonts w:asciiTheme="minorHAnsi" w:eastAsia="Times New Roman" w:hAnsiTheme="minorHAnsi" w:cs="Times New Roman"/>
          <w:bCs/>
          <w:i/>
          <w:color w:val="000000" w:themeColor="text1"/>
          <w:sz w:val="24"/>
          <w:szCs w:val="24"/>
        </w:rPr>
        <w:t xml:space="preserve"> </w:t>
      </w:r>
      <w:r w:rsidR="00163604">
        <w:rPr>
          <w:rFonts w:asciiTheme="minorHAnsi" w:eastAsia="Times New Roman" w:hAnsiTheme="minorHAnsi" w:cs="Times New Roman"/>
          <w:bCs/>
          <w:i/>
          <w:color w:val="000000" w:themeColor="text1"/>
          <w:sz w:val="24"/>
          <w:szCs w:val="24"/>
        </w:rPr>
        <w:t>20</w:t>
      </w:r>
      <w:r>
        <w:rPr>
          <w:rFonts w:asciiTheme="minorHAnsi" w:eastAsia="Times New Roman" w:hAnsiTheme="minorHAnsi" w:cs="Times New Roman"/>
          <w:bCs/>
          <w:i/>
          <w:color w:val="000000" w:themeColor="text1"/>
          <w:sz w:val="24"/>
          <w:szCs w:val="24"/>
        </w:rPr>
        <w:t xml:space="preserve"> maggio 2020, le Commissioni </w:t>
      </w:r>
      <w:r w:rsidR="00F679DD">
        <w:rPr>
          <w:rFonts w:asciiTheme="minorHAnsi" w:eastAsia="Times New Roman" w:hAnsiTheme="minorHAnsi" w:cs="Times New Roman"/>
          <w:bCs/>
          <w:i/>
          <w:color w:val="000000" w:themeColor="text1"/>
          <w:sz w:val="24"/>
          <w:szCs w:val="24"/>
        </w:rPr>
        <w:t xml:space="preserve">riunite </w:t>
      </w:r>
      <w:r>
        <w:rPr>
          <w:rFonts w:asciiTheme="minorHAnsi" w:eastAsia="Times New Roman" w:hAnsiTheme="minorHAnsi" w:cs="Times New Roman"/>
          <w:bCs/>
          <w:i/>
          <w:color w:val="000000" w:themeColor="text1"/>
          <w:sz w:val="24"/>
          <w:szCs w:val="24"/>
        </w:rPr>
        <w:t xml:space="preserve">VI e X della Camera </w:t>
      </w:r>
      <w:r w:rsidR="0013176B">
        <w:rPr>
          <w:rFonts w:asciiTheme="minorHAnsi" w:eastAsia="Times New Roman" w:hAnsiTheme="minorHAnsi" w:cs="Times New Roman"/>
          <w:bCs/>
          <w:i/>
          <w:color w:val="000000" w:themeColor="text1"/>
          <w:sz w:val="24"/>
          <w:szCs w:val="24"/>
        </w:rPr>
        <w:t>hanno proseguito</w:t>
      </w:r>
      <w:r>
        <w:rPr>
          <w:rFonts w:asciiTheme="minorHAnsi" w:eastAsia="Times New Roman" w:hAnsiTheme="minorHAnsi" w:cs="Times New Roman"/>
          <w:bCs/>
          <w:i/>
          <w:color w:val="000000" w:themeColor="text1"/>
          <w:sz w:val="24"/>
          <w:szCs w:val="24"/>
        </w:rPr>
        <w:t xml:space="preserve"> in Sede referente </w:t>
      </w:r>
      <w:r w:rsidR="00F30C03">
        <w:rPr>
          <w:rFonts w:asciiTheme="minorHAnsi" w:eastAsia="Times New Roman" w:hAnsiTheme="minorHAnsi" w:cs="Times New Roman"/>
          <w:bCs/>
          <w:i/>
          <w:color w:val="000000" w:themeColor="text1"/>
          <w:sz w:val="24"/>
          <w:szCs w:val="24"/>
        </w:rPr>
        <w:t>l’esame del</w:t>
      </w:r>
      <w:r>
        <w:rPr>
          <w:rFonts w:asciiTheme="minorHAnsi" w:eastAsia="Times New Roman" w:hAnsiTheme="minorHAnsi" w:cs="Times New Roman"/>
          <w:bCs/>
          <w:i/>
          <w:color w:val="000000" w:themeColor="text1"/>
          <w:sz w:val="24"/>
          <w:szCs w:val="24"/>
        </w:rPr>
        <w:t xml:space="preserve"> provvedimento approvando alcuni emendamenti. Si riporta </w:t>
      </w:r>
      <w:r w:rsidR="003775B3">
        <w:rPr>
          <w:rFonts w:asciiTheme="minorHAnsi" w:eastAsia="Times New Roman" w:hAnsiTheme="minorHAnsi" w:cs="Times New Roman"/>
          <w:bCs/>
          <w:i/>
          <w:color w:val="000000" w:themeColor="text1"/>
          <w:sz w:val="24"/>
          <w:szCs w:val="24"/>
        </w:rPr>
        <w:t>la</w:t>
      </w:r>
      <w:r>
        <w:rPr>
          <w:rFonts w:asciiTheme="minorHAnsi" w:eastAsia="Times New Roman" w:hAnsiTheme="minorHAnsi" w:cs="Times New Roman"/>
          <w:bCs/>
          <w:i/>
          <w:color w:val="000000" w:themeColor="text1"/>
          <w:sz w:val="24"/>
          <w:szCs w:val="24"/>
        </w:rPr>
        <w:t xml:space="preserve"> ricostruzione con</w:t>
      </w:r>
      <w:r w:rsidR="00F30C03">
        <w:rPr>
          <w:rFonts w:asciiTheme="minorHAnsi" w:eastAsia="Times New Roman" w:hAnsiTheme="minorHAnsi" w:cs="Times New Roman"/>
          <w:bCs/>
          <w:i/>
          <w:color w:val="000000" w:themeColor="text1"/>
          <w:sz w:val="24"/>
          <w:szCs w:val="24"/>
        </w:rPr>
        <w:t xml:space="preserve"> in evidenza tutte</w:t>
      </w:r>
      <w:r>
        <w:rPr>
          <w:rFonts w:asciiTheme="minorHAnsi" w:eastAsia="Times New Roman" w:hAnsiTheme="minorHAnsi" w:cs="Times New Roman"/>
          <w:bCs/>
          <w:i/>
          <w:color w:val="000000" w:themeColor="text1"/>
          <w:sz w:val="24"/>
          <w:szCs w:val="24"/>
        </w:rPr>
        <w:t xml:space="preserve"> le modifiche </w:t>
      </w:r>
      <w:r w:rsidR="00F30C03">
        <w:rPr>
          <w:rFonts w:asciiTheme="minorHAnsi" w:eastAsia="Times New Roman" w:hAnsiTheme="minorHAnsi" w:cs="Times New Roman"/>
          <w:bCs/>
          <w:i/>
          <w:color w:val="000000" w:themeColor="text1"/>
          <w:sz w:val="24"/>
          <w:szCs w:val="24"/>
        </w:rPr>
        <w:t xml:space="preserve">sino ad ora </w:t>
      </w:r>
      <w:r w:rsidR="00451BB1">
        <w:rPr>
          <w:rFonts w:asciiTheme="minorHAnsi" w:eastAsia="Times New Roman" w:hAnsiTheme="minorHAnsi" w:cs="Times New Roman"/>
          <w:bCs/>
          <w:i/>
          <w:color w:val="000000" w:themeColor="text1"/>
          <w:sz w:val="24"/>
          <w:szCs w:val="24"/>
        </w:rPr>
        <w:t>approvate</w:t>
      </w:r>
      <w:r>
        <w:rPr>
          <w:rFonts w:asciiTheme="minorHAnsi" w:eastAsia="Times New Roman" w:hAnsiTheme="minorHAnsi" w:cs="Times New Roman"/>
          <w:bCs/>
          <w:i/>
          <w:color w:val="000000" w:themeColor="text1"/>
          <w:sz w:val="24"/>
          <w:szCs w:val="24"/>
        </w:rPr>
        <w:t xml:space="preserve"> </w:t>
      </w:r>
      <w:r w:rsidR="00F30C03">
        <w:rPr>
          <w:rFonts w:asciiTheme="minorHAnsi" w:eastAsia="Times New Roman" w:hAnsiTheme="minorHAnsi" w:cs="Times New Roman"/>
          <w:bCs/>
          <w:i/>
          <w:color w:val="000000" w:themeColor="text1"/>
          <w:sz w:val="24"/>
          <w:szCs w:val="24"/>
        </w:rPr>
        <w:t>dalle Commissioni riunite</w:t>
      </w:r>
      <w:r>
        <w:rPr>
          <w:rFonts w:asciiTheme="minorHAnsi" w:eastAsia="Times New Roman" w:hAnsiTheme="minorHAnsi" w:cs="Times New Roman"/>
          <w:bCs/>
          <w:i/>
          <w:color w:val="000000" w:themeColor="text1"/>
          <w:sz w:val="24"/>
          <w:szCs w:val="24"/>
        </w:rPr>
        <w:t>.</w:t>
      </w:r>
    </w:p>
    <w:p w14:paraId="4F251B1C" w14:textId="650BDEA0" w:rsidR="003775B3" w:rsidRPr="003775B3" w:rsidRDefault="003775B3" w:rsidP="003775B3">
      <w:pPr>
        <w:pBdr>
          <w:top w:val="single" w:sz="4" w:space="1" w:color="auto"/>
          <w:left w:val="single" w:sz="4" w:space="4" w:color="auto"/>
          <w:bottom w:val="single" w:sz="4" w:space="1" w:color="auto"/>
          <w:right w:val="single" w:sz="4" w:space="4" w:color="auto"/>
        </w:pBd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3775B3">
        <w:rPr>
          <w:rFonts w:asciiTheme="minorHAnsi" w:eastAsia="Times New Roman" w:hAnsiTheme="minorHAnsi" w:cs="Times New Roman"/>
          <w:color w:val="000000" w:themeColor="text1"/>
          <w:sz w:val="24"/>
          <w:szCs w:val="24"/>
        </w:rPr>
        <w:t xml:space="preserve">Le modifiche introdotte dagli emendamenti approvati si riportano in </w:t>
      </w:r>
      <w:r w:rsidRPr="003775B3">
        <w:rPr>
          <w:rFonts w:asciiTheme="minorHAnsi" w:eastAsia="Times New Roman" w:hAnsiTheme="minorHAnsi" w:cs="Times New Roman"/>
          <w:color w:val="000000" w:themeColor="text1"/>
          <w:sz w:val="24"/>
          <w:szCs w:val="24"/>
        </w:rPr>
        <w:t>carattere</w:t>
      </w:r>
      <w:r>
        <w:rPr>
          <w:rFonts w:asciiTheme="minorHAnsi" w:eastAsia="Times New Roman" w:hAnsiTheme="minorHAnsi" w:cs="Times New Roman"/>
          <w:b/>
          <w:bCs/>
          <w:color w:val="000000" w:themeColor="text1"/>
          <w:sz w:val="24"/>
          <w:szCs w:val="24"/>
        </w:rPr>
        <w:t xml:space="preserve"> </w:t>
      </w:r>
      <w:r w:rsidRPr="00793CC1">
        <w:rPr>
          <w:rFonts w:asciiTheme="minorHAnsi" w:eastAsia="Times New Roman" w:hAnsiTheme="minorHAnsi" w:cs="Times New Roman"/>
          <w:b/>
          <w:bCs/>
          <w:color w:val="000000" w:themeColor="text1"/>
          <w:sz w:val="24"/>
          <w:szCs w:val="24"/>
        </w:rPr>
        <w:t xml:space="preserve">grassetto, </w:t>
      </w:r>
      <w:r w:rsidRPr="003775B3">
        <w:rPr>
          <w:rFonts w:asciiTheme="minorHAnsi" w:eastAsia="Times New Roman" w:hAnsiTheme="minorHAnsi" w:cs="Times New Roman"/>
          <w:color w:val="000000" w:themeColor="text1"/>
          <w:sz w:val="24"/>
          <w:szCs w:val="24"/>
        </w:rPr>
        <w:t>mentre le soppressioni (sostituzioni comprese) si riportano</w:t>
      </w:r>
      <w:r w:rsidRPr="00793CC1">
        <w:rPr>
          <w:rFonts w:asciiTheme="minorHAnsi" w:eastAsia="Times New Roman" w:hAnsiTheme="minorHAnsi" w:cs="Times New Roman"/>
          <w:b/>
          <w:bCs/>
          <w:color w:val="000000" w:themeColor="text1"/>
          <w:sz w:val="24"/>
          <w:szCs w:val="24"/>
        </w:rPr>
        <w:t xml:space="preserve"> </w:t>
      </w:r>
      <w:r w:rsidRPr="00793CC1">
        <w:rPr>
          <w:rFonts w:asciiTheme="minorHAnsi" w:eastAsia="Times New Roman" w:hAnsiTheme="minorHAnsi" w:cs="Times New Roman"/>
          <w:strike/>
          <w:color w:val="000000" w:themeColor="text1"/>
          <w:sz w:val="24"/>
          <w:szCs w:val="24"/>
          <w:shd w:val="clear" w:color="auto" w:fill="FFFB01"/>
        </w:rPr>
        <w:t>evidenziate</w:t>
      </w:r>
      <w:r w:rsidRPr="00793CC1">
        <w:rPr>
          <w:rFonts w:asciiTheme="minorHAnsi" w:eastAsia="Times New Roman" w:hAnsiTheme="minorHAnsi" w:cs="Times New Roman"/>
          <w:b/>
          <w:bCs/>
          <w:color w:val="000000" w:themeColor="text1"/>
          <w:sz w:val="24"/>
          <w:szCs w:val="24"/>
        </w:rPr>
        <w:t xml:space="preserve">. </w:t>
      </w:r>
      <w:r w:rsidRPr="003775B3">
        <w:rPr>
          <w:rFonts w:asciiTheme="minorHAnsi" w:eastAsia="Times New Roman" w:hAnsiTheme="minorHAnsi" w:cs="Times New Roman"/>
          <w:color w:val="000000" w:themeColor="text1"/>
          <w:sz w:val="24"/>
          <w:szCs w:val="24"/>
        </w:rPr>
        <w:t>I subemendamenti approvati si evidenziano facendo uso del colore</w:t>
      </w:r>
      <w:r w:rsidRPr="00793CC1">
        <w:rPr>
          <w:rFonts w:asciiTheme="minorHAnsi" w:eastAsia="Times New Roman" w:hAnsiTheme="minorHAnsi" w:cs="Times New Roman"/>
          <w:b/>
          <w:bCs/>
          <w:color w:val="000000" w:themeColor="text1"/>
          <w:sz w:val="24"/>
          <w:szCs w:val="24"/>
        </w:rPr>
        <w:t xml:space="preserve"> </w:t>
      </w:r>
      <w:r w:rsidRPr="00793CC1">
        <w:rPr>
          <w:rFonts w:asciiTheme="minorHAnsi" w:eastAsia="Times New Roman" w:hAnsiTheme="minorHAnsi" w:cs="Times New Roman"/>
          <w:b/>
          <w:bCs/>
          <w:color w:val="000000" w:themeColor="text1"/>
          <w:sz w:val="24"/>
          <w:szCs w:val="24"/>
          <w:shd w:val="clear" w:color="auto" w:fill="FF2500"/>
        </w:rPr>
        <w:t>rosso</w:t>
      </w:r>
      <w:r w:rsidRPr="00793CC1">
        <w:rPr>
          <w:rFonts w:asciiTheme="minorHAnsi" w:eastAsia="Times New Roman" w:hAnsiTheme="minorHAnsi" w:cs="Times New Roman"/>
          <w:b/>
          <w:bCs/>
          <w:color w:val="000000" w:themeColor="text1"/>
          <w:sz w:val="24"/>
          <w:szCs w:val="24"/>
        </w:rPr>
        <w:t xml:space="preserve">. </w:t>
      </w:r>
      <w:r w:rsidRPr="003775B3">
        <w:rPr>
          <w:rFonts w:asciiTheme="minorHAnsi" w:eastAsia="Times New Roman" w:hAnsiTheme="minorHAnsi" w:cs="Times New Roman"/>
          <w:color w:val="000000" w:themeColor="text1"/>
          <w:sz w:val="24"/>
          <w:szCs w:val="24"/>
        </w:rPr>
        <w:t>A piè di pagina si riportano i riferimenti della proposta di modifica approvata.</w:t>
      </w:r>
    </w:p>
    <w:p w14:paraId="66FD6DE3" w14:textId="77777777" w:rsidR="00EF5680" w:rsidRPr="00EF5680" w:rsidRDefault="00EF5680" w:rsidP="00793CC1">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p>
    <w:p w14:paraId="335AC487" w14:textId="77777777" w:rsidR="00AD1B0C" w:rsidRPr="00AD1B0C" w:rsidRDefault="00AD1B0C" w:rsidP="00AD1B0C">
      <w:pPr>
        <w:spacing w:after="160" w:line="259" w:lineRule="auto"/>
        <w:jc w:val="both"/>
        <w:rPr>
          <w:rFonts w:cs="Times New Roman"/>
          <w:color w:val="auto"/>
          <w:sz w:val="24"/>
          <w:szCs w:val="24"/>
          <w:lang w:eastAsia="en-US"/>
        </w:rPr>
      </w:pPr>
    </w:p>
    <w:p w14:paraId="3C3231A8"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 1.</w:t>
      </w:r>
    </w:p>
    <w:p w14:paraId="6CA7BFDD" w14:textId="77777777" w:rsidR="00AD1B0C" w:rsidRPr="00AD1B0C" w:rsidRDefault="00AD1B0C" w:rsidP="00AD1B0C">
      <w:pPr>
        <w:spacing w:after="160" w:line="259" w:lineRule="auto"/>
        <w:jc w:val="both"/>
        <w:rPr>
          <w:rFonts w:cs="Times New Roman"/>
          <w:color w:val="auto"/>
          <w:sz w:val="24"/>
          <w:szCs w:val="24"/>
          <w:lang w:eastAsia="en-US"/>
        </w:rPr>
      </w:pPr>
    </w:p>
    <w:p w14:paraId="7A786636"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 È convertito in legge il decreto-legge 8 aprile 2020, n. 23, recante misure urgenti in materia di accesso al credito e di adempimenti fiscali per le imprese, di poteri speciali nei settori strategici, nonché interventi in materia di salute e lavoro, di proroga di termini amministrativi e processuali.</w:t>
      </w:r>
    </w:p>
    <w:p w14:paraId="77F6193A"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  2. La presente legge entra in vigore il giorno successivo a quello della sua pubblicazione nella Gazzetta Ufficiale.</w:t>
      </w:r>
    </w:p>
    <w:p w14:paraId="3732D0C3"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w:t>
      </w:r>
    </w:p>
    <w:p w14:paraId="337FAB12" w14:textId="77777777" w:rsidR="00AD1B0C" w:rsidRPr="00793CC1" w:rsidRDefault="00AD1B0C" w:rsidP="00AD1B0C">
      <w:pPr>
        <w:pStyle w:val="NormaleWeb"/>
        <w:shd w:val="clear" w:color="auto" w:fill="FFFFFF"/>
        <w:tabs>
          <w:tab w:val="left" w:pos="993"/>
        </w:tabs>
        <w:jc w:val="center"/>
        <w:rPr>
          <w:rFonts w:asciiTheme="minorHAnsi" w:hAnsiTheme="minorHAnsi" w:cs="Arial"/>
          <w:color w:val="000000" w:themeColor="text1"/>
        </w:rPr>
      </w:pPr>
      <w:r>
        <w:rPr>
          <w:rFonts w:asciiTheme="minorHAnsi" w:hAnsiTheme="minorHAnsi" w:cs="Arial"/>
          <w:bCs/>
          <w:color w:val="000000" w:themeColor="text1"/>
        </w:rPr>
        <w:t>DECRETO LEGGE</w:t>
      </w:r>
    </w:p>
    <w:p w14:paraId="43D2B066"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Decreto-legge 8 aprile 2020, n. 23, pubblicato nella Gazzetta Ufficiale n. 94 dell'8 aprile 2020*.</w:t>
      </w:r>
    </w:p>
    <w:p w14:paraId="04C61140"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Misure urgenti in materia di accesso al credito e di adempimenti fiscali per le imprese, di poteri speciali nei settori strategici, nonché interventi in materia di salute e lavoro, di proroga di termini amministrativi e processuali.</w:t>
      </w:r>
    </w:p>
    <w:p w14:paraId="3D906FB5"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Si veda anche l'Avviso di rettifica pubblicato nella Gazzetta Ufficiale n. 95 del 9 aprile 2020</w:t>
      </w:r>
    </w:p>
    <w:p w14:paraId="691A5A14" w14:textId="77777777" w:rsidR="00AD1B0C" w:rsidRPr="00AD1B0C" w:rsidRDefault="00AD1B0C" w:rsidP="00AD1B0C">
      <w:pPr>
        <w:spacing w:after="160" w:line="259" w:lineRule="auto"/>
        <w:jc w:val="both"/>
        <w:rPr>
          <w:rFonts w:cs="Times New Roman"/>
          <w:color w:val="auto"/>
          <w:sz w:val="24"/>
          <w:szCs w:val="24"/>
          <w:lang w:eastAsia="en-US"/>
        </w:rPr>
      </w:pPr>
    </w:p>
    <w:p w14:paraId="32FE9D9D"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Capo I</w:t>
      </w:r>
    </w:p>
    <w:p w14:paraId="6CF15C89"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MISURE DI ACCESSO AL CREDITO PER LE IMPRESE</w:t>
      </w:r>
    </w:p>
    <w:p w14:paraId="0277DF12" w14:textId="77777777" w:rsidR="00AD1B0C" w:rsidRPr="00AD1B0C" w:rsidRDefault="00AD1B0C" w:rsidP="00AD1B0C">
      <w:pPr>
        <w:spacing w:after="160" w:line="259" w:lineRule="auto"/>
        <w:jc w:val="center"/>
        <w:rPr>
          <w:rFonts w:cs="Times New Roman"/>
          <w:color w:val="auto"/>
          <w:sz w:val="24"/>
          <w:szCs w:val="24"/>
          <w:lang w:eastAsia="en-US"/>
        </w:rPr>
      </w:pPr>
    </w:p>
    <w:p w14:paraId="4BB56D36"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Articolo 1.</w:t>
      </w:r>
    </w:p>
    <w:p w14:paraId="0A2B88E3"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(Misure temporanee per il sostegno alla liquidità delle imprese)</w:t>
      </w:r>
    </w:p>
    <w:p w14:paraId="432F35E5" w14:textId="77777777" w:rsidR="00AD1B0C" w:rsidRPr="00AD1B0C" w:rsidRDefault="00AD1B0C" w:rsidP="00AD1B0C">
      <w:pPr>
        <w:spacing w:after="160" w:line="259" w:lineRule="auto"/>
        <w:jc w:val="both"/>
        <w:rPr>
          <w:rFonts w:cs="Times New Roman"/>
          <w:color w:val="auto"/>
          <w:sz w:val="24"/>
          <w:szCs w:val="24"/>
          <w:lang w:eastAsia="en-US"/>
        </w:rPr>
      </w:pPr>
    </w:p>
    <w:p w14:paraId="05336C56" w14:textId="77777777" w:rsidR="0004407E" w:rsidRPr="000749BB" w:rsidRDefault="00AD1B0C" w:rsidP="0004407E">
      <w:pPr>
        <w:jc w:val="both"/>
        <w:rPr>
          <w:b/>
          <w:color w:val="000000" w:themeColor="text1"/>
          <w:sz w:val="24"/>
          <w:szCs w:val="24"/>
        </w:rPr>
      </w:pPr>
      <w:r w:rsidRPr="00AD1B0C">
        <w:rPr>
          <w:rFonts w:cs="Times New Roman"/>
          <w:color w:val="auto"/>
          <w:sz w:val="24"/>
          <w:szCs w:val="24"/>
          <w:lang w:eastAsia="en-US"/>
        </w:rPr>
        <w:t>  1. Al fine di assicurare la necessaria liquidità alle imprese con sede in Italia, colpite dall'epidemia COVID-19, diverse dalle banche e da altri soggetti autorizzati all'esercizio del credito, SACE S.p.A. concede fino al 31 dicembre 2020 garanzie, in conformità con la normativa europea in tema di aiuti di Stato e nel rispetto dei criteri e delle condizioni previste dai commi da 2 a 11, in favore di banche, di istituzioni finanziarie nazionali e internazionali e degli altri soggetti abilitati all'esercizio del credito in Italia, per finanziamenti sotto qualsiasi forma alle suddette imprese. Gli impegni assunti dalla SACE S.p.A. ai sensi del presente comma non superano l'importo complessivo massimo di 200 miliardi di euro, di cui almeno 30 miliardi sono destinati a supporto di piccole e medie imprese come definite dalla Raccomandazione della Commissione europea n. 2003/361/CE, ivi inclusi i lavoratori autonomi e i liberi professionisti titolari di partita IVA</w:t>
      </w:r>
      <w:r w:rsidR="00E34094">
        <w:rPr>
          <w:rFonts w:cs="Times New Roman"/>
          <w:color w:val="auto"/>
          <w:sz w:val="24"/>
          <w:szCs w:val="24"/>
          <w:lang w:eastAsia="en-US"/>
        </w:rPr>
        <w:t xml:space="preserve"> </w:t>
      </w:r>
      <w:r w:rsidR="00E34094" w:rsidRPr="000749BB">
        <w:rPr>
          <w:b/>
          <w:color w:val="000000" w:themeColor="text1"/>
          <w:sz w:val="24"/>
          <w:szCs w:val="24"/>
        </w:rPr>
        <w:t xml:space="preserve">nonché le associazioni professionali </w:t>
      </w:r>
      <w:r w:rsidR="00E34094">
        <w:rPr>
          <w:b/>
          <w:color w:val="000000" w:themeColor="text1"/>
          <w:sz w:val="24"/>
          <w:szCs w:val="24"/>
        </w:rPr>
        <w:t>e le società tra professionisti</w:t>
      </w:r>
      <w:r w:rsidR="008C6A11">
        <w:rPr>
          <w:rStyle w:val="Rimandonotaapidipagina"/>
          <w:b/>
          <w:color w:val="000000" w:themeColor="text1"/>
          <w:sz w:val="24"/>
          <w:szCs w:val="24"/>
        </w:rPr>
        <w:footnoteReference w:id="1"/>
      </w:r>
      <w:r w:rsidRPr="00AD1B0C">
        <w:rPr>
          <w:rFonts w:cs="Times New Roman"/>
          <w:color w:val="auto"/>
          <w:sz w:val="24"/>
          <w:szCs w:val="24"/>
          <w:lang w:eastAsia="en-US"/>
        </w:rPr>
        <w:t>, che abbiano pienamente utilizzato la loro capacità di accesso al Fondo di cui all'articolo 2, comma 100, lettera a), della legge 23 dicembre 1996, n. 662</w:t>
      </w:r>
      <w:r w:rsidR="0004407E" w:rsidRPr="000749BB">
        <w:rPr>
          <w:b/>
          <w:color w:val="000000" w:themeColor="text1"/>
          <w:sz w:val="24"/>
          <w:szCs w:val="24"/>
        </w:rPr>
        <w:t>, nonché alle garanzie concesse ai sensi dell'articolo 17, comma 2, del decreto legislativo 29 marzo 2004, n. 102.</w:t>
      </w:r>
      <w:r w:rsidR="0004407E">
        <w:rPr>
          <w:rStyle w:val="Rimandonotaapidipagina"/>
          <w:b/>
          <w:color w:val="000000" w:themeColor="text1"/>
          <w:sz w:val="24"/>
          <w:szCs w:val="24"/>
        </w:rPr>
        <w:footnoteReference w:id="2"/>
      </w:r>
    </w:p>
    <w:p w14:paraId="20CFC010"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w:t>
      </w:r>
      <w:r w:rsidR="00375658" w:rsidRPr="00375658">
        <w:rPr>
          <w:b/>
          <w:color w:val="000000" w:themeColor="text1"/>
          <w:sz w:val="24"/>
          <w:szCs w:val="24"/>
        </w:rPr>
        <w:t xml:space="preserve"> </w:t>
      </w:r>
      <w:r w:rsidR="00375658" w:rsidRPr="002756C5">
        <w:rPr>
          <w:b/>
          <w:color w:val="000000" w:themeColor="text1"/>
          <w:sz w:val="24"/>
          <w:szCs w:val="24"/>
        </w:rPr>
        <w:t xml:space="preserve">1-bis. Dalle garanzie per finanziamenti di cui al presente articolo sono in ogni caso escluse le società che controllano direttamente o indirettamente, ai sensi dell'articolo 2359 del codice civile, una società residente in un Paese o in un territorio non cooperativo a fini fiscali, ovvero che sia controllata, direttamente o indirettamente, ai sensi dell'articolo 2359 del codice civile, da una società residente in un Paese o in un territorio non cooperativo a fini fiscali. Per Paese o territorio non cooperativo a fini </w:t>
      </w:r>
      <w:r w:rsidR="00375658" w:rsidRPr="002756C5">
        <w:rPr>
          <w:b/>
          <w:color w:val="000000" w:themeColor="text1"/>
          <w:sz w:val="24"/>
          <w:szCs w:val="24"/>
        </w:rPr>
        <w:lastRenderedPageBreak/>
        <w:t>fiscali si intendono le giurisdizioni individuate nell'allegato I della lista UE delle giurisdizioni non cooperative ai fini fiscali, adottata con conclusioni del Consiglio dell'Unione europea. La condizione di cui al presente comma non si applica se la società dimostra che il soggetto non residente svolge un'attività economica effettiva, mediante l'impiego di personale, attrezzature, attivi e locali. Ai fini del presente comma, il contribuente può interpellare l'Agenzia delle entrate ai sensi dell'articolo 11, comma 1, lettera b), della legge 27 luglio 2000, n. 212.</w:t>
      </w:r>
      <w:r w:rsidR="00375658">
        <w:rPr>
          <w:rStyle w:val="Rimandonotaapidipagina"/>
          <w:b/>
          <w:color w:val="000000" w:themeColor="text1"/>
          <w:sz w:val="24"/>
          <w:szCs w:val="24"/>
        </w:rPr>
        <w:footnoteReference w:id="3"/>
      </w:r>
    </w:p>
    <w:p w14:paraId="5D07EEB7"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  2. Le garanzie di cui al comma 1 sono rilasciate alle seguenti condizioni:</w:t>
      </w:r>
    </w:p>
    <w:p w14:paraId="145DD892" w14:textId="77777777" w:rsidR="00AD1B0C" w:rsidRPr="00AD1B0C" w:rsidRDefault="00AD1B0C" w:rsidP="00AD1B0C">
      <w:pPr>
        <w:spacing w:after="160" w:line="259" w:lineRule="auto"/>
        <w:jc w:val="both"/>
        <w:rPr>
          <w:rFonts w:cs="Times New Roman"/>
          <w:color w:val="auto"/>
          <w:sz w:val="24"/>
          <w:szCs w:val="24"/>
          <w:lang w:eastAsia="en-US"/>
        </w:rPr>
      </w:pPr>
    </w:p>
    <w:p w14:paraId="6F4A16B4"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xml:space="preserve">   a) la garanzia è rilasciata entro il 31 dicembre 2020, per finanziamenti di durata non superiore a 6 anni, con la possibilità per le imprese di avvalersi di un preammortamento di durata fino a </w:t>
      </w:r>
      <w:r w:rsidRPr="00E12D33">
        <w:rPr>
          <w:rFonts w:cs="Times New Roman"/>
          <w:strike/>
          <w:color w:val="auto"/>
          <w:sz w:val="24"/>
          <w:szCs w:val="24"/>
          <w:highlight w:val="yellow"/>
          <w:lang w:eastAsia="en-US"/>
        </w:rPr>
        <w:t>24 mesi</w:t>
      </w:r>
      <w:r w:rsidR="00E12D33">
        <w:rPr>
          <w:rFonts w:cs="Times New Roman"/>
          <w:color w:val="auto"/>
          <w:sz w:val="24"/>
          <w:szCs w:val="24"/>
          <w:lang w:eastAsia="en-US"/>
        </w:rPr>
        <w:t xml:space="preserve"> </w:t>
      </w:r>
      <w:r w:rsidR="00E12D33" w:rsidRPr="002756C5">
        <w:rPr>
          <w:b/>
          <w:color w:val="000000" w:themeColor="text1"/>
          <w:sz w:val="24"/>
          <w:szCs w:val="24"/>
        </w:rPr>
        <w:t>36 mesi</w:t>
      </w:r>
      <w:r w:rsidR="00533418">
        <w:rPr>
          <w:rStyle w:val="Rimandonotaapidipagina"/>
          <w:b/>
          <w:color w:val="000000" w:themeColor="text1"/>
          <w:sz w:val="24"/>
          <w:szCs w:val="24"/>
        </w:rPr>
        <w:footnoteReference w:id="4"/>
      </w:r>
      <w:r w:rsidRPr="00AD1B0C">
        <w:rPr>
          <w:rFonts w:cs="Times New Roman"/>
          <w:color w:val="auto"/>
          <w:sz w:val="24"/>
          <w:szCs w:val="24"/>
          <w:lang w:eastAsia="en-US"/>
        </w:rPr>
        <w:t>;</w:t>
      </w:r>
    </w:p>
    <w:p w14:paraId="0855E40A" w14:textId="77777777" w:rsidR="00AD1B0C" w:rsidRPr="00AD1B0C" w:rsidRDefault="00AD1B0C" w:rsidP="00AD1B0C">
      <w:pPr>
        <w:spacing w:after="160" w:line="259" w:lineRule="auto"/>
        <w:jc w:val="both"/>
        <w:rPr>
          <w:rFonts w:cs="Times New Roman"/>
          <w:color w:val="auto"/>
          <w:sz w:val="24"/>
          <w:szCs w:val="24"/>
          <w:lang w:eastAsia="en-US"/>
        </w:rPr>
      </w:pPr>
    </w:p>
    <w:p w14:paraId="621A15CB" w14:textId="77777777" w:rsid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xml:space="preserve">   b) al 31 dicembre 2019 l'impresa beneficiaria non rientrava nella categoria delle imprese in difficoltà ai sensi del Regolamento (UE) n. 651/2014 della Commissione, del 17 giugno 2014, del Regolamento (UE) n. 702/2014 del 25 giugno 2014 e del Regolamento (UE) n. 1388/2014 del 16 dicembre 2014, e alla data del 29 febbraio 2020 non risultava presente tra le esposizioni deteriorate presso il sistema bancario, </w:t>
      </w:r>
      <w:r w:rsidRPr="000F53CD">
        <w:rPr>
          <w:rFonts w:cs="Times New Roman"/>
          <w:strike/>
          <w:color w:val="auto"/>
          <w:sz w:val="24"/>
          <w:szCs w:val="24"/>
          <w:highlight w:val="yellow"/>
          <w:lang w:eastAsia="en-US"/>
        </w:rPr>
        <w:t>come definite ai sensi della normativa europea</w:t>
      </w:r>
      <w:r w:rsidR="000F53CD">
        <w:rPr>
          <w:rFonts w:cs="Times New Roman"/>
          <w:color w:val="auto"/>
          <w:sz w:val="24"/>
          <w:szCs w:val="24"/>
          <w:lang w:eastAsia="en-US"/>
        </w:rPr>
        <w:t xml:space="preserve"> </w:t>
      </w:r>
      <w:r w:rsidR="000F53CD" w:rsidRPr="002756C5">
        <w:rPr>
          <w:b/>
          <w:color w:val="000000" w:themeColor="text1"/>
          <w:sz w:val="24"/>
          <w:szCs w:val="24"/>
        </w:rPr>
        <w:t>come rilevabili dal soggetto finanziatore</w:t>
      </w:r>
      <w:r w:rsidR="000F53CD">
        <w:rPr>
          <w:rStyle w:val="Rimandonotaapidipagina"/>
          <w:b/>
          <w:color w:val="000000" w:themeColor="text1"/>
          <w:sz w:val="24"/>
          <w:szCs w:val="24"/>
        </w:rPr>
        <w:footnoteReference w:id="5"/>
      </w:r>
      <w:r w:rsidRPr="00AD1B0C">
        <w:rPr>
          <w:rFonts w:cs="Times New Roman"/>
          <w:color w:val="auto"/>
          <w:sz w:val="24"/>
          <w:szCs w:val="24"/>
          <w:lang w:eastAsia="en-US"/>
        </w:rPr>
        <w:t>;</w:t>
      </w:r>
    </w:p>
    <w:p w14:paraId="1DC2F580" w14:textId="77777777" w:rsidR="00830635" w:rsidRPr="002756C5" w:rsidRDefault="00830635" w:rsidP="00830635">
      <w:pPr>
        <w:jc w:val="both"/>
        <w:rPr>
          <w:b/>
          <w:color w:val="000000" w:themeColor="text1"/>
          <w:sz w:val="24"/>
          <w:szCs w:val="24"/>
        </w:rPr>
      </w:pPr>
      <w:r w:rsidRPr="002756C5">
        <w:rPr>
          <w:b/>
          <w:color w:val="000000" w:themeColor="text1"/>
          <w:sz w:val="24"/>
          <w:szCs w:val="24"/>
        </w:rPr>
        <w:t xml:space="preserve">b-bis) nella definizione del rapporto debito/patrimonio netto contabile registrato negli ultimi due anni dall'impresa, che non può essere superiore a 7,5, così come indicato dal punto 1) della lettera e) del comma 18 dell'articolo 2 del Regolamento (UE) n. 651/2014 della Commissione del 17 giugno 2014, parametro indispensabile per la definizione di «impresa in difficoltà», vengono inclusi, nel calcolo del patrimonio, i crediti non prescritti, certi, liquidi ed esigibili, maturati nei confronti delle amministrazioni pubbliche di cui all'articolo 1, comma 2, del decreto legislativo 30 marzo 2001, n. 165, per somministrazione, forniture e appalti, certificati ai sensi dell'articolo 9, comma 3-bis, del decreto-legge 29 novembre 2008, n. 185, convertito, con modificazioni, dalla legge 28 gennaio 2009, n. 2, e le </w:t>
      </w:r>
      <w:r w:rsidRPr="002756C5">
        <w:rPr>
          <w:b/>
          <w:color w:val="000000" w:themeColor="text1"/>
          <w:sz w:val="24"/>
          <w:szCs w:val="24"/>
        </w:rPr>
        <w:lastRenderedPageBreak/>
        <w:t>certificazioni richiamate all'articolo 9, comma 3-ter, lettera b), ultimo periodo, del medesimo decreto, recanti la data prevista per il pagamento, emesse mediante l'apposita piattaforma elettronica.</w:t>
      </w:r>
      <w:r>
        <w:rPr>
          <w:rStyle w:val="Rimandonotaapidipagina"/>
          <w:b/>
          <w:color w:val="000000" w:themeColor="text1"/>
          <w:sz w:val="24"/>
          <w:szCs w:val="24"/>
        </w:rPr>
        <w:footnoteReference w:id="6"/>
      </w:r>
    </w:p>
    <w:p w14:paraId="5B50E06D" w14:textId="77777777" w:rsidR="00AD1B0C" w:rsidRPr="00AD1B0C" w:rsidRDefault="00AD1B0C" w:rsidP="00AD1B0C">
      <w:pPr>
        <w:spacing w:after="160" w:line="259" w:lineRule="auto"/>
        <w:jc w:val="both"/>
        <w:rPr>
          <w:rFonts w:cs="Times New Roman"/>
          <w:color w:val="auto"/>
          <w:sz w:val="24"/>
          <w:szCs w:val="24"/>
          <w:lang w:eastAsia="en-US"/>
        </w:rPr>
      </w:pPr>
    </w:p>
    <w:p w14:paraId="48BEA6E4"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   c) l'importo del prestito assistito da garanzia non è superiore al maggiore tra i seguenti elementi:</w:t>
      </w:r>
    </w:p>
    <w:p w14:paraId="551544E1" w14:textId="77777777" w:rsidR="00AD1B0C" w:rsidRPr="00AD1B0C" w:rsidRDefault="00AD1B0C" w:rsidP="00AD1B0C">
      <w:pPr>
        <w:spacing w:after="160" w:line="259" w:lineRule="auto"/>
        <w:jc w:val="both"/>
        <w:rPr>
          <w:rFonts w:cs="Times New Roman"/>
          <w:color w:val="auto"/>
          <w:sz w:val="24"/>
          <w:szCs w:val="24"/>
          <w:lang w:eastAsia="en-US"/>
        </w:rPr>
      </w:pPr>
    </w:p>
    <w:p w14:paraId="2C005397"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 25 per cento del fatturato annuo dell'impresa relativi al 2019, come risultante dal bilancio ovvero dalla dichiarazione fiscale;</w:t>
      </w:r>
    </w:p>
    <w:p w14:paraId="23939841" w14:textId="77777777" w:rsidR="00AD1B0C" w:rsidRPr="00AD1B0C" w:rsidRDefault="00AD1B0C" w:rsidP="00AD1B0C">
      <w:pPr>
        <w:spacing w:after="160" w:line="259" w:lineRule="auto"/>
        <w:jc w:val="both"/>
        <w:rPr>
          <w:rFonts w:cs="Times New Roman"/>
          <w:color w:val="auto"/>
          <w:sz w:val="24"/>
          <w:szCs w:val="24"/>
          <w:lang w:eastAsia="en-US"/>
        </w:rPr>
      </w:pPr>
    </w:p>
    <w:p w14:paraId="7044CBA1"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    2) il doppio dei costi del personale dell'impresa relativi al 2019, come risultanti dal bilancio ovvero da dati certificati se l'impresa non ha approvato il bilancio; qualora l'impresa abbia iniziato la propria attività successivamente al 31 dicembre 2018, si fa riferimento ai costi del personale attesi per i primi due anni di attività, come documentato e attestato dal rappresentante legale dell'impresa;</w:t>
      </w:r>
    </w:p>
    <w:p w14:paraId="1A44CD69" w14:textId="77777777" w:rsidR="00AD1B0C" w:rsidRPr="00AD1B0C" w:rsidRDefault="00AD1B0C" w:rsidP="00AD1B0C">
      <w:pPr>
        <w:spacing w:after="160" w:line="259" w:lineRule="auto"/>
        <w:jc w:val="both"/>
        <w:rPr>
          <w:rFonts w:cs="Times New Roman"/>
          <w:color w:val="auto"/>
          <w:sz w:val="24"/>
          <w:szCs w:val="24"/>
          <w:lang w:eastAsia="en-US"/>
        </w:rPr>
      </w:pPr>
    </w:p>
    <w:p w14:paraId="5C88FA9A"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   d) la garanzia, in concorso paritetico e proporzionale tra garante e garantito nelle perdite per mancato rimborso del finanziamento, copre il:</w:t>
      </w:r>
    </w:p>
    <w:p w14:paraId="0E02CE66" w14:textId="77777777" w:rsidR="00AD1B0C" w:rsidRPr="00AD1B0C" w:rsidRDefault="00AD1B0C" w:rsidP="00AD1B0C">
      <w:pPr>
        <w:spacing w:after="160" w:line="259" w:lineRule="auto"/>
        <w:jc w:val="both"/>
        <w:rPr>
          <w:rFonts w:cs="Times New Roman"/>
          <w:color w:val="auto"/>
          <w:sz w:val="24"/>
          <w:szCs w:val="24"/>
          <w:lang w:eastAsia="en-US"/>
        </w:rPr>
      </w:pPr>
    </w:p>
    <w:p w14:paraId="1CB4DA7A"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 90 per cento dell'importo del finanziamento per imprese con meno di 5000 dipendenti in Italia e valore del fatturato fino a 1,5 miliardi di euro;</w:t>
      </w:r>
    </w:p>
    <w:p w14:paraId="612E2F5E" w14:textId="77777777" w:rsidR="00AD1B0C" w:rsidRPr="00AD1B0C" w:rsidRDefault="00AD1B0C" w:rsidP="00AD1B0C">
      <w:pPr>
        <w:spacing w:after="160" w:line="259" w:lineRule="auto"/>
        <w:jc w:val="both"/>
        <w:rPr>
          <w:rFonts w:cs="Times New Roman"/>
          <w:color w:val="auto"/>
          <w:sz w:val="24"/>
          <w:szCs w:val="24"/>
          <w:lang w:eastAsia="en-US"/>
        </w:rPr>
      </w:pPr>
    </w:p>
    <w:p w14:paraId="43DC1A11"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    2) 80 per cento dell'importo del finanziamento per imprese con valore del fatturato tra 1,5 miliardi e 5 miliardi di euro o con più di 5000 dipendenti in Italia;</w:t>
      </w:r>
    </w:p>
    <w:p w14:paraId="6DE0CDBF" w14:textId="77777777" w:rsidR="00AD1B0C" w:rsidRPr="00AD1B0C" w:rsidRDefault="00AD1B0C" w:rsidP="00AD1B0C">
      <w:pPr>
        <w:spacing w:after="160" w:line="259" w:lineRule="auto"/>
        <w:jc w:val="both"/>
        <w:rPr>
          <w:rFonts w:cs="Times New Roman"/>
          <w:color w:val="auto"/>
          <w:sz w:val="24"/>
          <w:szCs w:val="24"/>
          <w:lang w:eastAsia="en-US"/>
        </w:rPr>
      </w:pPr>
    </w:p>
    <w:p w14:paraId="644214D7"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    3) 70 per cento per le imprese con valore del fatturato superiore a 5 miliardi di euro;</w:t>
      </w:r>
    </w:p>
    <w:p w14:paraId="56267111" w14:textId="77777777" w:rsidR="00AD1B0C" w:rsidRPr="00AD1B0C" w:rsidRDefault="00AD1B0C" w:rsidP="00AD1B0C">
      <w:pPr>
        <w:spacing w:after="160" w:line="259" w:lineRule="auto"/>
        <w:jc w:val="both"/>
        <w:rPr>
          <w:rFonts w:cs="Times New Roman"/>
          <w:color w:val="auto"/>
          <w:sz w:val="24"/>
          <w:szCs w:val="24"/>
          <w:lang w:eastAsia="en-US"/>
        </w:rPr>
      </w:pPr>
    </w:p>
    <w:p w14:paraId="1BCC87C6"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   e) le commissioni annuali dovute dalle imprese per il rilascio della garanzia sono le seguenti:</w:t>
      </w:r>
    </w:p>
    <w:p w14:paraId="10816E4E" w14:textId="77777777" w:rsidR="00AD1B0C" w:rsidRPr="00AD1B0C" w:rsidRDefault="00AD1B0C" w:rsidP="00AD1B0C">
      <w:pPr>
        <w:spacing w:after="160" w:line="259" w:lineRule="auto"/>
        <w:jc w:val="both"/>
        <w:rPr>
          <w:rFonts w:cs="Times New Roman"/>
          <w:color w:val="auto"/>
          <w:sz w:val="24"/>
          <w:szCs w:val="24"/>
          <w:lang w:eastAsia="en-US"/>
        </w:rPr>
      </w:pPr>
    </w:p>
    <w:p w14:paraId="507162BA"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 per i finanziamenti di piccole e medie imprese sono corrisposti, in rapporto all'importo garantito, 25 punti base durante il primo anno, 50 punti base durante il secondo e terzo anno, 100 punti base durante il quarto, quinto e sesto anno;</w:t>
      </w:r>
    </w:p>
    <w:p w14:paraId="28E562D9" w14:textId="77777777" w:rsidR="00AD1B0C" w:rsidRPr="00AD1B0C" w:rsidRDefault="00AD1B0C" w:rsidP="00AD1B0C">
      <w:pPr>
        <w:spacing w:after="160" w:line="259" w:lineRule="auto"/>
        <w:jc w:val="both"/>
        <w:rPr>
          <w:rFonts w:cs="Times New Roman"/>
          <w:color w:val="auto"/>
          <w:sz w:val="24"/>
          <w:szCs w:val="24"/>
          <w:lang w:eastAsia="en-US"/>
        </w:rPr>
      </w:pPr>
    </w:p>
    <w:p w14:paraId="030DDA2E"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    2) per i finanziamenti di imprese diverse dalle piccole e medie imprese sono corrisposti, in rapporto all'importo garantito, 50 punti base durante il primo anno, 100 punti base durante il secondo e terzo anno, 200 punti base durante il quarto, quinto e sesto anno;</w:t>
      </w:r>
    </w:p>
    <w:p w14:paraId="4577C4CB" w14:textId="77777777" w:rsidR="00AD1B0C" w:rsidRPr="00AD1B0C" w:rsidRDefault="00AD1B0C" w:rsidP="00AD1B0C">
      <w:pPr>
        <w:spacing w:after="160" w:line="259" w:lineRule="auto"/>
        <w:jc w:val="both"/>
        <w:rPr>
          <w:rFonts w:cs="Times New Roman"/>
          <w:color w:val="auto"/>
          <w:sz w:val="24"/>
          <w:szCs w:val="24"/>
          <w:lang w:eastAsia="en-US"/>
        </w:rPr>
      </w:pPr>
    </w:p>
    <w:p w14:paraId="1EC56E6D"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   f) la garanzia è a prima richiesta, esplicita, irrevocabile, e conforme ai requisiti previsti dalla normativa di vigilanza prudenziale ai fini della migliore mitigazione del rischio;</w:t>
      </w:r>
    </w:p>
    <w:p w14:paraId="172A0B70" w14:textId="77777777" w:rsidR="00AD1B0C" w:rsidRPr="00AD1B0C" w:rsidRDefault="00AD1B0C" w:rsidP="00AD1B0C">
      <w:pPr>
        <w:spacing w:after="160" w:line="259" w:lineRule="auto"/>
        <w:jc w:val="both"/>
        <w:rPr>
          <w:rFonts w:cs="Times New Roman"/>
          <w:color w:val="auto"/>
          <w:sz w:val="24"/>
          <w:szCs w:val="24"/>
          <w:lang w:eastAsia="en-US"/>
        </w:rPr>
      </w:pPr>
    </w:p>
    <w:p w14:paraId="4305983C"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   g) la garanzia copre nuovi finanziamenti concessi all'impresa successivamente all'entrata in vigore del presente decreto, per capitale, interessi ed oneri accessori fino all'importo massimo garantito;</w:t>
      </w:r>
    </w:p>
    <w:p w14:paraId="48AE19C0" w14:textId="77777777" w:rsidR="00AD1B0C" w:rsidRPr="00AD1B0C" w:rsidRDefault="00AD1B0C" w:rsidP="00AD1B0C">
      <w:pPr>
        <w:spacing w:after="160" w:line="259" w:lineRule="auto"/>
        <w:jc w:val="both"/>
        <w:rPr>
          <w:rFonts w:cs="Times New Roman"/>
          <w:color w:val="auto"/>
          <w:sz w:val="24"/>
          <w:szCs w:val="24"/>
          <w:lang w:eastAsia="en-US"/>
        </w:rPr>
      </w:pPr>
    </w:p>
    <w:p w14:paraId="5A1EC06D"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   h) le commissioni devono essere limitate al recupero dei costi e il costo dei finanziamenti coperti dalla garanzia deve essere inferiore al costo che sarebbe stato richiesto dal soggetto o dai soggetti eroganti per operazioni con le medesime caratteristiche ma prive della garanzia, come documentato e attestato dal rappresentante legale dei suddetti soggetti eroganti. Tale minor costo deve essere almeno uguale alla differenza tra il costo che sarebbe stato richiesto dal soggetto o dai soggetti eroganti per operazioni con le medesime caratteristiche ma prive della garanzia, come documentato e attestato dal rappresentante legale dei suddetti soggetti eroganti, ed il costo effettivamente applicato all'impresa;</w:t>
      </w:r>
    </w:p>
    <w:p w14:paraId="68C90217" w14:textId="77777777" w:rsidR="00AD1B0C" w:rsidRPr="00AD1B0C" w:rsidRDefault="00AD1B0C" w:rsidP="00AD1B0C">
      <w:pPr>
        <w:spacing w:after="160" w:line="259" w:lineRule="auto"/>
        <w:jc w:val="both"/>
        <w:rPr>
          <w:rFonts w:cs="Times New Roman"/>
          <w:color w:val="auto"/>
          <w:sz w:val="24"/>
          <w:szCs w:val="24"/>
          <w:lang w:eastAsia="en-US"/>
        </w:rPr>
      </w:pPr>
    </w:p>
    <w:p w14:paraId="02622D29" w14:textId="77777777" w:rsidR="00DF6578" w:rsidRPr="002756C5" w:rsidRDefault="00AD1B0C" w:rsidP="00DF6578">
      <w:pPr>
        <w:jc w:val="both"/>
        <w:rPr>
          <w:b/>
          <w:color w:val="000000" w:themeColor="text1"/>
          <w:sz w:val="24"/>
          <w:szCs w:val="24"/>
        </w:rPr>
      </w:pPr>
      <w:r w:rsidRPr="00AD1B0C">
        <w:rPr>
          <w:rFonts w:cs="Times New Roman"/>
          <w:color w:val="auto"/>
          <w:sz w:val="24"/>
          <w:szCs w:val="24"/>
          <w:lang w:eastAsia="en-US"/>
        </w:rPr>
        <w:t>   </w:t>
      </w:r>
      <w:r w:rsidRPr="0077462B">
        <w:rPr>
          <w:rFonts w:cs="Times New Roman"/>
          <w:strike/>
          <w:color w:val="auto"/>
          <w:sz w:val="24"/>
          <w:szCs w:val="24"/>
          <w:highlight w:val="yellow"/>
          <w:lang w:eastAsia="en-US"/>
        </w:rPr>
        <w:t>i) l'impresa che beneficia della garanzia assume l'impegno che essa, nonché ogni altra impresa con sede in Italia che faccia parte del medesimo gruppo cui la prima appartiene, non approvi la distribuzione di dividendi o il riacquisto di azioni nel corso del 2020;</w:t>
      </w:r>
      <w:r w:rsidR="00DF6578" w:rsidRPr="00DF6578">
        <w:rPr>
          <w:rFonts w:cs="Times New Roman"/>
          <w:color w:val="auto"/>
          <w:sz w:val="24"/>
          <w:szCs w:val="24"/>
          <w:lang w:eastAsia="en-US"/>
        </w:rPr>
        <w:t xml:space="preserve"> </w:t>
      </w:r>
      <w:r w:rsidR="00DF6578" w:rsidRPr="002756C5">
        <w:rPr>
          <w:b/>
          <w:color w:val="000000" w:themeColor="text1"/>
          <w:sz w:val="24"/>
          <w:szCs w:val="24"/>
        </w:rPr>
        <w:t>Qualora le suddette imprese abbiano già distribuito dividendi o riacquistato azioni al momento della richiesta del finanziamento, l'impegno anzidetto viene assunto dall'impresa per i 12 mesi successivi al momento della richiesta.</w:t>
      </w:r>
      <w:r w:rsidR="00DF6578">
        <w:rPr>
          <w:rStyle w:val="Rimandonotaapidipagina"/>
          <w:b/>
          <w:color w:val="000000" w:themeColor="text1"/>
          <w:sz w:val="24"/>
          <w:szCs w:val="24"/>
        </w:rPr>
        <w:footnoteReference w:id="7"/>
      </w:r>
    </w:p>
    <w:p w14:paraId="0B6B3A97" w14:textId="77777777" w:rsidR="00AD1B0C" w:rsidRDefault="00AD1B0C" w:rsidP="00AD1B0C">
      <w:pPr>
        <w:spacing w:after="160" w:line="259" w:lineRule="auto"/>
        <w:jc w:val="both"/>
        <w:rPr>
          <w:rFonts w:cs="Times New Roman"/>
          <w:color w:val="auto"/>
          <w:sz w:val="24"/>
          <w:szCs w:val="24"/>
          <w:lang w:eastAsia="en-US"/>
        </w:rPr>
      </w:pPr>
    </w:p>
    <w:p w14:paraId="2BB36B48" w14:textId="77777777" w:rsidR="0077462B" w:rsidRPr="002756C5" w:rsidRDefault="0077462B" w:rsidP="0077462B">
      <w:pPr>
        <w:jc w:val="both"/>
        <w:rPr>
          <w:b/>
          <w:color w:val="000000" w:themeColor="text1"/>
          <w:sz w:val="24"/>
          <w:szCs w:val="24"/>
        </w:rPr>
      </w:pPr>
      <w:r w:rsidRPr="002756C5">
        <w:rPr>
          <w:b/>
          <w:color w:val="000000" w:themeColor="text1"/>
          <w:sz w:val="24"/>
          <w:szCs w:val="24"/>
        </w:rPr>
        <w:t>i) L'impresa che beneficia della garanzia assume l'impegno che essa, nonché ogni altra impresa con sede in Italia che faccia parte del medesimo gruppo cui la prima appartiene, comprese quelle soggette alla direzione e coordinamento da parte della medesima, non approvi la distribuzione di dividendi o il riacquisto di azioni nel corso del 2020.</w:t>
      </w:r>
      <w:r w:rsidR="00994F45">
        <w:rPr>
          <w:rStyle w:val="Rimandonotaapidipagina"/>
          <w:b/>
          <w:color w:val="000000" w:themeColor="text1"/>
          <w:sz w:val="24"/>
          <w:szCs w:val="24"/>
        </w:rPr>
        <w:footnoteReference w:id="8"/>
      </w:r>
    </w:p>
    <w:p w14:paraId="1D276B03" w14:textId="77777777" w:rsidR="00AD1B0C" w:rsidRPr="00AD1B0C" w:rsidRDefault="00AD1B0C" w:rsidP="00AD1B0C">
      <w:pPr>
        <w:spacing w:after="160" w:line="259" w:lineRule="auto"/>
        <w:jc w:val="both"/>
        <w:rPr>
          <w:rFonts w:cs="Times New Roman"/>
          <w:color w:val="auto"/>
          <w:sz w:val="24"/>
          <w:szCs w:val="24"/>
          <w:lang w:eastAsia="en-US"/>
        </w:rPr>
      </w:pPr>
    </w:p>
    <w:p w14:paraId="0C410FB9"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   l) l'impresa che beneficia della garanzia assume l'impegno a gestire i livelli occupazionali attraverso accordi sindacali;</w:t>
      </w:r>
    </w:p>
    <w:p w14:paraId="3704DBD3" w14:textId="77777777" w:rsidR="00AD1B0C" w:rsidRPr="00AD1B0C" w:rsidRDefault="00AD1B0C" w:rsidP="00AD1B0C">
      <w:pPr>
        <w:spacing w:after="160" w:line="259" w:lineRule="auto"/>
        <w:jc w:val="both"/>
        <w:rPr>
          <w:rFonts w:cs="Times New Roman"/>
          <w:color w:val="auto"/>
          <w:sz w:val="24"/>
          <w:szCs w:val="24"/>
          <w:lang w:eastAsia="en-US"/>
        </w:rPr>
      </w:pPr>
    </w:p>
    <w:p w14:paraId="507204E8"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   m) il soggetto finanziatore deve dimostrare che ad esito del rilascio del finanziamento coperto da garanzia l'ammontare complessivo delle esposizioni nei confronti del soggetto finanziato risulta superiore all'ammontare di esposizioni detenute alla data di entrata in vigore del presente decreto, corretto per le riduzioni delle esposizioni intervenute tra le due date in conseguenza del regolamento contrattuale stabilito tra le parti prima dell'entrata in vigore del presente decreto;</w:t>
      </w:r>
    </w:p>
    <w:p w14:paraId="413312F2" w14:textId="77777777" w:rsidR="00AD1B0C" w:rsidRPr="00AD1B0C" w:rsidRDefault="00AD1B0C" w:rsidP="00AD1B0C">
      <w:pPr>
        <w:spacing w:after="160" w:line="259" w:lineRule="auto"/>
        <w:jc w:val="both"/>
        <w:rPr>
          <w:rFonts w:cs="Times New Roman"/>
          <w:color w:val="auto"/>
          <w:sz w:val="24"/>
          <w:szCs w:val="24"/>
          <w:lang w:eastAsia="en-US"/>
        </w:rPr>
      </w:pPr>
    </w:p>
    <w:p w14:paraId="5F6A9F82" w14:textId="77777777" w:rsidR="0034367D" w:rsidRPr="002756C5" w:rsidRDefault="00AD1B0C" w:rsidP="0034367D">
      <w:pPr>
        <w:jc w:val="both"/>
        <w:rPr>
          <w:b/>
          <w:color w:val="000000" w:themeColor="text1"/>
          <w:sz w:val="24"/>
          <w:szCs w:val="24"/>
        </w:rPr>
      </w:pPr>
      <w:r w:rsidRPr="00AD1B0C">
        <w:rPr>
          <w:rFonts w:cs="Times New Roman"/>
          <w:color w:val="auto"/>
          <w:sz w:val="24"/>
          <w:szCs w:val="24"/>
          <w:lang w:eastAsia="en-US"/>
        </w:rPr>
        <w:t>   n) il finanziamento coperto dalla garanzia deve essere destinato a sostenere costi del personale</w:t>
      </w:r>
      <w:r w:rsidR="00525326">
        <w:rPr>
          <w:rFonts w:cs="Times New Roman"/>
          <w:color w:val="auto"/>
          <w:sz w:val="24"/>
          <w:szCs w:val="24"/>
          <w:lang w:eastAsia="en-US"/>
        </w:rPr>
        <w:t xml:space="preserve"> </w:t>
      </w:r>
      <w:r w:rsidR="00525326" w:rsidRPr="002756C5">
        <w:rPr>
          <w:b/>
          <w:color w:val="000000" w:themeColor="text1"/>
          <w:sz w:val="24"/>
          <w:szCs w:val="24"/>
        </w:rPr>
        <w:t xml:space="preserve">dei canoni di locazione </w:t>
      </w:r>
      <w:r w:rsidR="00525326">
        <w:rPr>
          <w:b/>
          <w:color w:val="000000" w:themeColor="text1"/>
          <w:sz w:val="24"/>
          <w:szCs w:val="24"/>
        </w:rPr>
        <w:t>o di affitto di ramo d'azienda</w:t>
      </w:r>
      <w:r w:rsidR="00525326">
        <w:rPr>
          <w:rStyle w:val="Rimandonotaapidipagina"/>
          <w:b/>
          <w:color w:val="000000" w:themeColor="text1"/>
          <w:sz w:val="24"/>
          <w:szCs w:val="24"/>
        </w:rPr>
        <w:footnoteReference w:id="9"/>
      </w:r>
      <w:r w:rsidRPr="00AD1B0C">
        <w:rPr>
          <w:rFonts w:cs="Times New Roman"/>
          <w:color w:val="auto"/>
          <w:sz w:val="24"/>
          <w:szCs w:val="24"/>
          <w:lang w:eastAsia="en-US"/>
        </w:rPr>
        <w:t>, investimenti o capitale circolante impiegati in stabilimenti produttivi e attività imprenditoriali che siano localizzati in Italia, come documentato e attestato dal rappresentante legale dell'impresa beneficiaria</w:t>
      </w:r>
      <w:r w:rsidR="0034367D">
        <w:rPr>
          <w:rFonts w:cs="Times New Roman"/>
          <w:color w:val="auto"/>
          <w:sz w:val="24"/>
          <w:szCs w:val="24"/>
          <w:lang w:eastAsia="en-US"/>
        </w:rPr>
        <w:t xml:space="preserve"> </w:t>
      </w:r>
      <w:r w:rsidR="0034367D" w:rsidRPr="002756C5">
        <w:rPr>
          <w:b/>
          <w:color w:val="000000" w:themeColor="text1"/>
          <w:sz w:val="24"/>
          <w:szCs w:val="24"/>
        </w:rPr>
        <w:t>e che le medesime imprese si impegnino a non delocalizzare le produzioni</w:t>
      </w:r>
      <w:r w:rsidR="0005286F">
        <w:rPr>
          <w:rStyle w:val="Rimandonotaapidipagina"/>
          <w:b/>
          <w:color w:val="000000" w:themeColor="text1"/>
          <w:sz w:val="24"/>
          <w:szCs w:val="24"/>
        </w:rPr>
        <w:footnoteReference w:id="10"/>
      </w:r>
      <w:r w:rsidR="0034367D" w:rsidRPr="0005286F">
        <w:rPr>
          <w:color w:val="000000" w:themeColor="text1"/>
          <w:sz w:val="24"/>
          <w:szCs w:val="24"/>
        </w:rPr>
        <w:t>.</w:t>
      </w:r>
    </w:p>
    <w:p w14:paraId="18763704" w14:textId="77777777" w:rsidR="00AD1B0C" w:rsidRPr="00AD1B0C" w:rsidRDefault="00AD1B0C" w:rsidP="00AD1B0C">
      <w:pPr>
        <w:spacing w:after="160" w:line="259" w:lineRule="auto"/>
        <w:jc w:val="both"/>
        <w:rPr>
          <w:rFonts w:cs="Times New Roman"/>
          <w:color w:val="auto"/>
          <w:sz w:val="24"/>
          <w:szCs w:val="24"/>
          <w:lang w:eastAsia="en-US"/>
        </w:rPr>
      </w:pPr>
    </w:p>
    <w:p w14:paraId="0A294071"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lastRenderedPageBreak/>
        <w:t>  3. Ai fini dell'individuazione del limite di importo garantito indicato dal comma 2, lettera c), si fa riferimento al valore del fatturato in Italia e dei costi del personale sostenuti in Italia da parte dell'impresa ovvero su base consolidata qualora l'impresa appartenga ad un gruppo. L'impresa richiedente è tenuta a comunicare alla banca finanziatrice tale valore. Ai fini della verifica del suddetto limite, qualora la medesima impresa sia beneficiaria di più finanziamenti assistiti dalla garanzia di cui al presente articolo ovvero di altra garanzia pubblica, gli importi di detti finanziamenti si cumulano. Qualora la medesima impresa, ovvero il medesimo gruppo quando la prima è parte di un gruppo, siano beneficiari di più finanziamenti assistiti dalla garanzia di cui al comma 1, gli importi di detti finanziamenti si cumulano.</w:t>
      </w:r>
    </w:p>
    <w:p w14:paraId="6B99D410"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  4. Ai fini dell'individuazione della percentuale di garanzia indicata dal comma 2, lettera d), si fa riferimento al valore su base consolidata del fatturato e dei costi del personale del gruppo, qualora l'impresa beneficiaria sia parte di un gruppo. L'impresa richiedente è tenuta a comunicare alla banca finanziatrice tale valore. Le percentuali indicate al comma 2, lettera d) si applicano sull'importo residuo dovuto, in caso di ammortamento progressivo del finanziamento.</w:t>
      </w:r>
    </w:p>
    <w:p w14:paraId="07695FAE"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  5. Sulle obbligazioni di SACE S.p.A. derivanti dalle garanzie disciplinate dal comma 1, è accordata di diritto la garanzia dello Stato a prima richiesta e senza regresso, la cui operatività sarà registrata da SACE S.p.A. con gestione separata. La garanzia dello Stato è esplicita, incondizionata, irrevocabile e si estende al rimborso del capitale, al pagamento degli interessi e ad ogni altro onere accessorio, al netto delle commissioni ricevute per le medesime garanzie. SACE S.p.A. svolge anche per conto del Ministero dell'economia e delle finanze le attività relative all'escussione della garanzia e al recupero dei crediti, che può altresì delegare alle banche, alle istituzioni finanziarie nazionali e internazionali e agli altri soggetti abilitati all'esercizio del credito in Italia. SACE S.p.A. opera con la dovuta diligenza professionale. Con decreto del Ministro dell'economia e delle finanze possono essere impartiti a SACE S.p.A. indirizzi sulla gestione dell'attività di rilascio delle garanzie e sulla verifica, al fine dell'escussione della garanzia dello Stato, del rispetto dei suddetti indirizzi e dei criteri e condizioni previsti dal presente articolo.</w:t>
      </w:r>
    </w:p>
    <w:p w14:paraId="70883F0B"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  6. Per il rilascio delle garanzie che coprono finanziamenti in favore di imprese con meno di 5000 dipendenti in Italia e con valore del fatturato inferiore a 1,5 miliardi di euro, sulla base dei dati risultanti da bilancio ovvero di dati certificati con riferimento alla data di entrata in vigore del presente decreto se l'impresa non ha approvato il bilancio, si applica la seguente procedura semplificata, come ulteriormente specificata sul piano procedurale e documentale da SACE S.p.A., fermo quanto previsto dal comma 9:</w:t>
      </w:r>
    </w:p>
    <w:p w14:paraId="35E788F9" w14:textId="77777777" w:rsidR="00AD1B0C" w:rsidRPr="00AD1B0C" w:rsidRDefault="00AD1B0C" w:rsidP="00AD1B0C">
      <w:pPr>
        <w:spacing w:after="160" w:line="259" w:lineRule="auto"/>
        <w:jc w:val="both"/>
        <w:rPr>
          <w:rFonts w:cs="Times New Roman"/>
          <w:color w:val="auto"/>
          <w:sz w:val="24"/>
          <w:szCs w:val="24"/>
          <w:lang w:eastAsia="en-US"/>
        </w:rPr>
      </w:pPr>
    </w:p>
    <w:p w14:paraId="0E7E9B97"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   a) l'impresa interessata all'erogazione di un finanziamento garantito da SACE S.p.A. presenta a un soggetto finanziatore, che può operare ed eventualmente erogare anche in modo coordinato con altri finanziatori, la domanda di finanziamento garantito dallo Stato;</w:t>
      </w:r>
    </w:p>
    <w:p w14:paraId="2A23AF3F" w14:textId="77777777" w:rsidR="00AD1B0C" w:rsidRPr="00AD1B0C" w:rsidRDefault="00AD1B0C" w:rsidP="00AD1B0C">
      <w:pPr>
        <w:spacing w:after="160" w:line="259" w:lineRule="auto"/>
        <w:jc w:val="both"/>
        <w:rPr>
          <w:rFonts w:cs="Times New Roman"/>
          <w:color w:val="auto"/>
          <w:sz w:val="24"/>
          <w:szCs w:val="24"/>
          <w:lang w:eastAsia="en-US"/>
        </w:rPr>
      </w:pPr>
    </w:p>
    <w:p w14:paraId="3606D0FD"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lastRenderedPageBreak/>
        <w:t>   b) in caso di esito positivo della delibera di erogazione del finanziamento da parte dei suddetti soggetti, questi ultimi trasmettono la richiesta di emissione della garanzia a SACE S.p.A. e quest'ultima processa la richiesta, verificando l'esito positivo del processo deliberativo del soggetto finanziatore ed emettendo un codice unico identificativo del finanziamento e della garanzia;</w:t>
      </w:r>
    </w:p>
    <w:p w14:paraId="3E8C503A" w14:textId="77777777" w:rsidR="00AD1B0C" w:rsidRPr="00AD1B0C" w:rsidRDefault="00AD1B0C" w:rsidP="00AD1B0C">
      <w:pPr>
        <w:spacing w:after="160" w:line="259" w:lineRule="auto"/>
        <w:jc w:val="both"/>
        <w:rPr>
          <w:rFonts w:cs="Times New Roman"/>
          <w:color w:val="auto"/>
          <w:sz w:val="24"/>
          <w:szCs w:val="24"/>
          <w:lang w:eastAsia="en-US"/>
        </w:rPr>
      </w:pPr>
    </w:p>
    <w:p w14:paraId="27EEA480"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   c) il soggetto finanziatore procede al rilascio del finanziamento assistito dalla garanzia concessa dalla SACE S.p.A.</w:t>
      </w:r>
    </w:p>
    <w:p w14:paraId="09299DC4" w14:textId="77777777" w:rsidR="00AD1B0C" w:rsidRPr="00AD1B0C" w:rsidRDefault="00AD1B0C" w:rsidP="00AD1B0C">
      <w:pPr>
        <w:spacing w:after="160" w:line="259" w:lineRule="auto"/>
        <w:jc w:val="both"/>
        <w:rPr>
          <w:rFonts w:cs="Times New Roman"/>
          <w:color w:val="auto"/>
          <w:sz w:val="24"/>
          <w:szCs w:val="24"/>
          <w:lang w:eastAsia="en-US"/>
        </w:rPr>
      </w:pPr>
    </w:p>
    <w:p w14:paraId="1C9624D3"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  7. Qualora l'impresa beneficiaria abbia dipendenti o fatturato superiori alle soglie indicate dal comma 6, il rilascio della garanzia e del corrispondente codice unico è subordinato altresì alla decisione assunta con decreto del Ministro dell'economia e delle finanze, sentito il Ministro dello sviluppo economico, adottato sulla base dell'istruttoria trasmessa da SACE S.p.A., tenendo in considerazione il ruolo che l'impresa che beneficia della garanzia svolge rispetto alle seguenti aree e profili in Italia:</w:t>
      </w:r>
    </w:p>
    <w:p w14:paraId="470F641B" w14:textId="77777777" w:rsidR="00AD1B0C" w:rsidRPr="00AD1B0C" w:rsidRDefault="00AD1B0C" w:rsidP="00AD1B0C">
      <w:pPr>
        <w:spacing w:after="160" w:line="259" w:lineRule="auto"/>
        <w:jc w:val="both"/>
        <w:rPr>
          <w:rFonts w:cs="Times New Roman"/>
          <w:color w:val="auto"/>
          <w:sz w:val="24"/>
          <w:szCs w:val="24"/>
          <w:lang w:eastAsia="en-US"/>
        </w:rPr>
      </w:pPr>
    </w:p>
    <w:p w14:paraId="34803527"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   a) contributo allo sviluppo tecnologico;</w:t>
      </w:r>
    </w:p>
    <w:p w14:paraId="3583EEBD" w14:textId="77777777" w:rsidR="00AD1B0C" w:rsidRPr="00AD1B0C" w:rsidRDefault="00AD1B0C" w:rsidP="00AD1B0C">
      <w:pPr>
        <w:spacing w:after="160" w:line="259" w:lineRule="auto"/>
        <w:jc w:val="both"/>
        <w:rPr>
          <w:rFonts w:cs="Times New Roman"/>
          <w:color w:val="auto"/>
          <w:sz w:val="24"/>
          <w:szCs w:val="24"/>
          <w:lang w:eastAsia="en-US"/>
        </w:rPr>
      </w:pPr>
    </w:p>
    <w:p w14:paraId="216A8CC6"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   b) appartenenza alla rete logistica e dei rifornimenti;</w:t>
      </w:r>
    </w:p>
    <w:p w14:paraId="0FA73FAE" w14:textId="77777777" w:rsidR="00AD1B0C" w:rsidRPr="00AD1B0C" w:rsidRDefault="00AD1B0C" w:rsidP="00AD1B0C">
      <w:pPr>
        <w:spacing w:after="160" w:line="259" w:lineRule="auto"/>
        <w:jc w:val="both"/>
        <w:rPr>
          <w:rFonts w:cs="Times New Roman"/>
          <w:color w:val="auto"/>
          <w:sz w:val="24"/>
          <w:szCs w:val="24"/>
          <w:lang w:eastAsia="en-US"/>
        </w:rPr>
      </w:pPr>
    </w:p>
    <w:p w14:paraId="1E42AF15"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   c) incidenza su infrastrutture critiche e strategiche;</w:t>
      </w:r>
    </w:p>
    <w:p w14:paraId="7F438D4B" w14:textId="77777777" w:rsidR="00AD1B0C" w:rsidRPr="00AD1B0C" w:rsidRDefault="00AD1B0C" w:rsidP="00AD1B0C">
      <w:pPr>
        <w:spacing w:after="160" w:line="259" w:lineRule="auto"/>
        <w:jc w:val="both"/>
        <w:rPr>
          <w:rFonts w:cs="Times New Roman"/>
          <w:color w:val="auto"/>
          <w:sz w:val="24"/>
          <w:szCs w:val="24"/>
          <w:lang w:eastAsia="en-US"/>
        </w:rPr>
      </w:pPr>
    </w:p>
    <w:p w14:paraId="5D908030"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   d) impatto sui livelli occupazionali e mercato del lavoro;</w:t>
      </w:r>
    </w:p>
    <w:p w14:paraId="0B929AB7" w14:textId="77777777" w:rsidR="00AD1B0C" w:rsidRPr="00AD1B0C" w:rsidRDefault="00AD1B0C" w:rsidP="00AD1B0C">
      <w:pPr>
        <w:spacing w:after="160" w:line="259" w:lineRule="auto"/>
        <w:jc w:val="both"/>
        <w:rPr>
          <w:rFonts w:cs="Times New Roman"/>
          <w:color w:val="auto"/>
          <w:sz w:val="24"/>
          <w:szCs w:val="24"/>
          <w:lang w:eastAsia="en-US"/>
        </w:rPr>
      </w:pPr>
    </w:p>
    <w:p w14:paraId="124619D4"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   e) peso specifico nell'ambito di una filiera produttiva strategica.</w:t>
      </w:r>
    </w:p>
    <w:p w14:paraId="26598819" w14:textId="77777777" w:rsidR="00AD1B0C" w:rsidRPr="00AD1B0C" w:rsidRDefault="00AD1B0C" w:rsidP="00AD1B0C">
      <w:pPr>
        <w:spacing w:after="160" w:line="259" w:lineRule="auto"/>
        <w:jc w:val="both"/>
        <w:rPr>
          <w:rFonts w:cs="Times New Roman"/>
          <w:color w:val="auto"/>
          <w:sz w:val="24"/>
          <w:szCs w:val="24"/>
          <w:lang w:eastAsia="en-US"/>
        </w:rPr>
      </w:pPr>
    </w:p>
    <w:p w14:paraId="53C6F5C1"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  8. Con il decreto di cui al comma 7 possono essere elevate le percentuali di cui al comma 2, lettera d), fino al limite di percentuale immediatamente superiore a quello ivi previsto, subordinatamente al rispetto di specifici impegni e condizioni in capo all'impresa beneficiaria indicati nella decisione, in relazione alle aree e ai profili di cui al comma 7.</w:t>
      </w:r>
    </w:p>
    <w:p w14:paraId="12CEE2AE"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lastRenderedPageBreak/>
        <w:t>  9. I soggetti finanziatori forniscono un rendiconto periodico a SACE S.p.A., con i contenuti, la cadenza e le modalità da quest'ultima indicati, al fine di riscontrare il rispetto da parte dei soggetti finanziati e degli stessi soggetti finanziatori degli impegni e delle condizioni previsti ai sensi del presente articolo. SACE S.p.A. ne riferisce periodicamente al Ministero dell'economia e delle finanze.</w:t>
      </w:r>
    </w:p>
    <w:p w14:paraId="25DAE077"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  10. Con decreto del Ministro dell'economia e delle finanze, possono essere disciplinate ulteriori modalità attuative e operative, ed eventuali elementi e requisiti integrativi, per l'esecuzione delle operazioni di cui ai commi da 1 a 9.</w:t>
      </w:r>
    </w:p>
    <w:p w14:paraId="58E1F1FF"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  11. In caso di modifiche della Comunicazione della Commissione europea del 19 marzo 2020 recante un «Quadro temporaneo per le misure di aiuto di Stato a sostegno dell'economia nell'attuale emergenza del COVID-19», condizioni e requisiti indicati ai commi da 2 a 8 possono essere conseguentemente adeguati con decreto del Ministro dell'economia e delle Finanze, di concerto con il Ministro dello sviluppo economico.</w:t>
      </w:r>
    </w:p>
    <w:p w14:paraId="6F0DA963"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  12. L'efficacia dei commi da 1 a 9 è subordinata all'approvazione della Commissione Europea ai sensi dell'articolo 108 del Trattato sul funzionamento dell'Unione Europea.</w:t>
      </w:r>
    </w:p>
    <w:p w14:paraId="7A282E6D"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  13. Fermo restando il limite complessivo massimo di cui al comma 1, con decreto del Ministro dell'economia e delle finanze può essere concessa, in conformità con la normativa dell'Unione europea, la garanzia dello Stato su esposizioni assunte o da assumere da Cassa depositi e prestiti S.p.A. (CDP S.p.A.) entro il 31 dicembre 2020 derivanti da garanzie, anche nella forma di garanzie di prima perdita, su portafogli di finanziamenti concessi, in qualsiasi forma, da banche e da altri soggetti abilitati all'esercizio del credito in Italia alle imprese con sede in Italia che hanno sofferto una riduzione del fatturato a causa dell'emergenza epidemiologica da «COVID-19» e che prevedano modalità tali da assicurare la concessione da parte dei soggetti finanziatori di nuovi finanziamenti in funzione dell'ammontare del capitale regolamentare liberato per effetto delle garanzie stesse. La garanzia è a prima richiesta, incondizionata, esplicita, irrevocabile, e conforme ai requisiti previsti dalla normativa di vigilanza prudenziale ai fini della migliore mitigazione del rischio.</w:t>
      </w:r>
    </w:p>
    <w:p w14:paraId="728A085A" w14:textId="77777777" w:rsidR="00A34AE9" w:rsidRPr="00A30F5D" w:rsidRDefault="00AD1B0C" w:rsidP="00A34AE9">
      <w:pPr>
        <w:jc w:val="both"/>
        <w:rPr>
          <w:b/>
          <w:color w:val="000000" w:themeColor="text1"/>
          <w:sz w:val="24"/>
          <w:szCs w:val="24"/>
        </w:rPr>
      </w:pPr>
      <w:r w:rsidRPr="00AD1B0C">
        <w:rPr>
          <w:rFonts w:cs="Times New Roman"/>
          <w:color w:val="auto"/>
          <w:sz w:val="24"/>
          <w:szCs w:val="24"/>
          <w:lang w:eastAsia="en-US"/>
        </w:rPr>
        <w:t>  14. È istituito nello stato di previsione del Ministero dell'economia e delle finanze, un fondo a copertura delle garanzie concesse ai sensi dei commi 5 e 13, nonché di quelle concesse ai sensi dell'articolo 6, comma 14-bis, del decreto-legge 30 settembre 2003, n. 269, convertito, con modificazioni, dalla legge 24 novembre 2003, n. 326, con una dotazione iniziale di 1.000 milioni di euro per</w:t>
      </w:r>
      <w:r w:rsidR="00971381">
        <w:rPr>
          <w:rFonts w:cs="Times New Roman"/>
          <w:color w:val="auto"/>
          <w:sz w:val="24"/>
          <w:szCs w:val="24"/>
          <w:lang w:eastAsia="en-US"/>
        </w:rPr>
        <w:t xml:space="preserve"> l'anno 2020. Al relativo onere</w:t>
      </w:r>
      <w:r w:rsidR="00971381" w:rsidRPr="00A30F5D">
        <w:rPr>
          <w:b/>
          <w:color w:val="000000" w:themeColor="text1"/>
          <w:sz w:val="24"/>
          <w:szCs w:val="24"/>
        </w:rPr>
        <w:t>, pari a 1.000 milioni di euro per l'anno 2020,</w:t>
      </w:r>
      <w:r w:rsidR="00971381">
        <w:rPr>
          <w:rStyle w:val="Rimandonotaapidipagina"/>
          <w:b/>
          <w:color w:val="000000" w:themeColor="text1"/>
          <w:sz w:val="24"/>
          <w:szCs w:val="24"/>
        </w:rPr>
        <w:footnoteReference w:id="11"/>
      </w:r>
      <w:r w:rsidR="00971381">
        <w:rPr>
          <w:b/>
          <w:color w:val="000000" w:themeColor="text1"/>
          <w:sz w:val="24"/>
          <w:szCs w:val="24"/>
        </w:rPr>
        <w:t xml:space="preserve"> </w:t>
      </w:r>
      <w:r w:rsidRPr="00AD1B0C">
        <w:rPr>
          <w:rFonts w:cs="Times New Roman"/>
          <w:color w:val="auto"/>
          <w:sz w:val="24"/>
          <w:szCs w:val="24"/>
          <w:lang w:eastAsia="en-US"/>
        </w:rPr>
        <w:t xml:space="preserve">si provvede mediante versamento all'entrata del bilancio dello Stato, per un corrispondente importo, delle risorse disponibili sulla </w:t>
      </w:r>
      <w:r w:rsidRPr="00AD1B0C">
        <w:rPr>
          <w:rFonts w:cs="Times New Roman"/>
          <w:color w:val="auto"/>
          <w:sz w:val="24"/>
          <w:szCs w:val="24"/>
          <w:lang w:eastAsia="en-US"/>
        </w:rPr>
        <w:lastRenderedPageBreak/>
        <w:t>contabilità speciale di cui all'articolo 37, comma 6, del decreto-legge 24 aprile 2014, n. 66, convertito, con modificazioni, dalla legge 23 giugno 2014, n. 89. Per la gestione del fondo è autorizzata l'apertura di apposito conto</w:t>
      </w:r>
      <w:r w:rsidR="00A34AE9">
        <w:rPr>
          <w:rFonts w:cs="Times New Roman"/>
          <w:color w:val="auto"/>
          <w:sz w:val="24"/>
          <w:szCs w:val="24"/>
          <w:lang w:eastAsia="en-US"/>
        </w:rPr>
        <w:t xml:space="preserve"> corrente di tesoreria centrale </w:t>
      </w:r>
      <w:r w:rsidR="00A34AE9" w:rsidRPr="00A30F5D">
        <w:rPr>
          <w:b/>
          <w:color w:val="000000" w:themeColor="text1"/>
          <w:sz w:val="24"/>
          <w:szCs w:val="24"/>
        </w:rPr>
        <w:t>intestato a SACE S.p.A. su cui sono versate le commissioni incassate ai sensi del comma 2, lettera e) al netto dei costi di gestione sostenuti da SACE S.p.A. per le attività svolte ai sensi del presente articolo risultanti dalla contabilità di SACE S.p.A., salvo conguaglio all'esito dell'approvazione del bilancio</w:t>
      </w:r>
      <w:r w:rsidR="00A34AE9">
        <w:rPr>
          <w:rStyle w:val="Rimandonotaapidipagina"/>
          <w:b/>
          <w:color w:val="000000" w:themeColor="text1"/>
          <w:sz w:val="24"/>
          <w:szCs w:val="24"/>
        </w:rPr>
        <w:footnoteReference w:id="12"/>
      </w:r>
      <w:r w:rsidR="00A34AE9" w:rsidRPr="00A34AE9">
        <w:rPr>
          <w:color w:val="000000" w:themeColor="text1"/>
          <w:sz w:val="24"/>
          <w:szCs w:val="24"/>
        </w:rPr>
        <w:t>.</w:t>
      </w:r>
    </w:p>
    <w:p w14:paraId="346F4F2B" w14:textId="77777777" w:rsidR="00AD1B0C" w:rsidRPr="00AD1B0C" w:rsidRDefault="00AD1B0C" w:rsidP="00AD1B0C">
      <w:pPr>
        <w:spacing w:after="160" w:line="259" w:lineRule="auto"/>
        <w:jc w:val="both"/>
        <w:rPr>
          <w:rFonts w:cs="Times New Roman"/>
          <w:color w:val="auto"/>
          <w:sz w:val="24"/>
          <w:szCs w:val="24"/>
          <w:lang w:eastAsia="en-US"/>
        </w:rPr>
      </w:pPr>
    </w:p>
    <w:p w14:paraId="2D3D02CF" w14:textId="77777777" w:rsidR="00AD1B0C" w:rsidRPr="00AD1B0C" w:rsidRDefault="00AD1B0C" w:rsidP="00AD1B0C">
      <w:pPr>
        <w:spacing w:after="160" w:line="259" w:lineRule="auto"/>
        <w:jc w:val="both"/>
        <w:rPr>
          <w:rFonts w:cs="Times New Roman"/>
          <w:color w:val="auto"/>
          <w:sz w:val="24"/>
          <w:szCs w:val="24"/>
          <w:lang w:eastAsia="en-US"/>
        </w:rPr>
      </w:pPr>
    </w:p>
    <w:p w14:paraId="18A17F0A"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Articolo 2.</w:t>
      </w:r>
    </w:p>
    <w:p w14:paraId="0693732F"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(Misure per il sostegno all'esportazione, all'internazionalizzazione e agli investimenti delle imprese)</w:t>
      </w:r>
    </w:p>
    <w:p w14:paraId="61B68FAA" w14:textId="77777777" w:rsidR="00AD1B0C" w:rsidRPr="00AD1B0C" w:rsidRDefault="00AD1B0C" w:rsidP="00AD1B0C">
      <w:pPr>
        <w:spacing w:after="160" w:line="259" w:lineRule="auto"/>
        <w:jc w:val="both"/>
        <w:rPr>
          <w:rFonts w:cs="Times New Roman"/>
          <w:color w:val="auto"/>
          <w:sz w:val="24"/>
          <w:szCs w:val="24"/>
          <w:lang w:eastAsia="en-US"/>
        </w:rPr>
      </w:pPr>
    </w:p>
    <w:p w14:paraId="33B25270"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 All'articolo 6 del decreto-legge 30 settembre 2003, n. 269, convertito, con modificazioni, dalla legge 24 novembre 2003, n. 326, sono apportate le seguenti modificazioni:</w:t>
      </w:r>
    </w:p>
    <w:p w14:paraId="5B1158D2" w14:textId="77777777" w:rsidR="00AD1B0C" w:rsidRPr="00AD1B0C" w:rsidRDefault="00AD1B0C" w:rsidP="00AD1B0C">
      <w:pPr>
        <w:spacing w:after="160" w:line="259" w:lineRule="auto"/>
        <w:jc w:val="both"/>
        <w:rPr>
          <w:rFonts w:cs="Times New Roman"/>
          <w:color w:val="auto"/>
          <w:sz w:val="24"/>
          <w:szCs w:val="24"/>
          <w:lang w:eastAsia="en-US"/>
        </w:rPr>
      </w:pPr>
    </w:p>
    <w:p w14:paraId="43894ABA"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   a) al comma 9, dopo il primo periodo, è inserito il seguente: «SACE S.p.A. favorisce l'internazionalizzazione del settore produttivo italiano, privilegiando gli impegni nei settori strategici per l'economia italiana in termini di livelli occupazionali e ricadute per il sistema economico del Paese, nonché gli impegni per operazioni destinate a Paesi strategici per l'Italia.»;</w:t>
      </w:r>
    </w:p>
    <w:p w14:paraId="0504A4A1" w14:textId="77777777" w:rsidR="00AD1B0C" w:rsidRPr="00AD1B0C" w:rsidRDefault="00AD1B0C" w:rsidP="00AD1B0C">
      <w:pPr>
        <w:spacing w:after="160" w:line="259" w:lineRule="auto"/>
        <w:jc w:val="both"/>
        <w:rPr>
          <w:rFonts w:cs="Times New Roman"/>
          <w:color w:val="auto"/>
          <w:sz w:val="24"/>
          <w:szCs w:val="24"/>
          <w:lang w:eastAsia="en-US"/>
        </w:rPr>
      </w:pPr>
    </w:p>
    <w:p w14:paraId="1E2C6CE9"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   b) i commi 9-bis, 9-ter, 9-quater, 9-quinquies, 9-sexies, 9-septies e 9-octies sono sostituiti dai seguenti:</w:t>
      </w:r>
    </w:p>
    <w:p w14:paraId="295AF7DE" w14:textId="77777777" w:rsidR="00AD1B0C" w:rsidRPr="00AD1B0C" w:rsidRDefault="00AD1B0C" w:rsidP="00AD1B0C">
      <w:pPr>
        <w:spacing w:after="160" w:line="259" w:lineRule="auto"/>
        <w:jc w:val="both"/>
        <w:rPr>
          <w:rFonts w:cs="Times New Roman"/>
          <w:color w:val="auto"/>
          <w:sz w:val="24"/>
          <w:szCs w:val="24"/>
          <w:lang w:eastAsia="en-US"/>
        </w:rPr>
      </w:pPr>
    </w:p>
    <w:p w14:paraId="21E3D598"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xml:space="preserve">   «9-bis. SACE S.p.A. assume gli impegni derivanti dall'attività assicurativa e di garanzia dei rischi definiti non di mercato dalla normativa dell'Unione Europea, di cui al comma 9, nella misura del dieci per cento del capitale e degli interessi di ciascun impegno. Il novanta per cento dei medesimi impegni è assunto dallo Stato in conformità con il presente articolo, senza vincolo di solidarietà. La legge di bilancio definisce i limiti cumulati di assunzione degli impegni da parte di SACE S.p.A. e del Ministero </w:t>
      </w:r>
      <w:r w:rsidRPr="00AD1B0C">
        <w:rPr>
          <w:rFonts w:cs="Times New Roman"/>
          <w:color w:val="auto"/>
          <w:sz w:val="24"/>
          <w:szCs w:val="24"/>
          <w:lang w:eastAsia="en-US"/>
        </w:rPr>
        <w:lastRenderedPageBreak/>
        <w:t>dell'economia e delle finanze, per conto dello Stato, sulla base del piano di attività deliberato dal Comitato di cui al comma 9-sexies e approvato dal Comitato interministeriale per la programmazione economica.</w:t>
      </w:r>
    </w:p>
    <w:p w14:paraId="3C85E8CF"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   9-ter. SACE S.p.A. rilascia le garanzie e le coperture assicurative da cui derivano gli impegni di cui al comma 9-bis in nome proprio e per conto dello Stato. Il rilascio delle garanzie e delle coperture assicurative che sono in grado di determinare elevati rischi di concentrazione verso singole controparti, gruppi di controparti connesse o paesi di destinazione, rispetto al portafoglio complessivamente assicurato da SACE S.p.A. e dal Ministero dell'economia e delle finanze, è preventivamente autorizzato con decreto del Ministro dell'economia e delle finanze, sentito il Comitato per il sostegno pubblico all'esportazione istituito ai sensi del comma 9-sexies. Le garanzie e le coperture assicurative prevedono che la richiesta di indennizzo e qualsiasi comunicazione o istanza sono rivolte unicamente a SACE S.p.A.</w:t>
      </w:r>
    </w:p>
    <w:p w14:paraId="784116B3"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   9-quater. A decorrere dall'anno 2020 nello stato di previsione del Ministero dell'economia e delle finanze è istituito un fondo a copertura degli impegni assunti dallo Stato ai sensi del presente articolo. Tale fondo è alimentato con i premi riscossi da SACE S.p.A. per conto del Ministero dell'economia e delle finanze, al netto delle commissioni trattenute da SACE S.p.A., come determinate dalla convenzione di cui al comma 9-quinquies. I premi di cui al periodo precedente sono versati all'entrata del bilancio dello Stato per la successiva riassegnazione in spesa al predetto fondo. La gestione del fondo è affidata a SACE S.p.A. che opera secondo adeguati standard prudenziali di gestione del rischio. Il Ministero dell'economia e delle finanze impartisce indirizzi a SACE S.p.A. sulla gestione del fondo. Per la gestione del fondo è autorizzata l'apertura di apposito conto corrente di tesoreria centrale.</w:t>
      </w:r>
    </w:p>
    <w:p w14:paraId="7410D87F"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   9-quinquies. Il Ministero dell'economia e delle finanze e SACE S.p.A. disciplinano con convenzione, di durata decennale, approvata con delibera del Comitato interministeriale per la programmazione economica, su proposta del Ministro dell'economia e delle finanze di concerto con il Ministro degli affari esteri e della cooperazione internazionale, e sottoposta alla registrazione della Corte dei conti:</w:t>
      </w:r>
    </w:p>
    <w:p w14:paraId="454E6990" w14:textId="77777777" w:rsidR="00AD1B0C" w:rsidRPr="00AD1B0C" w:rsidRDefault="00AD1B0C" w:rsidP="00AD1B0C">
      <w:pPr>
        <w:spacing w:after="160" w:line="259" w:lineRule="auto"/>
        <w:jc w:val="both"/>
        <w:rPr>
          <w:rFonts w:cs="Times New Roman"/>
          <w:color w:val="auto"/>
          <w:sz w:val="24"/>
          <w:szCs w:val="24"/>
          <w:lang w:eastAsia="en-US"/>
        </w:rPr>
      </w:pPr>
    </w:p>
    <w:p w14:paraId="6C3482AA"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   a) lo svolgimento da parte di SACE S.p.A. dell'attività istruttoria delle operazioni da cui derivano gli impegni da assumere ai sensi del comma 9-bis;</w:t>
      </w:r>
    </w:p>
    <w:p w14:paraId="3585AD4B" w14:textId="77777777" w:rsidR="00AD1B0C" w:rsidRPr="00AD1B0C" w:rsidRDefault="00AD1B0C" w:rsidP="00AD1B0C">
      <w:pPr>
        <w:spacing w:after="160" w:line="259" w:lineRule="auto"/>
        <w:jc w:val="both"/>
        <w:rPr>
          <w:rFonts w:cs="Times New Roman"/>
          <w:color w:val="auto"/>
          <w:sz w:val="24"/>
          <w:szCs w:val="24"/>
          <w:lang w:eastAsia="en-US"/>
        </w:rPr>
      </w:pPr>
    </w:p>
    <w:p w14:paraId="6455E1B2"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   b) le procedure per il rilascio delle garanzie e delle coperture assicurative da parte di SACE S.p.A. quando non è prevista l'autorizzazione preventiva del Ministro dell'economia e delle finanze ai sensi del comma 9-ter;</w:t>
      </w:r>
    </w:p>
    <w:p w14:paraId="4DC0667E" w14:textId="77777777" w:rsidR="00AD1B0C" w:rsidRPr="00AD1B0C" w:rsidRDefault="00AD1B0C" w:rsidP="00AD1B0C">
      <w:pPr>
        <w:spacing w:after="160" w:line="259" w:lineRule="auto"/>
        <w:jc w:val="both"/>
        <w:rPr>
          <w:rFonts w:cs="Times New Roman"/>
          <w:color w:val="auto"/>
          <w:sz w:val="24"/>
          <w:szCs w:val="24"/>
          <w:lang w:eastAsia="en-US"/>
        </w:rPr>
      </w:pPr>
    </w:p>
    <w:p w14:paraId="6928E123"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lastRenderedPageBreak/>
        <w:t>   c) la gestione, anche per conto del Ministero dell'economia e delle finanze, degli impegni in essere, ivi inclusi l'esercizio, a tutela dei diritti di SACE S.p.A. e del Ministero dell'economia e delle finanze, delle facoltà previste nella polizza di assicurazione, nonché la gestione delle fasi successive al pagamento dell'indennizzo, incluse le modalità di esercizio dei diritti nei confronti del debitore e l'attività di recupero dei crediti;</w:t>
      </w:r>
    </w:p>
    <w:p w14:paraId="6051F519" w14:textId="77777777" w:rsidR="00AD1B0C" w:rsidRPr="00AD1B0C" w:rsidRDefault="00AD1B0C" w:rsidP="00AD1B0C">
      <w:pPr>
        <w:spacing w:after="160" w:line="259" w:lineRule="auto"/>
        <w:jc w:val="both"/>
        <w:rPr>
          <w:rFonts w:cs="Times New Roman"/>
          <w:color w:val="auto"/>
          <w:sz w:val="24"/>
          <w:szCs w:val="24"/>
          <w:lang w:eastAsia="en-US"/>
        </w:rPr>
      </w:pPr>
    </w:p>
    <w:p w14:paraId="4334A3D0"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   d) le modalità con le quali è richiesto al Ministero dell'economia e delle finanze il pagamento dell'indennizzo per la quota di pertinenza e le modalità di escussione della garanzia dello Stato relativa agli impegni assunti da SACE S.p.A., nonché la remunerazione della garanzia stessa;</w:t>
      </w:r>
    </w:p>
    <w:p w14:paraId="557D3356" w14:textId="77777777" w:rsidR="00AD1B0C" w:rsidRPr="00AD1B0C" w:rsidRDefault="00AD1B0C" w:rsidP="00AD1B0C">
      <w:pPr>
        <w:spacing w:after="160" w:line="259" w:lineRule="auto"/>
        <w:jc w:val="both"/>
        <w:rPr>
          <w:rFonts w:cs="Times New Roman"/>
          <w:color w:val="auto"/>
          <w:sz w:val="24"/>
          <w:szCs w:val="24"/>
          <w:lang w:eastAsia="en-US"/>
        </w:rPr>
      </w:pPr>
    </w:p>
    <w:p w14:paraId="3F273CBD"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   e) le modalità di informazione preventiva al Ministero dell'economia e delle finanze e al Ministro degli affari esteri e della cooperazione internazionale in ordine alle deliberazioni dell'organo competente di SACE S.p.A. relative agli impegni da assumere o assunti, alle altre decisioni aziendali rilevanti ai fini dell'assunzione di impegni, incluso il sistema aziendale di deleghe decisionali, alla gestione degli impegni in essere e delle richieste di indennizzo;</w:t>
      </w:r>
    </w:p>
    <w:p w14:paraId="5F51F7F9" w14:textId="77777777" w:rsidR="00AD1B0C" w:rsidRPr="00AD1B0C" w:rsidRDefault="00AD1B0C" w:rsidP="00AD1B0C">
      <w:pPr>
        <w:spacing w:after="160" w:line="259" w:lineRule="auto"/>
        <w:jc w:val="both"/>
        <w:rPr>
          <w:rFonts w:cs="Times New Roman"/>
          <w:color w:val="auto"/>
          <w:sz w:val="24"/>
          <w:szCs w:val="24"/>
          <w:lang w:eastAsia="en-US"/>
        </w:rPr>
      </w:pPr>
    </w:p>
    <w:p w14:paraId="66A2F913"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   f) la trasmissione periodica e a richiesta di informazioni da parte di SACE S.p.A. al Comitato di cui al comma 9-sexies e al Comitato interministeriale per la programmazione economica, riguardo all'andamento delle operazioni a cui si riferiscono gli impegni assunti dallo Stato ai sensi del comma 9-bis;</w:t>
      </w:r>
    </w:p>
    <w:p w14:paraId="153A4424" w14:textId="77777777" w:rsidR="00AD1B0C" w:rsidRPr="00AD1B0C" w:rsidRDefault="00AD1B0C" w:rsidP="00AD1B0C">
      <w:pPr>
        <w:spacing w:after="160" w:line="259" w:lineRule="auto"/>
        <w:jc w:val="both"/>
        <w:rPr>
          <w:rFonts w:cs="Times New Roman"/>
          <w:color w:val="auto"/>
          <w:sz w:val="24"/>
          <w:szCs w:val="24"/>
          <w:lang w:eastAsia="en-US"/>
        </w:rPr>
      </w:pPr>
    </w:p>
    <w:p w14:paraId="7754E4AD"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   g) ogni altra modalità operativa rilevante ai fini dell'assunzione e gestione degli impegni di cui al comma 9-bis;</w:t>
      </w:r>
    </w:p>
    <w:p w14:paraId="0ED5CB9E" w14:textId="77777777" w:rsidR="00AD1B0C" w:rsidRPr="00AD1B0C" w:rsidRDefault="00AD1B0C" w:rsidP="00AD1B0C">
      <w:pPr>
        <w:spacing w:after="160" w:line="259" w:lineRule="auto"/>
        <w:jc w:val="both"/>
        <w:rPr>
          <w:rFonts w:cs="Times New Roman"/>
          <w:color w:val="auto"/>
          <w:sz w:val="24"/>
          <w:szCs w:val="24"/>
          <w:lang w:eastAsia="en-US"/>
        </w:rPr>
      </w:pPr>
    </w:p>
    <w:p w14:paraId="3AF12F29"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   h) le modalità di gestione da parte di SACE S.p.A. del fondo di cui al comma 9-quater e degli attivi in cui sono investite le riserve tecniche, sulla base delle indicazioni del Ministero dell'economia e delle finanze;</w:t>
      </w:r>
    </w:p>
    <w:p w14:paraId="51AB0BAA" w14:textId="77777777" w:rsidR="00AD1B0C" w:rsidRPr="00AD1B0C" w:rsidRDefault="00AD1B0C" w:rsidP="00AD1B0C">
      <w:pPr>
        <w:spacing w:after="160" w:line="259" w:lineRule="auto"/>
        <w:jc w:val="both"/>
        <w:rPr>
          <w:rFonts w:cs="Times New Roman"/>
          <w:color w:val="auto"/>
          <w:sz w:val="24"/>
          <w:szCs w:val="24"/>
          <w:lang w:eastAsia="en-US"/>
        </w:rPr>
      </w:pPr>
    </w:p>
    <w:p w14:paraId="29EB5572"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   i) le modalità di trasferimento al Ministero dell'economia e delle finanze dei premi riscossi da SACE S.p.A. per conto di questo ai sensi del comma 9-quater, al netto delle commissioni trattenute da SACE S.p.A., e la determinazione delle suddette commissioni;</w:t>
      </w:r>
    </w:p>
    <w:p w14:paraId="4439C457" w14:textId="77777777" w:rsidR="00AD1B0C" w:rsidRPr="00AD1B0C" w:rsidRDefault="00AD1B0C" w:rsidP="00AD1B0C">
      <w:pPr>
        <w:spacing w:after="160" w:line="259" w:lineRule="auto"/>
        <w:jc w:val="both"/>
        <w:rPr>
          <w:rFonts w:cs="Times New Roman"/>
          <w:color w:val="auto"/>
          <w:sz w:val="24"/>
          <w:szCs w:val="24"/>
          <w:lang w:eastAsia="en-US"/>
        </w:rPr>
      </w:pPr>
    </w:p>
    <w:p w14:paraId="772E13D8"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   l) l'eventuale definizione di un livello di patrimonializzazione minimo.</w:t>
      </w:r>
    </w:p>
    <w:p w14:paraId="3DBC484B" w14:textId="77777777" w:rsidR="00AD1B0C" w:rsidRPr="00AD1B0C" w:rsidRDefault="00AD1B0C" w:rsidP="00AD1B0C">
      <w:pPr>
        <w:spacing w:after="160" w:line="259" w:lineRule="auto"/>
        <w:jc w:val="both"/>
        <w:rPr>
          <w:rFonts w:cs="Times New Roman"/>
          <w:color w:val="auto"/>
          <w:sz w:val="24"/>
          <w:szCs w:val="24"/>
          <w:lang w:eastAsia="en-US"/>
        </w:rPr>
      </w:pPr>
    </w:p>
    <w:p w14:paraId="7B2E44C7" w14:textId="77777777" w:rsidR="00786639" w:rsidRPr="00786639" w:rsidRDefault="00AD1B0C" w:rsidP="00786639">
      <w:pPr>
        <w:jc w:val="both"/>
        <w:rPr>
          <w:color w:val="000000" w:themeColor="text1"/>
          <w:sz w:val="24"/>
          <w:szCs w:val="24"/>
        </w:rPr>
      </w:pPr>
      <w:r w:rsidRPr="00AD1B0C">
        <w:rPr>
          <w:rFonts w:cs="Times New Roman"/>
          <w:color w:val="auto"/>
          <w:sz w:val="24"/>
          <w:szCs w:val="24"/>
          <w:lang w:eastAsia="en-US"/>
        </w:rPr>
        <w:t xml:space="preserve">   9-sexies. È istituito presso il Ministero dell'economia e delle finanze il Comitato per il sostegno finanziario pubblico all'esportazione. Il Comitato è </w:t>
      </w:r>
      <w:proofErr w:type="spellStart"/>
      <w:r w:rsidRPr="00AD1B0C">
        <w:rPr>
          <w:rFonts w:cs="Times New Roman"/>
          <w:color w:val="auto"/>
          <w:sz w:val="24"/>
          <w:szCs w:val="24"/>
          <w:lang w:eastAsia="en-US"/>
        </w:rPr>
        <w:t>copresieduto</w:t>
      </w:r>
      <w:proofErr w:type="spellEnd"/>
      <w:r w:rsidRPr="00AD1B0C">
        <w:rPr>
          <w:rFonts w:cs="Times New Roman"/>
          <w:color w:val="auto"/>
          <w:sz w:val="24"/>
          <w:szCs w:val="24"/>
          <w:lang w:eastAsia="en-US"/>
        </w:rPr>
        <w:t xml:space="preserve"> dal Direttore Generale del Tesoro o da un suo delegato, e dal Direttore generale competente del Ministero degli affari esteri e della cooperazione internazionale ed è composto da sei membri, oltre i copresidenti. I componenti del Comitato, ed i rispettivi supplenti che, in caso di impedimento, li sostituiscono, sono nominati con decreto del Ministro dell'economia e delle finanze, sulla base delle designazioni effettuate, rispettivamente, dal Ministero dell'economia e delle finanze, dal Ministero degli affari esteri e della cooperazione internazionale, dal Ministero dell'interno, dal Ministero dello sviluppo economico, dal Ministero della difesa e del Ministero delle politiche agricole, alimentari e forestali. Ciascun componente partecipa alla riunione con diritto di voto. Il presidente del Comitato può invitare a partecipare alle riunioni, senza diritto di voto, rappresentanti di altri enti o istituzioni, pubblici e privati secondo le materie all'ordine del giorno. Per lo svolgimento delle proprie attività, il Comitato può avvalersi dell'ausilio delle amministrazioni componenti il Comitato e può richiedere pareri all'IVASS su specifiche questioni ed operazioni. Il funzionamento del Comitato è disciplinato con decreto del Ministro dell'economia e delle finanze, sentite le amministrazioni componenti il Comitato. Il Ministero dell'economia e delle finanze – Dipartimento del tesoro, Direzione VI – assicura le funzioni di segreteria del Comitato. La partecipazione al Comitato non dà diritto ad emolumenti. </w:t>
      </w:r>
      <w:r w:rsidRPr="00786639">
        <w:rPr>
          <w:rFonts w:cs="Times New Roman"/>
          <w:strike/>
          <w:color w:val="auto"/>
          <w:sz w:val="24"/>
          <w:szCs w:val="24"/>
          <w:highlight w:val="yellow"/>
          <w:lang w:eastAsia="en-US"/>
        </w:rPr>
        <w:t>Dall'istituzione del Comitato non devono derivare nuovi o maggiori oneri per la finanza pubblica e per il suo funzionamento ci si avvale delle risorse umane, finanziarie e strumentali iscritte in bilancio a legislazione vigente</w:t>
      </w:r>
      <w:r w:rsidR="00786639">
        <w:rPr>
          <w:rFonts w:cs="Times New Roman"/>
          <w:color w:val="auto"/>
          <w:sz w:val="24"/>
          <w:szCs w:val="24"/>
          <w:lang w:eastAsia="en-US"/>
        </w:rPr>
        <w:t xml:space="preserve"> </w:t>
      </w:r>
      <w:r w:rsidR="00786639" w:rsidRPr="00F33854">
        <w:rPr>
          <w:b/>
          <w:color w:val="000000" w:themeColor="text1"/>
          <w:sz w:val="24"/>
          <w:szCs w:val="24"/>
        </w:rPr>
        <w:t>Ai componenti del Comitato non spettano compensi, indennità o emolumenti comunque d</w:t>
      </w:r>
      <w:r w:rsidR="00786639">
        <w:rPr>
          <w:b/>
          <w:color w:val="000000" w:themeColor="text1"/>
          <w:sz w:val="24"/>
          <w:szCs w:val="24"/>
        </w:rPr>
        <w:t>enominati, né rimborsi di spese</w:t>
      </w:r>
      <w:r w:rsidR="00786639">
        <w:rPr>
          <w:rStyle w:val="Rimandonotaapidipagina"/>
          <w:b/>
          <w:color w:val="000000" w:themeColor="text1"/>
          <w:sz w:val="24"/>
          <w:szCs w:val="24"/>
        </w:rPr>
        <w:footnoteReference w:id="13"/>
      </w:r>
      <w:r w:rsidR="00786639">
        <w:rPr>
          <w:color w:val="000000" w:themeColor="text1"/>
          <w:sz w:val="24"/>
          <w:szCs w:val="24"/>
        </w:rPr>
        <w:t>.</w:t>
      </w:r>
    </w:p>
    <w:p w14:paraId="391176D6" w14:textId="77777777" w:rsidR="00AD1B0C" w:rsidRPr="00AD1B0C" w:rsidRDefault="00AD1B0C" w:rsidP="00AD1B0C">
      <w:pPr>
        <w:spacing w:after="160" w:line="259" w:lineRule="auto"/>
        <w:jc w:val="both"/>
        <w:rPr>
          <w:rFonts w:cs="Times New Roman"/>
          <w:color w:val="auto"/>
          <w:sz w:val="24"/>
          <w:szCs w:val="24"/>
          <w:lang w:eastAsia="en-US"/>
        </w:rPr>
      </w:pPr>
    </w:p>
    <w:p w14:paraId="6E08C2FC"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xml:space="preserve">   9-septies. Il Comitato di cui al comma 9-sexies, su proposta di SACE S.p.A., delibera il piano annuale di attività di cui al comma 9-bis, che definisce l'ammontare progettato di operazioni da assicurare, suddivise per aree geografiche e macro-settori, evidenziando l'importo delle operazioni da sottoporre all'autorizzazione preventiva del Ministro dell'economia e delle finanze ai sensi del comma 9-ter, nonché il sistema dei limiti di rischio (Risk Appetite Framework – “RAF”), che definisce, in linea con le migliori pratiche del settore bancario e assicurativo, la propensione al rischio, le soglie di tolleranza, con </w:t>
      </w:r>
      <w:r w:rsidRPr="00AD1B0C">
        <w:rPr>
          <w:rFonts w:cs="Times New Roman"/>
          <w:color w:val="auto"/>
          <w:sz w:val="24"/>
          <w:szCs w:val="24"/>
          <w:lang w:eastAsia="en-US"/>
        </w:rPr>
        <w:lastRenderedPageBreak/>
        <w:t>particolare riguardo alle operazioni che possono determinare elevati rischi di concentrazione verso singole controparti, gruppi di controparti connesse o paesi di destinazione, le politiche di governo dei rischi nonché i processi di riferimento necessari per definirli e attuarli. Il piano annuale di attività e il sistema degli limiti di rischio sono approvati, su proposta del Ministro dell'economia e delle finanze di concerto con il Ministro degli affari esteri e della cooperazione internazionale, con delibera del Comitato interministeriale per la programmazione economica (CIPE).</w:t>
      </w:r>
    </w:p>
    <w:p w14:paraId="612D362E"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   9-octies. Il Comitato per il sostegno finanziario pubblico all'esportazione, in aggiunta alle funzioni di cui al comma 9-septies, esprime il parere di competenza per l'autorizzazione da rilasciarsi con decreto del Ministro dell'economia e delle finanze, nei casi di cui al comma 9-ter, su istanza di SACE S.p.A., verificata la conformità dell'operazione deliberata da SACE S.p.A. e del relativo impegno assicurativo al piano di attività, al RAF e alla convenzione, nonché il rispetto dei limiti indicati al comma 9-bis. Il decreto del Ministro è sottoposto al controllo preventivo di legittimità e alla registrazione della Corte dei conti. Il Comitato esamina ogni elemento rilevante ai fini del funzionamento del sistema di sostegno pubblico all'esportazione e all'internazionalizzazione, anche predisponendo relazioni e formulando proposte.»;</w:t>
      </w:r>
    </w:p>
    <w:p w14:paraId="1E846DA3" w14:textId="77777777" w:rsidR="00AD1B0C" w:rsidRPr="00AD1B0C" w:rsidRDefault="00AD1B0C" w:rsidP="00AD1B0C">
      <w:pPr>
        <w:spacing w:after="160" w:line="259" w:lineRule="auto"/>
        <w:jc w:val="both"/>
        <w:rPr>
          <w:rFonts w:cs="Times New Roman"/>
          <w:color w:val="auto"/>
          <w:sz w:val="24"/>
          <w:szCs w:val="24"/>
          <w:lang w:eastAsia="en-US"/>
        </w:rPr>
      </w:pPr>
    </w:p>
    <w:p w14:paraId="596EC168"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   c) dopo il comma 14, è inserito il seguente: «14-bis. Ai fini del sostegno e rilancio dell'economia, SACE S.p.A. è abilitata a rilasciare, a condizioni di mercato e in conformità alla normativa dell'Unione Europea, garanzie sotto qualsiasi forma, ivi incluse controgaranzie verso i confidi, in favore di banche, di istituzioni finanziarie nazionali e internazionali e degli altri soggetti abilitati all'esercizio del credito in Italia, per finanziamenti sotto qualsiasi forma concessi alle imprese con sede in Italia, entro l'importo complessivo massimo di 200 miliardi di euro. L'attività di cui al presente comma è svolta con contabilità separata rispetto alle attività di cui al comma 9. È accordata di diritto per gli impegni assunti ai sensi del presente comma la garanzia dello Stato a prima richiesta a favore di SACE S.p.A. Non è ammesso il ricorso diretto dei soggetti finanziatori alla garanzia dello Stato. Con decreto del Ministro dell'economia e delle finanze di concerto con il Ministro degli affari esteri e della cooperazione internazionale e con il Ministro dello sviluppo economico, sono definiti criteri, modalità e condizioni del rilascio da parte di SACE S.p.A. delle garanzie di cui al presente comma e dell'operatività della garanzia dello Stato, in conformità con la normativa dell'Unione europea, e sono altresì individuate le attività che SACE S.p.A. svolge per conto del Ministero dell'economia e delle finanze.</w:t>
      </w:r>
    </w:p>
    <w:p w14:paraId="08FE9FA8" w14:textId="77777777" w:rsidR="00AD1B0C" w:rsidRPr="00AD1B0C" w:rsidRDefault="00AD1B0C" w:rsidP="00AD1B0C">
      <w:pPr>
        <w:spacing w:after="160" w:line="259" w:lineRule="auto"/>
        <w:jc w:val="both"/>
        <w:rPr>
          <w:rFonts w:cs="Times New Roman"/>
          <w:color w:val="auto"/>
          <w:sz w:val="24"/>
          <w:szCs w:val="24"/>
          <w:lang w:eastAsia="en-US"/>
        </w:rPr>
      </w:pPr>
    </w:p>
    <w:p w14:paraId="2B3FA096"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  2. Gli impegni assunti e le operazioni deliberate dal consiglio di amministrazione di SACE S.p.A. nonché le garanzie rilasciate dallo Stato prima della data di entrata in vigore del presente decreto sulla base delle norme previgenti rispetto a quelle modificate dal comma 1, lettera b), del presente articolo, e delle disposizioni primarie e secondarie relative o collegate, restano regolate dalle medesime norme e dalle medesime disposizioni, salvo quanto previsto ai commi 4, 5 e 6 del presente articolo.</w:t>
      </w:r>
    </w:p>
    <w:p w14:paraId="430068F1"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lastRenderedPageBreak/>
        <w:t>  3. Gli impegni assunti e le operazioni deliberate dal consiglio di amministrazione di SACE S.p.A. nonché le garanzie rilasciate dallo Stato nel periodo intercorrente tra la data di entrata in vigore del presente decreto e il 31 dicembre 2020, sono e restano regolate dalle norme e dalle convenzioni vigenti alla data del 7 aprile 2020, salvo quanto previsto ai commi 4, 5 e 7 del presente articolo. Il Comitato di cui al comma 9-sexies dell'articolo 6 del decreto-legge 30 settembre 2003, n. 269 convertito, con modificazioni, dalla legge 24 novembre 2003, n. 32, come modificato ai sensi del comma 1, una volta completata la procedura di nomina dei suoi componenti con decreto del Ministro dell'economia e delle finanze, sostituisce il Comitato di cui al decreto del Ministro dell'economia e delle finanze del 13 febbraio 2015, n. 3245 e successive modificazioni. A decorrere dal 1° gennaio 2021 si applicano le disposizioni in base alle quali gli impegni derivanti dall'attività assicurativa e di garanzia dei rischi definiti non di mercato dalla normativa dell'Unione Europea sono assunti da SACE S.p.A. e dallo Stato nella misura rispettivamente del dieci per cento e del novanta per cento del capitale e degli interessi di ciascun impegno, secondo quanto previsto dall'articolo 6 del decreto legge n. 269 del 2003, come dal comma 1 del presente articolo. Le risorse del fondo istituito ai sensi del previgente articolo 6, comma 9-bis, del decreto-legge n. 269 del 2003, confluiscono nel fondo istituito ai sensi dell'articolo 6, comma 9-quater del decreto legge n. 269 del 2003 come modificato dal comma 1 del presente articolo.</w:t>
      </w:r>
    </w:p>
    <w:p w14:paraId="01C6C636"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  4. Per effetto della presente disposizione sono garantite dallo Stato, ai sensi e per gli effetti di cui all'articolo 6, comma 9-bis e seguenti, del decreto-legge 30 settembre 2003, n. 269, convertito, con modificazioni, dalla legge 24 novembre 2003, n. 326, come vigente alla data del 6 aprile 2020, le seguenti operazioni nel settore crocieristico, specificamente indicate nella tabella allegata che costituisce parte integrante del presente decreto:</w:t>
      </w:r>
    </w:p>
    <w:p w14:paraId="41AEC53B" w14:textId="77777777" w:rsidR="00AD1B0C" w:rsidRPr="00AD1B0C" w:rsidRDefault="00AD1B0C" w:rsidP="00AD1B0C">
      <w:pPr>
        <w:spacing w:after="160" w:line="259" w:lineRule="auto"/>
        <w:jc w:val="both"/>
        <w:rPr>
          <w:rFonts w:cs="Times New Roman"/>
          <w:color w:val="auto"/>
          <w:sz w:val="24"/>
          <w:szCs w:val="24"/>
          <w:lang w:eastAsia="en-US"/>
        </w:rPr>
      </w:pPr>
    </w:p>
    <w:p w14:paraId="68D14A71"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   a) operazioni già autorizzate, ai sensi dell'articolo 2 della delibera CIPE n. 75/2019;</w:t>
      </w:r>
    </w:p>
    <w:p w14:paraId="4021B202" w14:textId="77777777" w:rsidR="00AD1B0C" w:rsidRPr="00AD1B0C" w:rsidRDefault="00AD1B0C" w:rsidP="00AD1B0C">
      <w:pPr>
        <w:spacing w:after="160" w:line="259" w:lineRule="auto"/>
        <w:jc w:val="both"/>
        <w:rPr>
          <w:rFonts w:cs="Times New Roman"/>
          <w:color w:val="auto"/>
          <w:sz w:val="24"/>
          <w:szCs w:val="24"/>
          <w:lang w:eastAsia="en-US"/>
        </w:rPr>
      </w:pPr>
    </w:p>
    <w:p w14:paraId="67B6D236"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   b) operazioni ammissibili alla garanzia ai sensi dell'articolo 1, comma 2, della Delibera CIPE n. 75/2019, le cui istanze sono state già presentate da SACE S.p.A.;</w:t>
      </w:r>
    </w:p>
    <w:p w14:paraId="6BAB5980" w14:textId="77777777" w:rsidR="00AD1B0C" w:rsidRPr="00AD1B0C" w:rsidRDefault="00AD1B0C" w:rsidP="00AD1B0C">
      <w:pPr>
        <w:spacing w:after="160" w:line="259" w:lineRule="auto"/>
        <w:jc w:val="both"/>
        <w:rPr>
          <w:rFonts w:cs="Times New Roman"/>
          <w:color w:val="auto"/>
          <w:sz w:val="24"/>
          <w:szCs w:val="24"/>
          <w:lang w:eastAsia="en-US"/>
        </w:rPr>
      </w:pPr>
    </w:p>
    <w:p w14:paraId="27957551"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   c) ulteriori operazioni deliberate da SACE S.p.A., entro la data di entrata in vigore del presente decreto-legge, fino all'importo massimo di 2,6 miliardi di euro.</w:t>
      </w:r>
    </w:p>
    <w:p w14:paraId="2BC27AF8" w14:textId="77777777" w:rsidR="00AD1B0C" w:rsidRPr="00AD1B0C" w:rsidRDefault="00AD1B0C" w:rsidP="00AD1B0C">
      <w:pPr>
        <w:spacing w:after="160" w:line="259" w:lineRule="auto"/>
        <w:jc w:val="both"/>
        <w:rPr>
          <w:rFonts w:cs="Times New Roman"/>
          <w:color w:val="auto"/>
          <w:sz w:val="24"/>
          <w:szCs w:val="24"/>
          <w:lang w:eastAsia="en-US"/>
        </w:rPr>
      </w:pPr>
    </w:p>
    <w:p w14:paraId="5EF44E10"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xml:space="preserve">  5. Il Ministro dell'economia e delle finanze, per l'anno 2020, salvo quanto previsto dal comma 4, è autorizzato a rilasciare la garanzia dello Stato in favore di SACE S.p.A., di cui all'articolo 6, comma 9-bis, del decreto-legge 30 settembre 2003, n. 269, convertito, con modificazioni, dalla legge 24 novembre </w:t>
      </w:r>
      <w:r w:rsidRPr="00AD1B0C">
        <w:rPr>
          <w:rFonts w:cs="Times New Roman"/>
          <w:color w:val="auto"/>
          <w:sz w:val="24"/>
          <w:szCs w:val="24"/>
          <w:lang w:eastAsia="en-US"/>
        </w:rPr>
        <w:lastRenderedPageBreak/>
        <w:t>2003, n. 326, come vigente alla data del 6 aprile 2020, con concessione del limite speciale di cui all'articolo 7.8 della Convenzione approvata con decreto del Presidente del Consiglio dei ministri 20 novembre 2014, entro i seguenti limiti:</w:t>
      </w:r>
    </w:p>
    <w:p w14:paraId="5D63B113" w14:textId="77777777" w:rsidR="00AD1B0C" w:rsidRPr="00AD1B0C" w:rsidRDefault="00AD1B0C" w:rsidP="00AD1B0C">
      <w:pPr>
        <w:spacing w:after="160" w:line="259" w:lineRule="auto"/>
        <w:jc w:val="both"/>
        <w:rPr>
          <w:rFonts w:cs="Times New Roman"/>
          <w:color w:val="auto"/>
          <w:sz w:val="24"/>
          <w:szCs w:val="24"/>
          <w:lang w:eastAsia="en-US"/>
        </w:rPr>
      </w:pPr>
    </w:p>
    <w:p w14:paraId="548D0A01"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   a) per il settore crocieristico, la garanzia dello Stato in favore di SACE S.p.A. su nuove operazioni deliberate nel corso dell'anno 2020, escluse quelle di cui alla lettera a) del comma 4 non può eccedere l'importo massimo in termini di flusso di tre miliardi di euro; il totale dell'esposizione cumulata conservata da SACE S.p.A. e di quella ceduta allo Stato sul settore non può eccedere la quota massima del 40 per cento dell'intero portafoglio rischi in essere complessivamente conservato da SACE S.p.A. e ceduto allo Stato;</w:t>
      </w:r>
    </w:p>
    <w:p w14:paraId="41C5BBFA" w14:textId="77777777" w:rsidR="00AD1B0C" w:rsidRPr="00AD1B0C" w:rsidRDefault="00AD1B0C" w:rsidP="00AD1B0C">
      <w:pPr>
        <w:spacing w:after="160" w:line="259" w:lineRule="auto"/>
        <w:jc w:val="both"/>
        <w:rPr>
          <w:rFonts w:cs="Times New Roman"/>
          <w:color w:val="auto"/>
          <w:sz w:val="24"/>
          <w:szCs w:val="24"/>
          <w:lang w:eastAsia="en-US"/>
        </w:rPr>
      </w:pPr>
    </w:p>
    <w:p w14:paraId="59C94A13"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   b) per il settore difesa, la garanzia dello Stato in favore di SACE S.p.A. su nuove operazioni, esclusivamente con controparte sovrana, deliberate nel corso dell'anno 2020 non può eccedere l'importo massimo in termini di flusso di cinque miliardi euro; il totale dell'esposizione cumulata conservata da SACE S.p.A. e di quella ceduta allo Stato sul settore non può eccedere la quota massima del 29 per cento dell'intero portafoglio rischi in essere complessivamente conservato da SACE S.p.A. e ceduto allo Stato. La garanzia dello Stato è rilasciata, con decreto del Ministro dell'economia e delle finanze, su istanza di SACE S.p.A., previo parere dell'IVASS – espresso entro 15 giorni dalla richiesta – limitatamente alla congruità del premio riconosciuto allo Stato, nel principio della condivisione dei rischi e tenuto conto dei necessari accantonamenti prudenziali alla luce del nuovo scenario di rischiosità sistemica e di una maggiore concentrazione, a valere sulla dotazione del fondo di cui all'articolo 6, comma 9-bis, del decreto-legge 30 settembre 2003, n. 269, convertito, con modificazioni, dalla legge 24 novembre 2003, n. 326, vigente alla data del 6 aprile 2020.</w:t>
      </w:r>
    </w:p>
    <w:p w14:paraId="1A2B9618" w14:textId="77777777" w:rsidR="00AD1B0C" w:rsidRPr="00AD1B0C" w:rsidRDefault="00AD1B0C" w:rsidP="00AD1B0C">
      <w:pPr>
        <w:spacing w:after="160" w:line="259" w:lineRule="auto"/>
        <w:jc w:val="both"/>
        <w:rPr>
          <w:rFonts w:cs="Times New Roman"/>
          <w:color w:val="auto"/>
          <w:sz w:val="24"/>
          <w:szCs w:val="24"/>
          <w:lang w:eastAsia="en-US"/>
        </w:rPr>
      </w:pPr>
    </w:p>
    <w:p w14:paraId="1529CC5F"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xml:space="preserve">  6. Alla data di entrata in vigore del presente decreto, è riassicurato dallo Stato il novanta per cento degli impegni in essere a tale data assunti da SACE S.p.A. derivanti dall'attività assicurativa e di garanzia dei rischi definiti non di mercato dalla normativa dell'Unione Europea, ad esclusione di quelli per i quali è già stata presentata la richiesta di indennizzo o per i quali è stata comunicata a SACE S.p.A. il verificarsi, o la minaccia che si verifichi, un evento generatore di sinistro o un rischio incombente di sinistro, nonché di quelli per i quali è stata rilasciata garanzia dello Stato prima dell'entrata in vigore del presente decreto- ovvero ai sensi dei commi 4 e 5. Il novanta per cento degli attivi in cui sono investite le riserve tecniche è trasferito da SACE S.p.A. al Ministero dell'economia e delle finanze. La gestione di tali attivi è affidata a SACE S.p.A. che si attiene agli indirizzi del Ministero dell'economia e delle finanze. Entro sei mesi dalla data di entrata in vigore del presente decreto legge, il Ministero dell'economia e delle finanze e SACE </w:t>
      </w:r>
      <w:r w:rsidRPr="00AD1B0C">
        <w:rPr>
          <w:rFonts w:cs="Times New Roman"/>
          <w:color w:val="auto"/>
          <w:sz w:val="24"/>
          <w:szCs w:val="24"/>
          <w:lang w:eastAsia="en-US"/>
        </w:rPr>
        <w:lastRenderedPageBreak/>
        <w:t>S.p.A. possono procedere ad una verifica della coerenza tra ammontare delle riserve tecniche trasferite e la riassicurazione dello Stato, tenuto conto dell'assenza di remunerazione di questa.</w:t>
      </w:r>
    </w:p>
    <w:p w14:paraId="7F920E15"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  7. Il novanta per cento degli impegni assunti da SACE S.p.A. nel periodo intercorrente tra la data di entrata in vigore del presente decreto e il 31 dicembre 2020, ad esclusione di quelli di cui ai commi 4 e 5, può essere riassicurato con decreto del Ministro dell'economia e delle finanze, che approva altresì la forma di remunerazione concordata con SACE S.p.A., sentito il Comitato di cui all'articolo 6, comma 9-sexies, del decreto legge 30 settembre 2003, n. 269, convertito in legge, con modificazioni, dall'articolo 1, comma 1, della legge 24 novembre 2003, n. 326, come modificato dal comma 1 del presente articolo. La remunerazione della riassicurazione di cui al periodo precedente è versata all'entrata del bilancio dello Stato per essere riassegnata in spesa ed essere versata sul conto di tesoreria istituito dal previgente articolo 6, comma 9-bis del decreto-legge n. 269 del 2003.».</w:t>
      </w:r>
    </w:p>
    <w:p w14:paraId="213336F7"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  8. Ai fini del calcolo della percentuale per la quale è prevista la riassicurazione ai sensi dei commi 6 e 7 si computa anche la quota degli impegni garantiti dallo Stato ai sensi dell'articolo 6, comma 9-bis, del decreto-legge n. 269 del 2003, come vigente alla data del 6 aprile 2020, in modo che per ogni impegno, esclusa la quota riassicurata da terzi, la riassicurazione di cui ai commi 6 e 7 sia pari alla misura del novanta per cento degli impegni assunti da SACE S.p.A.</w:t>
      </w:r>
    </w:p>
    <w:p w14:paraId="44D0549B"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  9. Entro dieci giorni dalla data dell'entrata in vigore del presente decreto, SACE S.p.A. trasmette al Ministero dell'economia e delle finanze una relazione dettagliata sul capitale e la dotazione patrimoniale che si renderanno disponibili in seguito alle disposizioni di cui al presente articolo, al fine della valutazione sull'impiego di tali risorse per il sostegno alle imprese.</w:t>
      </w:r>
    </w:p>
    <w:p w14:paraId="074AA4F7"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  10. Ai fini della predisposizione dello schema di convenzione, il Ministero dell'economia e delle finanze può affidare, con apposito disciplinare, a società a totale partecipazione pubblica un incarico di studio, consulenza, valutazione e assistenza. Al relativo onere nel limite massimo di 100.000 euro per l'anno 2020, si provvede mediante corrispondente riduzione dello stanziamento del fondo speciale di parte corrente iscritto, ai fini del bilancio triennale 2020-2022, nell'ambito del programma «Fondi di riserva e speciali» della missione «Fondi da ripartire» dello stato di previsione del Ministero dell'economia e delle finanze per l'anno 2020, allo scopo parzialmente utilizzando l'accantonamento relativo al medesimo Ministero.</w:t>
      </w:r>
    </w:p>
    <w:p w14:paraId="55A7455C"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  11. L'articolo 53 del decreto-legge 17 marzo 2020, n. 18, è abrogato.</w:t>
      </w:r>
    </w:p>
    <w:p w14:paraId="0D1CCC04" w14:textId="77777777" w:rsidR="00AD1B0C" w:rsidRPr="00AD1B0C" w:rsidRDefault="00AD1B0C" w:rsidP="00AD1B0C">
      <w:pPr>
        <w:spacing w:after="160" w:line="259" w:lineRule="auto"/>
        <w:jc w:val="both"/>
        <w:rPr>
          <w:rFonts w:cs="Times New Roman"/>
          <w:color w:val="auto"/>
          <w:sz w:val="24"/>
          <w:szCs w:val="24"/>
          <w:lang w:eastAsia="en-US"/>
        </w:rPr>
      </w:pPr>
    </w:p>
    <w:p w14:paraId="24CB7704"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Articolo 3.</w:t>
      </w:r>
    </w:p>
    <w:p w14:paraId="2CA1ABD2"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(SACE S.p.A.)</w:t>
      </w:r>
    </w:p>
    <w:p w14:paraId="5149692F" w14:textId="77777777" w:rsidR="00AD1B0C" w:rsidRPr="00AD1B0C" w:rsidRDefault="00AD1B0C" w:rsidP="00AD1B0C">
      <w:pPr>
        <w:spacing w:after="160" w:line="259" w:lineRule="auto"/>
        <w:jc w:val="both"/>
        <w:rPr>
          <w:rFonts w:cs="Times New Roman"/>
          <w:color w:val="auto"/>
          <w:sz w:val="24"/>
          <w:szCs w:val="24"/>
          <w:lang w:eastAsia="en-US"/>
        </w:rPr>
      </w:pPr>
    </w:p>
    <w:p w14:paraId="08551E5F"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lastRenderedPageBreak/>
        <w:t>  1. SACE S.p.A. concorda con Cassa depositi e prestiti S.p.A. (CDP S.p.A.) le strategie industriali e commerciali al fine di massimizzare le sinergie di gruppo e aumentare l'efficacia del sistema di sostegno all'esportazione e all'internazionalizzazione delle imprese e di rilancio dell'economia.</w:t>
      </w:r>
    </w:p>
    <w:p w14:paraId="447AE460"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  2. In considerazione del ruolo strategico di SACE S.p.A. per l'attuazione delle misure di sostegno all'esportazione e all'internazionalizzazione delle imprese e di rilancio degli investimenti:</w:t>
      </w:r>
    </w:p>
    <w:p w14:paraId="399803C1" w14:textId="77777777" w:rsidR="00AD1B0C" w:rsidRPr="00AD1B0C" w:rsidRDefault="00AD1B0C" w:rsidP="00AD1B0C">
      <w:pPr>
        <w:spacing w:after="160" w:line="259" w:lineRule="auto"/>
        <w:jc w:val="both"/>
        <w:rPr>
          <w:rFonts w:cs="Times New Roman"/>
          <w:color w:val="auto"/>
          <w:sz w:val="24"/>
          <w:szCs w:val="24"/>
          <w:lang w:eastAsia="en-US"/>
        </w:rPr>
      </w:pPr>
    </w:p>
    <w:p w14:paraId="17D4C487"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   a) CDP S.p.A. concorda preventivamente con il Ministero dell'economia e delle finanze, sentito il Ministero degli affari esteri e della cooperazione internazionale, l'esercizio dei diritti di voto derivanti dalla partecipazione in SACE S.p.A.; per le deliberazioni di nomina degli organi sociali, il Ministero dell'economia e delle finanze agisce di concerto con il Ministero degli affari esteri e della cooperazione internazionale;</w:t>
      </w:r>
    </w:p>
    <w:p w14:paraId="58843879" w14:textId="77777777" w:rsidR="00AD1B0C" w:rsidRPr="00AD1B0C" w:rsidRDefault="00AD1B0C" w:rsidP="00AD1B0C">
      <w:pPr>
        <w:spacing w:after="160" w:line="259" w:lineRule="auto"/>
        <w:jc w:val="both"/>
        <w:rPr>
          <w:rFonts w:cs="Times New Roman"/>
          <w:color w:val="auto"/>
          <w:sz w:val="24"/>
          <w:szCs w:val="24"/>
          <w:lang w:eastAsia="en-US"/>
        </w:rPr>
      </w:pPr>
    </w:p>
    <w:p w14:paraId="63775418"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   b) CDP S.p.A. consulta preventivamente il Ministero dell'economia e delle finanze in merito ad operazioni di gestione della partecipazione in SACE S.p.A. diverse da quella di cui alla lettera a);</w:t>
      </w:r>
    </w:p>
    <w:p w14:paraId="73E20A43" w14:textId="77777777" w:rsidR="00AD1B0C" w:rsidRPr="00AD1B0C" w:rsidRDefault="00AD1B0C" w:rsidP="00AD1B0C">
      <w:pPr>
        <w:spacing w:after="160" w:line="259" w:lineRule="auto"/>
        <w:jc w:val="both"/>
        <w:rPr>
          <w:rFonts w:cs="Times New Roman"/>
          <w:color w:val="auto"/>
          <w:sz w:val="24"/>
          <w:szCs w:val="24"/>
          <w:lang w:eastAsia="en-US"/>
        </w:rPr>
      </w:pPr>
    </w:p>
    <w:p w14:paraId="41B09B9C"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   c) SACE S.p.A. non è soggetta all'attività di direzione e coordinamento di CDP S.p.A.;</w:t>
      </w:r>
    </w:p>
    <w:p w14:paraId="2F4E7F79" w14:textId="77777777" w:rsidR="00AD1B0C" w:rsidRPr="00AD1B0C" w:rsidRDefault="00AD1B0C" w:rsidP="00AD1B0C">
      <w:pPr>
        <w:spacing w:after="160" w:line="259" w:lineRule="auto"/>
        <w:jc w:val="both"/>
        <w:rPr>
          <w:rFonts w:cs="Times New Roman"/>
          <w:color w:val="auto"/>
          <w:sz w:val="24"/>
          <w:szCs w:val="24"/>
          <w:lang w:eastAsia="en-US"/>
        </w:rPr>
      </w:pPr>
    </w:p>
    <w:p w14:paraId="717D0997"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   d) SACE S.p.A. consulta preventivamente il Ministero dell'economia e delle finanze in ordine alle decisioni aziendali rilevanti ai fini dell'efficace attuazione delle misure di rilancio degli investimenti, con particolare riferimento alle decisioni relative all'assunzione di impegni e al recupero dei crediti;</w:t>
      </w:r>
    </w:p>
    <w:p w14:paraId="64E5CE61" w14:textId="77777777" w:rsidR="00AD1B0C" w:rsidRPr="00AD1B0C" w:rsidRDefault="00AD1B0C" w:rsidP="00AD1B0C">
      <w:pPr>
        <w:spacing w:after="160" w:line="259" w:lineRule="auto"/>
        <w:jc w:val="both"/>
        <w:rPr>
          <w:rFonts w:cs="Times New Roman"/>
          <w:color w:val="auto"/>
          <w:sz w:val="24"/>
          <w:szCs w:val="24"/>
          <w:lang w:eastAsia="en-US"/>
        </w:rPr>
      </w:pPr>
    </w:p>
    <w:p w14:paraId="5F2B4810"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   e) SACE S.p.A. consulta preventivamente il Ministero dell'economia e delle finanze e il Ministero degli affari esteri e della cooperazione internazionale in ordine alle decisioni aziendali rilevanti ai fini dell'efficace attuazione delle misure di sostegno all'internazionalizzazione delle imprese, con particolare riferimento alle decisioni relative all'assunzione di impegni e al recupero dei crediti;</w:t>
      </w:r>
    </w:p>
    <w:p w14:paraId="1A786C13" w14:textId="77777777" w:rsidR="00AD1B0C" w:rsidRPr="00AD1B0C" w:rsidRDefault="00AD1B0C" w:rsidP="00AD1B0C">
      <w:pPr>
        <w:spacing w:after="160" w:line="259" w:lineRule="auto"/>
        <w:jc w:val="both"/>
        <w:rPr>
          <w:rFonts w:cs="Times New Roman"/>
          <w:color w:val="auto"/>
          <w:sz w:val="24"/>
          <w:szCs w:val="24"/>
          <w:lang w:eastAsia="en-US"/>
        </w:rPr>
      </w:pPr>
    </w:p>
    <w:p w14:paraId="18D6DBB6"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   f) SACE S.p.A., nella predisposizione del piano annuale di attività, tiene conto delle linee guida e di indirizzo strategico in materia di promozione e internazionalizzazione delle imprese assunte dalla cabina di regia co-presieduta dal Ministro degli affari esteri e della cooperazione internazionale e dal Ministro dello sviluppo economico, di cui all'articolo 14, comma 18-bis del decreto legge 6 luglio 2011, n. 98, convertito, con modificazioni, dalla legge 15 luglio 2011, n.111.</w:t>
      </w:r>
    </w:p>
    <w:p w14:paraId="05B7A18C" w14:textId="77777777" w:rsidR="00AD1B0C" w:rsidRPr="00AD1B0C" w:rsidRDefault="00AD1B0C" w:rsidP="00AD1B0C">
      <w:pPr>
        <w:spacing w:after="160" w:line="259" w:lineRule="auto"/>
        <w:jc w:val="both"/>
        <w:rPr>
          <w:rFonts w:cs="Times New Roman"/>
          <w:color w:val="auto"/>
          <w:sz w:val="24"/>
          <w:szCs w:val="24"/>
          <w:lang w:eastAsia="en-US"/>
        </w:rPr>
      </w:pPr>
    </w:p>
    <w:p w14:paraId="70BD35D3"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  3. Restano fermi i poteri del Ministro degli affari esteri e della cooperazione internazionale nei confronti di Simest S.p.A., ai sensi di quanto previsto dall'articolo 2, comma 10, del decreto-legge 21 settembre 2019, n. 104, convertito, con modificazioni, dalla legge 18 novembre 2019, n. 132.</w:t>
      </w:r>
    </w:p>
    <w:p w14:paraId="25C6C1CF" w14:textId="77777777" w:rsidR="00AD1B0C" w:rsidRPr="00AD1B0C" w:rsidRDefault="00AD1B0C" w:rsidP="00AD1B0C">
      <w:pPr>
        <w:spacing w:after="160" w:line="259" w:lineRule="auto"/>
        <w:jc w:val="both"/>
        <w:rPr>
          <w:rFonts w:cs="Times New Roman"/>
          <w:color w:val="auto"/>
          <w:sz w:val="24"/>
          <w:szCs w:val="24"/>
          <w:lang w:eastAsia="en-US"/>
        </w:rPr>
      </w:pPr>
    </w:p>
    <w:p w14:paraId="5505FA3D"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Capo II</w:t>
      </w:r>
    </w:p>
    <w:p w14:paraId="615DE068"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MISURE URGENTI PER GARANTIRE LA CONTINUITÀ DELLE IMPRESE COLPITE DALL'EMERGENZA COVID-19</w:t>
      </w:r>
    </w:p>
    <w:p w14:paraId="6976E559" w14:textId="77777777" w:rsidR="00AD1B0C" w:rsidRPr="00AD1B0C" w:rsidRDefault="00AD1B0C" w:rsidP="00AD1B0C">
      <w:pPr>
        <w:spacing w:after="160" w:line="259" w:lineRule="auto"/>
        <w:jc w:val="center"/>
        <w:rPr>
          <w:rFonts w:cs="Times New Roman"/>
          <w:color w:val="auto"/>
          <w:sz w:val="24"/>
          <w:szCs w:val="24"/>
          <w:lang w:eastAsia="en-US"/>
        </w:rPr>
      </w:pPr>
    </w:p>
    <w:p w14:paraId="114972EF"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Articolo 4.</w:t>
      </w:r>
    </w:p>
    <w:p w14:paraId="49CAE801"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(Sottoscrizione contratti e comunicazioni in modo semplificato)</w:t>
      </w:r>
    </w:p>
    <w:p w14:paraId="08335C83" w14:textId="77777777" w:rsidR="00AD1B0C" w:rsidRPr="00AD1B0C" w:rsidRDefault="00AD1B0C" w:rsidP="00AD1B0C">
      <w:pPr>
        <w:spacing w:after="160" w:line="259" w:lineRule="auto"/>
        <w:jc w:val="both"/>
        <w:rPr>
          <w:rFonts w:cs="Times New Roman"/>
          <w:color w:val="auto"/>
          <w:sz w:val="24"/>
          <w:szCs w:val="24"/>
          <w:lang w:eastAsia="en-US"/>
        </w:rPr>
      </w:pPr>
    </w:p>
    <w:p w14:paraId="3570C184" w14:textId="77777777" w:rsid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 Ai fini degli articoli 117, 125-bis, 126-quinquies e 126-quinquiesdecies del decreto legislativo 1° settembre 1993, n. 385, ferme restando le previsioni sulle tecniche di conclusione dei contratti mediante strumenti informativi o telematici, i contratti, conclusi con la clientela al dettaglio come definita dalle disposizioni della Banca d'Italia in materia di trasparenza delle operazioni e dei servizi bancari e finanziari, nel periodo compreso tra la data di entrata in vigore del presente decreto ed il termine dello stato di emergenza deliberato dal Consiglio dei ministri in data 31 gennaio 2020 soddisfano il requisito ed hanno l'efficacia di cui all'articolo 20, comma 1-bis, primo periodo, del decreto legislativo 7 marzo 2005, n. 82, anche se il cliente esprime il proprio consenso mediante il proprio indirizzo di posta elettronica non certificata o con altro strumento idoneo, a condizione che questi siano accompagnati da copia di un documento di riconoscimento in corso di validità del contraente, facciano riferimento ad un contratto identificabile in modo certo e siano conservati insieme al contratto medesimo con modalità tali da garantirne la sicurezza, l'integrità e l'immodificabilità. Il requisito della consegna di copia del contratto è soddisfatto mediante la messa a disposizione del cliente di copia del testo del contratto su supporto durevole; l'intermediario consegna copia cartacea del contratto al cliente alla prima occasione utile successiva al termine dello stato di emergenza. Il cliente può usare il medesimo strumento impiegato per esprimere il consenso al contratto anche per esercitare il diritto di recesso previsto dalla legge.</w:t>
      </w:r>
    </w:p>
    <w:p w14:paraId="41BCBA12" w14:textId="77777777" w:rsidR="00897768" w:rsidRDefault="00897768" w:rsidP="00AD1B0C">
      <w:pPr>
        <w:spacing w:after="160" w:line="259" w:lineRule="auto"/>
        <w:jc w:val="both"/>
        <w:rPr>
          <w:rFonts w:cs="Times New Roman"/>
          <w:color w:val="auto"/>
          <w:sz w:val="24"/>
          <w:szCs w:val="24"/>
          <w:lang w:eastAsia="en-US"/>
        </w:rPr>
      </w:pPr>
    </w:p>
    <w:p w14:paraId="003B2B92" w14:textId="77777777" w:rsidR="00897768" w:rsidRPr="00F33854" w:rsidRDefault="00897768" w:rsidP="00897768">
      <w:pPr>
        <w:jc w:val="center"/>
        <w:rPr>
          <w:b/>
          <w:color w:val="000000" w:themeColor="text1"/>
          <w:sz w:val="24"/>
          <w:szCs w:val="24"/>
        </w:rPr>
      </w:pPr>
      <w:r w:rsidRPr="00F33854">
        <w:rPr>
          <w:b/>
          <w:color w:val="000000" w:themeColor="text1"/>
          <w:sz w:val="24"/>
          <w:szCs w:val="24"/>
        </w:rPr>
        <w:t>Art. 4-bis.</w:t>
      </w:r>
    </w:p>
    <w:p w14:paraId="79032A25" w14:textId="77777777" w:rsidR="00897768" w:rsidRPr="00F33854" w:rsidRDefault="00897768" w:rsidP="00897768">
      <w:pPr>
        <w:jc w:val="center"/>
        <w:rPr>
          <w:b/>
          <w:color w:val="000000" w:themeColor="text1"/>
          <w:sz w:val="24"/>
          <w:szCs w:val="24"/>
        </w:rPr>
      </w:pPr>
      <w:r w:rsidRPr="00F33854">
        <w:rPr>
          <w:b/>
          <w:color w:val="000000" w:themeColor="text1"/>
          <w:sz w:val="24"/>
          <w:szCs w:val="24"/>
        </w:rPr>
        <w:lastRenderedPageBreak/>
        <w:t>(Inserimento di nuove attività nella lista di cui all'articolo 1, comma 53, della legge 6 novembre 2012, n. 190)</w:t>
      </w:r>
    </w:p>
    <w:p w14:paraId="0974D0CC" w14:textId="77777777" w:rsidR="00897768" w:rsidRPr="00F33854" w:rsidRDefault="00897768" w:rsidP="00897768">
      <w:pPr>
        <w:jc w:val="center"/>
        <w:rPr>
          <w:b/>
          <w:color w:val="000000" w:themeColor="text1"/>
          <w:sz w:val="24"/>
          <w:szCs w:val="24"/>
        </w:rPr>
      </w:pPr>
    </w:p>
    <w:p w14:paraId="617ACDA4" w14:textId="77777777" w:rsidR="00897768" w:rsidRPr="00F33854" w:rsidRDefault="00897768" w:rsidP="00897768">
      <w:pPr>
        <w:jc w:val="both"/>
        <w:rPr>
          <w:b/>
          <w:color w:val="000000" w:themeColor="text1"/>
          <w:sz w:val="24"/>
          <w:szCs w:val="24"/>
        </w:rPr>
      </w:pPr>
      <w:r w:rsidRPr="00F33854">
        <w:rPr>
          <w:b/>
          <w:color w:val="000000" w:themeColor="text1"/>
          <w:sz w:val="24"/>
          <w:szCs w:val="24"/>
        </w:rPr>
        <w:t>  1. All'articolo 1, comma 53, della legge 6 novembre 2012, n. 190, sono apportate le seguenti modificazioni:</w:t>
      </w:r>
    </w:p>
    <w:p w14:paraId="3F2FFADF" w14:textId="77777777" w:rsidR="00897768" w:rsidRPr="00F33854" w:rsidRDefault="00897768" w:rsidP="00897768">
      <w:pPr>
        <w:jc w:val="both"/>
        <w:rPr>
          <w:b/>
          <w:color w:val="000000" w:themeColor="text1"/>
          <w:sz w:val="24"/>
          <w:szCs w:val="24"/>
        </w:rPr>
      </w:pPr>
      <w:r w:rsidRPr="00F33854">
        <w:rPr>
          <w:b/>
          <w:color w:val="000000" w:themeColor="text1"/>
          <w:sz w:val="24"/>
          <w:szCs w:val="24"/>
        </w:rPr>
        <w:t>    1) le lettere a) e b) sono soppresse;</w:t>
      </w:r>
    </w:p>
    <w:p w14:paraId="2EB8253D" w14:textId="77777777" w:rsidR="00897768" w:rsidRPr="00F33854" w:rsidRDefault="00897768" w:rsidP="00897768">
      <w:pPr>
        <w:jc w:val="both"/>
        <w:rPr>
          <w:b/>
          <w:color w:val="000000" w:themeColor="text1"/>
          <w:sz w:val="24"/>
          <w:szCs w:val="24"/>
        </w:rPr>
      </w:pPr>
      <w:r w:rsidRPr="00F33854">
        <w:rPr>
          <w:b/>
          <w:color w:val="000000" w:themeColor="text1"/>
          <w:sz w:val="24"/>
          <w:szCs w:val="24"/>
        </w:rPr>
        <w:t>    2) dopo la lettera i), sono aggiunte le seguenti:</w:t>
      </w:r>
    </w:p>
    <w:p w14:paraId="69796209" w14:textId="77777777" w:rsidR="00897768" w:rsidRPr="00F33854" w:rsidRDefault="00897768" w:rsidP="00897768">
      <w:pPr>
        <w:jc w:val="both"/>
        <w:rPr>
          <w:b/>
          <w:color w:val="000000" w:themeColor="text1"/>
          <w:sz w:val="24"/>
          <w:szCs w:val="24"/>
        </w:rPr>
      </w:pPr>
      <w:r w:rsidRPr="00F33854">
        <w:rPr>
          <w:b/>
          <w:color w:val="000000" w:themeColor="text1"/>
          <w:sz w:val="24"/>
          <w:szCs w:val="24"/>
        </w:rPr>
        <w:t>   </w:t>
      </w:r>
      <w:proofErr w:type="gramStart"/>
      <w:r w:rsidRPr="00F33854">
        <w:rPr>
          <w:b/>
          <w:color w:val="000000" w:themeColor="text1"/>
          <w:sz w:val="24"/>
          <w:szCs w:val="24"/>
        </w:rPr>
        <w:t>« i</w:t>
      </w:r>
      <w:proofErr w:type="gramEnd"/>
      <w:r w:rsidRPr="00F33854">
        <w:rPr>
          <w:b/>
          <w:color w:val="000000" w:themeColor="text1"/>
          <w:sz w:val="24"/>
          <w:szCs w:val="24"/>
        </w:rPr>
        <w:t>-bis) servizi funerari e cimiteriali;</w:t>
      </w:r>
    </w:p>
    <w:p w14:paraId="70B2DB0B" w14:textId="77777777" w:rsidR="00897768" w:rsidRPr="00F33854" w:rsidRDefault="00897768" w:rsidP="00897768">
      <w:pPr>
        <w:jc w:val="both"/>
        <w:rPr>
          <w:b/>
          <w:color w:val="000000" w:themeColor="text1"/>
          <w:sz w:val="24"/>
          <w:szCs w:val="24"/>
        </w:rPr>
      </w:pPr>
      <w:r w:rsidRPr="00F33854">
        <w:rPr>
          <w:b/>
          <w:color w:val="000000" w:themeColor="text1"/>
          <w:sz w:val="24"/>
          <w:szCs w:val="24"/>
        </w:rPr>
        <w:t>   i-ter) ristorazione, gestione mense e catering;</w:t>
      </w:r>
    </w:p>
    <w:p w14:paraId="188A24CB" w14:textId="77777777" w:rsidR="00897768" w:rsidRDefault="00897768" w:rsidP="00897768">
      <w:pPr>
        <w:spacing w:after="160" w:line="259" w:lineRule="auto"/>
        <w:jc w:val="both"/>
        <w:rPr>
          <w:b/>
          <w:color w:val="000000" w:themeColor="text1"/>
          <w:sz w:val="24"/>
          <w:szCs w:val="24"/>
        </w:rPr>
      </w:pPr>
      <w:r w:rsidRPr="00F33854">
        <w:rPr>
          <w:b/>
          <w:color w:val="000000" w:themeColor="text1"/>
          <w:sz w:val="24"/>
          <w:szCs w:val="24"/>
        </w:rPr>
        <w:t>   i-quater) servizi ambientali, ivi comprese le attività di raccolta, trasporto, nazionale e transfrontaliero, anche per conto di terzi, trattamento e smaltimento dei rifiuti, nonché le attività di risanamento, bonifica e gli altri servizi connessi alla gestione dei rifiuti.».</w:t>
      </w:r>
      <w:r>
        <w:rPr>
          <w:rStyle w:val="Rimandonotaapidipagina"/>
          <w:b/>
          <w:color w:val="000000" w:themeColor="text1"/>
          <w:sz w:val="24"/>
          <w:szCs w:val="24"/>
        </w:rPr>
        <w:footnoteReference w:id="14"/>
      </w:r>
    </w:p>
    <w:p w14:paraId="06B23386" w14:textId="77777777" w:rsidR="007F6AB0" w:rsidRDefault="007F6AB0" w:rsidP="00897768">
      <w:pPr>
        <w:spacing w:after="160" w:line="259" w:lineRule="auto"/>
        <w:jc w:val="both"/>
        <w:rPr>
          <w:b/>
          <w:color w:val="000000" w:themeColor="text1"/>
          <w:sz w:val="24"/>
          <w:szCs w:val="24"/>
        </w:rPr>
      </w:pPr>
    </w:p>
    <w:p w14:paraId="7D6F62DC" w14:textId="77777777" w:rsidR="007F6AB0" w:rsidRDefault="007F6AB0" w:rsidP="00897768">
      <w:pPr>
        <w:spacing w:after="160" w:line="259" w:lineRule="auto"/>
        <w:jc w:val="both"/>
        <w:rPr>
          <w:b/>
          <w:color w:val="000000" w:themeColor="text1"/>
          <w:sz w:val="24"/>
          <w:szCs w:val="24"/>
        </w:rPr>
      </w:pPr>
    </w:p>
    <w:p w14:paraId="35308131" w14:textId="77777777" w:rsidR="007F6AB0" w:rsidRDefault="007F6AB0" w:rsidP="00897768">
      <w:pPr>
        <w:spacing w:after="160" w:line="259" w:lineRule="auto"/>
        <w:jc w:val="both"/>
        <w:rPr>
          <w:b/>
          <w:color w:val="000000" w:themeColor="text1"/>
          <w:sz w:val="24"/>
          <w:szCs w:val="24"/>
        </w:rPr>
      </w:pPr>
    </w:p>
    <w:p w14:paraId="20D9049A" w14:textId="77777777" w:rsidR="007F6AB0" w:rsidRPr="00F33854" w:rsidRDefault="007F6AB0" w:rsidP="007F6AB0">
      <w:pPr>
        <w:jc w:val="center"/>
        <w:rPr>
          <w:b/>
          <w:color w:val="000000" w:themeColor="text1"/>
          <w:sz w:val="24"/>
          <w:szCs w:val="24"/>
          <w:lang w:val="en-US"/>
        </w:rPr>
      </w:pPr>
      <w:r w:rsidRPr="00F33854">
        <w:rPr>
          <w:b/>
          <w:color w:val="000000" w:themeColor="text1"/>
          <w:sz w:val="24"/>
          <w:szCs w:val="24"/>
          <w:lang w:val="en-US"/>
        </w:rPr>
        <w:t>Art. 4-bis.</w:t>
      </w:r>
    </w:p>
    <w:p w14:paraId="40924C94" w14:textId="77777777" w:rsidR="007F6AB0" w:rsidRPr="00F33854" w:rsidRDefault="007F6AB0" w:rsidP="007F6AB0">
      <w:pPr>
        <w:jc w:val="center"/>
        <w:rPr>
          <w:b/>
          <w:color w:val="000000" w:themeColor="text1"/>
          <w:sz w:val="24"/>
          <w:szCs w:val="24"/>
          <w:lang w:val="en-US"/>
        </w:rPr>
      </w:pPr>
      <w:r w:rsidRPr="00F33854">
        <w:rPr>
          <w:b/>
          <w:color w:val="000000" w:themeColor="text1"/>
          <w:sz w:val="24"/>
          <w:szCs w:val="24"/>
          <w:lang w:val="en-US"/>
        </w:rPr>
        <w:t xml:space="preserve">(Target </w:t>
      </w:r>
      <w:proofErr w:type="spellStart"/>
      <w:r w:rsidRPr="00F33854">
        <w:rPr>
          <w:b/>
          <w:color w:val="000000" w:themeColor="text1"/>
          <w:sz w:val="24"/>
          <w:szCs w:val="24"/>
          <w:lang w:val="en-US"/>
        </w:rPr>
        <w:t>annuali</w:t>
      </w:r>
      <w:proofErr w:type="spellEnd"/>
      <w:r w:rsidRPr="00F33854">
        <w:rPr>
          <w:b/>
          <w:color w:val="000000" w:themeColor="text1"/>
          <w:sz w:val="24"/>
          <w:szCs w:val="24"/>
          <w:lang w:val="en-US"/>
        </w:rPr>
        <w:t xml:space="preserve"> di PFU)</w:t>
      </w:r>
    </w:p>
    <w:p w14:paraId="4790B24A" w14:textId="77777777" w:rsidR="007F6AB0" w:rsidRPr="00F33854" w:rsidRDefault="007F6AB0" w:rsidP="007F6AB0">
      <w:pPr>
        <w:jc w:val="both"/>
        <w:rPr>
          <w:b/>
          <w:color w:val="000000" w:themeColor="text1"/>
          <w:sz w:val="24"/>
          <w:szCs w:val="24"/>
          <w:lang w:val="en-US"/>
        </w:rPr>
      </w:pPr>
    </w:p>
    <w:p w14:paraId="1514A9A3" w14:textId="77777777" w:rsidR="007F6AB0" w:rsidRPr="00F33854" w:rsidRDefault="007F6AB0" w:rsidP="007F6AB0">
      <w:pPr>
        <w:jc w:val="both"/>
        <w:rPr>
          <w:b/>
          <w:color w:val="000000" w:themeColor="text1"/>
          <w:sz w:val="24"/>
          <w:szCs w:val="24"/>
        </w:rPr>
      </w:pPr>
      <w:r w:rsidRPr="00F33854">
        <w:rPr>
          <w:b/>
          <w:color w:val="000000" w:themeColor="text1"/>
          <w:sz w:val="24"/>
          <w:szCs w:val="24"/>
        </w:rPr>
        <w:t xml:space="preserve">  1. Alla luce della situazione emergenziale derivante dalla pandemia COVID-19 e le misure adottate per contenerla, in quanto incidenti su attività commerciali e spostamenti delle persone, gli obiettivi di gestione di quantitativi di pneumatici fuori uso su base annuale, come disposti ai sensi dell'articolo 228, comma 1, del decreto legislativo n. 152 del 2006, pari a quelli immessi sul mercato e destinati alla </w:t>
      </w:r>
      <w:r w:rsidRPr="00F33854">
        <w:rPr>
          <w:b/>
          <w:color w:val="000000" w:themeColor="text1"/>
          <w:sz w:val="24"/>
          <w:szCs w:val="24"/>
        </w:rPr>
        <w:lastRenderedPageBreak/>
        <w:t>vendita nell'anno precedente, per l'anno in corso sono parametrati al biennio 2020-2021; conseguentemente la verifica delle quantità di pneumatici fuori uso gestite dai soggetti obbligati si misura computando gli pneumatici immessi sul mercato e destinati alla vendita nel biennio 2019-2020.</w:t>
      </w:r>
      <w:r>
        <w:rPr>
          <w:rStyle w:val="Rimandonotaapidipagina"/>
          <w:b/>
          <w:color w:val="000000" w:themeColor="text1"/>
          <w:sz w:val="24"/>
          <w:szCs w:val="24"/>
        </w:rPr>
        <w:footnoteReference w:id="15"/>
      </w:r>
    </w:p>
    <w:p w14:paraId="54BC8324" w14:textId="77777777" w:rsidR="007F6AB0" w:rsidRPr="00AD1B0C" w:rsidRDefault="007F6AB0" w:rsidP="00897768">
      <w:pPr>
        <w:spacing w:after="160" w:line="259" w:lineRule="auto"/>
        <w:jc w:val="both"/>
        <w:rPr>
          <w:rFonts w:cs="Times New Roman"/>
          <w:color w:val="auto"/>
          <w:sz w:val="24"/>
          <w:szCs w:val="24"/>
          <w:lang w:eastAsia="en-US"/>
        </w:rPr>
      </w:pPr>
    </w:p>
    <w:p w14:paraId="5EFFED5E" w14:textId="77777777" w:rsidR="00AD1B0C" w:rsidRPr="00AD1B0C" w:rsidRDefault="00AD1B0C" w:rsidP="00AD1B0C">
      <w:pPr>
        <w:spacing w:after="160" w:line="259" w:lineRule="auto"/>
        <w:jc w:val="both"/>
        <w:rPr>
          <w:rFonts w:cs="Times New Roman"/>
          <w:color w:val="auto"/>
          <w:sz w:val="24"/>
          <w:szCs w:val="24"/>
          <w:lang w:eastAsia="en-US"/>
        </w:rPr>
      </w:pPr>
    </w:p>
    <w:p w14:paraId="1B422191"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Articolo 5.</w:t>
      </w:r>
    </w:p>
    <w:p w14:paraId="530E792A"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(Differimento dell'entrata in vigore del Codice della crisi d'impresa e dell'insolvenza di cui al decreto legislativo 12 gennaio 2019, n. 14)</w:t>
      </w:r>
    </w:p>
    <w:p w14:paraId="6D4B10A7" w14:textId="77777777" w:rsidR="00AD1B0C" w:rsidRPr="00AD1B0C" w:rsidRDefault="00AD1B0C" w:rsidP="00AD1B0C">
      <w:pPr>
        <w:spacing w:after="160" w:line="259" w:lineRule="auto"/>
        <w:jc w:val="both"/>
        <w:rPr>
          <w:rFonts w:cs="Times New Roman"/>
          <w:color w:val="auto"/>
          <w:sz w:val="24"/>
          <w:szCs w:val="24"/>
          <w:lang w:eastAsia="en-US"/>
        </w:rPr>
      </w:pPr>
    </w:p>
    <w:p w14:paraId="73CAD30C"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 All'articolo 389 del decreto legislativo 12 gennaio 2019, n. 14, il comma 1 è sostituito dal seguente:</w:t>
      </w:r>
    </w:p>
    <w:p w14:paraId="470F6147" w14:textId="77777777" w:rsidR="00AD1B0C" w:rsidRPr="00AD1B0C" w:rsidRDefault="00AD1B0C" w:rsidP="00AD1B0C">
      <w:pPr>
        <w:spacing w:after="160" w:line="259" w:lineRule="auto"/>
        <w:jc w:val="both"/>
        <w:rPr>
          <w:rFonts w:cs="Times New Roman"/>
          <w:color w:val="auto"/>
          <w:sz w:val="24"/>
          <w:szCs w:val="24"/>
          <w:lang w:eastAsia="en-US"/>
        </w:rPr>
      </w:pPr>
    </w:p>
    <w:p w14:paraId="3413CC9E"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 Il presente decreto entra in vigore il 1 settembre 2021, salvo quanto previsto al comma 2.».</w:t>
      </w:r>
    </w:p>
    <w:p w14:paraId="769D8B7B" w14:textId="77777777" w:rsidR="00AD1B0C" w:rsidRPr="00AD1B0C" w:rsidRDefault="00AD1B0C" w:rsidP="00AD1B0C">
      <w:pPr>
        <w:spacing w:after="160" w:line="259" w:lineRule="auto"/>
        <w:jc w:val="both"/>
        <w:rPr>
          <w:rFonts w:cs="Times New Roman"/>
          <w:color w:val="auto"/>
          <w:sz w:val="24"/>
          <w:szCs w:val="24"/>
          <w:lang w:eastAsia="en-US"/>
        </w:rPr>
      </w:pPr>
    </w:p>
    <w:p w14:paraId="14FCF5D5"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Articolo 6.</w:t>
      </w:r>
    </w:p>
    <w:p w14:paraId="476FA181"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(Disposizioni temporanee in materia di riduzione del capitale)</w:t>
      </w:r>
    </w:p>
    <w:p w14:paraId="2093A363" w14:textId="77777777" w:rsidR="00AD1B0C" w:rsidRPr="00AD1B0C" w:rsidRDefault="00AD1B0C" w:rsidP="00AD1B0C">
      <w:pPr>
        <w:spacing w:after="160" w:line="259" w:lineRule="auto"/>
        <w:jc w:val="center"/>
        <w:rPr>
          <w:rFonts w:cs="Times New Roman"/>
          <w:color w:val="auto"/>
          <w:sz w:val="24"/>
          <w:szCs w:val="24"/>
          <w:lang w:eastAsia="en-US"/>
        </w:rPr>
      </w:pPr>
    </w:p>
    <w:p w14:paraId="5AEFD86B"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 A decorrere dalla data di entrata in vigore del presente decreto e fino alla data del 31 dicembre 2020 per le fattispecie verificatesi nel corso degli esercizi chiusi entro la predetta data non si applicano gli articoli 2446, commi secondo e terzo, 2447, 2482-bis, commi quarto, quinto e sesto, e 2482-ter del codice civile. Per lo stesso periodo non opera la causa di scioglimento della società per riduzione o perdita del capitale sociale di cui agli articoli 2484, primo comma, numero 4), e 2545-duodecies del codice civile.</w:t>
      </w:r>
    </w:p>
    <w:p w14:paraId="3E4E5757" w14:textId="77777777" w:rsidR="00AD1B0C" w:rsidRPr="00AD1B0C" w:rsidRDefault="00AD1B0C" w:rsidP="00AD1B0C">
      <w:pPr>
        <w:spacing w:after="160" w:line="259" w:lineRule="auto"/>
        <w:jc w:val="both"/>
        <w:rPr>
          <w:rFonts w:cs="Times New Roman"/>
          <w:color w:val="auto"/>
          <w:sz w:val="24"/>
          <w:szCs w:val="24"/>
          <w:lang w:eastAsia="en-US"/>
        </w:rPr>
      </w:pPr>
    </w:p>
    <w:p w14:paraId="5E796F9B"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Articolo 7.</w:t>
      </w:r>
    </w:p>
    <w:p w14:paraId="73BB86B1"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lastRenderedPageBreak/>
        <w:t>(Disposizioni temporanee sui princìpi di redazione del bilancio)</w:t>
      </w:r>
    </w:p>
    <w:p w14:paraId="7C2B1807" w14:textId="77777777" w:rsidR="00AD1B0C" w:rsidRPr="00AD1B0C" w:rsidRDefault="00AD1B0C" w:rsidP="00AD1B0C">
      <w:pPr>
        <w:spacing w:after="160" w:line="259" w:lineRule="auto"/>
        <w:jc w:val="both"/>
        <w:rPr>
          <w:rFonts w:cs="Times New Roman"/>
          <w:color w:val="auto"/>
          <w:sz w:val="24"/>
          <w:szCs w:val="24"/>
          <w:lang w:eastAsia="en-US"/>
        </w:rPr>
      </w:pPr>
    </w:p>
    <w:p w14:paraId="1C45BBC2"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 Nella redazione del bilancio di esercizio in corso al 31 dicembre 2020, la valutazione delle voci nella prospettiva della continuazione dell'attività di cui all'articolo 2423-bis, comma primo, n. 1), del codice civile può comunque essere operata se risulta sussistente nell'ultimo bilancio di esercizio chiuso in data anteriore al 23 febbraio 2020, fatta salva la previsione di cui all'articolo 106 del decreto legge 17 marzo 2020, n. 18. Il criterio di valutazione è specificamente illustrato nella nota informativa anche mediante il richiamo delle risultanze del bilancio precedente.</w:t>
      </w:r>
    </w:p>
    <w:p w14:paraId="3A40B4A7"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  2. Le disposizioni di cui al comma 1 si applicano anche ai bilanci chiusi entro il 23 febbraio 2020 e non ancora approvati.</w:t>
      </w:r>
    </w:p>
    <w:p w14:paraId="5F5F46D4" w14:textId="77777777" w:rsidR="00AD1B0C" w:rsidRPr="00AD1B0C" w:rsidRDefault="00AD1B0C" w:rsidP="00AD1B0C">
      <w:pPr>
        <w:spacing w:after="160" w:line="259" w:lineRule="auto"/>
        <w:jc w:val="both"/>
        <w:rPr>
          <w:rFonts w:cs="Times New Roman"/>
          <w:color w:val="auto"/>
          <w:sz w:val="24"/>
          <w:szCs w:val="24"/>
          <w:lang w:eastAsia="en-US"/>
        </w:rPr>
      </w:pPr>
    </w:p>
    <w:p w14:paraId="652D1CE3"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Articolo 8.</w:t>
      </w:r>
    </w:p>
    <w:p w14:paraId="0EBA238F"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(Disposizioni temporanee in materia di finanziamenti alle società)</w:t>
      </w:r>
    </w:p>
    <w:p w14:paraId="15F2D86E" w14:textId="77777777" w:rsidR="00AD1B0C" w:rsidRPr="00AD1B0C" w:rsidRDefault="00AD1B0C" w:rsidP="00AD1B0C">
      <w:pPr>
        <w:spacing w:after="160" w:line="259" w:lineRule="auto"/>
        <w:jc w:val="both"/>
        <w:rPr>
          <w:rFonts w:cs="Times New Roman"/>
          <w:color w:val="auto"/>
          <w:sz w:val="24"/>
          <w:szCs w:val="24"/>
          <w:lang w:eastAsia="en-US"/>
        </w:rPr>
      </w:pPr>
    </w:p>
    <w:p w14:paraId="20659F46"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 Ai finanziamenti effettuati a favore delle società dalla data di entrata in vigore del presente decreto e sino alla data del 31 dicembre 2020 non si applicano gli articoli 2467 e 2497 quinquies del codice civile.</w:t>
      </w:r>
    </w:p>
    <w:p w14:paraId="759BF374" w14:textId="77777777" w:rsidR="00AD1B0C" w:rsidRPr="00AD1B0C" w:rsidRDefault="00AD1B0C" w:rsidP="00AD1B0C">
      <w:pPr>
        <w:spacing w:after="160" w:line="259" w:lineRule="auto"/>
        <w:jc w:val="both"/>
        <w:rPr>
          <w:rFonts w:cs="Times New Roman"/>
          <w:color w:val="auto"/>
          <w:sz w:val="24"/>
          <w:szCs w:val="24"/>
          <w:lang w:eastAsia="en-US"/>
        </w:rPr>
      </w:pPr>
    </w:p>
    <w:p w14:paraId="7AD79DBA"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Articolo 9.</w:t>
      </w:r>
    </w:p>
    <w:p w14:paraId="3CCADAB0"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(Disposizioni in materia di concordato preventivo e di accordi di ristrutturazione)</w:t>
      </w:r>
    </w:p>
    <w:p w14:paraId="4D345DFD" w14:textId="77777777" w:rsidR="00AD1B0C" w:rsidRPr="00AD1B0C" w:rsidRDefault="00AD1B0C" w:rsidP="00AD1B0C">
      <w:pPr>
        <w:spacing w:after="160" w:line="259" w:lineRule="auto"/>
        <w:jc w:val="both"/>
        <w:rPr>
          <w:rFonts w:cs="Times New Roman"/>
          <w:color w:val="auto"/>
          <w:sz w:val="24"/>
          <w:szCs w:val="24"/>
          <w:lang w:eastAsia="en-US"/>
        </w:rPr>
      </w:pPr>
    </w:p>
    <w:p w14:paraId="6D069AC2"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 I termini di adempimento dei concordati preventivi e degli accordi di ristrutturazione omologati aventi scadenza nel periodo tra il 23 febbraio 2020 e il 31 dicembre 2021 sono prorogati di sei mesi.</w:t>
      </w:r>
    </w:p>
    <w:p w14:paraId="316BFB3D"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xml:space="preserve">  2. Nei procedimenti per l'omologazione del concordato preventivo e degli accordi di ristrutturazione pendenti alla data del 23 febbraio 2020 il debitore può presentare, sino all'udienza fissata per l'omologa, istanza al tribunale per la concessione di un termine non superiore a novanta giorni per il deposito di un nuovo piano e di una nuova proposta di concordato ai sensi dell'articolo 161 del regio decreto 16 marzo 1942, n. 267 o di un nuovo accordo di ristrutturazione ai sensi dell'articolo 182-bis del regio decreto 16 marzo 1942, n. 267. Il termine decorre dalla data del decreto con cui il Tribunale assegna il termine e non è prorogabile. L'istanza è inammissibile se presentata nell'ambito di un procedimento di concordato </w:t>
      </w:r>
      <w:r w:rsidRPr="00AD1B0C">
        <w:rPr>
          <w:rFonts w:cs="Times New Roman"/>
          <w:color w:val="auto"/>
          <w:sz w:val="24"/>
          <w:szCs w:val="24"/>
          <w:lang w:eastAsia="en-US"/>
        </w:rPr>
        <w:lastRenderedPageBreak/>
        <w:t>preventivo nel corso del quale è già stata tenuta l'adunanza dei creditori ma non sono state raggiunte le maggioranze stabilite dall'articolo 177 del regio decreto 16 marzo 1942, n. 267.</w:t>
      </w:r>
    </w:p>
    <w:p w14:paraId="16922941"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  3. Quando il debitore intende modificare unicamente i termini di adempimento del concordato preventivo o dell'accordo di ristrutturazione deposita sino all'udienza fissata per l'omologa una memoria contenente l'indicazione dei nuovi termini, depositando altresì la documentazione che comprova la necessità della modifica dei termini. Il differimento dei termini non può essere superiore di sei mesi rispetto alle scadenze originarie. Nel procedimento per omologa del concordato preventivo il Tribunale acquisisce il parere del Commissario giudiziale. Il Tribunale, riscontrata la sussistenza dei presupposti di cui agli articoli 180 o 182-bis del regio decreto 16 marzo 1942, n. 267, procede all'omologa, dando espressamente atto delle nuove scadenze.</w:t>
      </w:r>
    </w:p>
    <w:p w14:paraId="00457124"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  4. Il debitore che ha ottenuto la concessione del termine di cui all'articolo 161, comma sesto, del regio decreto 16 marzo 1942, n. 267, che sia già stato prorogato dal Tribunale, può, prima della scadenza, presentare istanza per la concessione di una ulteriore proroga sino a novanta giorni, anche nei casi in cui è stato depositato ricorso per la dichiarazione di fallimento. L'istanza indica gli elementi che rendono necessaria la concessione della proroga con specifico riferimento ai fatti sopravvenuti per effetto dell'emergenza epidemiologica COVID-19. Il Tribunale, acquisito il parere del Commissario giudiziale se nominato, concede la proroga quando ritiene che l'istanza si basa su concreti e giustificati motivi. Si applica l'articolo 161, commi settimo e ottavo, del regio decreto 16 marzo 1942, n. 267.</w:t>
      </w:r>
    </w:p>
    <w:p w14:paraId="03123358"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  5. L'istanza di cui al comma 4 può essere presentata dal debitore che ha ottenuto la concessione del termine di cui all'articolo 182-bis, comma settimo, del regio decreto 16 marzo 1942, n. 267. Il Tribunale provvede in camera di consiglio omessi gli adempimenti previsti dall'articolo 182-bis, comma settimo, primo periodo, del regio decreto 16 marzo 1942, n. 267 e concede la proroga quando ritiene che l'istanza si basa su concreti e giustificati motivi e che continuano a sussistere i presupposti per pervenire a un accordo di ristrutturazione dei debiti con le maggioranze di cui all'articolo 182-bis, primo comma del regio decreto 16 marzo 1942, n. 267.</w:t>
      </w:r>
    </w:p>
    <w:p w14:paraId="6C487276" w14:textId="77777777" w:rsidR="00AD1B0C" w:rsidRPr="00AD1B0C" w:rsidRDefault="00AD1B0C" w:rsidP="00AD1B0C">
      <w:pPr>
        <w:spacing w:after="160" w:line="259" w:lineRule="auto"/>
        <w:jc w:val="both"/>
        <w:rPr>
          <w:rFonts w:cs="Times New Roman"/>
          <w:color w:val="auto"/>
          <w:sz w:val="24"/>
          <w:szCs w:val="24"/>
          <w:lang w:eastAsia="en-US"/>
        </w:rPr>
      </w:pPr>
    </w:p>
    <w:p w14:paraId="325C09A0"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Articolo 10.</w:t>
      </w:r>
    </w:p>
    <w:p w14:paraId="0FEA00FD"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(Disposizioni temporanee in materia di ricorsi e richieste per la dichiarazione di fallimento e dello stato di insolvenza)</w:t>
      </w:r>
    </w:p>
    <w:p w14:paraId="1F34B6CA" w14:textId="77777777" w:rsidR="00AD1B0C" w:rsidRPr="00AD1B0C" w:rsidRDefault="00AD1B0C" w:rsidP="00AD1B0C">
      <w:pPr>
        <w:spacing w:after="160" w:line="259" w:lineRule="auto"/>
        <w:jc w:val="both"/>
        <w:rPr>
          <w:rFonts w:cs="Times New Roman"/>
          <w:color w:val="auto"/>
          <w:sz w:val="24"/>
          <w:szCs w:val="24"/>
          <w:lang w:eastAsia="en-US"/>
        </w:rPr>
      </w:pPr>
    </w:p>
    <w:p w14:paraId="445524CC"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 Tutti i ricorsi ai sensi degli articoli 15 e 195 del regio decreto 16 marzo 1942, n. 267 e 3 del decreto legislativo 8 luglio 1999, n. 270 depositati nel periodo tra il 9 marzo 2020 ed il 30 giugno 2020 sono improcedibili.</w:t>
      </w:r>
    </w:p>
    <w:p w14:paraId="11716F8B"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lastRenderedPageBreak/>
        <w:t>  2. Le disposizioni di cui al comma 1 non si applicano alla richiesta presentata dal pubblico ministero quando nella medesima è fatta domanda di emissione dei provvedimenti di cui all'articolo 15, comma ottavo, del regio decreto 16 marzo 1942, n. 267.</w:t>
      </w:r>
    </w:p>
    <w:p w14:paraId="47D0DB45"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  3. Quando alla dichiarazione di improcedibilità dei ricorsi presentati nel periodo di cui al comma 1 fa seguito la dichiarazione di fallimento, il periodo di cui al comma 1 non viene computato nei termini di cui agli articoli 10 e 69 bis del regio decreto 16 marzo 1942, n. 267.</w:t>
      </w:r>
    </w:p>
    <w:p w14:paraId="3278D39D" w14:textId="77777777" w:rsidR="00AD1B0C" w:rsidRPr="00AD1B0C" w:rsidRDefault="00AD1B0C" w:rsidP="00AD1B0C">
      <w:pPr>
        <w:spacing w:after="160" w:line="259" w:lineRule="auto"/>
        <w:jc w:val="both"/>
        <w:rPr>
          <w:rFonts w:cs="Times New Roman"/>
          <w:color w:val="auto"/>
          <w:sz w:val="24"/>
          <w:szCs w:val="24"/>
          <w:lang w:eastAsia="en-US"/>
        </w:rPr>
      </w:pPr>
    </w:p>
    <w:p w14:paraId="605AF6F0"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Articolo 11.</w:t>
      </w:r>
    </w:p>
    <w:p w14:paraId="1CC04B47"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(Sospensione dei termini di scadenza dei titoli di credito)</w:t>
      </w:r>
    </w:p>
    <w:p w14:paraId="1814A076" w14:textId="77777777" w:rsidR="00AD1B0C" w:rsidRPr="00AD1B0C" w:rsidRDefault="00AD1B0C" w:rsidP="00AD1B0C">
      <w:pPr>
        <w:spacing w:after="160" w:line="259" w:lineRule="auto"/>
        <w:jc w:val="both"/>
        <w:rPr>
          <w:rFonts w:cs="Times New Roman"/>
          <w:color w:val="auto"/>
          <w:sz w:val="24"/>
          <w:szCs w:val="24"/>
          <w:lang w:eastAsia="en-US"/>
        </w:rPr>
      </w:pPr>
    </w:p>
    <w:p w14:paraId="6A5C9526"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xml:space="preserve">  1. Fermo restando quanto previsto ai commi 2 e 3, i termini di scadenza ricadenti o decorrenti nel periodo dal 9 marzo 2020 al </w:t>
      </w:r>
      <w:r w:rsidRPr="00DC19C1">
        <w:rPr>
          <w:rFonts w:cs="Times New Roman"/>
          <w:color w:val="000000" w:themeColor="text1"/>
          <w:sz w:val="24"/>
          <w:szCs w:val="24"/>
          <w:highlight w:val="yellow"/>
          <w:lang w:eastAsia="en-US"/>
        </w:rPr>
        <w:t>30 aprile 2020</w:t>
      </w:r>
      <w:r w:rsidR="00DC19C1" w:rsidRPr="00DC19C1">
        <w:rPr>
          <w:rFonts w:cs="Times New Roman"/>
          <w:color w:val="000000" w:themeColor="text1"/>
          <w:sz w:val="24"/>
          <w:szCs w:val="24"/>
          <w:lang w:eastAsia="en-US"/>
        </w:rPr>
        <w:t xml:space="preserve"> </w:t>
      </w:r>
      <w:r w:rsidR="00DC19C1" w:rsidRPr="00D06905">
        <w:rPr>
          <w:b/>
          <w:color w:val="000000" w:themeColor="text1"/>
          <w:sz w:val="24"/>
          <w:szCs w:val="24"/>
        </w:rPr>
        <w:t>31 agosto 2020</w:t>
      </w:r>
      <w:r w:rsidR="00DC19C1">
        <w:rPr>
          <w:rStyle w:val="Rimandonotaapidipagina"/>
          <w:b/>
          <w:color w:val="000000" w:themeColor="text1"/>
          <w:sz w:val="24"/>
          <w:szCs w:val="24"/>
        </w:rPr>
        <w:footnoteReference w:id="16"/>
      </w:r>
      <w:r w:rsidRPr="00AD1B0C">
        <w:rPr>
          <w:rFonts w:cs="Times New Roman"/>
          <w:color w:val="auto"/>
          <w:sz w:val="24"/>
          <w:szCs w:val="24"/>
          <w:lang w:eastAsia="en-US"/>
        </w:rPr>
        <w:t>, relativi a vaglia cambiari, cambiali e altri titoli di credito emessi prima della data di entrata in vigore della presente decreto, e ad ogni altro atto avente efficacia esecutiva a quella stessa data sono sospesi per lo stesso periodo. La sospensione opera a favore dei debitori e obbligati anche in via di regresso o di garanzia, salva la facoltà degli stessi di rinunciarvi espressamente.</w:t>
      </w:r>
    </w:p>
    <w:p w14:paraId="7CD2BB2D"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  2. L'assegno presentato al pagamento durante il periodo di sospensione è pagabile nel giorno di presentazione. La sospensione di cui al comma 1 opera su:</w:t>
      </w:r>
    </w:p>
    <w:p w14:paraId="3B63AE86" w14:textId="77777777" w:rsidR="00AD1B0C" w:rsidRPr="00AD1B0C" w:rsidRDefault="00AD1B0C" w:rsidP="00AD1B0C">
      <w:pPr>
        <w:spacing w:after="160" w:line="259" w:lineRule="auto"/>
        <w:jc w:val="both"/>
        <w:rPr>
          <w:rFonts w:cs="Times New Roman"/>
          <w:color w:val="auto"/>
          <w:sz w:val="24"/>
          <w:szCs w:val="24"/>
          <w:lang w:eastAsia="en-US"/>
        </w:rPr>
      </w:pPr>
    </w:p>
    <w:p w14:paraId="7A2B2A36"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   a) i termini per la presentazione al pagamento;</w:t>
      </w:r>
    </w:p>
    <w:p w14:paraId="64FF4A28" w14:textId="77777777" w:rsidR="00AD1B0C" w:rsidRPr="00AD1B0C" w:rsidRDefault="00AD1B0C" w:rsidP="00AD1B0C">
      <w:pPr>
        <w:spacing w:after="160" w:line="259" w:lineRule="auto"/>
        <w:jc w:val="both"/>
        <w:rPr>
          <w:rFonts w:cs="Times New Roman"/>
          <w:color w:val="auto"/>
          <w:sz w:val="24"/>
          <w:szCs w:val="24"/>
          <w:lang w:eastAsia="en-US"/>
        </w:rPr>
      </w:pPr>
    </w:p>
    <w:p w14:paraId="30CCDA24"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   b) i termini per la levata del protesto o delle constatazioni equivalenti;</w:t>
      </w:r>
    </w:p>
    <w:p w14:paraId="3DD9695A" w14:textId="77777777" w:rsidR="00AD1B0C" w:rsidRPr="00AD1B0C" w:rsidRDefault="00AD1B0C" w:rsidP="00AD1B0C">
      <w:pPr>
        <w:spacing w:after="160" w:line="259" w:lineRule="auto"/>
        <w:jc w:val="both"/>
        <w:rPr>
          <w:rFonts w:cs="Times New Roman"/>
          <w:color w:val="auto"/>
          <w:sz w:val="24"/>
          <w:szCs w:val="24"/>
          <w:lang w:eastAsia="en-US"/>
        </w:rPr>
      </w:pPr>
    </w:p>
    <w:p w14:paraId="58AB661B"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lastRenderedPageBreak/>
        <w:t>   c) i termini previsti all'articolo 9, comma 2, lettere a) e b), della legge 15 dicembre 1990, n. 386, nonché all'articolo 9-bis, comma 2, della medesima legge n. 386 del 1990;</w:t>
      </w:r>
    </w:p>
    <w:p w14:paraId="4278ED6E" w14:textId="77777777" w:rsidR="00AD1B0C" w:rsidRPr="00AD1B0C" w:rsidRDefault="00AD1B0C" w:rsidP="00AD1B0C">
      <w:pPr>
        <w:spacing w:after="160" w:line="259" w:lineRule="auto"/>
        <w:jc w:val="both"/>
        <w:rPr>
          <w:rFonts w:cs="Times New Roman"/>
          <w:color w:val="auto"/>
          <w:sz w:val="24"/>
          <w:szCs w:val="24"/>
          <w:lang w:eastAsia="en-US"/>
        </w:rPr>
      </w:pPr>
    </w:p>
    <w:p w14:paraId="343963B6"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   d) il termine per il pagamento tardivo dell'assegno previsto dall'articolo 8, comma 1, della stessa legge n. 386 del 1990.</w:t>
      </w:r>
    </w:p>
    <w:p w14:paraId="18B3134A" w14:textId="77777777" w:rsidR="00AD1B0C" w:rsidRPr="00AD1B0C" w:rsidRDefault="00AD1B0C" w:rsidP="00AD1B0C">
      <w:pPr>
        <w:spacing w:after="160" w:line="259" w:lineRule="auto"/>
        <w:jc w:val="both"/>
        <w:rPr>
          <w:rFonts w:cs="Times New Roman"/>
          <w:color w:val="auto"/>
          <w:sz w:val="24"/>
          <w:szCs w:val="24"/>
          <w:lang w:eastAsia="en-US"/>
        </w:rPr>
      </w:pPr>
    </w:p>
    <w:p w14:paraId="28F7AD04" w14:textId="77777777" w:rsidR="00AD1B0C" w:rsidRPr="00175EC9" w:rsidRDefault="00AD1B0C" w:rsidP="00AD1B0C">
      <w:pPr>
        <w:spacing w:after="160" w:line="259" w:lineRule="auto"/>
        <w:jc w:val="both"/>
        <w:rPr>
          <w:rFonts w:cs="Times New Roman"/>
          <w:strike/>
          <w:color w:val="auto"/>
          <w:sz w:val="24"/>
          <w:szCs w:val="24"/>
          <w:lang w:eastAsia="en-US"/>
        </w:rPr>
      </w:pPr>
      <w:r w:rsidRPr="00AD1B0C">
        <w:rPr>
          <w:rFonts w:cs="Times New Roman"/>
          <w:color w:val="auto"/>
          <w:sz w:val="24"/>
          <w:szCs w:val="24"/>
          <w:lang w:eastAsia="en-US"/>
        </w:rPr>
        <w:t>  </w:t>
      </w:r>
      <w:r w:rsidRPr="00175EC9">
        <w:rPr>
          <w:rFonts w:cs="Times New Roman"/>
          <w:strike/>
          <w:color w:val="auto"/>
          <w:sz w:val="24"/>
          <w:szCs w:val="24"/>
          <w:highlight w:val="yellow"/>
          <w:lang w:eastAsia="en-US"/>
        </w:rPr>
        <w:t>3. I protesti o le constatazioni equivalenti levati dal 9 marzo 2020 fino alla data di entrata in vigore del presente decreto non sono trasmessi dai pubblici ufficiali alle Camere di Commercio; ove già pubblicati le Camere di commercio provvedono d'ufficio alla loro cancellazione. Con riferimento allo stesso periodo sono sospese le informative al Prefetto di cui all'articolo 8-bis, commi 1 e 2, della legge 15 dicembre 1990, n. 386.</w:t>
      </w:r>
    </w:p>
    <w:p w14:paraId="40B52F98" w14:textId="77777777" w:rsidR="00175EC9" w:rsidRPr="00AD1B0C" w:rsidRDefault="00175EC9" w:rsidP="00AD1B0C">
      <w:pPr>
        <w:spacing w:after="160" w:line="259" w:lineRule="auto"/>
        <w:jc w:val="both"/>
        <w:rPr>
          <w:rFonts w:cs="Times New Roman"/>
          <w:color w:val="auto"/>
          <w:sz w:val="24"/>
          <w:szCs w:val="24"/>
          <w:lang w:eastAsia="en-US"/>
        </w:rPr>
      </w:pPr>
      <w:r w:rsidRPr="00D06905">
        <w:rPr>
          <w:b/>
          <w:color w:val="000000" w:themeColor="text1"/>
          <w:sz w:val="24"/>
          <w:szCs w:val="24"/>
        </w:rPr>
        <w:t>3. I protesti o le constatazioni equivalenti levati dal 9 marzo 2020 fino al 31 agosto 2020 non sono trasmessi dai pubblici ufficiali alle camere di commercio, industria, artigianato e agricoltura; ove già pubblicati le camere di commercio, industria, artigianato e agricoltura provvedono d'ufficio alla loro cancellazione. Con riferimento allo stesso periodo sono sospese le informative al prefetto di cui all'articolo 8-bis, commi 1 e 2, della legge 15 dicembre 1990, n. 386, e le iscrizioni nell'archivio informatizzato di cui all'articolo 10-bis della medesima legge n. 386 del 1990, che, ove già effettuate, sono cancellate.</w:t>
      </w:r>
      <w:r>
        <w:rPr>
          <w:rStyle w:val="Rimandonotaapidipagina"/>
          <w:b/>
          <w:color w:val="000000" w:themeColor="text1"/>
          <w:sz w:val="24"/>
          <w:szCs w:val="24"/>
        </w:rPr>
        <w:footnoteReference w:id="17"/>
      </w:r>
    </w:p>
    <w:p w14:paraId="01EFBC74" w14:textId="77777777" w:rsidR="00AD1B0C" w:rsidRPr="00AD1B0C" w:rsidRDefault="00AD1B0C" w:rsidP="00AD1B0C">
      <w:pPr>
        <w:spacing w:after="160" w:line="259" w:lineRule="auto"/>
        <w:jc w:val="both"/>
        <w:rPr>
          <w:rFonts w:cs="Times New Roman"/>
          <w:color w:val="auto"/>
          <w:sz w:val="24"/>
          <w:szCs w:val="24"/>
          <w:lang w:eastAsia="en-US"/>
        </w:rPr>
      </w:pPr>
    </w:p>
    <w:p w14:paraId="651D66A2"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Articolo 12.</w:t>
      </w:r>
    </w:p>
    <w:p w14:paraId="33F75369"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(Fondo solidarietà mutui «prima casa», cd. «Fondo Gasparrini)</w:t>
      </w:r>
    </w:p>
    <w:p w14:paraId="3247A59B" w14:textId="77777777" w:rsidR="00AD1B0C" w:rsidRPr="00AD1B0C" w:rsidRDefault="00AD1B0C" w:rsidP="00AD1B0C">
      <w:pPr>
        <w:spacing w:after="160" w:line="259" w:lineRule="auto"/>
        <w:jc w:val="both"/>
        <w:rPr>
          <w:rFonts w:cs="Times New Roman"/>
          <w:color w:val="auto"/>
          <w:sz w:val="24"/>
          <w:szCs w:val="24"/>
          <w:lang w:eastAsia="en-US"/>
        </w:rPr>
      </w:pPr>
    </w:p>
    <w:p w14:paraId="01A90993"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 Per lavoratori autonomi, ai sensi dell'articolo 54, comma 1, lettera a), del decreto-legge 17 marzo 2020, n. 18, si intendono i soggetti di cui all'articolo 28, comma 1,</w:t>
      </w:r>
      <w:r w:rsidRPr="00AD1B0C">
        <w:rPr>
          <w:rFonts w:cs="Times New Roman"/>
          <w:b/>
          <w:color w:val="auto"/>
          <w:sz w:val="24"/>
          <w:szCs w:val="24"/>
          <w:lang w:eastAsia="en-US"/>
        </w:rPr>
        <w:t xml:space="preserve"> </w:t>
      </w:r>
      <w:r w:rsidRPr="00AD1B0C">
        <w:rPr>
          <w:rFonts w:cs="Times New Roman"/>
          <w:color w:val="auto"/>
          <w:sz w:val="24"/>
          <w:szCs w:val="24"/>
          <w:lang w:eastAsia="en-US"/>
        </w:rPr>
        <w:t>del medesimo decreto-legge n. 18 del 2020.</w:t>
      </w:r>
    </w:p>
    <w:p w14:paraId="4CE0ECD9"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lastRenderedPageBreak/>
        <w:t>  2. Per un periodo di nove mesi dall'entrata in vigore del presente decreto, in deroga alla disciplina vigente, l'accesso ai benefìci del Fondo di cui all'articolo 2, commi 475 e seguenti della legge 24 dicembre 2007, n. 244, è ammesso anche nell'ipotesi di mutui in ammortamento da meno di un anno.</w:t>
      </w:r>
    </w:p>
    <w:p w14:paraId="6BEB0D42" w14:textId="77777777" w:rsidR="00AD1B0C" w:rsidRPr="00AD1B0C" w:rsidRDefault="00AD1B0C" w:rsidP="00AD1B0C">
      <w:pPr>
        <w:spacing w:after="160" w:line="259" w:lineRule="auto"/>
        <w:jc w:val="both"/>
        <w:rPr>
          <w:rFonts w:cs="Times New Roman"/>
          <w:color w:val="auto"/>
          <w:sz w:val="24"/>
          <w:szCs w:val="24"/>
          <w:lang w:eastAsia="en-US"/>
        </w:rPr>
      </w:pPr>
    </w:p>
    <w:p w14:paraId="33688CC5"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Articolo 13.</w:t>
      </w:r>
    </w:p>
    <w:p w14:paraId="4CED3BB4"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(Fondo centrale di garanzia PMI)</w:t>
      </w:r>
    </w:p>
    <w:p w14:paraId="441855F0" w14:textId="77777777" w:rsidR="00AD1B0C" w:rsidRPr="00AD1B0C" w:rsidRDefault="00AD1B0C" w:rsidP="00AD1B0C">
      <w:pPr>
        <w:spacing w:after="160" w:line="259" w:lineRule="auto"/>
        <w:jc w:val="both"/>
        <w:rPr>
          <w:rFonts w:cs="Times New Roman"/>
          <w:color w:val="auto"/>
          <w:sz w:val="24"/>
          <w:szCs w:val="24"/>
          <w:lang w:eastAsia="en-US"/>
        </w:rPr>
      </w:pPr>
    </w:p>
    <w:p w14:paraId="74A5A117"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 Fino al 31 dicembre 2020, in deroga alla vigente disciplina del Fondo di cui all'articolo 2, comma 100, lettera a), della legge 23 dicembre 1996, n. 662, si applicano le seguenti misure:</w:t>
      </w:r>
    </w:p>
    <w:p w14:paraId="1121E572" w14:textId="77777777" w:rsidR="00AD1B0C" w:rsidRPr="00AD1B0C" w:rsidRDefault="00AD1B0C" w:rsidP="00AD1B0C">
      <w:pPr>
        <w:spacing w:after="160" w:line="259" w:lineRule="auto"/>
        <w:jc w:val="both"/>
        <w:rPr>
          <w:rFonts w:cs="Times New Roman"/>
          <w:color w:val="auto"/>
          <w:sz w:val="24"/>
          <w:szCs w:val="24"/>
          <w:lang w:eastAsia="en-US"/>
        </w:rPr>
      </w:pPr>
    </w:p>
    <w:p w14:paraId="5C6C0414"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   a) la garanzia è concessa a titolo gratuito;</w:t>
      </w:r>
    </w:p>
    <w:p w14:paraId="36E55FEA" w14:textId="77777777" w:rsidR="00AD1B0C" w:rsidRPr="00AD1B0C" w:rsidRDefault="00AD1B0C" w:rsidP="00AD1B0C">
      <w:pPr>
        <w:spacing w:after="160" w:line="259" w:lineRule="auto"/>
        <w:jc w:val="both"/>
        <w:rPr>
          <w:rFonts w:cs="Times New Roman"/>
          <w:color w:val="auto"/>
          <w:sz w:val="24"/>
          <w:szCs w:val="24"/>
          <w:lang w:eastAsia="en-US"/>
        </w:rPr>
      </w:pPr>
    </w:p>
    <w:p w14:paraId="189D5606" w14:textId="77777777" w:rsidR="00AD1B0C" w:rsidRPr="009F006D" w:rsidRDefault="00AD1B0C" w:rsidP="009F006D">
      <w:pPr>
        <w:jc w:val="both"/>
        <w:rPr>
          <w:rFonts w:asciiTheme="minorHAnsi" w:hAnsiTheme="minorHAnsi"/>
          <w:b/>
          <w:color w:val="000000" w:themeColor="text1"/>
          <w:sz w:val="24"/>
          <w:szCs w:val="24"/>
        </w:rPr>
      </w:pPr>
      <w:r w:rsidRPr="00AD1B0C">
        <w:rPr>
          <w:rFonts w:cs="Times New Roman"/>
          <w:color w:val="auto"/>
          <w:sz w:val="24"/>
          <w:szCs w:val="24"/>
          <w:lang w:eastAsia="en-US"/>
        </w:rPr>
        <w:t>   b) l'importo massimo garantito per singola impresa è elevato, nel rispetto della disciplina dell'Unione europea, a 5 milioni di euro. Sono ammesse alla garanzia le imprese con numero di dipendenti non superiore a 499</w:t>
      </w:r>
      <w:r w:rsidR="009F006D">
        <w:rPr>
          <w:rFonts w:cs="Times New Roman"/>
          <w:color w:val="auto"/>
          <w:sz w:val="24"/>
          <w:szCs w:val="24"/>
          <w:lang w:eastAsia="en-US"/>
        </w:rPr>
        <w:t xml:space="preserve">. </w:t>
      </w:r>
      <w:r w:rsidR="009F006D" w:rsidRPr="00D6163D">
        <w:rPr>
          <w:rFonts w:asciiTheme="minorHAnsi" w:hAnsiTheme="minorHAnsi"/>
          <w:b/>
          <w:color w:val="000000" w:themeColor="text1"/>
          <w:sz w:val="24"/>
          <w:szCs w:val="24"/>
        </w:rPr>
        <w:t>Resta fermo che la misura di cui alla presente lettera si applica, alle medesime condizioni, anche qualora il 25 per cento o più del capitale o dei diritti di voto siano detenuti direttamente o indirettamente da un ente pubblico oppure congi</w:t>
      </w:r>
      <w:r w:rsidR="009F006D">
        <w:rPr>
          <w:rFonts w:asciiTheme="minorHAnsi" w:hAnsiTheme="minorHAnsi"/>
          <w:b/>
          <w:color w:val="000000" w:themeColor="text1"/>
          <w:sz w:val="24"/>
          <w:szCs w:val="24"/>
        </w:rPr>
        <w:t>untamente da più enti pubblici</w:t>
      </w:r>
      <w:r w:rsidR="009F006D">
        <w:rPr>
          <w:rStyle w:val="Rimandonotaapidipagina"/>
          <w:rFonts w:asciiTheme="minorHAnsi" w:hAnsiTheme="minorHAnsi"/>
          <w:b/>
          <w:color w:val="000000" w:themeColor="text1"/>
          <w:sz w:val="24"/>
          <w:szCs w:val="24"/>
        </w:rPr>
        <w:footnoteReference w:id="18"/>
      </w:r>
      <w:r w:rsidRPr="00AD1B0C">
        <w:rPr>
          <w:rFonts w:cs="Times New Roman"/>
          <w:color w:val="auto"/>
          <w:sz w:val="24"/>
          <w:szCs w:val="24"/>
          <w:lang w:eastAsia="en-US"/>
        </w:rPr>
        <w:t>;</w:t>
      </w:r>
    </w:p>
    <w:p w14:paraId="66F9D8A1" w14:textId="77777777" w:rsidR="00AD1B0C" w:rsidRPr="00AD1B0C" w:rsidRDefault="00AD1B0C" w:rsidP="00AD1B0C">
      <w:pPr>
        <w:spacing w:after="160" w:line="259" w:lineRule="auto"/>
        <w:jc w:val="both"/>
        <w:rPr>
          <w:rFonts w:cs="Times New Roman"/>
          <w:color w:val="auto"/>
          <w:sz w:val="24"/>
          <w:szCs w:val="24"/>
          <w:lang w:eastAsia="en-US"/>
        </w:rPr>
      </w:pPr>
    </w:p>
    <w:p w14:paraId="19F87806"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   c) la percentuale di copertura della garanzia diretta è incrementata, anche mediante il concorso delle sezioni speciali del Fondo di garanzia, al 90 per cento dell'ammontare di ciascuna operazione finanziaria, previa autorizzazione della Commissione Europea ai sensi dell'articolo 108 del Trattato sul funzionamento dell'unione europea (TFUE), per le operazioni finanziarie con durata fino a 72 mesi. L'importo totale delle predette operazioni finanziarie non può superare, alternativamente:</w:t>
      </w:r>
    </w:p>
    <w:p w14:paraId="6C21485B" w14:textId="77777777" w:rsidR="00AD1B0C" w:rsidRPr="00AD1B0C" w:rsidRDefault="00AD1B0C" w:rsidP="00AD1B0C">
      <w:pPr>
        <w:spacing w:after="160" w:line="259" w:lineRule="auto"/>
        <w:jc w:val="both"/>
        <w:rPr>
          <w:rFonts w:cs="Times New Roman"/>
          <w:color w:val="auto"/>
          <w:sz w:val="24"/>
          <w:szCs w:val="24"/>
          <w:lang w:eastAsia="en-US"/>
        </w:rPr>
      </w:pPr>
    </w:p>
    <w:p w14:paraId="53E1C484"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lastRenderedPageBreak/>
        <w:t>    1) il doppio della spesa salariale annua del beneficiario (compresi gli oneri sociali e il costo del personale che lavora nel sito dell'impresa ma che figura formalmente nel libro paga dei subcontraenti) per il 2019 o per l'ultimo anno disponibile. Nel caso di imprese costituite a partire dal 1° gennaio 2019, l'importo massimo del prestito non può superare i costi salariali annui previsti per i primi due anni di attività;</w:t>
      </w:r>
    </w:p>
    <w:p w14:paraId="173CE6BB" w14:textId="77777777" w:rsidR="00AD1B0C" w:rsidRPr="00AD1B0C" w:rsidRDefault="00AD1B0C" w:rsidP="00AD1B0C">
      <w:pPr>
        <w:spacing w:after="160" w:line="259" w:lineRule="auto"/>
        <w:jc w:val="both"/>
        <w:rPr>
          <w:rFonts w:cs="Times New Roman"/>
          <w:color w:val="auto"/>
          <w:sz w:val="24"/>
          <w:szCs w:val="24"/>
          <w:lang w:eastAsia="en-US"/>
        </w:rPr>
      </w:pPr>
    </w:p>
    <w:p w14:paraId="166C4131"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    2) il 25 per cento del fatturato totale del beneficiario nel 2019;</w:t>
      </w:r>
    </w:p>
    <w:p w14:paraId="520DC38D" w14:textId="77777777" w:rsidR="00AD1B0C" w:rsidRPr="00AD1B0C" w:rsidRDefault="00AD1B0C" w:rsidP="00AD1B0C">
      <w:pPr>
        <w:spacing w:after="160" w:line="259" w:lineRule="auto"/>
        <w:jc w:val="both"/>
        <w:rPr>
          <w:rFonts w:cs="Times New Roman"/>
          <w:color w:val="auto"/>
          <w:sz w:val="24"/>
          <w:szCs w:val="24"/>
          <w:lang w:eastAsia="en-US"/>
        </w:rPr>
      </w:pPr>
    </w:p>
    <w:p w14:paraId="7513CE63"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    3) il fabbisogno per costi del capitale di esercizio e per costi di investimento nei successivi 18 mesi, nel caso di piccole e medie imprese, e nei successivi 12 mesi, nel caso di imprese con numero di dipendenti non superiore a 499; tale fabbisogno è attestato mediante apposita autocertificazione resa dal beneficiario ai sensi del decreto del Presidente della Repubblica 28 dicembre 2000 n. 445;</w:t>
      </w:r>
    </w:p>
    <w:p w14:paraId="13E1A7D3" w14:textId="77777777" w:rsidR="00AD1B0C" w:rsidRPr="00AD1B0C" w:rsidRDefault="00AD1B0C" w:rsidP="00AD1B0C">
      <w:pPr>
        <w:spacing w:after="160" w:line="259" w:lineRule="auto"/>
        <w:jc w:val="both"/>
        <w:rPr>
          <w:rFonts w:cs="Times New Roman"/>
          <w:color w:val="auto"/>
          <w:sz w:val="24"/>
          <w:szCs w:val="24"/>
          <w:lang w:eastAsia="en-US"/>
        </w:rPr>
      </w:pPr>
    </w:p>
    <w:p w14:paraId="52F006DE" w14:textId="77777777" w:rsidR="00ED2781" w:rsidRPr="00714183" w:rsidRDefault="00AD1B0C" w:rsidP="00ED2781">
      <w:pPr>
        <w:jc w:val="both"/>
        <w:rPr>
          <w:rFonts w:asciiTheme="minorHAnsi" w:hAnsiTheme="minorHAnsi"/>
          <w:b/>
          <w:color w:val="000000" w:themeColor="text1"/>
          <w:sz w:val="24"/>
          <w:szCs w:val="24"/>
        </w:rPr>
      </w:pPr>
      <w:r w:rsidRPr="00AD1B0C">
        <w:rPr>
          <w:rFonts w:cs="Times New Roman"/>
          <w:color w:val="auto"/>
          <w:sz w:val="24"/>
          <w:szCs w:val="24"/>
          <w:lang w:eastAsia="en-US"/>
        </w:rPr>
        <w:t>   d) per le operazioni finanziarie aventi le caratteristiche di durata e importo di cui alla lettera c), la percentuale di copertura della riassicurazione è incrementata, anche mediante il concorso delle sezioni speciali del Fondo di garanzia, al 100 per cento dell'importo garantito dai Confidi o da altro fondo di garanzia</w:t>
      </w:r>
      <w:r w:rsidR="00A504CE">
        <w:rPr>
          <w:rFonts w:cs="Times New Roman"/>
          <w:color w:val="auto"/>
          <w:sz w:val="24"/>
          <w:szCs w:val="24"/>
          <w:lang w:eastAsia="en-US"/>
        </w:rPr>
        <w:t xml:space="preserve"> </w:t>
      </w:r>
      <w:r w:rsidR="00A504CE" w:rsidRPr="00D6163D">
        <w:rPr>
          <w:rFonts w:asciiTheme="minorHAnsi" w:hAnsiTheme="minorHAnsi"/>
          <w:b/>
          <w:color w:val="000000" w:themeColor="text1"/>
          <w:sz w:val="24"/>
          <w:szCs w:val="24"/>
        </w:rPr>
        <w:t>o di cui all'articolo 112, comma 7, terzo periodo, del decreto legisl</w:t>
      </w:r>
      <w:r w:rsidR="00A504CE">
        <w:rPr>
          <w:rFonts w:asciiTheme="minorHAnsi" w:hAnsiTheme="minorHAnsi"/>
          <w:b/>
          <w:color w:val="000000" w:themeColor="text1"/>
          <w:sz w:val="24"/>
          <w:szCs w:val="24"/>
        </w:rPr>
        <w:t>ativo 1o settembre 1993, n. 385</w:t>
      </w:r>
      <w:r w:rsidR="00A504CE">
        <w:rPr>
          <w:rStyle w:val="Rimandonotaapidipagina"/>
          <w:rFonts w:asciiTheme="minorHAnsi" w:hAnsiTheme="minorHAnsi"/>
          <w:b/>
          <w:color w:val="000000" w:themeColor="text1"/>
          <w:sz w:val="24"/>
          <w:szCs w:val="24"/>
        </w:rPr>
        <w:footnoteReference w:id="19"/>
      </w:r>
      <w:r w:rsidRPr="00AD1B0C">
        <w:rPr>
          <w:rFonts w:cs="Times New Roman"/>
          <w:color w:val="auto"/>
          <w:sz w:val="24"/>
          <w:szCs w:val="24"/>
          <w:lang w:eastAsia="en-US"/>
        </w:rPr>
        <w:t>, a condizione che le garanzie da questi rilasciate non superino la percentuale massima di copertura del 90 per cento, previa autorizzazione della Commissione Europea ai sensi dell'articolo 108 del TFUE, e che non prevedano il pagamento di un premio che tiene conto della remunerazione per il rischio di credito. Fino all'autorizzazione della Commissione Europea e, successivamente alla predetta autorizzazione per le operazioni finanziarie non aventi le predette caratteristiche di durata e importo di cui alla lettera c) e alla presente lettera d), le percentuali di copertura sono incrementate, rispettivamente, all'80 per cento per la garanzia diretta di cui alla lettera c) e al 90 per cento per la riassicurazione di cui alla presente lettera d)</w:t>
      </w:r>
      <w:r w:rsidR="00ED2781">
        <w:rPr>
          <w:rFonts w:cs="Times New Roman"/>
          <w:color w:val="auto"/>
          <w:sz w:val="24"/>
          <w:szCs w:val="24"/>
          <w:lang w:eastAsia="en-US"/>
        </w:rPr>
        <w:t xml:space="preserve"> </w:t>
      </w:r>
      <w:r w:rsidR="00ED2781" w:rsidRPr="00714183">
        <w:rPr>
          <w:rFonts w:asciiTheme="minorHAnsi" w:hAnsiTheme="minorHAnsi"/>
          <w:b/>
          <w:color w:val="000000" w:themeColor="text1"/>
          <w:sz w:val="24"/>
          <w:szCs w:val="24"/>
        </w:rPr>
        <w:t>anche per durate superiori a 10 anni. La garanzia dal Fondo può essere cumulata con un'ulteriore garanzia concessa da confidi o altri soggetti abilitati al rilascio di garanzie, a valere su risorse proprie, sino alla copertura del 100 per cento del finanziamento concesso</w:t>
      </w:r>
      <w:r w:rsidR="00ED2781">
        <w:rPr>
          <w:rStyle w:val="Rimandonotaapidipagina"/>
          <w:rFonts w:asciiTheme="minorHAnsi" w:hAnsiTheme="minorHAnsi"/>
          <w:b/>
          <w:color w:val="000000" w:themeColor="text1"/>
          <w:sz w:val="24"/>
          <w:szCs w:val="24"/>
        </w:rPr>
        <w:footnoteReference w:id="20"/>
      </w:r>
      <w:r w:rsidR="00ED2781" w:rsidRPr="00714183">
        <w:rPr>
          <w:rFonts w:asciiTheme="minorHAnsi" w:hAnsiTheme="minorHAnsi"/>
          <w:b/>
          <w:color w:val="000000" w:themeColor="text1"/>
          <w:sz w:val="24"/>
          <w:szCs w:val="24"/>
        </w:rPr>
        <w:t>;</w:t>
      </w:r>
    </w:p>
    <w:p w14:paraId="5D445BD9" w14:textId="77777777" w:rsidR="00AD1B0C" w:rsidRPr="00AD1B0C" w:rsidRDefault="00AD1B0C" w:rsidP="00AD1B0C">
      <w:pPr>
        <w:spacing w:after="160" w:line="259" w:lineRule="auto"/>
        <w:jc w:val="both"/>
        <w:rPr>
          <w:rFonts w:cs="Times New Roman"/>
          <w:color w:val="auto"/>
          <w:sz w:val="24"/>
          <w:szCs w:val="24"/>
          <w:lang w:eastAsia="en-US"/>
        </w:rPr>
      </w:pPr>
    </w:p>
    <w:p w14:paraId="22846E93" w14:textId="77777777" w:rsidR="00B44950" w:rsidRPr="00083383" w:rsidRDefault="00AD1B0C" w:rsidP="00B44950">
      <w:pPr>
        <w:jc w:val="both"/>
        <w:rPr>
          <w:rFonts w:asciiTheme="minorHAnsi" w:hAnsiTheme="minorHAnsi"/>
          <w:b/>
          <w:color w:val="000000" w:themeColor="text1"/>
          <w:sz w:val="24"/>
          <w:szCs w:val="24"/>
        </w:rPr>
      </w:pPr>
      <w:r w:rsidRPr="00AD1B0C">
        <w:rPr>
          <w:rFonts w:cs="Times New Roman"/>
          <w:color w:val="auto"/>
          <w:sz w:val="24"/>
          <w:szCs w:val="24"/>
          <w:lang w:eastAsia="en-US"/>
        </w:rPr>
        <w:t>   e) sono ammissibili alla garanzia del Fondo, per la garanzia diretta nella misura dell'80 per cento e per la riassicurazione nella misura del 90 per cento dell'importo garantito dal Confidi o da altro fondo di garanzia, a condizione che le garanzie da questi rilasciate non superino la percentuale massima di copertura dell'80 per cento, i finanziamenti a fronte di operazioni di rinegoziazione del debito del soggetto beneficiario, purché il nuovo finanziamento preveda l'erogazione al medesimo soggetto beneficiario di credito aggiuntivo in misura pari ad almeno il 10 per cento dell'importo del debito accordato in essere del finanziamento oggetto di rinegoziazione</w:t>
      </w:r>
      <w:r w:rsidR="009837D1">
        <w:rPr>
          <w:rFonts w:cs="Times New Roman"/>
          <w:color w:val="auto"/>
          <w:sz w:val="24"/>
          <w:szCs w:val="24"/>
          <w:lang w:eastAsia="en-US"/>
        </w:rPr>
        <w:t xml:space="preserve"> </w:t>
      </w:r>
      <w:r w:rsidR="009837D1" w:rsidRPr="00714183">
        <w:rPr>
          <w:rFonts w:asciiTheme="minorHAnsi" w:hAnsiTheme="minorHAnsi"/>
          <w:b/>
          <w:color w:val="000000" w:themeColor="text1"/>
          <w:sz w:val="24"/>
          <w:szCs w:val="24"/>
        </w:rPr>
        <w:t>ovvero, per i finanziamenti deliberati dal soggetto finanziatore in data successiva alla data di entrata in vigore della legge di conversione del presente decreto, in misura pari ad almeno il 25 per cento dell'importo del debito accordato in essere del finanziam</w:t>
      </w:r>
      <w:r w:rsidR="009837D1">
        <w:rPr>
          <w:rFonts w:asciiTheme="minorHAnsi" w:hAnsiTheme="minorHAnsi"/>
          <w:b/>
          <w:color w:val="000000" w:themeColor="text1"/>
          <w:sz w:val="24"/>
          <w:szCs w:val="24"/>
        </w:rPr>
        <w:t>ento oggetto di rinegoziazione</w:t>
      </w:r>
      <w:r w:rsidR="009837D1">
        <w:rPr>
          <w:rStyle w:val="Rimandonotaapidipagina"/>
          <w:rFonts w:asciiTheme="minorHAnsi" w:hAnsiTheme="minorHAnsi"/>
          <w:b/>
          <w:color w:val="000000" w:themeColor="text1"/>
          <w:sz w:val="24"/>
          <w:szCs w:val="24"/>
        </w:rPr>
        <w:footnoteReference w:id="21"/>
      </w:r>
      <w:r w:rsidR="00B44950">
        <w:rPr>
          <w:rFonts w:asciiTheme="minorHAnsi" w:hAnsiTheme="minorHAnsi"/>
          <w:b/>
          <w:color w:val="000000" w:themeColor="text1"/>
          <w:sz w:val="24"/>
          <w:szCs w:val="24"/>
        </w:rPr>
        <w:t xml:space="preserve">. </w:t>
      </w:r>
      <w:r w:rsidR="00B44950" w:rsidRPr="00083383">
        <w:rPr>
          <w:rFonts w:asciiTheme="minorHAnsi" w:hAnsiTheme="minorHAnsi"/>
          <w:b/>
          <w:color w:val="000000" w:themeColor="text1"/>
          <w:sz w:val="24"/>
          <w:szCs w:val="24"/>
        </w:rPr>
        <w:t>Nei casi di cui alla presente lettera il soggetto finanziatore deve trasmettere al gestore del Fondo una dichiarazione attestante la riduzione del tasso di interesse applicata, sul finanziamento garantito, al soggetto beneficiario per effetto della sopravvenuta concessione della garanzia.</w:t>
      </w:r>
      <w:r w:rsidR="00B44950">
        <w:rPr>
          <w:rStyle w:val="Rimandonotaapidipagina"/>
          <w:rFonts w:asciiTheme="minorHAnsi" w:hAnsiTheme="minorHAnsi"/>
          <w:b/>
          <w:color w:val="000000" w:themeColor="text1"/>
          <w:sz w:val="24"/>
          <w:szCs w:val="24"/>
        </w:rPr>
        <w:footnoteReference w:id="22"/>
      </w:r>
    </w:p>
    <w:p w14:paraId="4D92AF9B" w14:textId="77777777" w:rsidR="00AD1B0C" w:rsidRPr="009837D1" w:rsidRDefault="00AD1B0C" w:rsidP="009837D1">
      <w:pPr>
        <w:jc w:val="both"/>
        <w:rPr>
          <w:rFonts w:asciiTheme="minorHAnsi" w:hAnsiTheme="minorHAnsi"/>
          <w:b/>
          <w:color w:val="000000" w:themeColor="text1"/>
          <w:sz w:val="24"/>
          <w:szCs w:val="24"/>
        </w:rPr>
      </w:pPr>
      <w:r w:rsidRPr="00AD1B0C">
        <w:rPr>
          <w:rFonts w:cs="Times New Roman"/>
          <w:color w:val="auto"/>
          <w:sz w:val="24"/>
          <w:szCs w:val="24"/>
          <w:lang w:eastAsia="en-US"/>
        </w:rPr>
        <w:lastRenderedPageBreak/>
        <w:t>;</w:t>
      </w:r>
    </w:p>
    <w:p w14:paraId="0F679B9D" w14:textId="77777777" w:rsidR="00AD1B0C" w:rsidRPr="00AD1B0C" w:rsidRDefault="00AD1B0C" w:rsidP="00AD1B0C">
      <w:pPr>
        <w:spacing w:after="160" w:line="259" w:lineRule="auto"/>
        <w:jc w:val="both"/>
        <w:rPr>
          <w:rFonts w:cs="Times New Roman"/>
          <w:color w:val="auto"/>
          <w:sz w:val="24"/>
          <w:szCs w:val="24"/>
          <w:lang w:eastAsia="en-US"/>
        </w:rPr>
      </w:pPr>
    </w:p>
    <w:p w14:paraId="14C98265"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   f) per le operazioni per le quali banche o gli intermediari finanziari hanno accordato, anche di propria iniziativa, la sospensione del pagamento delle rate di ammortamento, o della sola quota capitale, ovvero l'allungamento della scadenza dei finanziamenti, in connessione degli effetti indotti dalla diffusione del COVID-19, su operazioni ammesse alla garanzia del Fondo, la durata della garanzia del Fondo è estesa in conseguenza;</w:t>
      </w:r>
    </w:p>
    <w:p w14:paraId="119C248D" w14:textId="77777777" w:rsidR="00AD1B0C" w:rsidRPr="00AD1B0C" w:rsidRDefault="00AD1B0C" w:rsidP="00AD1B0C">
      <w:pPr>
        <w:spacing w:after="160" w:line="259" w:lineRule="auto"/>
        <w:jc w:val="both"/>
        <w:rPr>
          <w:rFonts w:cs="Times New Roman"/>
          <w:color w:val="auto"/>
          <w:sz w:val="24"/>
          <w:szCs w:val="24"/>
          <w:lang w:eastAsia="en-US"/>
        </w:rPr>
      </w:pPr>
    </w:p>
    <w:p w14:paraId="2E32F01E"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xml:space="preserve">   g) fermo restando quanto già previsto all'articolo 6, comma 2, del decreto del Ministro dello sviluppo economico 6 marzo 2017, pubblicato nella Gazzetta ufficiale 7 luglio 2017, n. 157, e fatto salvo quanto previsto per le operazioni finanziarie di cui alla lettera m), la garanzia è concessa senza applicazione del modello di valutazione di cui alla parte IX, lettera A, delle condizioni di ammissibilità e disposizioni di carattere generale per l'amministrazione del Fondo di garanzia riportate nell'allegato al decreto del Ministro dello sviluppo economico 12 febbraio 2019, pubblicato nella Gazzetta ufficiale 27 febbraio 2019, n. 49. Ai fini della definizione delle misure di accantonamento a titolo di coefficiente di rischio, in sede di ammissione della singola operazione finanziaria, la probabilità di inadempimento delle imprese è calcolata esclusivamente sulla base dei dati contenuti nel modulo economico-finanziario del suddetto modello di valutazione. Con frequenza bimestrale, in riferimento all'insieme delle operazioni finanziarie ammesse alla garanzia, la consistenza degli accantonamenti prudenziali operati a valere sul Fondo è corretta in funzione dei dati di Centrale dei Rischi di Banca d'Italia, acquisiti dal Gestore del Fondo al momento della presentazione delle richieste di ammissione alla garanzia. La garanzia è concessa anche in favore di beneficiari finali che presentano, alla data della richiesta di garanzia, esposizioni nei confronti del soggetto finanziatore classificate come «inadempienze probabili» o «scadute o sconfinanti deteriorate» ai sensi del paragrafo 2, parte B della circolare n. 272 del 30 luglio 2008 della Banca d'Italia e successive modificazioni, purché la predetta classificazione non sia precedente alla data del 31 gennaio 2020. La garanzia è concessa anche alle imprese che, in data successiva al 31 dicembre 2019, sono state ammesse alla procedura del concordato con continuità aziendale di cui all'articolo 186-bis del regio decreto 16 marzo 1942, n. 267, hanno stipulato accordi di ristrutturazione ai sensi dell'articolo 182-bis del regio decreto 267 del 1942 o hanno presentato un piano attestato di cui all'articolo 67 del predetto regio decreto, purché, alla data di entrata in vigore del presente decreto, le loro esposizioni non siano più in una situazione che ne determinerebbe la classificazione come esposizioni deteriorate, non presentino importi in arretrato successivi all'applicazione delle misure di concessione e la banca, sulla base dell'analisi della situazione finanziaria del debitore, possa ragionevolmente presumere il rimborso integrale dell'esposizione alla scadenza, ai sensi dell'articolo 47-bis, comma 6, lettere a) e c) del regolamento (UE) n. 575/2013 del Parlamento europeo e del Consiglio, del 26 giugno 2013. Ai fini </w:t>
      </w:r>
      <w:r w:rsidRPr="00AD1B0C">
        <w:rPr>
          <w:rFonts w:cs="Times New Roman"/>
          <w:color w:val="auto"/>
          <w:sz w:val="24"/>
          <w:szCs w:val="24"/>
          <w:lang w:eastAsia="en-US"/>
        </w:rPr>
        <w:lastRenderedPageBreak/>
        <w:t>dell'ammissione alla garanzia non è necessario che sia trascorso un anno dalla data in cui sono state accordate le misure di concessione o, se posteriore, dalla data in cui le esposizioni sono state classificate come esposizioni deteriorate, ai sensi dell'art 47-bis, comma 6, lettera b) del Regolamento 575/2013. Sono, in ogni caso, escluse le imprese che presentano esposizioni classificate come «sofferenze» ai sensi della disciplina bancaria;</w:t>
      </w:r>
    </w:p>
    <w:p w14:paraId="73327FE5" w14:textId="77777777" w:rsidR="00AD1B0C" w:rsidRPr="00AD1B0C" w:rsidRDefault="00AD1B0C" w:rsidP="00AD1B0C">
      <w:pPr>
        <w:spacing w:after="160" w:line="259" w:lineRule="auto"/>
        <w:jc w:val="both"/>
        <w:rPr>
          <w:rFonts w:cs="Times New Roman"/>
          <w:color w:val="auto"/>
          <w:sz w:val="24"/>
          <w:szCs w:val="24"/>
          <w:lang w:eastAsia="en-US"/>
        </w:rPr>
      </w:pPr>
    </w:p>
    <w:p w14:paraId="73615B97"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   h) non è dovuta la commissione per il mancato perfezionamento delle operazioni finanziarie di cui all'articolo 10, comma 2, del decreto ministeriale 6 marzo 2017;</w:t>
      </w:r>
    </w:p>
    <w:p w14:paraId="7903A32B" w14:textId="77777777" w:rsidR="00AD1B0C" w:rsidRPr="00AD1B0C" w:rsidRDefault="00AD1B0C" w:rsidP="00AD1B0C">
      <w:pPr>
        <w:spacing w:after="160" w:line="259" w:lineRule="auto"/>
        <w:jc w:val="both"/>
        <w:rPr>
          <w:rFonts w:cs="Times New Roman"/>
          <w:color w:val="auto"/>
          <w:sz w:val="24"/>
          <w:szCs w:val="24"/>
          <w:lang w:eastAsia="en-US"/>
        </w:rPr>
      </w:pPr>
    </w:p>
    <w:p w14:paraId="1B979771" w14:textId="77777777" w:rsidR="00AD1B0C" w:rsidRPr="00AD1B0C" w:rsidRDefault="00AD1B0C" w:rsidP="008D24AE">
      <w:pPr>
        <w:jc w:val="both"/>
        <w:rPr>
          <w:rFonts w:cs="Times New Roman"/>
          <w:color w:val="auto"/>
          <w:sz w:val="24"/>
          <w:szCs w:val="24"/>
          <w:lang w:eastAsia="en-US"/>
        </w:rPr>
      </w:pPr>
      <w:r w:rsidRPr="00AD1B0C">
        <w:rPr>
          <w:rFonts w:cs="Times New Roman"/>
          <w:color w:val="auto"/>
          <w:sz w:val="24"/>
          <w:szCs w:val="24"/>
          <w:lang w:eastAsia="en-US"/>
        </w:rPr>
        <w:t>   i) per operazioni di investimento immobiliare nei settori turistico-alberghiero</w:t>
      </w:r>
      <w:r w:rsidR="008D24AE">
        <w:rPr>
          <w:rFonts w:cs="Times New Roman"/>
          <w:color w:val="auto"/>
          <w:sz w:val="24"/>
          <w:szCs w:val="24"/>
          <w:lang w:eastAsia="en-US"/>
        </w:rPr>
        <w:t xml:space="preserve"> </w:t>
      </w:r>
      <w:r w:rsidR="008D24AE">
        <w:rPr>
          <w:rFonts w:asciiTheme="minorHAnsi" w:hAnsiTheme="minorHAnsi"/>
          <w:b/>
          <w:color w:val="000000" w:themeColor="text1"/>
          <w:sz w:val="24"/>
          <w:szCs w:val="24"/>
        </w:rPr>
        <w:t>compreso il settore termale</w:t>
      </w:r>
      <w:r w:rsidR="008D24AE">
        <w:rPr>
          <w:rStyle w:val="Rimandonotaapidipagina"/>
          <w:rFonts w:asciiTheme="minorHAnsi" w:hAnsiTheme="minorHAnsi"/>
          <w:b/>
          <w:color w:val="000000" w:themeColor="text1"/>
          <w:sz w:val="24"/>
          <w:szCs w:val="24"/>
        </w:rPr>
        <w:footnoteReference w:id="23"/>
      </w:r>
      <w:r w:rsidRPr="00AD1B0C">
        <w:rPr>
          <w:rFonts w:cs="Times New Roman"/>
          <w:color w:val="auto"/>
          <w:sz w:val="24"/>
          <w:szCs w:val="24"/>
          <w:lang w:eastAsia="en-US"/>
        </w:rPr>
        <w:t xml:space="preserve"> e delle attività immobiliari, con durata minima di 10 anni e di importo superiore a euro 500.000,00, la garanzia del Fondo può essere cumulata con altre forme di garanzia acquisite sui finanziamenti;</w:t>
      </w:r>
    </w:p>
    <w:p w14:paraId="21999668" w14:textId="77777777" w:rsidR="00AD1B0C" w:rsidRPr="00AD1B0C" w:rsidRDefault="00AD1B0C" w:rsidP="00AD1B0C">
      <w:pPr>
        <w:spacing w:after="160" w:line="259" w:lineRule="auto"/>
        <w:jc w:val="both"/>
        <w:rPr>
          <w:rFonts w:cs="Times New Roman"/>
          <w:color w:val="auto"/>
          <w:sz w:val="24"/>
          <w:szCs w:val="24"/>
          <w:lang w:eastAsia="en-US"/>
        </w:rPr>
      </w:pPr>
    </w:p>
    <w:p w14:paraId="1C2BCAC8"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   l) per le garanzie su specifici portafogli di finanziamenti, anche senza piano d'ammortamento, dedicati a imprese danneggiate dall'emergenza COVID-19, o appartenenti, per almeno il 60 per cento, a specifici settori e filiere colpiti dall'epidemia, la quota della tranche junior coperta dal Fondo può essere elevata del 50 per cento, ulteriormente incrementabile del 20 per cento in caso di intervento di ulteriori garanti;</w:t>
      </w:r>
    </w:p>
    <w:p w14:paraId="570F1A92" w14:textId="77777777" w:rsidR="00AD1B0C" w:rsidRPr="00AD1B0C" w:rsidRDefault="00AD1B0C" w:rsidP="00AD1B0C">
      <w:pPr>
        <w:spacing w:after="160" w:line="259" w:lineRule="auto"/>
        <w:jc w:val="both"/>
        <w:rPr>
          <w:rFonts w:cs="Times New Roman"/>
          <w:color w:val="auto"/>
          <w:sz w:val="24"/>
          <w:szCs w:val="24"/>
          <w:lang w:eastAsia="en-US"/>
        </w:rPr>
      </w:pPr>
    </w:p>
    <w:p w14:paraId="797B2A8D" w14:textId="77777777" w:rsidR="00AD1B0C" w:rsidRDefault="00AD1B0C" w:rsidP="00037EE5">
      <w:pPr>
        <w:jc w:val="both"/>
        <w:rPr>
          <w:rFonts w:cs="Times New Roman"/>
          <w:color w:val="auto"/>
          <w:sz w:val="24"/>
          <w:szCs w:val="24"/>
          <w:lang w:eastAsia="en-US"/>
        </w:rPr>
      </w:pPr>
      <w:r w:rsidRPr="00AD1B0C">
        <w:rPr>
          <w:rFonts w:cs="Times New Roman"/>
          <w:color w:val="auto"/>
          <w:sz w:val="24"/>
          <w:szCs w:val="24"/>
          <w:lang w:eastAsia="en-US"/>
        </w:rPr>
        <w:t xml:space="preserve">   m) previa autorizzazione della Commissione Europea ai sensi dell'articolo 108 del TFUE, sono ammissibili alla garanzia del fondo, con copertura al 100 percento sia in garanzia diretta che in riassicurazione, i nuovi finanziamenti concessi da banche, intermediari finanziari di cui all'articolo 106 del Testo Unico bancario di cui al decreto legislativo 1° settembre 1993 n. 385 e dagli altri soggetti abilitati alla concessione di credito in favore di piccole e medie imprese e di persone fisiche esercenti attività di </w:t>
      </w:r>
      <w:r w:rsidRPr="00AD1B0C">
        <w:rPr>
          <w:rFonts w:cs="Times New Roman"/>
          <w:color w:val="auto"/>
          <w:sz w:val="24"/>
          <w:szCs w:val="24"/>
          <w:lang w:eastAsia="en-US"/>
        </w:rPr>
        <w:lastRenderedPageBreak/>
        <w:t xml:space="preserve">impresa, arti o professioni </w:t>
      </w:r>
      <w:r w:rsidR="004226BC" w:rsidRPr="000749BB">
        <w:rPr>
          <w:b/>
          <w:color w:val="000000" w:themeColor="text1"/>
          <w:sz w:val="24"/>
          <w:szCs w:val="24"/>
        </w:rPr>
        <w:t>nonché associazioni professiona</w:t>
      </w:r>
      <w:r w:rsidR="004226BC">
        <w:rPr>
          <w:b/>
          <w:color w:val="000000" w:themeColor="text1"/>
          <w:sz w:val="24"/>
          <w:szCs w:val="24"/>
        </w:rPr>
        <w:t>li e società tra professionisti</w:t>
      </w:r>
      <w:r w:rsidR="004226BC">
        <w:rPr>
          <w:rStyle w:val="Rimandonotaapidipagina"/>
          <w:b/>
          <w:color w:val="000000" w:themeColor="text1"/>
          <w:sz w:val="24"/>
          <w:szCs w:val="24"/>
        </w:rPr>
        <w:footnoteReference w:id="24"/>
      </w:r>
      <w:r w:rsidR="004226BC">
        <w:rPr>
          <w:b/>
          <w:color w:val="000000" w:themeColor="text1"/>
          <w:sz w:val="24"/>
          <w:szCs w:val="24"/>
        </w:rPr>
        <w:t xml:space="preserve"> </w:t>
      </w:r>
      <w:r w:rsidR="00037EE5" w:rsidRPr="006F5EDF">
        <w:rPr>
          <w:rFonts w:asciiTheme="minorHAnsi" w:hAnsiTheme="minorHAnsi"/>
          <w:b/>
          <w:color w:val="000000" w:themeColor="text1"/>
          <w:sz w:val="24"/>
          <w:szCs w:val="24"/>
        </w:rPr>
        <w:t>nonché da agenti di assicurazione, subagenti di assicurazione e broker iscritti alla rispettiva sezione del Registro unico degli intermediari assicurativi e riassicurativi,</w:t>
      </w:r>
      <w:r w:rsidR="00037EE5">
        <w:rPr>
          <w:rStyle w:val="Rimandonotaapidipagina"/>
          <w:rFonts w:asciiTheme="minorHAnsi" w:hAnsiTheme="minorHAnsi"/>
          <w:b/>
          <w:color w:val="000000" w:themeColor="text1"/>
          <w:sz w:val="24"/>
          <w:szCs w:val="24"/>
        </w:rPr>
        <w:footnoteReference w:id="25"/>
      </w:r>
      <w:r w:rsidR="00037EE5">
        <w:rPr>
          <w:rFonts w:asciiTheme="minorHAnsi" w:hAnsiTheme="minorHAnsi"/>
          <w:b/>
          <w:color w:val="000000" w:themeColor="text1"/>
          <w:sz w:val="24"/>
          <w:szCs w:val="24"/>
        </w:rPr>
        <w:t xml:space="preserve"> </w:t>
      </w:r>
      <w:r w:rsidRPr="00AD1B0C">
        <w:rPr>
          <w:rFonts w:cs="Times New Roman"/>
          <w:color w:val="auto"/>
          <w:sz w:val="24"/>
          <w:szCs w:val="24"/>
          <w:lang w:eastAsia="en-US"/>
        </w:rPr>
        <w:t xml:space="preserve">la cui attività d'impresa è stata danneggiata dall'emergenza COVID-19 come da dichiarazione autocertificata ai sensi dell'articolo 47 del decreto del Presidente della Repubblica 28 dicembre 2000 n. 445, purché tali finanziamenti prevedano l'inizio del rimborso del capitale non prima di 24 mesi dall'erogazione e abbiano una durata fino a </w:t>
      </w:r>
      <w:r w:rsidRPr="00012BB5">
        <w:rPr>
          <w:rFonts w:cs="Times New Roman"/>
          <w:strike/>
          <w:color w:val="auto"/>
          <w:sz w:val="24"/>
          <w:szCs w:val="24"/>
          <w:highlight w:val="yellow"/>
          <w:lang w:eastAsia="en-US"/>
        </w:rPr>
        <w:t>72 mesi</w:t>
      </w:r>
      <w:r w:rsidRPr="00AD1B0C">
        <w:rPr>
          <w:rFonts w:cs="Times New Roman"/>
          <w:color w:val="auto"/>
          <w:sz w:val="24"/>
          <w:szCs w:val="24"/>
          <w:lang w:eastAsia="en-US"/>
        </w:rPr>
        <w:t xml:space="preserve"> </w:t>
      </w:r>
      <w:r w:rsidR="00012BB5" w:rsidRPr="006F5EDF">
        <w:rPr>
          <w:rFonts w:asciiTheme="minorHAnsi" w:hAnsiTheme="minorHAnsi"/>
          <w:b/>
          <w:color w:val="000000" w:themeColor="text1"/>
          <w:sz w:val="24"/>
          <w:szCs w:val="24"/>
        </w:rPr>
        <w:t>120 mesi</w:t>
      </w:r>
      <w:r w:rsidR="00012BB5">
        <w:rPr>
          <w:rStyle w:val="Rimandonotaapidipagina"/>
          <w:rFonts w:asciiTheme="minorHAnsi" w:hAnsiTheme="minorHAnsi"/>
          <w:b/>
          <w:color w:val="000000" w:themeColor="text1"/>
          <w:sz w:val="24"/>
          <w:szCs w:val="24"/>
        </w:rPr>
        <w:footnoteReference w:id="26"/>
      </w:r>
      <w:r w:rsidR="00012BB5" w:rsidRPr="00AD1B0C">
        <w:rPr>
          <w:rFonts w:cs="Times New Roman"/>
          <w:color w:val="auto"/>
          <w:sz w:val="24"/>
          <w:szCs w:val="24"/>
          <w:lang w:eastAsia="en-US"/>
        </w:rPr>
        <w:t xml:space="preserve"> </w:t>
      </w:r>
      <w:r w:rsidRPr="00AD1B0C">
        <w:rPr>
          <w:rFonts w:cs="Times New Roman"/>
          <w:color w:val="auto"/>
          <w:sz w:val="24"/>
          <w:szCs w:val="24"/>
          <w:lang w:eastAsia="en-US"/>
        </w:rPr>
        <w:t xml:space="preserve">e un importo </w:t>
      </w:r>
      <w:r w:rsidRPr="006E6FFB">
        <w:rPr>
          <w:rFonts w:cs="Times New Roman"/>
          <w:strike/>
          <w:color w:val="auto"/>
          <w:sz w:val="24"/>
          <w:szCs w:val="24"/>
          <w:highlight w:val="yellow"/>
          <w:lang w:eastAsia="en-US"/>
        </w:rPr>
        <w:t>non superiore al 25 per cento dell'ammontare dei ricavi del soggetto beneficiario</w:t>
      </w:r>
      <w:r w:rsidR="006E6FFB">
        <w:rPr>
          <w:rFonts w:cs="Times New Roman"/>
          <w:color w:val="auto"/>
          <w:sz w:val="24"/>
          <w:szCs w:val="24"/>
          <w:lang w:eastAsia="en-US"/>
        </w:rPr>
        <w:t xml:space="preserve"> </w:t>
      </w:r>
      <w:r w:rsidR="006E6FFB" w:rsidRPr="00BC5362">
        <w:rPr>
          <w:rFonts w:asciiTheme="minorHAnsi" w:hAnsiTheme="minorHAnsi"/>
          <w:b/>
          <w:color w:val="000000" w:themeColor="text1"/>
          <w:sz w:val="24"/>
          <w:szCs w:val="24"/>
        </w:rPr>
        <w:t xml:space="preserve">non superiore, alternativamente, anche tenuto conto di eventi calamitosi, ad uno degli importi di cui alla </w:t>
      </w:r>
      <w:r w:rsidR="006E6FFB" w:rsidRPr="00BC5362">
        <w:rPr>
          <w:rFonts w:asciiTheme="minorHAnsi" w:hAnsiTheme="minorHAnsi"/>
          <w:b/>
          <w:color w:val="000000" w:themeColor="text1"/>
          <w:sz w:val="24"/>
          <w:szCs w:val="24"/>
        </w:rPr>
        <w:lastRenderedPageBreak/>
        <w:t>preced</w:t>
      </w:r>
      <w:r w:rsidR="006E6FFB">
        <w:rPr>
          <w:rFonts w:asciiTheme="minorHAnsi" w:hAnsiTheme="minorHAnsi"/>
          <w:b/>
          <w:color w:val="000000" w:themeColor="text1"/>
          <w:sz w:val="24"/>
          <w:szCs w:val="24"/>
        </w:rPr>
        <w:t>ente lettera c), numeri 1) o 2)</w:t>
      </w:r>
      <w:r w:rsidR="006E6FFB">
        <w:rPr>
          <w:rStyle w:val="Rimandonotaapidipagina"/>
          <w:rFonts w:asciiTheme="minorHAnsi" w:hAnsiTheme="minorHAnsi"/>
          <w:b/>
          <w:color w:val="000000" w:themeColor="text1"/>
          <w:sz w:val="24"/>
          <w:szCs w:val="24"/>
        </w:rPr>
        <w:footnoteReference w:id="27"/>
      </w:r>
      <w:r w:rsidR="006E6FFB">
        <w:rPr>
          <w:rFonts w:asciiTheme="minorHAnsi" w:hAnsiTheme="minorHAnsi"/>
          <w:color w:val="000000" w:themeColor="text1"/>
          <w:sz w:val="24"/>
          <w:szCs w:val="24"/>
        </w:rPr>
        <w:t xml:space="preserve">, </w:t>
      </w:r>
      <w:r w:rsidRPr="00AD1B0C">
        <w:rPr>
          <w:rFonts w:cs="Times New Roman"/>
          <w:color w:val="auto"/>
          <w:sz w:val="24"/>
          <w:szCs w:val="24"/>
          <w:lang w:eastAsia="en-US"/>
        </w:rPr>
        <w:t xml:space="preserve"> come risultante dall'ultimo bilancio depositato o dall'ultima dichiarazione fiscale presentata alla data della domanda di garanzia ovvero, </w:t>
      </w:r>
      <w:r w:rsidRPr="006E6FFB">
        <w:rPr>
          <w:rFonts w:cs="Times New Roman"/>
          <w:strike/>
          <w:color w:val="auto"/>
          <w:sz w:val="24"/>
          <w:szCs w:val="24"/>
          <w:highlight w:val="yellow"/>
          <w:lang w:eastAsia="en-US"/>
        </w:rPr>
        <w:t>per i soggetti beneficiari costituiti dopo il 1° gennaio 2019</w:t>
      </w:r>
      <w:r w:rsidR="006E6FFB">
        <w:rPr>
          <w:rStyle w:val="Rimandonotaapidipagina"/>
          <w:rFonts w:cs="Times New Roman"/>
          <w:strike/>
          <w:color w:val="auto"/>
          <w:sz w:val="24"/>
          <w:szCs w:val="24"/>
          <w:highlight w:val="yellow"/>
          <w:lang w:eastAsia="en-US"/>
        </w:rPr>
        <w:footnoteReference w:id="28"/>
      </w:r>
      <w:r w:rsidRPr="00AD1B0C">
        <w:rPr>
          <w:rFonts w:cs="Times New Roman"/>
          <w:color w:val="auto"/>
          <w:sz w:val="24"/>
          <w:szCs w:val="24"/>
          <w:lang w:eastAsia="en-US"/>
        </w:rPr>
        <w:t xml:space="preserve">, da altra idonea documentazione, anche mediante autocertificazione ai sensi dell'articolo 47 del decreto del Presidente della Repubblica 28 dicembre 2000 n. 445, e, comunque, non superiore a </w:t>
      </w:r>
      <w:r w:rsidRPr="009868D8">
        <w:rPr>
          <w:rFonts w:cs="Times New Roman"/>
          <w:strike/>
          <w:color w:val="auto"/>
          <w:sz w:val="24"/>
          <w:szCs w:val="24"/>
          <w:highlight w:val="yellow"/>
          <w:lang w:eastAsia="en-US"/>
        </w:rPr>
        <w:t>25.000,00 euro</w:t>
      </w:r>
      <w:r w:rsidR="009868D8">
        <w:rPr>
          <w:rFonts w:cs="Times New Roman"/>
          <w:color w:val="auto"/>
          <w:sz w:val="24"/>
          <w:szCs w:val="24"/>
          <w:lang w:eastAsia="en-US"/>
        </w:rPr>
        <w:t xml:space="preserve"> </w:t>
      </w:r>
      <w:r w:rsidR="009868D8" w:rsidRPr="00626EC0">
        <w:rPr>
          <w:rFonts w:asciiTheme="minorHAnsi" w:hAnsiTheme="minorHAnsi"/>
          <w:b/>
          <w:color w:val="000000" w:themeColor="text1"/>
          <w:sz w:val="24"/>
          <w:szCs w:val="24"/>
        </w:rPr>
        <w:t>30.000 euro</w:t>
      </w:r>
      <w:r w:rsidR="009868D8">
        <w:rPr>
          <w:rStyle w:val="Rimandonotaapidipagina"/>
          <w:rFonts w:asciiTheme="minorHAnsi" w:hAnsiTheme="minorHAnsi"/>
          <w:b/>
          <w:color w:val="000000" w:themeColor="text1"/>
          <w:sz w:val="24"/>
          <w:szCs w:val="24"/>
        </w:rPr>
        <w:footnoteReference w:id="29"/>
      </w:r>
      <w:r w:rsidRPr="00AD1B0C">
        <w:rPr>
          <w:rFonts w:cs="Times New Roman"/>
          <w:color w:val="auto"/>
          <w:sz w:val="24"/>
          <w:szCs w:val="24"/>
          <w:lang w:eastAsia="en-US"/>
        </w:rPr>
        <w:t xml:space="preserve">. Si ha un nuovo finanziamento quando, ad esito della concessione del finanziamento coperto da garanzia, l'ammontare complessivo delle esposizioni del finanziatore nei confronti del soggetto finanziato risulta superiore all'ammontare di esposizioni detenute alla data di entrata in vigore del presente decreto, corretto per le riduzioni delle esposizioni intervenute tra le due date in conseguenza del regolamento contrattuale stabilito tra le parti prima dell'entrata in vigore del presente decreto ovvero per decisione autonoma del soggetto finanziato. Nei casi di cessione o affitto di azienda con prosecuzione della medesima attività si considera altresì l'ammontare dei ricavi risultante dall'ultima dichiarazione dei redditi o dall'ultimo bilancio depositato dal cedente o dal locatore. In relazione alle predette operazioni, il soggetto richiedente applica all'operazione finanziaria un tasso di </w:t>
      </w:r>
      <w:r w:rsidRPr="00AD1B0C">
        <w:rPr>
          <w:rFonts w:cs="Times New Roman"/>
          <w:color w:val="auto"/>
          <w:sz w:val="24"/>
          <w:szCs w:val="24"/>
          <w:lang w:eastAsia="en-US"/>
        </w:rPr>
        <w:lastRenderedPageBreak/>
        <w:t xml:space="preserve">interesse, nel caso di garanzia diretta o un premio complessivo di garanzia, nel caso di riassicurazione, che tiene conto della sola copertura dei soli costi di istruttoria e di gestione dell'operazione finanziaria e, comunque, non superiore al tasso di </w:t>
      </w:r>
      <w:proofErr w:type="spellStart"/>
      <w:r w:rsidRPr="00012BB5">
        <w:rPr>
          <w:rFonts w:cs="Times New Roman"/>
          <w:strike/>
          <w:color w:val="auto"/>
          <w:sz w:val="24"/>
          <w:szCs w:val="24"/>
          <w:highlight w:val="yellow"/>
          <w:lang w:eastAsia="en-US"/>
        </w:rPr>
        <w:t>Rendistato</w:t>
      </w:r>
      <w:proofErr w:type="spellEnd"/>
      <w:r w:rsidRPr="00012BB5">
        <w:rPr>
          <w:rFonts w:cs="Times New Roman"/>
          <w:strike/>
          <w:color w:val="auto"/>
          <w:sz w:val="24"/>
          <w:szCs w:val="24"/>
          <w:highlight w:val="yellow"/>
          <w:lang w:eastAsia="en-US"/>
        </w:rPr>
        <w:t xml:space="preserve"> con durata residua da 4 anni e 7 mesi a 6 anni e 6 mesi, maggiorato della differenza tra il CDS banche a 5 anni e il CDS ITA a 5 anni, come definiti dall'accordo quadro per l'anticipo finanziario a garanzia pensionistica di cui all'articolo 1, commi da 166 a 178 della legge 11 dicembre 2016, n. 232, maggiorato dello 0,20 per cento</w:t>
      </w:r>
      <w:r w:rsidR="00012BB5">
        <w:rPr>
          <w:rFonts w:cs="Times New Roman"/>
          <w:color w:val="auto"/>
          <w:sz w:val="24"/>
          <w:szCs w:val="24"/>
          <w:lang w:eastAsia="en-US"/>
        </w:rPr>
        <w:t xml:space="preserve"> </w:t>
      </w:r>
      <w:proofErr w:type="spellStart"/>
      <w:r w:rsidR="00012BB5" w:rsidRPr="0000422C">
        <w:rPr>
          <w:rFonts w:asciiTheme="minorHAnsi" w:hAnsiTheme="minorHAnsi"/>
          <w:b/>
          <w:color w:val="000000" w:themeColor="text1"/>
          <w:sz w:val="24"/>
          <w:szCs w:val="24"/>
        </w:rPr>
        <w:t>Rendistato</w:t>
      </w:r>
      <w:proofErr w:type="spellEnd"/>
      <w:r w:rsidR="00012BB5" w:rsidRPr="0000422C">
        <w:rPr>
          <w:rFonts w:asciiTheme="minorHAnsi" w:hAnsiTheme="minorHAnsi"/>
          <w:b/>
          <w:color w:val="000000" w:themeColor="text1"/>
          <w:sz w:val="24"/>
          <w:szCs w:val="24"/>
        </w:rPr>
        <w:t xml:space="preserve"> con durata analoga al finanziamento, </w:t>
      </w:r>
      <w:r w:rsidR="00012BB5">
        <w:rPr>
          <w:rFonts w:asciiTheme="minorHAnsi" w:hAnsiTheme="minorHAnsi"/>
          <w:b/>
          <w:color w:val="000000" w:themeColor="text1"/>
          <w:sz w:val="24"/>
          <w:szCs w:val="24"/>
        </w:rPr>
        <w:t>maggiorato dello 0,20 per cento</w:t>
      </w:r>
      <w:r w:rsidR="00A35C5F">
        <w:rPr>
          <w:rStyle w:val="Rimandonotaapidipagina"/>
          <w:rFonts w:asciiTheme="minorHAnsi" w:hAnsiTheme="minorHAnsi"/>
          <w:b/>
          <w:color w:val="000000" w:themeColor="text1"/>
          <w:sz w:val="24"/>
          <w:szCs w:val="24"/>
        </w:rPr>
        <w:footnoteReference w:id="30"/>
      </w:r>
      <w:r w:rsidR="00012BB5">
        <w:rPr>
          <w:rFonts w:asciiTheme="minorHAnsi" w:hAnsiTheme="minorHAnsi"/>
          <w:color w:val="000000" w:themeColor="text1"/>
          <w:sz w:val="24"/>
          <w:szCs w:val="24"/>
        </w:rPr>
        <w:t>.</w:t>
      </w:r>
      <w:r w:rsidRPr="00AD1B0C">
        <w:rPr>
          <w:rFonts w:cs="Times New Roman"/>
          <w:color w:val="auto"/>
          <w:sz w:val="24"/>
          <w:szCs w:val="24"/>
          <w:lang w:eastAsia="en-US"/>
        </w:rPr>
        <w:t xml:space="preserve"> In favore di tali soggetti beneficiari l'intervento del Fondo centrale di garanzia per le piccole e medie imprese è concesso automaticamente, gratuitamente e senza valutazione e il soggetto finanziatore eroga il finanziamento coperto dalla garanzia del Fondo, subordinatamente alla verifica formale del possesso dei requisiti, senza attendere l'esito definitivo dell'istruttoria da parte del gestore del Fondo medesimo.</w:t>
      </w:r>
    </w:p>
    <w:p w14:paraId="051C696C" w14:textId="77777777" w:rsidR="00012BB5" w:rsidRPr="0000422C" w:rsidRDefault="00012BB5" w:rsidP="00012BB5">
      <w:pPr>
        <w:jc w:val="both"/>
        <w:rPr>
          <w:rFonts w:asciiTheme="minorHAnsi" w:hAnsiTheme="minorHAnsi"/>
          <w:b/>
          <w:color w:val="000000" w:themeColor="text1"/>
          <w:sz w:val="24"/>
          <w:szCs w:val="24"/>
        </w:rPr>
      </w:pPr>
      <w:r w:rsidRPr="0000422C">
        <w:rPr>
          <w:rFonts w:asciiTheme="minorHAnsi" w:hAnsiTheme="minorHAnsi"/>
          <w:b/>
          <w:color w:val="000000" w:themeColor="text1"/>
          <w:sz w:val="24"/>
          <w:szCs w:val="24"/>
        </w:rPr>
        <w:t>m-bis) per i finanziamenti di cui alla lettera m) concessi fino alla data di conversione in legge del presente decreto, i soggetti richiedenti possono chiedere, con riguardo all'importo finanziato e alla durata, l'adeguamento del finanziamento alle nuove condizioni introdotte dalla legge di conversione in legge del presente decreto.</w:t>
      </w:r>
      <w:r w:rsidR="00A35C5F">
        <w:rPr>
          <w:rStyle w:val="Rimandonotaapidipagina"/>
          <w:rFonts w:asciiTheme="minorHAnsi" w:hAnsiTheme="minorHAnsi"/>
          <w:b/>
          <w:color w:val="000000" w:themeColor="text1"/>
          <w:sz w:val="24"/>
          <w:szCs w:val="24"/>
        </w:rPr>
        <w:footnoteReference w:id="31"/>
      </w:r>
    </w:p>
    <w:p w14:paraId="2E051400" w14:textId="77777777" w:rsidR="00AD1B0C" w:rsidRPr="00AD1B0C" w:rsidRDefault="00AD1B0C" w:rsidP="00AD1B0C">
      <w:pPr>
        <w:spacing w:after="160" w:line="259" w:lineRule="auto"/>
        <w:jc w:val="both"/>
        <w:rPr>
          <w:rFonts w:cs="Times New Roman"/>
          <w:color w:val="auto"/>
          <w:sz w:val="24"/>
          <w:szCs w:val="24"/>
          <w:lang w:eastAsia="en-US"/>
        </w:rPr>
      </w:pPr>
    </w:p>
    <w:p w14:paraId="13DD0D95" w14:textId="77777777" w:rsidR="00AD1B0C" w:rsidRPr="00F93539" w:rsidRDefault="00AD1B0C" w:rsidP="00F93539">
      <w:pPr>
        <w:jc w:val="both"/>
        <w:rPr>
          <w:rFonts w:asciiTheme="minorHAnsi" w:hAnsiTheme="minorHAnsi"/>
          <w:b/>
          <w:color w:val="000000" w:themeColor="text1"/>
          <w:sz w:val="24"/>
          <w:szCs w:val="24"/>
        </w:rPr>
      </w:pPr>
      <w:r w:rsidRPr="00AD1B0C">
        <w:rPr>
          <w:rFonts w:cs="Times New Roman"/>
          <w:color w:val="auto"/>
          <w:sz w:val="24"/>
          <w:szCs w:val="24"/>
          <w:lang w:eastAsia="en-US"/>
        </w:rPr>
        <w:t xml:space="preserve">   n) in favore dei soggetti beneficiari con ammontare di ricavi non superiore a 3.200.000 euro, la cui attività d'impresa è stata danneggiata dall'emergenza COVID-19 come da dichiarazione autocertificata ai sensi dell'articolo 47 del decreto del Presidente della Repubblica 28 dicembre 2000 n. 445, la garanzia di cui alla lettera c) può essere cumulata con un'ulteriore garanzia concessa da confidi o altri soggetti abilitati al rilascio di garanzie, a valere su risorse proprie, sino alla copertura del 100 per cento del finanziamento concesso. La predetta garanzia può essere rilasciata per prestiti di importo </w:t>
      </w:r>
      <w:r w:rsidRPr="006E6FFB">
        <w:rPr>
          <w:rFonts w:cs="Times New Roman"/>
          <w:strike/>
          <w:color w:val="auto"/>
          <w:sz w:val="24"/>
          <w:szCs w:val="24"/>
          <w:highlight w:val="yellow"/>
          <w:lang w:eastAsia="en-US"/>
        </w:rPr>
        <w:t>non superiore al 25 per cento dei ricavi del soggetto beneficiario</w:t>
      </w:r>
      <w:r w:rsidR="006E6FFB">
        <w:rPr>
          <w:rFonts w:cs="Times New Roman"/>
          <w:color w:val="auto"/>
          <w:sz w:val="24"/>
          <w:szCs w:val="24"/>
          <w:lang w:eastAsia="en-US"/>
        </w:rPr>
        <w:t xml:space="preserve"> </w:t>
      </w:r>
      <w:r w:rsidR="006E6FFB" w:rsidRPr="00BC5362">
        <w:rPr>
          <w:rFonts w:asciiTheme="minorHAnsi" w:hAnsiTheme="minorHAnsi"/>
          <w:b/>
          <w:color w:val="000000" w:themeColor="text1"/>
          <w:sz w:val="24"/>
          <w:szCs w:val="24"/>
        </w:rPr>
        <w:t>non superiore, alternativamente, a uno degli importi di cui alla preced</w:t>
      </w:r>
      <w:r w:rsidR="006E6FFB">
        <w:rPr>
          <w:rFonts w:asciiTheme="minorHAnsi" w:hAnsiTheme="minorHAnsi"/>
          <w:b/>
          <w:color w:val="000000" w:themeColor="text1"/>
          <w:sz w:val="24"/>
          <w:szCs w:val="24"/>
        </w:rPr>
        <w:t>ente lettera c), numeri 1) o 2)</w:t>
      </w:r>
      <w:r w:rsidR="006E6FFB">
        <w:rPr>
          <w:rStyle w:val="Rimandonotaapidipagina"/>
          <w:rFonts w:asciiTheme="minorHAnsi" w:hAnsiTheme="minorHAnsi"/>
          <w:b/>
          <w:color w:val="000000" w:themeColor="text1"/>
          <w:sz w:val="24"/>
          <w:szCs w:val="24"/>
        </w:rPr>
        <w:footnoteReference w:id="32"/>
      </w:r>
      <w:r w:rsidRPr="00AD1B0C">
        <w:rPr>
          <w:rFonts w:cs="Times New Roman"/>
          <w:color w:val="auto"/>
          <w:sz w:val="24"/>
          <w:szCs w:val="24"/>
          <w:lang w:eastAsia="en-US"/>
        </w:rPr>
        <w:t xml:space="preserve">. Si ha un nuovo finanziamento quando, ad esito della concessione del finanziamento coperto da garanzia, l'ammontare complessivo delle esposizioni del finanziatore nei confronti del soggetto finanziato risulta superiore all'ammontare di esposizioni detenute alla data di entrata in vigore del presente decreto, corretto per le riduzioni delle esposizioni intervenute tra le due date in conseguenza del regolamento contrattuale stabilito tra le parti prima dell'entrata in </w:t>
      </w:r>
      <w:r w:rsidRPr="00AD1B0C">
        <w:rPr>
          <w:rFonts w:cs="Times New Roman"/>
          <w:color w:val="auto"/>
          <w:sz w:val="24"/>
          <w:szCs w:val="24"/>
          <w:lang w:eastAsia="en-US"/>
        </w:rPr>
        <w:lastRenderedPageBreak/>
        <w:t>vigore del presente decreto ovvero per decisione autonoma del soggetto finanziato) le Regioni, i Comuni, gli enti locali, le Camere di Commercio, anche per il tramite di Unioncamere, le Amministrazioni di settore, anche unitamente alle associazioni e gli enti di riferimento, possono conferire risorse al Fondo ai fini della costituzione di sezioni speciali finalizzate a sostenere l'accesso al credito, anche a favore di determinati settori economici o filiere d'impresa</w:t>
      </w:r>
      <w:r w:rsidR="00F93539">
        <w:rPr>
          <w:rFonts w:cs="Times New Roman"/>
          <w:color w:val="auto"/>
          <w:sz w:val="24"/>
          <w:szCs w:val="24"/>
          <w:lang w:eastAsia="en-US"/>
        </w:rPr>
        <w:t xml:space="preserve"> </w:t>
      </w:r>
      <w:r w:rsidR="00F93539" w:rsidRPr="00626EC0">
        <w:rPr>
          <w:rFonts w:asciiTheme="minorHAnsi" w:hAnsiTheme="minorHAnsi"/>
          <w:b/>
          <w:color w:val="000000" w:themeColor="text1"/>
          <w:sz w:val="24"/>
          <w:szCs w:val="24"/>
        </w:rPr>
        <w:t>e reti d'impresa di cui all'articolo 3, comma 4-ter e seguenti, del decreto-legge 10 febbraio 2009, n. 5, convertito, con modificazioni, da</w:t>
      </w:r>
      <w:r w:rsidR="00F93539">
        <w:rPr>
          <w:rFonts w:asciiTheme="minorHAnsi" w:hAnsiTheme="minorHAnsi"/>
          <w:b/>
          <w:color w:val="000000" w:themeColor="text1"/>
          <w:sz w:val="24"/>
          <w:szCs w:val="24"/>
        </w:rPr>
        <w:t>lla legge 9 aprile 2009, n. 33</w:t>
      </w:r>
      <w:r w:rsidR="00F93539">
        <w:rPr>
          <w:rStyle w:val="Rimandonotaapidipagina"/>
          <w:rFonts w:asciiTheme="minorHAnsi" w:hAnsiTheme="minorHAnsi"/>
          <w:b/>
          <w:color w:val="000000" w:themeColor="text1"/>
          <w:sz w:val="24"/>
          <w:szCs w:val="24"/>
        </w:rPr>
        <w:footnoteReference w:id="33"/>
      </w:r>
      <w:r w:rsidR="001533B3">
        <w:rPr>
          <w:rFonts w:asciiTheme="minorHAnsi" w:hAnsiTheme="minorHAnsi"/>
          <w:b/>
          <w:color w:val="000000" w:themeColor="text1"/>
          <w:sz w:val="24"/>
          <w:szCs w:val="24"/>
        </w:rPr>
        <w:t xml:space="preserve">. </w:t>
      </w:r>
      <w:r w:rsidR="001533B3" w:rsidRPr="00626EC0">
        <w:rPr>
          <w:rFonts w:asciiTheme="minorHAnsi" w:hAnsiTheme="minorHAnsi"/>
          <w:b/>
          <w:color w:val="000000" w:themeColor="text1"/>
          <w:sz w:val="24"/>
          <w:szCs w:val="24"/>
        </w:rPr>
        <w:t>Nei finanziamenti di cui al periodo precedente, la garanzia è estesa esclusivamente alla quota di credito incrementale rispe</w:t>
      </w:r>
      <w:r w:rsidR="001533B3">
        <w:rPr>
          <w:rFonts w:asciiTheme="minorHAnsi" w:hAnsiTheme="minorHAnsi"/>
          <w:b/>
          <w:color w:val="000000" w:themeColor="text1"/>
          <w:sz w:val="24"/>
          <w:szCs w:val="24"/>
        </w:rPr>
        <w:t>tto alle esposizioni pregresse</w:t>
      </w:r>
      <w:r w:rsidR="001533B3">
        <w:rPr>
          <w:rStyle w:val="Rimandonotaapidipagina"/>
          <w:rFonts w:asciiTheme="minorHAnsi" w:hAnsiTheme="minorHAnsi"/>
          <w:b/>
          <w:color w:val="000000" w:themeColor="text1"/>
          <w:sz w:val="24"/>
          <w:szCs w:val="24"/>
        </w:rPr>
        <w:footnoteReference w:id="34"/>
      </w:r>
      <w:r w:rsidR="007E5AE3">
        <w:rPr>
          <w:rFonts w:asciiTheme="minorHAnsi" w:hAnsiTheme="minorHAnsi"/>
          <w:b/>
          <w:color w:val="000000" w:themeColor="text1"/>
          <w:sz w:val="24"/>
          <w:szCs w:val="24"/>
        </w:rPr>
        <w:t xml:space="preserve">. </w:t>
      </w:r>
      <w:r w:rsidR="007E5AE3" w:rsidRPr="00626EC0">
        <w:rPr>
          <w:rFonts w:asciiTheme="minorHAnsi" w:hAnsiTheme="minorHAnsi"/>
          <w:b/>
          <w:color w:val="000000" w:themeColor="text1"/>
          <w:sz w:val="24"/>
          <w:szCs w:val="24"/>
        </w:rPr>
        <w:t>Nei casi di cessione o affitto di azienda con prosecuzione della medesima attività si considera altresì l'ammontare dei ricavi risultante dall'ultima dichiarazione dei redditi o dall'ultimo bilancio deposit</w:t>
      </w:r>
      <w:r w:rsidR="007E5AE3">
        <w:rPr>
          <w:rFonts w:asciiTheme="minorHAnsi" w:hAnsiTheme="minorHAnsi"/>
          <w:b/>
          <w:color w:val="000000" w:themeColor="text1"/>
          <w:sz w:val="24"/>
          <w:szCs w:val="24"/>
        </w:rPr>
        <w:t>ato dal cedente o dal locatore</w:t>
      </w:r>
      <w:r w:rsidR="007E5AE3">
        <w:rPr>
          <w:rStyle w:val="Rimandonotaapidipagina"/>
          <w:rFonts w:asciiTheme="minorHAnsi" w:hAnsiTheme="minorHAnsi"/>
          <w:b/>
          <w:color w:val="000000" w:themeColor="text1"/>
          <w:sz w:val="24"/>
          <w:szCs w:val="24"/>
        </w:rPr>
        <w:footnoteReference w:id="35"/>
      </w:r>
      <w:r w:rsidRPr="00AD1B0C">
        <w:rPr>
          <w:rFonts w:cs="Times New Roman"/>
          <w:color w:val="auto"/>
          <w:sz w:val="24"/>
          <w:szCs w:val="24"/>
          <w:lang w:eastAsia="en-US"/>
        </w:rPr>
        <w:t>;</w:t>
      </w:r>
    </w:p>
    <w:p w14:paraId="225ECED8" w14:textId="77777777" w:rsidR="00AD1B0C" w:rsidRDefault="00AD1B0C" w:rsidP="00AD1B0C">
      <w:pPr>
        <w:spacing w:after="160" w:line="259" w:lineRule="auto"/>
        <w:jc w:val="both"/>
        <w:rPr>
          <w:rFonts w:cs="Times New Roman"/>
          <w:color w:val="auto"/>
          <w:sz w:val="24"/>
          <w:szCs w:val="24"/>
          <w:lang w:eastAsia="en-US"/>
        </w:rPr>
      </w:pPr>
    </w:p>
    <w:p w14:paraId="2A31F369" w14:textId="77777777" w:rsidR="00A55601" w:rsidRPr="007466A9" w:rsidRDefault="00A55601" w:rsidP="00A55601">
      <w:pPr>
        <w:jc w:val="both"/>
        <w:rPr>
          <w:rFonts w:asciiTheme="minorHAnsi" w:hAnsiTheme="minorHAnsi"/>
          <w:b/>
          <w:color w:val="000000" w:themeColor="text1"/>
          <w:sz w:val="24"/>
          <w:szCs w:val="24"/>
        </w:rPr>
      </w:pPr>
      <w:r w:rsidRPr="007466A9">
        <w:rPr>
          <w:rFonts w:asciiTheme="minorHAnsi" w:hAnsiTheme="minorHAnsi"/>
          <w:b/>
          <w:color w:val="000000" w:themeColor="text1"/>
          <w:sz w:val="24"/>
          <w:szCs w:val="24"/>
        </w:rPr>
        <w:t>n-bis) previa autorizzazione della Commissione UE al fine di rafforzare il supporto all'emergenza COVID-19 prestato dalle cooperative e dai consorzi di garanzia collettiva fidi di cui all'articolo 13 del decreto-legge 30 settembre 2003, n. 269, convertito, con modificazioni, dalla legge 24 novembre 2003, n. 326, i soggetti di cui all'articolo 3 del decreto del Ministro dello sviluppo economico di concerto con il Ministero dell'economia e delle finanze del 3 gennaio 2017, possono imputare al fondo consortile, al capitale sociale o ad apposita riserva i fondi rischi e gli altri fondi o riserve patrimoniali costituiti da contributi pubblici, con esclusione di quelli derivanti dalle attribuzioni annuali di cui alla legge 7 marzo 1996, n. 108, esistenti alla data del 31 dicembre 2019. Tali risorse sono attribuite unitariamente al patrimonio netto, anche ai fini di vigilanza, dei relativi confidi, senza vincoli di destinazione. Le eventuali azioni o quote corrispondenti</w:t>
      </w:r>
      <w:r w:rsidRPr="007466A9">
        <w:rPr>
          <w:b/>
          <w:color w:val="000000" w:themeColor="text1"/>
          <w:sz w:val="24"/>
          <w:szCs w:val="24"/>
        </w:rPr>
        <w:t xml:space="preserve"> </w:t>
      </w:r>
      <w:r w:rsidRPr="007466A9">
        <w:rPr>
          <w:rFonts w:asciiTheme="minorHAnsi" w:hAnsiTheme="minorHAnsi"/>
          <w:b/>
          <w:color w:val="000000" w:themeColor="text1"/>
          <w:sz w:val="24"/>
          <w:szCs w:val="24"/>
        </w:rPr>
        <w:t xml:space="preserve">costituiscono azioni o quote proprie delle banche o dei confidi e non attribuiscono alcun diritto patrimoniale o amministrativo né sono computate nel capitale sociale </w:t>
      </w:r>
      <w:r w:rsidRPr="007466A9">
        <w:rPr>
          <w:rFonts w:asciiTheme="minorHAnsi" w:hAnsiTheme="minorHAnsi"/>
          <w:b/>
          <w:color w:val="000000" w:themeColor="text1"/>
          <w:sz w:val="24"/>
          <w:szCs w:val="24"/>
        </w:rPr>
        <w:lastRenderedPageBreak/>
        <w:t>o nel fondo consortile ai fini del calcolo delle quote richieste per la costituzione e per le deliberazioni dell'assemblea. La relativa delibera, da assumere entro centottanta giorni dall'approvazione del bilancio, è di comp</w:t>
      </w:r>
      <w:r w:rsidR="00522252">
        <w:rPr>
          <w:rFonts w:asciiTheme="minorHAnsi" w:hAnsiTheme="minorHAnsi"/>
          <w:b/>
          <w:color w:val="000000" w:themeColor="text1"/>
          <w:sz w:val="24"/>
          <w:szCs w:val="24"/>
        </w:rPr>
        <w:t>etenza dell'assemblea ordinaria.</w:t>
      </w:r>
      <w:r>
        <w:rPr>
          <w:rStyle w:val="Rimandonotaapidipagina"/>
          <w:rFonts w:asciiTheme="minorHAnsi" w:hAnsiTheme="minorHAnsi"/>
          <w:b/>
          <w:color w:val="000000" w:themeColor="text1"/>
          <w:sz w:val="24"/>
          <w:szCs w:val="24"/>
        </w:rPr>
        <w:footnoteReference w:id="36"/>
      </w:r>
    </w:p>
    <w:p w14:paraId="5953CCCC" w14:textId="77777777" w:rsidR="00A55601" w:rsidRPr="00AD1B0C" w:rsidRDefault="00A55601" w:rsidP="00AD1B0C">
      <w:pPr>
        <w:spacing w:after="160" w:line="259" w:lineRule="auto"/>
        <w:jc w:val="both"/>
        <w:rPr>
          <w:rFonts w:cs="Times New Roman"/>
          <w:color w:val="auto"/>
          <w:sz w:val="24"/>
          <w:szCs w:val="24"/>
          <w:lang w:eastAsia="en-US"/>
        </w:rPr>
      </w:pPr>
    </w:p>
    <w:p w14:paraId="7EE49D26"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   o) sono prorogati per tre mesi tutti i termini riferiti agli adempimenti amministrativi relativi alle operazioni assistite dalla garanzia del Fondo;</w:t>
      </w:r>
    </w:p>
    <w:p w14:paraId="236DC25A" w14:textId="77777777" w:rsidR="00AD1B0C" w:rsidRPr="00AD1B0C" w:rsidRDefault="00AD1B0C" w:rsidP="00AD1B0C">
      <w:pPr>
        <w:spacing w:after="160" w:line="259" w:lineRule="auto"/>
        <w:jc w:val="both"/>
        <w:rPr>
          <w:rFonts w:cs="Times New Roman"/>
          <w:color w:val="auto"/>
          <w:sz w:val="24"/>
          <w:szCs w:val="24"/>
          <w:lang w:eastAsia="en-US"/>
        </w:rPr>
      </w:pPr>
    </w:p>
    <w:p w14:paraId="44C5C0CD"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   p) la garanzia del Fondo può essere richiesta anche su operazioni finanziarie già perfezionate ed erogate dal soggetto finanziatore da non oltre 3 mesi dalla data di presentazione della richiesta e, comunque, in data successiva al 31 gennaio 2020. In tali casi, il soggetto finanziatore deve trasmettere al gestore del Fondo una dichiarazione attestante la riduzione del tasso di interesse applicata, sul finanziamento garantito, al soggetto beneficiario per effetto della sopravvenuta concessione della garanzia.</w:t>
      </w:r>
    </w:p>
    <w:p w14:paraId="71824499" w14:textId="77777777" w:rsidR="00522252" w:rsidRPr="007466A9" w:rsidRDefault="00522252" w:rsidP="00522252">
      <w:pPr>
        <w:jc w:val="both"/>
        <w:rPr>
          <w:rFonts w:asciiTheme="minorHAnsi" w:hAnsiTheme="minorHAnsi"/>
          <w:b/>
          <w:color w:val="000000" w:themeColor="text1"/>
          <w:sz w:val="24"/>
          <w:szCs w:val="24"/>
        </w:rPr>
      </w:pPr>
      <w:r w:rsidRPr="007466A9">
        <w:rPr>
          <w:rFonts w:asciiTheme="minorHAnsi" w:hAnsiTheme="minorHAnsi"/>
          <w:b/>
          <w:color w:val="000000" w:themeColor="text1"/>
          <w:sz w:val="24"/>
          <w:szCs w:val="24"/>
        </w:rPr>
        <w:t>   p-bis) per i finanziamenti di importo superiore ai 25.000 euro la garanzia è rilasciata con la possibilità per le imprese di avvalersi di un preammortamento fino a 24 mesi.</w:t>
      </w:r>
      <w:r>
        <w:rPr>
          <w:rStyle w:val="Rimandonotaapidipagina"/>
          <w:rFonts w:asciiTheme="minorHAnsi" w:hAnsiTheme="minorHAnsi"/>
          <w:b/>
          <w:color w:val="000000" w:themeColor="text1"/>
          <w:sz w:val="24"/>
          <w:szCs w:val="24"/>
        </w:rPr>
        <w:footnoteReference w:id="37"/>
      </w:r>
    </w:p>
    <w:p w14:paraId="2D8E9067" w14:textId="77777777" w:rsidR="00522252" w:rsidRPr="00D6163D" w:rsidRDefault="00522252" w:rsidP="00522252">
      <w:pPr>
        <w:jc w:val="both"/>
        <w:rPr>
          <w:rFonts w:asciiTheme="minorHAnsi" w:hAnsiTheme="minorHAnsi"/>
          <w:color w:val="000000" w:themeColor="text1"/>
          <w:sz w:val="24"/>
          <w:szCs w:val="24"/>
        </w:rPr>
      </w:pPr>
    </w:p>
    <w:p w14:paraId="51468BC5" w14:textId="77777777" w:rsidR="00AD1B0C" w:rsidRPr="00AD1B0C" w:rsidRDefault="00AD1B0C" w:rsidP="00AD1B0C">
      <w:pPr>
        <w:spacing w:after="160" w:line="259" w:lineRule="auto"/>
        <w:jc w:val="both"/>
        <w:rPr>
          <w:rFonts w:cs="Times New Roman"/>
          <w:color w:val="auto"/>
          <w:sz w:val="24"/>
          <w:szCs w:val="24"/>
          <w:lang w:eastAsia="en-US"/>
        </w:rPr>
      </w:pPr>
    </w:p>
    <w:p w14:paraId="1A6CE1EE"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xml:space="preserve">  2. Fino al 31 dicembre 2020, in deroga alla vigente disciplina del Fondo di cui all'articolo 2, comma 100, lett. a) della legge 23 dicembre 1996, n. 662, per le garanzie su portafogli di finanziamenti, anche senza piano d'ammortamento, dedicati a imprese danneggiate dall'emergenza COVID-19, costituiti per almeno il 20 per cento da imprese aventi, alla data di inclusione dell'operazione nel portafoglio, un rating, determinato dal soggetto richiedente sulla base dei propri modelli interni, non superiore alla classe «BB» della scala di valutazione </w:t>
      </w:r>
      <w:proofErr w:type="spellStart"/>
      <w:r w:rsidRPr="00AD1B0C">
        <w:rPr>
          <w:rFonts w:cs="Times New Roman"/>
          <w:color w:val="auto"/>
          <w:sz w:val="24"/>
          <w:szCs w:val="24"/>
          <w:lang w:eastAsia="en-US"/>
        </w:rPr>
        <w:t>Standard's</w:t>
      </w:r>
      <w:proofErr w:type="spellEnd"/>
      <w:r w:rsidRPr="00AD1B0C">
        <w:rPr>
          <w:rFonts w:cs="Times New Roman"/>
          <w:color w:val="auto"/>
          <w:sz w:val="24"/>
          <w:szCs w:val="24"/>
          <w:lang w:eastAsia="en-US"/>
        </w:rPr>
        <w:t xml:space="preserve"> and Poor's, sono applicate le seguenti misure:</w:t>
      </w:r>
    </w:p>
    <w:p w14:paraId="5E242760" w14:textId="77777777" w:rsidR="00AD1B0C" w:rsidRPr="00AD1B0C" w:rsidRDefault="00AD1B0C" w:rsidP="00AD1B0C">
      <w:pPr>
        <w:spacing w:after="160" w:line="259" w:lineRule="auto"/>
        <w:jc w:val="both"/>
        <w:rPr>
          <w:rFonts w:cs="Times New Roman"/>
          <w:color w:val="auto"/>
          <w:sz w:val="24"/>
          <w:szCs w:val="24"/>
          <w:lang w:eastAsia="en-US"/>
        </w:rPr>
      </w:pPr>
    </w:p>
    <w:p w14:paraId="2C076565"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lastRenderedPageBreak/>
        <w:t>   a) l'ammontare massimo dei portafogli di finanziamenti è innalzato a euro 500 milioni;</w:t>
      </w:r>
    </w:p>
    <w:p w14:paraId="32C98D2A" w14:textId="77777777" w:rsidR="00AD1B0C" w:rsidRPr="00AD1B0C" w:rsidRDefault="00AD1B0C" w:rsidP="00AD1B0C">
      <w:pPr>
        <w:spacing w:after="160" w:line="259" w:lineRule="auto"/>
        <w:jc w:val="both"/>
        <w:rPr>
          <w:rFonts w:cs="Times New Roman"/>
          <w:color w:val="auto"/>
          <w:sz w:val="24"/>
          <w:szCs w:val="24"/>
          <w:lang w:eastAsia="en-US"/>
        </w:rPr>
      </w:pPr>
    </w:p>
    <w:p w14:paraId="793943F2"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   b) i finanziamenti hanno le caratteristiche di durata e importo previste dal comma 1, lettera c), e possono essere deliberati, perfezionati ed erogati dal soggetto finanziatore prima della richiesta di garanzia sul portafoglio di finanziamenti ma comunque in data successiva al 31 gennaio 2020;</w:t>
      </w:r>
    </w:p>
    <w:p w14:paraId="24F083E4" w14:textId="77777777" w:rsidR="00AD1B0C" w:rsidRPr="00AD1B0C" w:rsidRDefault="00AD1B0C" w:rsidP="00AD1B0C">
      <w:pPr>
        <w:spacing w:after="160" w:line="259" w:lineRule="auto"/>
        <w:jc w:val="both"/>
        <w:rPr>
          <w:rFonts w:cs="Times New Roman"/>
          <w:color w:val="auto"/>
          <w:sz w:val="24"/>
          <w:szCs w:val="24"/>
          <w:lang w:eastAsia="en-US"/>
        </w:rPr>
      </w:pPr>
    </w:p>
    <w:p w14:paraId="3A0087BD"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   c) i soggetti beneficiari sono ammessi senza la valutazione del merito di credito da parte del Gestore del Fondo;</w:t>
      </w:r>
    </w:p>
    <w:p w14:paraId="41642332" w14:textId="77777777" w:rsidR="00AD1B0C" w:rsidRPr="00AD1B0C" w:rsidRDefault="00AD1B0C" w:rsidP="00AD1B0C">
      <w:pPr>
        <w:spacing w:after="160" w:line="259" w:lineRule="auto"/>
        <w:jc w:val="both"/>
        <w:rPr>
          <w:rFonts w:cs="Times New Roman"/>
          <w:color w:val="auto"/>
          <w:sz w:val="24"/>
          <w:szCs w:val="24"/>
          <w:lang w:eastAsia="en-US"/>
        </w:rPr>
      </w:pPr>
    </w:p>
    <w:p w14:paraId="39A6FE38"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   d) il punto di stacco e lo spessore della tranche junior del portafoglio di finanziamenti sono determinati utilizzando la probabilità di default calcolata dal soggetto richiedente sulla base dei propri modelli interni;</w:t>
      </w:r>
    </w:p>
    <w:p w14:paraId="56738801" w14:textId="77777777" w:rsidR="00AD1B0C" w:rsidRPr="00AD1B0C" w:rsidRDefault="00AD1B0C" w:rsidP="00AD1B0C">
      <w:pPr>
        <w:spacing w:after="160" w:line="259" w:lineRule="auto"/>
        <w:jc w:val="both"/>
        <w:rPr>
          <w:rFonts w:cs="Times New Roman"/>
          <w:color w:val="auto"/>
          <w:sz w:val="24"/>
          <w:szCs w:val="24"/>
          <w:lang w:eastAsia="en-US"/>
        </w:rPr>
      </w:pPr>
    </w:p>
    <w:p w14:paraId="29356A27"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   e) la garanzia è concessa a copertura di una quota non superiore al 90 per cento della tranche junior del portafoglio di finanziamenti;</w:t>
      </w:r>
    </w:p>
    <w:p w14:paraId="01362134" w14:textId="77777777" w:rsidR="00AD1B0C" w:rsidRPr="00AD1B0C" w:rsidRDefault="00AD1B0C" w:rsidP="00AD1B0C">
      <w:pPr>
        <w:spacing w:after="160" w:line="259" w:lineRule="auto"/>
        <w:jc w:val="both"/>
        <w:rPr>
          <w:rFonts w:cs="Times New Roman"/>
          <w:color w:val="auto"/>
          <w:sz w:val="24"/>
          <w:szCs w:val="24"/>
          <w:lang w:eastAsia="en-US"/>
        </w:rPr>
      </w:pPr>
    </w:p>
    <w:p w14:paraId="14A482DD"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   f) la quota della tranche junior coperta dal Fondo, fatto salvo quanto previsto dall'articolo 8, comma 2, del decreto interministeriale del 14 novembre 2017, non può superare il 15 percento dell'ammontare del portafoglio di finanziamenti, ovvero il 18 percento, nel caso in cui il portafoglio abbia ad oggetto finanziamenti concessi a fronte della realizzazione di progetti di ricerca, sviluppo e innovazione e/o di programmi di investimenti;</w:t>
      </w:r>
    </w:p>
    <w:p w14:paraId="063D09E5" w14:textId="77777777" w:rsidR="00AD1B0C" w:rsidRPr="00AD1B0C" w:rsidRDefault="00AD1B0C" w:rsidP="00AD1B0C">
      <w:pPr>
        <w:spacing w:after="160" w:line="259" w:lineRule="auto"/>
        <w:jc w:val="both"/>
        <w:rPr>
          <w:rFonts w:cs="Times New Roman"/>
          <w:color w:val="auto"/>
          <w:sz w:val="24"/>
          <w:szCs w:val="24"/>
          <w:lang w:eastAsia="en-US"/>
        </w:rPr>
      </w:pPr>
    </w:p>
    <w:p w14:paraId="6EB1383E"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   g) in relazione ai singoli finanziamenti inclusi nel portafoglio garantito, il Fondo copre il 90 percento della perdita registrata sul singolo finanziamento;</w:t>
      </w:r>
    </w:p>
    <w:p w14:paraId="1FC7A4DD" w14:textId="77777777" w:rsidR="00AD1B0C" w:rsidRPr="00AD1B0C" w:rsidRDefault="00AD1B0C" w:rsidP="00AD1B0C">
      <w:pPr>
        <w:spacing w:after="160" w:line="259" w:lineRule="auto"/>
        <w:jc w:val="both"/>
        <w:rPr>
          <w:rFonts w:cs="Times New Roman"/>
          <w:color w:val="auto"/>
          <w:sz w:val="24"/>
          <w:szCs w:val="24"/>
          <w:lang w:eastAsia="en-US"/>
        </w:rPr>
      </w:pPr>
    </w:p>
    <w:p w14:paraId="490C7798"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   h) i finanziamenti possono essere concessi anche in favore delle imprese ubicate nelle regioni sul cui territorio è stata disposta la limitazione dell'intervento del predetto Fondo di garanzia per le piccole e medie imprese di cui all'articolo 2, comma 100, lettera a), della legge 23 dicembre 1996, n. 662, alla sola controgaranzia dei fondi di garanzia regionali e dei consorzi di garanzia collettiva.</w:t>
      </w:r>
    </w:p>
    <w:p w14:paraId="7E54DCBB" w14:textId="77777777" w:rsidR="00AD1B0C" w:rsidRPr="00AD1B0C" w:rsidRDefault="00AD1B0C" w:rsidP="00AD1B0C">
      <w:pPr>
        <w:spacing w:after="160" w:line="259" w:lineRule="auto"/>
        <w:jc w:val="both"/>
        <w:rPr>
          <w:rFonts w:cs="Times New Roman"/>
          <w:color w:val="auto"/>
          <w:sz w:val="24"/>
          <w:szCs w:val="24"/>
          <w:lang w:eastAsia="en-US"/>
        </w:rPr>
      </w:pPr>
    </w:p>
    <w:p w14:paraId="18A4DBF6"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lastRenderedPageBreak/>
        <w:t>  3. All'articolo 18, comma 2 del decreto-legge 30 aprile 2019, n. 34, convertito, con modificazioni, dalla legge 28 giugno 2019, n. 58, le parole «fino al 31 dicembre 2020» sono sostituite dalle seguenti «fino al 10 aprile 2020».</w:t>
      </w:r>
    </w:p>
    <w:p w14:paraId="079720BF"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  4. Previa autorizzazione della Commissione Europea ai sensi dell'articolo 108 del TFUE, la garanzia dei confidi di cui all'articolo 13, comma 1, del decreto-legge 30 settembre 2003, n. 269, convertito, con modificazioni, dalla legge 24 novembre 2003, n. 326, a valere sulle risorse dei fondi rischi di natura comunitaria, nazionale, regionale e camerale, può essere concessa sui finanziamenti erogati alle piccole e medie imprese a copertura della quota dei finanziamenti stessi non coperta dalla garanzia del Fondo di cui all'articolo 2, comma 100, lettera a), della legge 23 dicembre 1996, n. 662, ovvero di altri fondi di garanzia di natura pubblica.</w:t>
      </w:r>
    </w:p>
    <w:p w14:paraId="4BCFF197"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  5. Per le imprese che accedono al Fondo di garanzia per le piccole e medie imprese di cui all'articolo 2, comma 100, lettera a), della legge 23 dicembre 1996 n. 662, qualora il rilascio della documentazione antimafia non sia immediatamente conseguente alla consultazione della banca dati nazionale unica prevista dall'articolo 96 del decreto legislativo 6 settembre 2011, n. 159, l'aiuto è concesso all'impresa sotto condizione risolutiva anche in assenza della documentazione medesima. Nel caso in cui la documentazione successivamente pervenuta accerti la sussistenza di una delle cause interdittive ai sensi della medesima disciplina antimafia, è disposta la revoca dell'agevolazione ai sensi dell'articolo 92, commi 3 e 4, del predetto decreto legislativo n. 159 del 2011 e dell'articolo 9 del decreto legislativo 31 marzo 1998, n. 123, mantenendo l'efficacia della garanzia.</w:t>
      </w:r>
    </w:p>
    <w:p w14:paraId="0373FC29"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  6. All'articolo 11, comma 5, del decreto-legge 29 novembre 2008, n. 185, convertito, con modificazioni, dalla legge 28 gennaio 2009, n. 2, dopo le parole «organismi pubblici» sono inserite le parole «e privati».</w:t>
      </w:r>
    </w:p>
    <w:p w14:paraId="139D5D41"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xml:space="preserve">  7. Le garanzie di cui all'articolo 39, comma 4, del decreto-legge 6 dicembre 2011, n. 201, convertito, con modificazioni, dalla legge 22 dicembre 2011, n. 214, nonché le garanzie su portafogli di </w:t>
      </w:r>
      <w:proofErr w:type="spellStart"/>
      <w:r w:rsidRPr="00AD1B0C">
        <w:rPr>
          <w:rFonts w:cs="Times New Roman"/>
          <w:color w:val="auto"/>
          <w:sz w:val="24"/>
          <w:szCs w:val="24"/>
          <w:lang w:eastAsia="en-US"/>
        </w:rPr>
        <w:t>minibond</w:t>
      </w:r>
      <w:proofErr w:type="spellEnd"/>
      <w:r w:rsidRPr="00AD1B0C">
        <w:rPr>
          <w:rFonts w:cs="Times New Roman"/>
          <w:color w:val="auto"/>
          <w:sz w:val="24"/>
          <w:szCs w:val="24"/>
          <w:lang w:eastAsia="en-US"/>
        </w:rPr>
        <w:t>, sono concesse a valere sulla dotazione disponibile del Fondo, assicurando la sussistenza, tempo per tempo, di un ammontare di risorse libere del Fondo, destinate al rilascio di garanzie su singole operazioni finanziarie, pari ad almeno l'85 percento della dotazione disponibile del Fondo.</w:t>
      </w:r>
    </w:p>
    <w:p w14:paraId="170F4E79"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xml:space="preserve">  8. Gli operatori di microcredito iscritti nell'elenco di cui all'articolo 111 del testo unico di cui al decreto legislativo 1° settembre 1993, n. 385, in possesso del requisito di micro piccola media impresa, beneficiano, a titolo gratuito e nella misura massima dell'80 per cento dell'ammontare del finanziamento e, relativamente alle nuove imprese costituite o che hanno iniziato la propria attività non oltre tre anni prima della richiesta della garanzia del Fondo e non utilmente valutabili sulla base degli ultimi due bilanci approvati, senza valutazione del merito di credito, della garanzia del Fondo di cui all'articolo 2, comma 100, lettera a), della legge 23 dicembre 1996, n. 662, sui finanziamenti concessi da banche e intermediari finanziari finalizzati alla concessione, da parte dei medesimi operatori, di operazioni di microcredito in </w:t>
      </w:r>
      <w:r w:rsidRPr="00AD1B0C">
        <w:rPr>
          <w:rFonts w:cs="Times New Roman"/>
          <w:color w:val="auto"/>
          <w:sz w:val="24"/>
          <w:szCs w:val="24"/>
          <w:lang w:eastAsia="en-US"/>
        </w:rPr>
        <w:lastRenderedPageBreak/>
        <w:t>favore di beneficiari come definiti dal medesimo articolo 111 e dal decreto del Ministro dell'economia e delle finanze 17 ottobre 2014, n. 176.</w:t>
      </w:r>
    </w:p>
    <w:p w14:paraId="414232DA"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  9. All'articolo 111, comma 1, lettera a), del decreto legislativo 1° settembre 1993, n. 385, le parole «euro 25.000,00» sono sostituite dalle seguenti: «euro 40.000,00». Il Ministero dell'economia e delle finanze adegua il decreto ministeriale. 17 ottobre 2014, n. 176 alle nuove disposizioni.</w:t>
      </w:r>
    </w:p>
    <w:p w14:paraId="23A5A632"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  10. Per le finalità di cui al presente articolo, al Fondo di garanzia di cui all'articolo 2, comma 100, lettera a), della legge 23 dicembre 1996, n. 662, sono assegnati 1.729 milioni di euro per l'anno 2020.</w:t>
      </w:r>
    </w:p>
    <w:p w14:paraId="24E58D34"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  11. Le disposizioni di cui al presente articolo, in quanto compatibili, si applicano anche alle garanzie di cui all'articolo 17, comma 2, del decreto legislativo 29 marzo 2004, n. 102, in favore delle imprese agricole e della pesca. Per le finalità di cui al presente comma sono assegnati all'ISMEA 100 milioni di euro per l'anno 2020. Le predette risorse sono versate su un conto corrente di tesoreria centrale appositamente istituito, intestato a ISMEA, per essere utilizzate in base al fabbisogno finanziario derivante dalla gestione delle garanzie.</w:t>
      </w:r>
    </w:p>
    <w:p w14:paraId="1566D0D8" w14:textId="77777777" w:rsid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  12. L'articolo 49 del decreto-legge 17 marzo 2020, n. 18, è abrogato.</w:t>
      </w:r>
    </w:p>
    <w:p w14:paraId="2466B6DA" w14:textId="77777777" w:rsidR="00257BDB" w:rsidRPr="007466A9" w:rsidRDefault="00257BDB" w:rsidP="00257BDB">
      <w:pPr>
        <w:jc w:val="both"/>
        <w:rPr>
          <w:rFonts w:asciiTheme="minorHAnsi" w:hAnsiTheme="minorHAnsi"/>
          <w:b/>
          <w:color w:val="000000" w:themeColor="text1"/>
          <w:sz w:val="24"/>
          <w:szCs w:val="24"/>
        </w:rPr>
      </w:pPr>
      <w:r w:rsidRPr="007466A9">
        <w:rPr>
          <w:rFonts w:asciiTheme="minorHAnsi" w:hAnsiTheme="minorHAnsi"/>
          <w:b/>
          <w:color w:val="000000" w:themeColor="text1"/>
          <w:sz w:val="24"/>
          <w:szCs w:val="24"/>
        </w:rPr>
        <w:t>12-bis. Fino al 31 dicembre 2020, le risorse del Fondo di garanzia di cui all'articolo 2, comma 100, lettera a), della legge 23 dicembre 1996, n. 662, fino a un importo di euro 100 milioni, sono destinate all'erogazione della garanzia di cui al comma 1, lettera m), del presente articolo, in favore degli enti del Terzo settore, compresi gli enti religiosi civilmente riconosciuti, esercenti attività di impresa o commerciale, anche in via non esclusiva o prevalente o finalizzata all'autofinanziamento. Per le finalità di cui al presente comma, per ricavi si intende il totale dei ricavi, rendite, proventi o entrate, comunque denominati, come risultanti dal bilancio o rendiconto approvato dall'organo statutariamente competente per l'esercizio chiuso al 31 dicembre 2019 o, in mancanza, dal bilancio o rendiconto approvato dall'organo statutariamente competente per l'esercizio chiuso al 31 dicembre 2018.</w:t>
      </w:r>
      <w:r>
        <w:rPr>
          <w:rStyle w:val="Rimandonotaapidipagina"/>
          <w:rFonts w:asciiTheme="minorHAnsi" w:hAnsiTheme="minorHAnsi"/>
          <w:b/>
          <w:color w:val="000000" w:themeColor="text1"/>
          <w:sz w:val="24"/>
          <w:szCs w:val="24"/>
        </w:rPr>
        <w:footnoteReference w:id="38"/>
      </w:r>
    </w:p>
    <w:p w14:paraId="13818E82" w14:textId="77777777" w:rsidR="00257BDB" w:rsidRPr="00AD1B0C" w:rsidRDefault="00257BDB" w:rsidP="00AD1B0C">
      <w:pPr>
        <w:spacing w:after="160" w:line="259" w:lineRule="auto"/>
        <w:jc w:val="both"/>
        <w:rPr>
          <w:rFonts w:cs="Times New Roman"/>
          <w:color w:val="auto"/>
          <w:sz w:val="24"/>
          <w:szCs w:val="24"/>
          <w:lang w:eastAsia="en-US"/>
        </w:rPr>
      </w:pPr>
    </w:p>
    <w:p w14:paraId="6C44C560" w14:textId="77777777" w:rsidR="00AD1B0C" w:rsidRDefault="00AD1B0C" w:rsidP="00030D03">
      <w:pPr>
        <w:jc w:val="both"/>
        <w:rPr>
          <w:rFonts w:cs="Times New Roman"/>
          <w:color w:val="auto"/>
          <w:sz w:val="24"/>
          <w:szCs w:val="24"/>
          <w:lang w:eastAsia="en-US"/>
        </w:rPr>
      </w:pPr>
      <w:r w:rsidRPr="00AD1B0C">
        <w:rPr>
          <w:rFonts w:cs="Times New Roman"/>
          <w:color w:val="auto"/>
          <w:sz w:val="24"/>
          <w:szCs w:val="24"/>
          <w:lang w:eastAsia="en-US"/>
        </w:rPr>
        <w:lastRenderedPageBreak/>
        <w:t xml:space="preserve">  13. </w:t>
      </w:r>
      <w:r w:rsidRPr="00030D03">
        <w:rPr>
          <w:rFonts w:cs="Times New Roman"/>
          <w:strike/>
          <w:color w:val="auto"/>
          <w:sz w:val="24"/>
          <w:szCs w:val="24"/>
          <w:highlight w:val="yellow"/>
          <w:lang w:eastAsia="en-US"/>
        </w:rPr>
        <w:t>Alla copertura degli oneri previsti dal presente articolo si provvede mediante utilizzo delle risorse rivenienti dall'abrogazione di cui al comma 12 e per 249 milioni di euro per l'anno 2020</w:t>
      </w:r>
      <w:r w:rsidR="00030D03" w:rsidRPr="00030D03">
        <w:rPr>
          <w:rFonts w:cs="Times New Roman"/>
          <w:color w:val="auto"/>
          <w:sz w:val="24"/>
          <w:szCs w:val="24"/>
          <w:lang w:eastAsia="en-US"/>
        </w:rPr>
        <w:t xml:space="preserve"> </w:t>
      </w:r>
      <w:r w:rsidR="00030D03" w:rsidRPr="007466A9">
        <w:rPr>
          <w:rFonts w:asciiTheme="minorHAnsi" w:hAnsiTheme="minorHAnsi"/>
          <w:b/>
          <w:color w:val="000000" w:themeColor="text1"/>
          <w:sz w:val="24"/>
          <w:szCs w:val="24"/>
        </w:rPr>
        <w:t>Agli oneri derivanti dal presente articolo, pari a 1.829 milioni di euro per l'anno 2020, si provvede, quanto 1.580 milioni di euro per l'anno 2020, mediante utilizzo delle risorse rivenienti dall'abrogazione di cui al comma 12 e, quanto a 249 milioni di euro per l'anno 2020</w:t>
      </w:r>
      <w:r w:rsidR="00030D03">
        <w:rPr>
          <w:rStyle w:val="Rimandonotaapidipagina"/>
          <w:rFonts w:asciiTheme="minorHAnsi" w:hAnsiTheme="minorHAnsi"/>
          <w:b/>
          <w:color w:val="000000" w:themeColor="text1"/>
          <w:sz w:val="24"/>
          <w:szCs w:val="24"/>
        </w:rPr>
        <w:footnoteReference w:id="39"/>
      </w:r>
      <w:r w:rsidRPr="00AD1B0C">
        <w:rPr>
          <w:rFonts w:cs="Times New Roman"/>
          <w:color w:val="auto"/>
          <w:sz w:val="24"/>
          <w:szCs w:val="24"/>
          <w:lang w:eastAsia="en-US"/>
        </w:rPr>
        <w:t>, mediante corrispondente riduzione delle somme di cui all'articolo 56, comma 6, decreto-legge 17 marzo 2020, n. 18.</w:t>
      </w:r>
    </w:p>
    <w:p w14:paraId="2554DDE7" w14:textId="77777777" w:rsidR="008C18C2" w:rsidRDefault="008C18C2" w:rsidP="00030D03">
      <w:pPr>
        <w:jc w:val="both"/>
        <w:rPr>
          <w:rFonts w:cs="Times New Roman"/>
          <w:color w:val="auto"/>
          <w:sz w:val="24"/>
          <w:szCs w:val="24"/>
          <w:lang w:eastAsia="en-US"/>
        </w:rPr>
      </w:pPr>
    </w:p>
    <w:p w14:paraId="43D19B4B" w14:textId="77777777" w:rsidR="008C18C2" w:rsidRPr="007466A9" w:rsidRDefault="008C18C2" w:rsidP="008C18C2">
      <w:pPr>
        <w:jc w:val="center"/>
        <w:rPr>
          <w:rFonts w:asciiTheme="minorHAnsi" w:hAnsiTheme="minorHAnsi"/>
          <w:b/>
          <w:color w:val="000000" w:themeColor="text1"/>
          <w:sz w:val="24"/>
          <w:szCs w:val="24"/>
        </w:rPr>
      </w:pPr>
      <w:r w:rsidRPr="007466A9">
        <w:rPr>
          <w:rFonts w:asciiTheme="minorHAnsi" w:hAnsiTheme="minorHAnsi"/>
          <w:b/>
          <w:color w:val="000000" w:themeColor="text1"/>
          <w:sz w:val="24"/>
          <w:szCs w:val="24"/>
        </w:rPr>
        <w:t>Art. 13-bis.</w:t>
      </w:r>
    </w:p>
    <w:p w14:paraId="5B3F64CF" w14:textId="77777777" w:rsidR="008C18C2" w:rsidRPr="007466A9" w:rsidRDefault="008C18C2" w:rsidP="008C18C2">
      <w:pPr>
        <w:jc w:val="center"/>
        <w:rPr>
          <w:rFonts w:asciiTheme="minorHAnsi" w:hAnsiTheme="minorHAnsi"/>
          <w:b/>
          <w:color w:val="000000" w:themeColor="text1"/>
          <w:sz w:val="24"/>
          <w:szCs w:val="24"/>
        </w:rPr>
      </w:pPr>
    </w:p>
    <w:p w14:paraId="2A0B4DDD" w14:textId="77777777" w:rsidR="008C18C2" w:rsidRPr="007466A9" w:rsidRDefault="008C18C2" w:rsidP="008C18C2">
      <w:pPr>
        <w:jc w:val="center"/>
        <w:rPr>
          <w:rFonts w:asciiTheme="minorHAnsi" w:hAnsiTheme="minorHAnsi"/>
          <w:b/>
          <w:color w:val="000000" w:themeColor="text1"/>
          <w:sz w:val="24"/>
          <w:szCs w:val="24"/>
        </w:rPr>
      </w:pPr>
      <w:r w:rsidRPr="007466A9">
        <w:rPr>
          <w:rFonts w:asciiTheme="minorHAnsi" w:hAnsiTheme="minorHAnsi"/>
          <w:b/>
          <w:color w:val="000000" w:themeColor="text1"/>
          <w:sz w:val="24"/>
          <w:szCs w:val="24"/>
        </w:rPr>
        <w:t>(Fondo di prevenzione del fenomeno dell'usura)</w:t>
      </w:r>
    </w:p>
    <w:p w14:paraId="0EB6EA02" w14:textId="77777777" w:rsidR="008C18C2" w:rsidRPr="007466A9" w:rsidRDefault="008C18C2" w:rsidP="008C18C2">
      <w:pPr>
        <w:jc w:val="both"/>
        <w:rPr>
          <w:rFonts w:asciiTheme="minorHAnsi" w:hAnsiTheme="minorHAnsi"/>
          <w:b/>
          <w:color w:val="000000" w:themeColor="text1"/>
          <w:sz w:val="24"/>
          <w:szCs w:val="24"/>
        </w:rPr>
      </w:pPr>
    </w:p>
    <w:p w14:paraId="1A3C1696" w14:textId="77777777" w:rsidR="008C18C2" w:rsidRPr="00AD1B0C" w:rsidRDefault="008C18C2" w:rsidP="008C18C2">
      <w:pPr>
        <w:jc w:val="both"/>
        <w:rPr>
          <w:rFonts w:cs="Times New Roman"/>
          <w:color w:val="auto"/>
          <w:sz w:val="24"/>
          <w:szCs w:val="24"/>
          <w:lang w:eastAsia="en-US"/>
        </w:rPr>
      </w:pPr>
      <w:r w:rsidRPr="007466A9">
        <w:rPr>
          <w:rFonts w:asciiTheme="minorHAnsi" w:hAnsiTheme="minorHAnsi"/>
          <w:b/>
          <w:color w:val="000000" w:themeColor="text1"/>
          <w:sz w:val="24"/>
          <w:szCs w:val="24"/>
        </w:rPr>
        <w:t>1. Per l'esercizio relativo all'anno 2020, in acconto sul saldo di fine esercizio, vengono destinati al fondo di prevenzione del fenomeno dell'usura di cui all'articolo 15 della legge 7 marzo 1996, n. 108, il 20 per cento dell'attivo di esercizio del Fondo per interventi di solidarietà alle vittime dell'usura, di cui all'articolo 14 della legge 7 marzo 1996, n. 108, risultante alla data del 30 settembre 2020.</w:t>
      </w:r>
      <w:r>
        <w:rPr>
          <w:rStyle w:val="Rimandonotaapidipagina"/>
          <w:rFonts w:asciiTheme="minorHAnsi" w:hAnsiTheme="minorHAnsi"/>
          <w:b/>
          <w:color w:val="000000" w:themeColor="text1"/>
          <w:sz w:val="24"/>
          <w:szCs w:val="24"/>
        </w:rPr>
        <w:footnoteReference w:id="40"/>
      </w:r>
    </w:p>
    <w:p w14:paraId="0E3B3364" w14:textId="77777777" w:rsidR="00AD1B0C" w:rsidRPr="00AD1B0C" w:rsidRDefault="00AD1B0C" w:rsidP="00AD1B0C">
      <w:pPr>
        <w:spacing w:after="160" w:line="259" w:lineRule="auto"/>
        <w:jc w:val="both"/>
        <w:rPr>
          <w:rFonts w:cs="Times New Roman"/>
          <w:color w:val="auto"/>
          <w:sz w:val="24"/>
          <w:szCs w:val="24"/>
          <w:lang w:eastAsia="en-US"/>
        </w:rPr>
      </w:pPr>
    </w:p>
    <w:p w14:paraId="102F2DF7"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Articolo 14.</w:t>
      </w:r>
    </w:p>
    <w:p w14:paraId="7D031DC4"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(Finanziamenti erogati dall'Istituto per il Credito Sportivo per le esigenze di liquidità e concessione di contributi in conto interessi sui finanziamenti)</w:t>
      </w:r>
    </w:p>
    <w:p w14:paraId="7B99DB84" w14:textId="77777777" w:rsidR="00AD1B0C" w:rsidRPr="00AD1B0C" w:rsidRDefault="00AD1B0C" w:rsidP="00AD1B0C">
      <w:pPr>
        <w:spacing w:after="160" w:line="259" w:lineRule="auto"/>
        <w:jc w:val="both"/>
        <w:rPr>
          <w:rFonts w:cs="Times New Roman"/>
          <w:color w:val="auto"/>
          <w:sz w:val="24"/>
          <w:szCs w:val="24"/>
          <w:lang w:eastAsia="en-US"/>
        </w:rPr>
      </w:pPr>
    </w:p>
    <w:p w14:paraId="588745C5"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xml:space="preserve">  1. Il Fondo di cui all'articolo 90, comma 12, della legge 27 dicembre 2002, n. 289, può prestare garanzia, fino al 31 dicembre 2020, sui finanziamenti erogati dall'Istituto per il Credito Sportivo o da altro </w:t>
      </w:r>
      <w:r w:rsidRPr="00AD1B0C">
        <w:rPr>
          <w:rFonts w:cs="Times New Roman"/>
          <w:color w:val="auto"/>
          <w:sz w:val="24"/>
          <w:szCs w:val="24"/>
          <w:lang w:eastAsia="en-US"/>
        </w:rPr>
        <w:lastRenderedPageBreak/>
        <w:t>istituto bancario per le esigenze di liquidità delle Federazioni Sportive Nazionali, delle Discipline Sportive Associate, degli Enti di Promozione Sportiva, delle associazioni e delle società sportive dilettantistiche iscritte al registro di cui all'articolo 5, comma 2, lettera c), del d.lgs. 23 luglio 1999 n. 242. A tali fini, è costituito un apposito comparto del predetto Fondo con una dotazione di 30 milioni di euro per l'anno 2020. Per la gestione di tale comparto del fondo è autorizzata l'apertura di un conto corrente di tesoreria centrale intestato all'Istituto per il Credito Sportivo su cui sono versate le predette risorse per essere utilizzate in base al fabbisogno finanziario derivante dalla gestione delle garanzie.</w:t>
      </w:r>
    </w:p>
    <w:p w14:paraId="588C8948"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  2. Il Fondo speciale di cui all'articolo 5, comma 1, della legge 24 dicembre 1957, n. 1295, può concedere contributi in conto interessi, fino al 31 dicembre 2020, sui finanziamenti erogati dall'Istituto per il Credito Sportivo o da altro istituto bancario per le esigenze di liquidità delle Federazioni Sportive Nazionali, delle Discipline Sportive Associate, degli Enti di Promozione Sportiva, delle associazioni e delle società sportive dilettantistiche iscritte nel registro di cui all'articolo 5, comma 2, lettera c), del d.lgs. 23 luglio 1999 n. 242, secondo le modalità stabilite dal Comitato di Gestione dei Fondi Speciali dell'Istituto per il Credito Sportivo. Per tale funzione è costituito un apposito comparto del Fondo dotato di 5 milioni di euro per l'anno 2020.</w:t>
      </w:r>
    </w:p>
    <w:p w14:paraId="227B6C85"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  3. Agli oneri derivanti dal presente articolo pari a 35 milioni di euro per l'anno 2020, si provvede mediante corrispondente riduzione delle somme di cui all'articolo 56, comma 6, decreto-legge 17 marzo 2020, n. 18, e a 5 milioni di euro per l'anno 2020, in soli termini di fabbisogno, mediante utilizzo delle risorse di cui all'articolo 13, comma 12.</w:t>
      </w:r>
    </w:p>
    <w:p w14:paraId="73FEEA3A" w14:textId="77777777" w:rsidR="00AD1B0C" w:rsidRPr="00AD1B0C" w:rsidRDefault="00AD1B0C" w:rsidP="00AD1B0C">
      <w:pPr>
        <w:spacing w:after="160" w:line="259" w:lineRule="auto"/>
        <w:jc w:val="both"/>
        <w:rPr>
          <w:rFonts w:cs="Times New Roman"/>
          <w:color w:val="auto"/>
          <w:sz w:val="24"/>
          <w:szCs w:val="24"/>
          <w:lang w:eastAsia="en-US"/>
        </w:rPr>
      </w:pPr>
    </w:p>
    <w:p w14:paraId="156CB0F4"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Capo III</w:t>
      </w:r>
    </w:p>
    <w:p w14:paraId="05CD3A1D"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DISPOSIZIONI URGENTI IN MATERIA DI ESERCIZIO DI POTERI SPECIALI NEI SETTORI DI RILEVANZA STRATEGICA</w:t>
      </w:r>
    </w:p>
    <w:p w14:paraId="2D3B2A3A" w14:textId="77777777" w:rsidR="00AD1B0C" w:rsidRPr="00AD1B0C" w:rsidRDefault="00AD1B0C" w:rsidP="00AD1B0C">
      <w:pPr>
        <w:spacing w:after="160" w:line="259" w:lineRule="auto"/>
        <w:jc w:val="center"/>
        <w:rPr>
          <w:rFonts w:cs="Times New Roman"/>
          <w:color w:val="auto"/>
          <w:sz w:val="24"/>
          <w:szCs w:val="24"/>
          <w:lang w:eastAsia="en-US"/>
        </w:rPr>
      </w:pPr>
    </w:p>
    <w:p w14:paraId="51CFB5AE"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Articolo 15.</w:t>
      </w:r>
    </w:p>
    <w:p w14:paraId="2879C069"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(Modifiche all'articolo 4-bis, comma 3, del decreto-legge 21 settembre 2019, n. 105, convertito con modificazioni dalla legge 18 novembre 2019, n. 133)</w:t>
      </w:r>
    </w:p>
    <w:p w14:paraId="61D73AB5" w14:textId="77777777" w:rsidR="00AD1B0C" w:rsidRPr="00AD1B0C" w:rsidRDefault="00AD1B0C" w:rsidP="00AD1B0C">
      <w:pPr>
        <w:spacing w:after="160" w:line="259" w:lineRule="auto"/>
        <w:jc w:val="both"/>
        <w:rPr>
          <w:rFonts w:cs="Times New Roman"/>
          <w:color w:val="auto"/>
          <w:sz w:val="24"/>
          <w:szCs w:val="24"/>
          <w:lang w:eastAsia="en-US"/>
        </w:rPr>
      </w:pPr>
    </w:p>
    <w:p w14:paraId="18F4254C"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 L'articolo 4-bis, comma 3, del decreto-legge 21 settembre 2019, n. 105, convertito, con modificazioni, dalla legge 18 novembre 2019, n. 133, è sostituito dai seguenti:</w:t>
      </w:r>
    </w:p>
    <w:p w14:paraId="69478B88" w14:textId="77777777" w:rsidR="00AD1B0C" w:rsidRPr="00AD1B0C" w:rsidRDefault="00AD1B0C" w:rsidP="00AD1B0C">
      <w:pPr>
        <w:spacing w:after="160" w:line="259" w:lineRule="auto"/>
        <w:jc w:val="both"/>
        <w:rPr>
          <w:rFonts w:cs="Times New Roman"/>
          <w:color w:val="auto"/>
          <w:sz w:val="24"/>
          <w:szCs w:val="24"/>
          <w:lang w:eastAsia="en-US"/>
        </w:rPr>
      </w:pPr>
    </w:p>
    <w:p w14:paraId="78C0BFB6"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lastRenderedPageBreak/>
        <w:t>   «3. Fino alla data di entrata in vigore del primo decreto del Presidente del Consiglio dei ministri di cui all'articolo 2, comma 1-ter, del decreto-legge 15 marzo 2012, n. 21, convertito, con modificazioni, dalla legge 11 maggio 2012, n. 56, come sostituito dal comma 1, lettera c), numero 3), del presente articolo, fatta salva l'applicazione degli articoli 1 e 2 del citato decreto-legge, come modificati dal presente articolo, sono soggetti alla notifica di cui al comma 5 dell'articolo 2 del medesimo decreto-legge n. 21 del 2012 l'acquisto a qualsiasi titolo di partecipazioni in società che detengono beni e rapporti nei settori di cui all'articolo 4, paragrafo 1, lettere a), b), c), d) ed e), ivi inclusi, nel settore finanziario, quello creditizio e assicurativo, del regolamento (UE) 2019/452 del Parlamento europeo e del Consiglio, del 19 marzo 2019.</w:t>
      </w:r>
    </w:p>
    <w:p w14:paraId="1587AB1F"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   3-bis. Al fine di contrastare l'emergenza epidemiologica da COVID-19 e contenerne gli effetti negativi, fino al 31 dicembre 2020:</w:t>
      </w:r>
    </w:p>
    <w:p w14:paraId="10BC7D6F" w14:textId="77777777" w:rsidR="00AD1B0C" w:rsidRPr="00AD1B0C" w:rsidRDefault="00AD1B0C" w:rsidP="00AD1B0C">
      <w:pPr>
        <w:spacing w:after="160" w:line="259" w:lineRule="auto"/>
        <w:jc w:val="both"/>
        <w:rPr>
          <w:rFonts w:cs="Times New Roman"/>
          <w:color w:val="auto"/>
          <w:sz w:val="24"/>
          <w:szCs w:val="24"/>
          <w:lang w:eastAsia="en-US"/>
        </w:rPr>
      </w:pPr>
    </w:p>
    <w:p w14:paraId="2A24D581"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   a) sono soggetti all'obbligo di notifica di cui al comma 2 dell'articolo 2 del decreto-legge n. 21 del 2012, anche le delibere, gli atti o le operazioni, adottati da un'impresa che detiene beni e rapporti nei settori di cui all'articolo 4, paragrafo 1, lettere a), b), c), d) ed e) del regolamento (UE) 2019/452, ivi inclusi, nel settore finanziario, quello creditizio ed assicurativo, ovvero individuati con decreto del Presidente del Consiglio dei ministri di cui al citato articolo 2, comma 1-ter, che abbiano per effetto modifiche della titolarità, del controllo o della disponibilità di detti attivi o il cambiamento della loro destinazione;</w:t>
      </w:r>
    </w:p>
    <w:p w14:paraId="621F88F5" w14:textId="77777777" w:rsidR="00AD1B0C" w:rsidRPr="00AD1B0C" w:rsidRDefault="00AD1B0C" w:rsidP="00AD1B0C">
      <w:pPr>
        <w:spacing w:after="160" w:line="259" w:lineRule="auto"/>
        <w:jc w:val="both"/>
        <w:rPr>
          <w:rFonts w:cs="Times New Roman"/>
          <w:color w:val="auto"/>
          <w:sz w:val="24"/>
          <w:szCs w:val="24"/>
          <w:lang w:eastAsia="en-US"/>
        </w:rPr>
      </w:pPr>
    </w:p>
    <w:p w14:paraId="6ED609B3"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   b) sono soggetti all'obbligo di notifica di cui al comma 5 dell'articolo 2 del medesimo decreto-legge n. 21 del 2012, in relazione ai beni e ai rapporti di cui al comma 1 dell'articolo 2, del medesimo decreto-legge n. 21 del 2012, nonché ai beni e rapporti nei settori indicati alla lettera a), ovvero individuati con decreto del Presidente del Consiglio dei ministri di cui al citato articolo 2, comma 1-ter, del decreto-legge n. 21 del 2012, anche gli acquisti a qualsiasi titolo di partecipazioni, da parte di soggetti esteri, anche appartenenti all'Unione europea, di rilevanza tale da determinare l'insediamento stabile dell'acquirente in ragione dell'assunzione del controllo della società la cui partecipazione è oggetto dell'acquisto, ai sensi dell'articolo 2359 del codice civile e del testo unico di cui al decreto legislativo 24 febbraio 1998, n. 58, nonché gli acquisti di partecipazioni, da parte di soggetti esteri non appartenenti all'Unione europea, che attribuiscono una quota dei diritti di voto o del capitale almeno pari al 10 per cento, tenuto conto delle azioni o quote già direttamente o indirettamente possedute, e il valore complessivo dell'investimento sia pari o superiore a un milione di euro, e sono altresì notificate le acquisizioni che determinano il superamento delle soglie del 15 per cento, 20 per cento, 25 per cento e 50 per cento;</w:t>
      </w:r>
    </w:p>
    <w:p w14:paraId="243F0B0B" w14:textId="77777777" w:rsidR="00AD1B0C" w:rsidRPr="00AD1B0C" w:rsidRDefault="00AD1B0C" w:rsidP="00AD1B0C">
      <w:pPr>
        <w:spacing w:after="160" w:line="259" w:lineRule="auto"/>
        <w:jc w:val="both"/>
        <w:rPr>
          <w:rFonts w:cs="Times New Roman"/>
          <w:color w:val="auto"/>
          <w:sz w:val="24"/>
          <w:szCs w:val="24"/>
          <w:lang w:eastAsia="en-US"/>
        </w:rPr>
      </w:pPr>
    </w:p>
    <w:p w14:paraId="219777F2"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lastRenderedPageBreak/>
        <w:t>   c) la disposizione di cui all'articolo 2, comma 6, lettera a), del decreto-legge n. 21 del 2012, si applica anche quando il controllo ivi previsto sia esercitato da un'amministrazione pubblica di uno Stato membro dell'Unione europea.</w:t>
      </w:r>
    </w:p>
    <w:p w14:paraId="4AE13550" w14:textId="77777777" w:rsidR="00AD1B0C" w:rsidRPr="00AD1B0C" w:rsidRDefault="00AD1B0C" w:rsidP="00AD1B0C">
      <w:pPr>
        <w:spacing w:after="160" w:line="259" w:lineRule="auto"/>
        <w:jc w:val="both"/>
        <w:rPr>
          <w:rFonts w:cs="Times New Roman"/>
          <w:color w:val="auto"/>
          <w:sz w:val="24"/>
          <w:szCs w:val="24"/>
          <w:lang w:eastAsia="en-US"/>
        </w:rPr>
      </w:pPr>
    </w:p>
    <w:p w14:paraId="3CC712F5"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   3-ter. Si applicano le disposizioni dell'articolo 2, commi 6 e 7, del citato decreto-legge n. 21 del 2012, come modificato dal presente articolo.</w:t>
      </w:r>
    </w:p>
    <w:p w14:paraId="3C2F1320"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xml:space="preserve">   3-quater. Le disposizioni di cui ai commi 3 e 3-bis aventi vigenza fino al 31 dicembre 2020 si applicano nei confronti di delibere, atti o operazioni, nonché di acquisti di partecipazioni, rilevanti ai fini degli obblighi di notifica di cui ai commi 2 e 5 dell'articolo 2 del decreto-legge n. 21 del 2012, per i quali tale obbligo sia sorto nel predetto arco temporale, ancorché la notifica sia intervenuta successivamente o sia stata omessa. Restano validi, anche successivamente al termine di cui al 31 dicembre 2020, gli atti e i provvedimenti adottati a seguito di esercizio dei poteri speciali in applicazione delle disposizioni dei commi 3 e 3-bis, e sono fatti salvi gli effetti prodottisi ed i rapporti giuridici sorti sulla base degli stessi atti e provvedimenti successivamente al decorso del predetto termine. Fermo restando l'obbligo di notifica, i poteri speciali di cui all'articolo 2 del decreto-legge n. 21 del 2012 e relativi a società che detengono beni e rapporti nei settori di cui all'articolo 4, paragrafo 1, lettere a), b), c), d) e </w:t>
      </w:r>
      <w:proofErr w:type="spellStart"/>
      <w:r w:rsidRPr="00AD1B0C">
        <w:rPr>
          <w:rFonts w:cs="Times New Roman"/>
          <w:color w:val="auto"/>
          <w:sz w:val="24"/>
          <w:szCs w:val="24"/>
          <w:lang w:eastAsia="en-US"/>
        </w:rPr>
        <w:t>e</w:t>
      </w:r>
      <w:proofErr w:type="spellEnd"/>
      <w:r w:rsidRPr="00AD1B0C">
        <w:rPr>
          <w:rFonts w:cs="Times New Roman"/>
          <w:color w:val="auto"/>
          <w:sz w:val="24"/>
          <w:szCs w:val="24"/>
          <w:lang w:eastAsia="en-US"/>
        </w:rPr>
        <w:t>) del regolamento (UE) 2019/452, ivi inclusi, nel settore finanziario, quello creditizio ed assicurativo, si applicano nella misura in cui la tutela degli interessi essenziali dello Stato, ovvero la tutela della sicurezza e dell'ordine pubblico, previsti dal medesimo articolo 2 non sia adeguatamente garantita dalla sussistenza di una specifica regolamentazione di settore.».</w:t>
      </w:r>
    </w:p>
    <w:p w14:paraId="74FD8F75" w14:textId="77777777" w:rsidR="00AD1B0C" w:rsidRPr="00AD1B0C" w:rsidRDefault="00AD1B0C" w:rsidP="00AD1B0C">
      <w:pPr>
        <w:spacing w:after="160" w:line="259" w:lineRule="auto"/>
        <w:jc w:val="both"/>
        <w:rPr>
          <w:rFonts w:cs="Times New Roman"/>
          <w:color w:val="auto"/>
          <w:sz w:val="24"/>
          <w:szCs w:val="24"/>
          <w:lang w:eastAsia="en-US"/>
        </w:rPr>
      </w:pPr>
    </w:p>
    <w:p w14:paraId="3E757DBB"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Articolo 16.</w:t>
      </w:r>
    </w:p>
    <w:p w14:paraId="3C653D16"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(Modifiche al decreto-legge 15 marzo 2012, n. 21, convertito con modificazioni dalla legge 11 maggio 2012, n. 56)</w:t>
      </w:r>
    </w:p>
    <w:p w14:paraId="12E539C8" w14:textId="77777777" w:rsidR="00AD1B0C" w:rsidRPr="00AD1B0C" w:rsidRDefault="00AD1B0C" w:rsidP="00AD1B0C">
      <w:pPr>
        <w:spacing w:after="160" w:line="259" w:lineRule="auto"/>
        <w:jc w:val="center"/>
        <w:rPr>
          <w:rFonts w:cs="Times New Roman"/>
          <w:color w:val="auto"/>
          <w:sz w:val="24"/>
          <w:szCs w:val="24"/>
          <w:lang w:eastAsia="en-US"/>
        </w:rPr>
      </w:pPr>
    </w:p>
    <w:p w14:paraId="7EE65763"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 Al decreto-legge 15 marzo 2012, n. 21, convertito, con modificazioni, dalla legge 11 maggio 2012, n. 56, sono apportate le seguenti modifiche:</w:t>
      </w:r>
    </w:p>
    <w:p w14:paraId="65B377D5" w14:textId="77777777" w:rsidR="00AD1B0C" w:rsidRPr="00AD1B0C" w:rsidRDefault="00AD1B0C" w:rsidP="00AD1B0C">
      <w:pPr>
        <w:spacing w:after="160" w:line="259" w:lineRule="auto"/>
        <w:jc w:val="both"/>
        <w:rPr>
          <w:rFonts w:cs="Times New Roman"/>
          <w:color w:val="auto"/>
          <w:sz w:val="24"/>
          <w:szCs w:val="24"/>
          <w:lang w:eastAsia="en-US"/>
        </w:rPr>
      </w:pPr>
    </w:p>
    <w:p w14:paraId="310924C9"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xml:space="preserve">   a) all'articolo 1, comma 8-bis, è aggiunto infine il seguente periodo: «Nei casi di violazione degli obblighi di notifica di cui al presente articolo, anche in assenza della notifica di cui ai commi 4 e 5, la Presidenza del Consiglio può avviare il procedimento ai fini dell'eventuale esercizio dei poteri di cui al comma 1, lettere a), b) e c). A tale scopo, trovano applicazione i termini e le norme procedurali previste </w:t>
      </w:r>
      <w:r w:rsidRPr="00AD1B0C">
        <w:rPr>
          <w:rFonts w:cs="Times New Roman"/>
          <w:color w:val="auto"/>
          <w:sz w:val="24"/>
          <w:szCs w:val="24"/>
          <w:lang w:eastAsia="en-US"/>
        </w:rPr>
        <w:lastRenderedPageBreak/>
        <w:t>dal presente articolo, nonché dal regolamento di cui al comma 8. Il termine di quarantacinque giorni di cui ai commi 4 e 5 decorre dalla conclusione del procedimento di accertamento della violazione dell'obbligo di notifica.»;</w:t>
      </w:r>
    </w:p>
    <w:p w14:paraId="46D4F6E8" w14:textId="77777777" w:rsidR="00AD1B0C" w:rsidRPr="00AD1B0C" w:rsidRDefault="00AD1B0C" w:rsidP="00AD1B0C">
      <w:pPr>
        <w:spacing w:after="160" w:line="259" w:lineRule="auto"/>
        <w:jc w:val="both"/>
        <w:rPr>
          <w:rFonts w:cs="Times New Roman"/>
          <w:color w:val="auto"/>
          <w:sz w:val="24"/>
          <w:szCs w:val="24"/>
          <w:lang w:eastAsia="en-US"/>
        </w:rPr>
      </w:pPr>
    </w:p>
    <w:p w14:paraId="7310EB7C"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   b) all'articolo 1-bis, comma 2, ultimo periodo, dopo le parole «l'integrità e la sicurezza delle reti e dei dati che vi transitano» sono inserite le seguenti: «, compresi quelli individuati sulla base dei principi e delle linee guida elaborate a livello internazionale e dall'Unione europea»;</w:t>
      </w:r>
    </w:p>
    <w:p w14:paraId="6B26DFA4" w14:textId="77777777" w:rsidR="00AD1B0C" w:rsidRPr="00AD1B0C" w:rsidRDefault="00AD1B0C" w:rsidP="00AD1B0C">
      <w:pPr>
        <w:spacing w:after="160" w:line="259" w:lineRule="auto"/>
        <w:jc w:val="both"/>
        <w:rPr>
          <w:rFonts w:cs="Times New Roman"/>
          <w:color w:val="auto"/>
          <w:sz w:val="24"/>
          <w:szCs w:val="24"/>
          <w:lang w:eastAsia="en-US"/>
        </w:rPr>
      </w:pPr>
    </w:p>
    <w:p w14:paraId="4D5E907C"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   c) all'articolo 1-bis, comma 3-bis:</w:t>
      </w:r>
    </w:p>
    <w:p w14:paraId="3FD9D344" w14:textId="77777777" w:rsidR="00AD1B0C" w:rsidRPr="00AD1B0C" w:rsidRDefault="00AD1B0C" w:rsidP="00AD1B0C">
      <w:pPr>
        <w:spacing w:after="160" w:line="259" w:lineRule="auto"/>
        <w:jc w:val="both"/>
        <w:rPr>
          <w:rFonts w:cs="Times New Roman"/>
          <w:color w:val="auto"/>
          <w:sz w:val="24"/>
          <w:szCs w:val="24"/>
          <w:lang w:eastAsia="en-US"/>
        </w:rPr>
      </w:pPr>
    </w:p>
    <w:p w14:paraId="228AB8F6"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 al decimo periodo, le parole «dall'ultimo periodo» sono sostituite dalle seguenti: «dall'undicesimo periodo»;</w:t>
      </w:r>
    </w:p>
    <w:p w14:paraId="3EE6865D" w14:textId="77777777" w:rsidR="00AD1B0C" w:rsidRPr="00AD1B0C" w:rsidRDefault="00AD1B0C" w:rsidP="00AD1B0C">
      <w:pPr>
        <w:spacing w:after="160" w:line="259" w:lineRule="auto"/>
        <w:jc w:val="both"/>
        <w:rPr>
          <w:rFonts w:cs="Times New Roman"/>
          <w:color w:val="auto"/>
          <w:sz w:val="24"/>
          <w:szCs w:val="24"/>
          <w:lang w:eastAsia="en-US"/>
        </w:rPr>
      </w:pPr>
    </w:p>
    <w:p w14:paraId="2CBD8530"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    2) sono aggiunti infine i seguenti periodi: «Nei casi di violazione degli obblighi di notifica di cui al presente articolo, anche in assenza della notifica, la Presidenza del Consiglio può avviare il procedimento ai fini dell'eventuale esercizio dei poteri speciali. A tale scopo, trovano applicazione i termini e le norme procedurali previste dal presente comma. Il termine di trenta giorni di cui al presente comma decorre dalla conclusione del procedimento di accertamento della violazione dell'obbligo di notifica.»;</w:t>
      </w:r>
    </w:p>
    <w:p w14:paraId="7DAB4F63" w14:textId="77777777" w:rsidR="00AD1B0C" w:rsidRPr="00AD1B0C" w:rsidRDefault="00AD1B0C" w:rsidP="00AD1B0C">
      <w:pPr>
        <w:spacing w:after="160" w:line="259" w:lineRule="auto"/>
        <w:jc w:val="both"/>
        <w:rPr>
          <w:rFonts w:cs="Times New Roman"/>
          <w:color w:val="auto"/>
          <w:sz w:val="24"/>
          <w:szCs w:val="24"/>
          <w:lang w:eastAsia="en-US"/>
        </w:rPr>
      </w:pPr>
    </w:p>
    <w:p w14:paraId="301177B6"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   d) all'articolo 2, dopo il comma 8, è aggiunto il seguente comma: «8-bis. Nei casi di violazione degli obblighi di notifica di cui al presente articolo, anche in assenza della notifica di cui ai commi 2, 2-bis e 5, la Presidenza del Consiglio può avviare il procedimento ai fini dell'eventuale esercizio dei poteri speciali. A tale scopo, trovano applicazione i termini e le norme procedurali previste dal presente articolo, nonché dal regolamento di cui al comma 9. Il termine di quarantacinque giorni di cui ai commi 4 e 6 decorre dalla conclusione del procedimento di accertamento della violazione dell'obbligo di notifica.»;</w:t>
      </w:r>
    </w:p>
    <w:p w14:paraId="292A4694" w14:textId="77777777" w:rsidR="00AD1B0C" w:rsidRPr="00AD1B0C" w:rsidRDefault="00AD1B0C" w:rsidP="00AD1B0C">
      <w:pPr>
        <w:spacing w:after="160" w:line="259" w:lineRule="auto"/>
        <w:jc w:val="both"/>
        <w:rPr>
          <w:rFonts w:cs="Times New Roman"/>
          <w:color w:val="auto"/>
          <w:sz w:val="24"/>
          <w:szCs w:val="24"/>
          <w:lang w:eastAsia="en-US"/>
        </w:rPr>
      </w:pPr>
    </w:p>
    <w:p w14:paraId="55E25DDA"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   e) all'articolo 2-bis sono aggiunti i seguenti commi:</w:t>
      </w:r>
    </w:p>
    <w:p w14:paraId="683755F9" w14:textId="77777777" w:rsidR="00AD1B0C" w:rsidRPr="00AD1B0C" w:rsidRDefault="00AD1B0C" w:rsidP="00AD1B0C">
      <w:pPr>
        <w:spacing w:after="160" w:line="259" w:lineRule="auto"/>
        <w:jc w:val="both"/>
        <w:rPr>
          <w:rFonts w:cs="Times New Roman"/>
          <w:color w:val="auto"/>
          <w:sz w:val="24"/>
          <w:szCs w:val="24"/>
          <w:lang w:eastAsia="en-US"/>
        </w:rPr>
      </w:pPr>
    </w:p>
    <w:p w14:paraId="2DEA333C"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xml:space="preserve">   «2. Al fine di raccogliere elementi utili all'applicazione degli articoli 1, 1-bis e 2, il gruppo di coordinamento istituito ai sensi dell'articolo 3 del decreto del Presidente del Consiglio dei ministri 6 </w:t>
      </w:r>
      <w:r w:rsidRPr="00AD1B0C">
        <w:rPr>
          <w:rFonts w:cs="Times New Roman"/>
          <w:color w:val="auto"/>
          <w:sz w:val="24"/>
          <w:szCs w:val="24"/>
          <w:lang w:eastAsia="en-US"/>
        </w:rPr>
        <w:lastRenderedPageBreak/>
        <w:t>agosto 2014 può richiedere a pubbliche amministrazioni, enti pubblici o privati, imprese o altri soggetti terzi che ne siano in possesso, di fornire informazioni e di esibire documenti.</w:t>
      </w:r>
    </w:p>
    <w:p w14:paraId="0CBC4F5B"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   3. Ai medesimi fini di cui al comma precedente, la Presidenza del Consiglio può stipulare convenzioni o protocolli di intesa con istituti o enti di ricerca.».</w:t>
      </w:r>
    </w:p>
    <w:p w14:paraId="2F3CFF45" w14:textId="77777777" w:rsidR="00AD1B0C" w:rsidRPr="00AD1B0C" w:rsidRDefault="00AD1B0C" w:rsidP="00AD1B0C">
      <w:pPr>
        <w:spacing w:after="160" w:line="259" w:lineRule="auto"/>
        <w:jc w:val="both"/>
        <w:rPr>
          <w:rFonts w:cs="Times New Roman"/>
          <w:color w:val="auto"/>
          <w:sz w:val="24"/>
          <w:szCs w:val="24"/>
          <w:lang w:eastAsia="en-US"/>
        </w:rPr>
      </w:pPr>
    </w:p>
    <w:p w14:paraId="5219D029"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Articolo 17.</w:t>
      </w:r>
    </w:p>
    <w:p w14:paraId="4353836B"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(Modifiche all'articolo 120 del decreto legislativo 24 febbraio 1998, n. 58)</w:t>
      </w:r>
    </w:p>
    <w:p w14:paraId="75E5877E" w14:textId="77777777" w:rsidR="00AD1B0C" w:rsidRPr="00AD1B0C" w:rsidRDefault="00AD1B0C" w:rsidP="00AD1B0C">
      <w:pPr>
        <w:spacing w:after="160" w:line="259" w:lineRule="auto"/>
        <w:jc w:val="both"/>
        <w:rPr>
          <w:rFonts w:cs="Times New Roman"/>
          <w:color w:val="auto"/>
          <w:sz w:val="24"/>
          <w:szCs w:val="24"/>
          <w:lang w:eastAsia="en-US"/>
        </w:rPr>
      </w:pPr>
    </w:p>
    <w:p w14:paraId="018BF4FF"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 All'articolo 120 del decreto legislativo 24 febbraio 1998, n. 58, sono apportate le seguenti modifiche:</w:t>
      </w:r>
    </w:p>
    <w:p w14:paraId="714296CD" w14:textId="77777777" w:rsidR="00AD1B0C" w:rsidRPr="00AD1B0C" w:rsidRDefault="00AD1B0C" w:rsidP="00AD1B0C">
      <w:pPr>
        <w:spacing w:after="160" w:line="259" w:lineRule="auto"/>
        <w:jc w:val="both"/>
        <w:rPr>
          <w:rFonts w:cs="Times New Roman"/>
          <w:color w:val="auto"/>
          <w:sz w:val="24"/>
          <w:szCs w:val="24"/>
          <w:lang w:eastAsia="en-US"/>
        </w:rPr>
      </w:pPr>
    </w:p>
    <w:p w14:paraId="22A03135"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   a) al comma 2-bis, le parole «ad elevato valore corrente di mercato e» sono soppresse;</w:t>
      </w:r>
    </w:p>
    <w:p w14:paraId="768C917F" w14:textId="77777777" w:rsidR="00AD1B0C" w:rsidRPr="00AD1B0C" w:rsidRDefault="00AD1B0C" w:rsidP="00AD1B0C">
      <w:pPr>
        <w:spacing w:after="160" w:line="259" w:lineRule="auto"/>
        <w:jc w:val="both"/>
        <w:rPr>
          <w:rFonts w:cs="Times New Roman"/>
          <w:color w:val="auto"/>
          <w:sz w:val="24"/>
          <w:szCs w:val="24"/>
          <w:lang w:eastAsia="en-US"/>
        </w:rPr>
      </w:pPr>
    </w:p>
    <w:p w14:paraId="09B6ADC6"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   b) al comma 4-bis, è aggiunto infine il seguente periodo: «La CONSOB può, con provvedimento motivato da esigenze di tutela degli investitori nonché di efficienza e trasparenza del mercato del controllo societario e del mercato dei capitali, prevedere, per un limitato periodo di tempo, in aggiunta alle soglie indicate nel primo periodo del presente comma una soglia del 5 per cento per società ad azionariato particolarmente diffuso.».</w:t>
      </w:r>
    </w:p>
    <w:p w14:paraId="4035497D" w14:textId="77777777" w:rsidR="00AD1B0C" w:rsidRPr="00AD1B0C" w:rsidRDefault="00AD1B0C" w:rsidP="00AD1B0C">
      <w:pPr>
        <w:spacing w:after="160" w:line="259" w:lineRule="auto"/>
        <w:jc w:val="both"/>
        <w:rPr>
          <w:rFonts w:cs="Times New Roman"/>
          <w:color w:val="auto"/>
          <w:sz w:val="24"/>
          <w:szCs w:val="24"/>
          <w:lang w:eastAsia="en-US"/>
        </w:rPr>
      </w:pPr>
    </w:p>
    <w:p w14:paraId="575121F7"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Capo IV</w:t>
      </w:r>
    </w:p>
    <w:p w14:paraId="5E90ED9A"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MISURE FISCALI E CONTABILI</w:t>
      </w:r>
    </w:p>
    <w:p w14:paraId="78F803DC" w14:textId="77777777" w:rsidR="00AD1B0C" w:rsidRPr="00AD1B0C" w:rsidRDefault="00AD1B0C" w:rsidP="00AD1B0C">
      <w:pPr>
        <w:spacing w:after="160" w:line="259" w:lineRule="auto"/>
        <w:jc w:val="center"/>
        <w:rPr>
          <w:rFonts w:cs="Times New Roman"/>
          <w:color w:val="auto"/>
          <w:sz w:val="24"/>
          <w:szCs w:val="24"/>
          <w:lang w:eastAsia="en-US"/>
        </w:rPr>
      </w:pPr>
    </w:p>
    <w:p w14:paraId="5DB903BC"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Articolo 18.</w:t>
      </w:r>
    </w:p>
    <w:p w14:paraId="1DD12408"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(Sospensione di versamenti tributari e contributivi)</w:t>
      </w:r>
    </w:p>
    <w:p w14:paraId="7B600D7C" w14:textId="77777777" w:rsidR="00AD1B0C" w:rsidRPr="00AD1B0C" w:rsidRDefault="00AD1B0C" w:rsidP="00AD1B0C">
      <w:pPr>
        <w:spacing w:after="160" w:line="259" w:lineRule="auto"/>
        <w:jc w:val="both"/>
        <w:rPr>
          <w:rFonts w:cs="Times New Roman"/>
          <w:color w:val="auto"/>
          <w:sz w:val="24"/>
          <w:szCs w:val="24"/>
          <w:lang w:eastAsia="en-US"/>
        </w:rPr>
      </w:pPr>
    </w:p>
    <w:p w14:paraId="2EF2524C"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xml:space="preserve">  1. Per i soggetti esercenti attività d'impresa, arte o professione, che hanno il domicilio fiscale, la sede legale o la sede operativa nel territorio dello Stato con ricavi o compensi non superiori a 50 milioni di euro nel periodo di imposta precedente a quello in corso alla data di entrata in vigore del presente </w:t>
      </w:r>
      <w:r w:rsidRPr="00AD1B0C">
        <w:rPr>
          <w:rFonts w:cs="Times New Roman"/>
          <w:color w:val="auto"/>
          <w:sz w:val="24"/>
          <w:szCs w:val="24"/>
          <w:lang w:eastAsia="en-US"/>
        </w:rPr>
        <w:lastRenderedPageBreak/>
        <w:t>decreto, che hanno subìto una diminuzione del fatturato o dei corrispettivi di almeno il 33 per cento nel mese di marzo 2020 rispetto allo stesso mese del precedente periodo d'imposta e nel mese di aprile 2020 rispetto allo stesso mese del precedente periodo d'imposta, sono sospesi, rispettivamente, per i mesi di aprile e di maggio 2020, i termini dei versamenti in autoliquidazione relativi:</w:t>
      </w:r>
    </w:p>
    <w:p w14:paraId="214BF804" w14:textId="77777777" w:rsidR="00AD1B0C" w:rsidRPr="00AD1B0C" w:rsidRDefault="00AD1B0C" w:rsidP="00AD1B0C">
      <w:pPr>
        <w:spacing w:after="160" w:line="259" w:lineRule="auto"/>
        <w:jc w:val="both"/>
        <w:rPr>
          <w:rFonts w:cs="Times New Roman"/>
          <w:color w:val="auto"/>
          <w:sz w:val="24"/>
          <w:szCs w:val="24"/>
          <w:lang w:eastAsia="en-US"/>
        </w:rPr>
      </w:pPr>
    </w:p>
    <w:p w14:paraId="7A767316"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   a) alle ritenute alla fonte di cui agli articoli 23 e 24 del decreto del Presidente della Repubblica 29 settembre 1973, n. 600, e alle trattenute relative all'addizionale regionale e comunale, che i predetti soggetti operano in qualità di sostituti d'imposta;</w:t>
      </w:r>
    </w:p>
    <w:p w14:paraId="2D2A17B1" w14:textId="77777777" w:rsidR="00AD1B0C" w:rsidRPr="00AD1B0C" w:rsidRDefault="00AD1B0C" w:rsidP="00AD1B0C">
      <w:pPr>
        <w:spacing w:after="160" w:line="259" w:lineRule="auto"/>
        <w:jc w:val="both"/>
        <w:rPr>
          <w:rFonts w:cs="Times New Roman"/>
          <w:color w:val="auto"/>
          <w:sz w:val="24"/>
          <w:szCs w:val="24"/>
          <w:lang w:eastAsia="en-US"/>
        </w:rPr>
      </w:pPr>
    </w:p>
    <w:p w14:paraId="42DBAF27"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   b) all'imposta sul valore aggiunto.</w:t>
      </w:r>
    </w:p>
    <w:p w14:paraId="00DB3A72" w14:textId="77777777" w:rsidR="00AD1B0C" w:rsidRPr="00AD1B0C" w:rsidRDefault="00AD1B0C" w:rsidP="00AD1B0C">
      <w:pPr>
        <w:spacing w:after="160" w:line="259" w:lineRule="auto"/>
        <w:jc w:val="both"/>
        <w:rPr>
          <w:rFonts w:cs="Times New Roman"/>
          <w:color w:val="auto"/>
          <w:sz w:val="24"/>
          <w:szCs w:val="24"/>
          <w:lang w:eastAsia="en-US"/>
        </w:rPr>
      </w:pPr>
    </w:p>
    <w:p w14:paraId="755DE1A1"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  2. Per i soggetti di cui al comma 1 sono sospesi, altresì, per i mesi di aprile e di maggio 2020, i termini dei versamenti dei contributi previdenziali e assistenziali e dei premi per l'assicurazione obbligatoria.</w:t>
      </w:r>
    </w:p>
    <w:p w14:paraId="2DA5E2DD"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  3. Per i soggetti esercenti attività d'impresa, arte o professione, che hanno il domicilio fiscale, la sede legale o la sede operativa nel territorio dello Stato con ricavi o compensi superiori a 50 milioni di euro nel periodo di imposta precedente a quello in corso alla data di entrata in vigore del presente decreto, che hanno subìto una diminuzione del fatturato o dei corrispettivi di almeno il 50 per cento nel mese di marzo 2020 rispetto allo stesso mese del precedente periodo d'imposta e nel mese di aprile 2020 rispetto allo stesso mese del precedente periodo d'imposta, sono sospesi, rispettivamente, per i mesi di aprile e di maggio 2020, i termini dei versamenti in autoliquidazione relativi:</w:t>
      </w:r>
    </w:p>
    <w:p w14:paraId="4FFD0396" w14:textId="77777777" w:rsidR="00AD1B0C" w:rsidRPr="00AD1B0C" w:rsidRDefault="00AD1B0C" w:rsidP="00AD1B0C">
      <w:pPr>
        <w:spacing w:after="160" w:line="259" w:lineRule="auto"/>
        <w:jc w:val="both"/>
        <w:rPr>
          <w:rFonts w:cs="Times New Roman"/>
          <w:color w:val="auto"/>
          <w:sz w:val="24"/>
          <w:szCs w:val="24"/>
          <w:lang w:eastAsia="en-US"/>
        </w:rPr>
      </w:pPr>
    </w:p>
    <w:p w14:paraId="387F8063"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   a) alle ritenute alla fonte di cui agli articoli 23 e 24 del decreto del Presidente della Repubblica 29 settembre 1973, n. 600, e alle trattenute relative all'addizionale regionale e comunale, che i predetti soggetti operano in qualità di sostituti d'imposta;</w:t>
      </w:r>
    </w:p>
    <w:p w14:paraId="0E6D2937" w14:textId="77777777" w:rsidR="00AD1B0C" w:rsidRPr="00AD1B0C" w:rsidRDefault="00AD1B0C" w:rsidP="00AD1B0C">
      <w:pPr>
        <w:spacing w:after="160" w:line="259" w:lineRule="auto"/>
        <w:jc w:val="both"/>
        <w:rPr>
          <w:rFonts w:cs="Times New Roman"/>
          <w:color w:val="auto"/>
          <w:sz w:val="24"/>
          <w:szCs w:val="24"/>
          <w:lang w:eastAsia="en-US"/>
        </w:rPr>
      </w:pPr>
    </w:p>
    <w:p w14:paraId="0CD2CEE4"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   b) all'imposta sul valore aggiunto.</w:t>
      </w:r>
    </w:p>
    <w:p w14:paraId="0E57C53E" w14:textId="77777777" w:rsidR="00AD1B0C" w:rsidRPr="00AD1B0C" w:rsidRDefault="00AD1B0C" w:rsidP="00AD1B0C">
      <w:pPr>
        <w:spacing w:after="160" w:line="259" w:lineRule="auto"/>
        <w:jc w:val="both"/>
        <w:rPr>
          <w:rFonts w:cs="Times New Roman"/>
          <w:color w:val="auto"/>
          <w:sz w:val="24"/>
          <w:szCs w:val="24"/>
          <w:lang w:eastAsia="en-US"/>
        </w:rPr>
      </w:pPr>
    </w:p>
    <w:p w14:paraId="583688C7"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  4. Per i soggetti di cui al comma 3 sono sospesi, altresì, per i mesi di aprile e di maggio 2020, i termini dei versamenti dei contributi previdenziali e assistenziali e dei premi per l'assicurazione obbligatoria.</w:t>
      </w:r>
    </w:p>
    <w:p w14:paraId="3F2A2F68"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lastRenderedPageBreak/>
        <w:t>  5. I versamenti di cui ai commi da 1 a 4 sono sospesi anche per i soggetti esercenti attività d'impresa, arte o professione, che hanno il domicilio fiscale, la sede legale o la sede operativa nel territorio dello Stato e che hanno intrapreso l'attività di impresa, di arte o professione, in data successiva al 31 marzo 2019. I versamenti di cui alle lettere a) dei predetti commi 1 e 3 nonché quelli di cui ai commi 2 e 4 sono altresì sospesi per gli enti non commerciali, compresi gli enti del terzo settore e gli enti religiosi civilmente riconosciuti, che svolgono attività istituzionale di interesse generale non in regime d'impresa.</w:t>
      </w:r>
    </w:p>
    <w:p w14:paraId="50697EF3"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  6. La sospensione dei versamenti dell'imposta sul valore aggiunto si applica per i mesi di aprile e maggio 2020, a prescindere dal volume dei ricavi e dei compensi del periodo d'imposta precedente, ai soggetti esercenti attività d'impresa, arte o professione, che hanno il domicilio fiscale, la sede legale o la sede operativa nelle province di Bergamo, Brescia, Cremona, Lodi e Piacenza, che hanno subìto rispettivamente una diminuzione del fatturato o dei corrispettivi di almeno il 33 per cento nel mese di marzo 2020 rispetto allo stesso mese del precedente periodo d'imposta e nel mese di aprile 2020 rispetto allo stesso mese del precedente periodo d'imposta.</w:t>
      </w:r>
    </w:p>
    <w:p w14:paraId="7A3805C4"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  7. I versamenti sospesi ai sensi dei commi 1, 2, 3, 4, 5 e 6 sono effettuati, senza applicazione di sanzioni ed interessi, in un'unica soluzione entro il 30 giugno 2020 o mediante rateizzazione fino a un massimo di 5 rate mensili di pari importo a decorrere dal medesimo mese di giugno 2020. Non si fa luogo al rimborso di quanto già versato.</w:t>
      </w:r>
    </w:p>
    <w:p w14:paraId="52423A12"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  8. Per i soggetti aventi diritto restano ferme, per il mese di aprile 2020, le disposizioni dell'articolo 8, comma 1, del decreto-legge 2 marzo 2020, n. 9, e dell'articolo 61, commi 1 e 2, del decreto-legge 17 marzo 2020, n. 18, per i mesi di aprile 2020 e maggio 2020, le disposizioni dell'articolo 61, comma 5, del decreto-legge 17 marzo 2020, n. 18. La ripresa della riscossione dei versamenti sospesi resta disciplinata dall'articolo 61, commi 4 e 5, del decreto-legge 17 marzo 2020, n. 18.</w:t>
      </w:r>
    </w:p>
    <w:p w14:paraId="51BAA6C5"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  9. L'INPS, l'INAIL e gli enti gestori di forme obbligatorie di previdenza e assistenza di cui ai decreti legislativi 30 giugno 1994, n. 509 e 10 febbraio 1996, n. 103, comunicano all'Agenzia delle entrate i dati identificativi dei soggetti che hanno effettuato la sospensione del versamento dei contributi previdenziali e assistenziali e dei premi di assicurazione obbligatoria di cui ai commi precedenti. L'Agenzia delle entrate, nei tempi consentiti dagli adempimenti informativi fiscali previsti dalla normativa vigente, comunica ai predetti enti previdenziali l'esito dei riscontri effettuati sulla verifica dei requisiti sul fatturato e sui corrispettivi di cui ai commi 1, 2, 3, 4 e 6 con modalità e termini definiti con accordi di cooperazione tra le parti. Analoga procedura si applica con riferimento ai soggetti di cui all'articolo 62, comma 2, del decreto-legge 17 marzo 2020, n. 18.</w:t>
      </w:r>
    </w:p>
    <w:p w14:paraId="009CB26E" w14:textId="77777777" w:rsidR="00AD1B0C" w:rsidRPr="00AD1B0C" w:rsidRDefault="00AD1B0C" w:rsidP="00AD1B0C">
      <w:pPr>
        <w:spacing w:after="160" w:line="259" w:lineRule="auto"/>
        <w:jc w:val="both"/>
        <w:rPr>
          <w:rFonts w:cs="Times New Roman"/>
          <w:color w:val="auto"/>
          <w:sz w:val="24"/>
          <w:szCs w:val="24"/>
          <w:lang w:eastAsia="en-US"/>
        </w:rPr>
      </w:pPr>
    </w:p>
    <w:p w14:paraId="1675D7CB"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Articolo 19.</w:t>
      </w:r>
    </w:p>
    <w:p w14:paraId="41E43235"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lastRenderedPageBreak/>
        <w:t>(Proroga sospensione ritenute sui redditi di lavoro autonomo e sulle provvigioni inerenti rapporti di commissione, di agenzia, di mediazione, di rappresentanza di commercio e di procacciamento d'affari)</w:t>
      </w:r>
    </w:p>
    <w:p w14:paraId="6A66E7B7" w14:textId="77777777" w:rsidR="00AD1B0C" w:rsidRPr="00AD1B0C" w:rsidRDefault="00AD1B0C" w:rsidP="00AD1B0C">
      <w:pPr>
        <w:spacing w:after="160" w:line="259" w:lineRule="auto"/>
        <w:jc w:val="both"/>
        <w:rPr>
          <w:rFonts w:cs="Times New Roman"/>
          <w:color w:val="auto"/>
          <w:sz w:val="24"/>
          <w:szCs w:val="24"/>
          <w:lang w:eastAsia="en-US"/>
        </w:rPr>
      </w:pPr>
    </w:p>
    <w:p w14:paraId="08D45284"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 Per i soggetti che hanno il domicilio fiscale, la sede legale o la sede operativa nel territorio dello Stato con ricavi o compensi non superiori a euro 400.000 nel periodo di imposta precedente a quello in corso alla data del 17 marzo 2020, i ricavi e i compensi percepiti nel periodo compreso tra il 17 marzo 2020 e il 31 maggio 2020 non sono assoggettati alle ritenute d'acconto di cui agli articoli 25 e 25-bis del decreto del Presidente della Repubblica 29 settembre 1973, n. 600, da parte del sostituto d'imposta, a condizione che nel mese precedente non abbiano sostenuto spese per prestazioni di lavoro dipendente o assimilato. I contribuenti, che si avvalgono della presente opzione, rilasciano un'apposita dichiarazione dalla quale risulti che i ricavi e compensi non sono soggetti a ritenuta ai sensi della presente disposizione e provvedono a versare l'ammontare delle ritenute d'acconto non operate dal sostituto in un'unica soluzione entro il 31 luglio 2020 o mediante rateizzazione fino a un massimo di 5 rate mensili di pari importo a decorrere dal mese di luglio 2020, senza applicazione di sanzioni e interessi.</w:t>
      </w:r>
    </w:p>
    <w:p w14:paraId="546E4F2B"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  2. Il comma 7, dell'articolo 62, del decreto-legge 17 marzo 2020, n. 18 è abrogato.</w:t>
      </w:r>
    </w:p>
    <w:p w14:paraId="26E00DD3" w14:textId="77777777" w:rsidR="00AD1B0C" w:rsidRPr="00AD1B0C" w:rsidRDefault="00AD1B0C" w:rsidP="00AD1B0C">
      <w:pPr>
        <w:spacing w:after="160" w:line="259" w:lineRule="auto"/>
        <w:jc w:val="both"/>
        <w:rPr>
          <w:rFonts w:cs="Times New Roman"/>
          <w:color w:val="auto"/>
          <w:sz w:val="24"/>
          <w:szCs w:val="24"/>
          <w:lang w:eastAsia="en-US"/>
        </w:rPr>
      </w:pPr>
    </w:p>
    <w:p w14:paraId="7C7F0C06"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Articolo 20.</w:t>
      </w:r>
    </w:p>
    <w:p w14:paraId="30FD411C"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(Metodo previsionale acconti giugno)</w:t>
      </w:r>
    </w:p>
    <w:p w14:paraId="7EB79D9E" w14:textId="77777777" w:rsidR="00AD1B0C" w:rsidRPr="00AD1B0C" w:rsidRDefault="00AD1B0C" w:rsidP="00AD1B0C">
      <w:pPr>
        <w:spacing w:after="160" w:line="259" w:lineRule="auto"/>
        <w:jc w:val="both"/>
        <w:rPr>
          <w:rFonts w:cs="Times New Roman"/>
          <w:color w:val="auto"/>
          <w:sz w:val="24"/>
          <w:szCs w:val="24"/>
          <w:lang w:eastAsia="en-US"/>
        </w:rPr>
      </w:pPr>
    </w:p>
    <w:p w14:paraId="6526BD6B"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 Le disposizioni concernenti le sanzioni e gli interessi per il caso di omesso o di insufficiente versamento degli acconti dell'imposta sul reddito delle persone fisiche, dell'imposta sul reddito delle società e dell'imposta regionale sulle attività produttive non si applicano in caso di insufficiente versamento delle somme dovute se l'importo versato non è inferiore all'ottanta per cento della somma che risulterebbe dovuta a titolo di acconto sulla base della dichiarazione relativa al periodo di imposta in corso.</w:t>
      </w:r>
    </w:p>
    <w:p w14:paraId="1A3D9800"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  2. Le disposizioni di cui al comma 1 si applicano esclusivamente agli acconti dovuti per il periodo d'imposta successivo a quello in corso al 31 dicembre 2019.</w:t>
      </w:r>
    </w:p>
    <w:p w14:paraId="47FD0194" w14:textId="77777777" w:rsidR="00AD1B0C" w:rsidRPr="00AD1B0C" w:rsidRDefault="00AD1B0C" w:rsidP="00AD1B0C">
      <w:pPr>
        <w:spacing w:after="160" w:line="259" w:lineRule="auto"/>
        <w:jc w:val="both"/>
        <w:rPr>
          <w:rFonts w:cs="Times New Roman"/>
          <w:color w:val="auto"/>
          <w:sz w:val="24"/>
          <w:szCs w:val="24"/>
          <w:lang w:eastAsia="en-US"/>
        </w:rPr>
      </w:pPr>
    </w:p>
    <w:p w14:paraId="503272D7"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Articolo 21.</w:t>
      </w:r>
    </w:p>
    <w:p w14:paraId="3A6C8769"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(Rimessione in termini per i versamenti)</w:t>
      </w:r>
    </w:p>
    <w:p w14:paraId="709390CC" w14:textId="77777777" w:rsidR="00AD1B0C" w:rsidRPr="00AD1B0C" w:rsidRDefault="00AD1B0C" w:rsidP="00AD1B0C">
      <w:pPr>
        <w:spacing w:after="160" w:line="259" w:lineRule="auto"/>
        <w:jc w:val="both"/>
        <w:rPr>
          <w:rFonts w:cs="Times New Roman"/>
          <w:color w:val="auto"/>
          <w:sz w:val="24"/>
          <w:szCs w:val="24"/>
          <w:lang w:eastAsia="en-US"/>
        </w:rPr>
      </w:pPr>
    </w:p>
    <w:p w14:paraId="6826D127"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lastRenderedPageBreak/>
        <w:t>  1. I versamenti nei confronti delle pubbliche amministrazioni, di cui all'articolo 60 del decreto-legge 17 marzo 2020, n. 18, sono considerati tempestivi se effettuati entro il 16 aprile 2020.</w:t>
      </w:r>
    </w:p>
    <w:p w14:paraId="3432A680" w14:textId="77777777" w:rsidR="00AD1B0C" w:rsidRPr="00AD1B0C" w:rsidRDefault="00AD1B0C" w:rsidP="00AD1B0C">
      <w:pPr>
        <w:spacing w:after="160" w:line="259" w:lineRule="auto"/>
        <w:jc w:val="both"/>
        <w:rPr>
          <w:rFonts w:cs="Times New Roman"/>
          <w:color w:val="auto"/>
          <w:sz w:val="24"/>
          <w:szCs w:val="24"/>
          <w:lang w:eastAsia="en-US"/>
        </w:rPr>
      </w:pPr>
    </w:p>
    <w:p w14:paraId="162A5478"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Articolo 22.</w:t>
      </w:r>
    </w:p>
    <w:p w14:paraId="70F73C82"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(Disposizioni relative ai termini di consegna e di trasmissione telematica della Certificazione Unica 2020)</w:t>
      </w:r>
    </w:p>
    <w:p w14:paraId="57D93AEA" w14:textId="77777777" w:rsidR="00AD1B0C" w:rsidRPr="00AD1B0C" w:rsidRDefault="00AD1B0C" w:rsidP="00AD1B0C">
      <w:pPr>
        <w:spacing w:after="160" w:line="259" w:lineRule="auto"/>
        <w:jc w:val="both"/>
        <w:rPr>
          <w:rFonts w:cs="Times New Roman"/>
          <w:color w:val="auto"/>
          <w:sz w:val="24"/>
          <w:szCs w:val="24"/>
          <w:lang w:eastAsia="en-US"/>
        </w:rPr>
      </w:pPr>
    </w:p>
    <w:p w14:paraId="43B60E3B"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 Per l'anno 2020, il termine di cui all'articolo 4, comma 6-quater, del decreto del Presidente della Repubblica 22 luglio 1998, n. 322, è prorogato al 30 aprile.</w:t>
      </w:r>
    </w:p>
    <w:p w14:paraId="3A4CC480"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  2. Per l'anno 2020, la sanzione per la tardiva trasmissione delle certificazioni uniche di cui all'articolo 4, comma 6-quinquies, del decreto del Presidente della Repubblica 22 luglio 1998, n. 322, non si applica se le certificazioni uniche di cui al comma 6-ter del medesimo articolo 4 sono trasmesse in via telematica all'Agenzia delle entrate entro il 30 aprile.</w:t>
      </w:r>
    </w:p>
    <w:p w14:paraId="2E1B3EE3" w14:textId="77777777" w:rsidR="00AD1B0C" w:rsidRPr="00AD1B0C" w:rsidRDefault="00AD1B0C" w:rsidP="00AD1B0C">
      <w:pPr>
        <w:spacing w:after="160" w:line="259" w:lineRule="auto"/>
        <w:jc w:val="both"/>
        <w:rPr>
          <w:rFonts w:cs="Times New Roman"/>
          <w:color w:val="auto"/>
          <w:sz w:val="24"/>
          <w:szCs w:val="24"/>
          <w:lang w:eastAsia="en-US"/>
        </w:rPr>
      </w:pPr>
    </w:p>
    <w:p w14:paraId="664862E1"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Articolo 23.</w:t>
      </w:r>
    </w:p>
    <w:p w14:paraId="02063878"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(Proroga dei certificati di cui all'articolo 17-bis, comma 5, del decreto legislativo 9 luglio 1997, n. 241, emessi nel mese di febbraio 2020)</w:t>
      </w:r>
    </w:p>
    <w:p w14:paraId="43B10832" w14:textId="77777777" w:rsidR="00AD1B0C" w:rsidRPr="00AD1B0C" w:rsidRDefault="00AD1B0C" w:rsidP="00AD1B0C">
      <w:pPr>
        <w:spacing w:after="160" w:line="259" w:lineRule="auto"/>
        <w:jc w:val="both"/>
        <w:rPr>
          <w:rFonts w:cs="Times New Roman"/>
          <w:color w:val="auto"/>
          <w:sz w:val="24"/>
          <w:szCs w:val="24"/>
          <w:lang w:eastAsia="en-US"/>
        </w:rPr>
      </w:pPr>
    </w:p>
    <w:p w14:paraId="79942D45"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 I certificati previsti dall'articolo 17-bis, comma 5, del decreto legislativo 9 luglio 1997, n. 241, emessi entro il 29 febbraio 2020, conservano la loro validità fino al 30 giugno 2020.</w:t>
      </w:r>
    </w:p>
    <w:p w14:paraId="4499AF5F" w14:textId="77777777" w:rsidR="00AD1B0C" w:rsidRPr="00AD1B0C" w:rsidRDefault="00AD1B0C" w:rsidP="00AD1B0C">
      <w:pPr>
        <w:spacing w:after="160" w:line="259" w:lineRule="auto"/>
        <w:jc w:val="both"/>
        <w:rPr>
          <w:rFonts w:cs="Times New Roman"/>
          <w:color w:val="auto"/>
          <w:sz w:val="24"/>
          <w:szCs w:val="24"/>
          <w:lang w:eastAsia="en-US"/>
        </w:rPr>
      </w:pPr>
    </w:p>
    <w:p w14:paraId="56E99A5D"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Articolo 24.</w:t>
      </w:r>
    </w:p>
    <w:p w14:paraId="5AD3CD3B"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(Termini agevolazioni prima casa)</w:t>
      </w:r>
    </w:p>
    <w:p w14:paraId="0A753C69" w14:textId="77777777" w:rsidR="00AD1B0C" w:rsidRPr="00AD1B0C" w:rsidRDefault="00AD1B0C" w:rsidP="00AD1B0C">
      <w:pPr>
        <w:spacing w:after="160" w:line="259" w:lineRule="auto"/>
        <w:jc w:val="both"/>
        <w:rPr>
          <w:rFonts w:cs="Times New Roman"/>
          <w:color w:val="auto"/>
          <w:sz w:val="24"/>
          <w:szCs w:val="24"/>
          <w:lang w:eastAsia="en-US"/>
        </w:rPr>
      </w:pPr>
    </w:p>
    <w:p w14:paraId="4E9B31CE"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 I termini previsti dalla nota II-bis all'articolo 1 della Tariffa parte prima, allegata al testo unico delle disposizioni concernenti l'imposta di registro, approvato con decreto del Presidente della Repubblica 26 aprile 1986, n. 131, nonché il termine previsto dall'articolo 7 della legge 23 dicembre 1998, n. 448, ai fini del riconoscimento del credito d'imposta per il riacquisto della prima casa, sono sospesi nel periodo compreso tra il 23 febbraio 2020 e il 31 dicembre 2020.</w:t>
      </w:r>
    </w:p>
    <w:p w14:paraId="32D28560" w14:textId="77777777" w:rsidR="00AD1B0C" w:rsidRPr="00AD1B0C" w:rsidRDefault="00AD1B0C" w:rsidP="00AD1B0C">
      <w:pPr>
        <w:spacing w:after="160" w:line="259" w:lineRule="auto"/>
        <w:jc w:val="both"/>
        <w:rPr>
          <w:rFonts w:cs="Times New Roman"/>
          <w:color w:val="auto"/>
          <w:sz w:val="24"/>
          <w:szCs w:val="24"/>
          <w:lang w:eastAsia="en-US"/>
        </w:rPr>
      </w:pPr>
    </w:p>
    <w:p w14:paraId="51539009"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lastRenderedPageBreak/>
        <w:t>Articolo 25.</w:t>
      </w:r>
    </w:p>
    <w:p w14:paraId="0DC99326"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(Assistenza fiscale a distanza)</w:t>
      </w:r>
    </w:p>
    <w:p w14:paraId="091EBF2C" w14:textId="77777777" w:rsidR="00AD1B0C" w:rsidRPr="00AD1B0C" w:rsidRDefault="00AD1B0C" w:rsidP="00AD1B0C">
      <w:pPr>
        <w:spacing w:after="160" w:line="259" w:lineRule="auto"/>
        <w:jc w:val="both"/>
        <w:rPr>
          <w:rFonts w:cs="Times New Roman"/>
          <w:color w:val="auto"/>
          <w:sz w:val="24"/>
          <w:szCs w:val="24"/>
          <w:lang w:eastAsia="en-US"/>
        </w:rPr>
      </w:pPr>
    </w:p>
    <w:p w14:paraId="7B98AE75"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 Con riferimento al periodo d'imposta 2019, al fine di superare le difficoltà determinate dall'emergenza sanitaria e considerate le restrizioni volte a contrastare l'epidemia da COVID-19, fino alla cessazione dello stato di emergenza sanitaria, i soggetti titolari dei redditi di lavoro dipendente e assimilati indicati all'articolo 34, comma 4, del decreto legislativo 9 luglio 1997, n. 241, possono inviare in via telematica ai CAF e ai professionisti abilitati la copia per immagine della delega all'accesso alla dichiarazione precompilata sottoscritta e la copia della documentazione necessaria, unitamente alla copia del documento di identità. In caso di necessità, in luogo della sottoscrizione della delega, il contribuente può inviare al CAF o al professionista abilitato, in via telematica, copia per immagine di un'apposita autorizzazione predisposta in forma libera e sottoscritta.</w:t>
      </w:r>
    </w:p>
    <w:p w14:paraId="2B69B68A"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  2. Le modalità di cui al comma 1 sono consentite anche per la presentazione, in via telematica, di dichiarazioni, modelli e domande di accesso o fruizione di prestazioni all'INPS.</w:t>
      </w:r>
    </w:p>
    <w:p w14:paraId="118CA5AD"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  3. Resta fermo l'obbligo di regolarizzazione, con consegna delle citate deleghe e della documentazione, una volta cessata l'attuale situazione emergenziale.</w:t>
      </w:r>
    </w:p>
    <w:p w14:paraId="5BBC93A5" w14:textId="77777777" w:rsidR="00AD1B0C" w:rsidRPr="00AD1B0C" w:rsidRDefault="00AD1B0C" w:rsidP="00AD1B0C">
      <w:pPr>
        <w:spacing w:after="160" w:line="259" w:lineRule="auto"/>
        <w:jc w:val="both"/>
        <w:rPr>
          <w:rFonts w:cs="Times New Roman"/>
          <w:color w:val="auto"/>
          <w:sz w:val="24"/>
          <w:szCs w:val="24"/>
          <w:lang w:eastAsia="en-US"/>
        </w:rPr>
      </w:pPr>
    </w:p>
    <w:p w14:paraId="6C790AD0"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Articolo 26.</w:t>
      </w:r>
    </w:p>
    <w:p w14:paraId="7AA0C0A6"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(Semplificazioni per il versamento dell'imposta di bollo sulle fatture elettroniche)</w:t>
      </w:r>
    </w:p>
    <w:p w14:paraId="040BA083" w14:textId="77777777" w:rsidR="00AD1B0C" w:rsidRPr="00AD1B0C" w:rsidRDefault="00AD1B0C" w:rsidP="00AD1B0C">
      <w:pPr>
        <w:spacing w:after="160" w:line="259" w:lineRule="auto"/>
        <w:jc w:val="both"/>
        <w:rPr>
          <w:rFonts w:cs="Times New Roman"/>
          <w:color w:val="auto"/>
          <w:sz w:val="24"/>
          <w:szCs w:val="24"/>
          <w:lang w:eastAsia="en-US"/>
        </w:rPr>
      </w:pPr>
    </w:p>
    <w:p w14:paraId="4D196CF9"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 All'articolo 17 del decreto-legge 26 ottobre 2019, n. 124, convertito, con modificazioni, dalla legge 19 dicembre 2019, n. 157, il comma 1-bis è sostituito dal seguente: «1-bis. Al fine di semplificare e ridurre gli adempimenti dei contribuenti, il pagamento dell'imposta di bollo può essere effettuato, senza applicazione di interessi e sanzioni:</w:t>
      </w:r>
    </w:p>
    <w:p w14:paraId="63766CD0" w14:textId="77777777" w:rsidR="00AD1B0C" w:rsidRPr="00AD1B0C" w:rsidRDefault="00AD1B0C" w:rsidP="00AD1B0C">
      <w:pPr>
        <w:spacing w:after="160" w:line="259" w:lineRule="auto"/>
        <w:jc w:val="both"/>
        <w:rPr>
          <w:rFonts w:cs="Times New Roman"/>
          <w:color w:val="auto"/>
          <w:sz w:val="24"/>
          <w:szCs w:val="24"/>
          <w:lang w:eastAsia="en-US"/>
        </w:rPr>
      </w:pPr>
    </w:p>
    <w:p w14:paraId="51395807"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   a) per il primo trimestre, nei termini previsti per il versamento dell'imposta relativa al secondo trimestre solare dell'anno di riferimento, qualora l'ammontare dell'imposta da versare per le fatture elettroniche emesse nel primo trimestre solare dell'anno sia inferiore a 250 euro;</w:t>
      </w:r>
    </w:p>
    <w:p w14:paraId="1FF2F709" w14:textId="77777777" w:rsidR="00AD1B0C" w:rsidRPr="00AD1B0C" w:rsidRDefault="00AD1B0C" w:rsidP="00AD1B0C">
      <w:pPr>
        <w:spacing w:after="160" w:line="259" w:lineRule="auto"/>
        <w:jc w:val="both"/>
        <w:rPr>
          <w:rFonts w:cs="Times New Roman"/>
          <w:color w:val="auto"/>
          <w:sz w:val="24"/>
          <w:szCs w:val="24"/>
          <w:lang w:eastAsia="en-US"/>
        </w:rPr>
      </w:pPr>
    </w:p>
    <w:p w14:paraId="46FBDCBA"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lastRenderedPageBreak/>
        <w:t>   b) per il primo e secondo trimestre, nei termini previsti per il versamento dell'imposta relativa al terzo trimestre solare dell'anno di riferimento, qualora l'ammontare dell'imposta da versare per le fatture elettroniche emesse nel primo e secondo trimestre solare dell'anno sia inferiore complessivamente a 250 euro.».</w:t>
      </w:r>
    </w:p>
    <w:p w14:paraId="474F97D9" w14:textId="77777777" w:rsidR="00AD1B0C" w:rsidRPr="00AD1B0C" w:rsidRDefault="00AD1B0C" w:rsidP="00AD1B0C">
      <w:pPr>
        <w:spacing w:after="160" w:line="259" w:lineRule="auto"/>
        <w:jc w:val="both"/>
        <w:rPr>
          <w:rFonts w:cs="Times New Roman"/>
          <w:color w:val="auto"/>
          <w:sz w:val="24"/>
          <w:szCs w:val="24"/>
          <w:lang w:eastAsia="en-US"/>
        </w:rPr>
      </w:pPr>
    </w:p>
    <w:p w14:paraId="53813639"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Articolo 27.</w:t>
      </w:r>
    </w:p>
    <w:p w14:paraId="1F0A131C"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(Cessione gratuita di farmaci ad uso compassionevole)</w:t>
      </w:r>
    </w:p>
    <w:p w14:paraId="608BC9F3" w14:textId="77777777" w:rsidR="00AD1B0C" w:rsidRPr="00AD1B0C" w:rsidRDefault="00AD1B0C" w:rsidP="00AD1B0C">
      <w:pPr>
        <w:spacing w:after="160" w:line="259" w:lineRule="auto"/>
        <w:jc w:val="both"/>
        <w:rPr>
          <w:rFonts w:cs="Times New Roman"/>
          <w:color w:val="auto"/>
          <w:sz w:val="24"/>
          <w:szCs w:val="24"/>
          <w:lang w:eastAsia="en-US"/>
        </w:rPr>
      </w:pPr>
    </w:p>
    <w:p w14:paraId="6DCF52A1"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 La presunzione di cessione di cui all'articolo 1 del decreto del Presidente della Repubblica 10 novembre 1997, n. 441, non opera per le cessioni gratuite di farmaci nell'ambito dei programmi ad uso compassionevole, individuati dal decreto del Ministro della salute 7 settembre 2017, pubblicato nella Gazzetta Ufficiale 2 novembre 2017, n. 256, autorizzate dal competente Comitato Etico, effettuate nei confronti dei soggetti indicati dall'articolo 3 dello stesso decreto.</w:t>
      </w:r>
    </w:p>
    <w:p w14:paraId="45A1E525"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  2. I farmaci di cui al comma 1 non si considerano destinati a finalità estranee all'esercizio dell'impresa ai sensi dell'articolo 85, comma 2, del testo unico delle imposte sui redditi, di cui al decreto del Presidente della Repubblica 22 dicembre 1986, n. 917.</w:t>
      </w:r>
    </w:p>
    <w:p w14:paraId="6EE0A39D" w14:textId="77777777" w:rsidR="00AD1B0C" w:rsidRPr="00AD1B0C" w:rsidRDefault="00AD1B0C" w:rsidP="00AD1B0C">
      <w:pPr>
        <w:spacing w:after="160" w:line="259" w:lineRule="auto"/>
        <w:jc w:val="both"/>
        <w:rPr>
          <w:rFonts w:cs="Times New Roman"/>
          <w:color w:val="auto"/>
          <w:sz w:val="24"/>
          <w:szCs w:val="24"/>
          <w:lang w:eastAsia="en-US"/>
        </w:rPr>
      </w:pPr>
    </w:p>
    <w:p w14:paraId="3AF1C2CF"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Articolo 28.</w:t>
      </w:r>
    </w:p>
    <w:p w14:paraId="67CB53F1"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(Modifiche all'articolo 32-quater del decreto-legge n. 124 del 2019)</w:t>
      </w:r>
    </w:p>
    <w:p w14:paraId="7E602F18" w14:textId="77777777" w:rsidR="00AD1B0C" w:rsidRPr="00AD1B0C" w:rsidRDefault="00AD1B0C" w:rsidP="00AD1B0C">
      <w:pPr>
        <w:spacing w:after="160" w:line="259" w:lineRule="auto"/>
        <w:jc w:val="both"/>
        <w:rPr>
          <w:rFonts w:cs="Times New Roman"/>
          <w:color w:val="auto"/>
          <w:sz w:val="24"/>
          <w:szCs w:val="24"/>
          <w:lang w:eastAsia="en-US"/>
        </w:rPr>
      </w:pPr>
    </w:p>
    <w:p w14:paraId="4AFBB729"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 All'articolo 32-quater del decreto-legge 26 ottobre 2019, n. 124, convertito, con modificazioni, dalla legge 19 dicembre 2019, n. 157, sono apportate le seguenti modificazioni:</w:t>
      </w:r>
    </w:p>
    <w:p w14:paraId="35AE7B15" w14:textId="77777777" w:rsidR="00AD1B0C" w:rsidRPr="00AD1B0C" w:rsidRDefault="00AD1B0C" w:rsidP="00AD1B0C">
      <w:pPr>
        <w:spacing w:after="160" w:line="259" w:lineRule="auto"/>
        <w:jc w:val="both"/>
        <w:rPr>
          <w:rFonts w:cs="Times New Roman"/>
          <w:color w:val="auto"/>
          <w:sz w:val="24"/>
          <w:szCs w:val="24"/>
          <w:lang w:eastAsia="en-US"/>
        </w:rPr>
      </w:pPr>
    </w:p>
    <w:p w14:paraId="01B4B0A5"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   a) al comma 1, dopo le parole «di cui al decreto del Presidente della Repubblica 22 dicembre 1986, n. 917,», le parole «dalle società e dagli enti residenti di cui all'articolo 73, comma 1, lettere a), b) e c),» sono sostituite dalle seguenti: «dalle società e dagli enti di cui all'articolo 73, comma 1, lettere a), b), c) e d),»;</w:t>
      </w:r>
    </w:p>
    <w:p w14:paraId="0BE95F85" w14:textId="77777777" w:rsidR="00AD1B0C" w:rsidRPr="00AD1B0C" w:rsidRDefault="00AD1B0C" w:rsidP="00AD1B0C">
      <w:pPr>
        <w:spacing w:after="160" w:line="259" w:lineRule="auto"/>
        <w:jc w:val="both"/>
        <w:rPr>
          <w:rFonts w:cs="Times New Roman"/>
          <w:color w:val="auto"/>
          <w:sz w:val="24"/>
          <w:szCs w:val="24"/>
          <w:lang w:eastAsia="en-US"/>
        </w:rPr>
      </w:pPr>
    </w:p>
    <w:p w14:paraId="13021FED"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xml:space="preserve">   b) al comma 1, lettera c), dopo le parole «sono soggetti a tassazione con applicazione», le parole «di una ritenuta a titolo d'imposta nella misura prevista dall'articolo 27, comma 1, del decreto del </w:t>
      </w:r>
      <w:r w:rsidRPr="00AD1B0C">
        <w:rPr>
          <w:rFonts w:cs="Times New Roman"/>
          <w:color w:val="auto"/>
          <w:sz w:val="24"/>
          <w:szCs w:val="24"/>
          <w:lang w:eastAsia="en-US"/>
        </w:rPr>
        <w:lastRenderedPageBreak/>
        <w:t>Presidente della Repubblica 29 settembre 1973, n. 600», sono sostituite dalle seguenti: «della ritenuta di cui all'articolo 27, del decreto del Presidente della Repubblica 29 settembre 1973, n. 600, con la stessa aliquota e alle stesse condizioni previste nel medesimo articolo 27»;</w:t>
      </w:r>
    </w:p>
    <w:p w14:paraId="538F90D1" w14:textId="77777777" w:rsidR="00AD1B0C" w:rsidRPr="00AD1B0C" w:rsidRDefault="00AD1B0C" w:rsidP="00AD1B0C">
      <w:pPr>
        <w:spacing w:after="160" w:line="259" w:lineRule="auto"/>
        <w:jc w:val="both"/>
        <w:rPr>
          <w:rFonts w:cs="Times New Roman"/>
          <w:color w:val="auto"/>
          <w:sz w:val="24"/>
          <w:szCs w:val="24"/>
          <w:lang w:eastAsia="en-US"/>
        </w:rPr>
      </w:pPr>
    </w:p>
    <w:p w14:paraId="45B388B1"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   c) al comma 1, dopo la lettera c), sono inserite le seguenti: «c-bis) per la quota imputabile ai soggetti di cui all'articolo 73, comma 1, lettera c) del citato testo unico di cui al decreto del Presidente della Repubblica n. 917 del 1986, concorrono alla formazione del reddito complessivo per l'intero ammontare; c-ter) per la quota imputabile a soggetti non residenti nel territorio dello Stato, sono soggetti a tassazione con applicazione di una ritenuta nella misura prevista dal medesimo articolo 27 del decreto del Presidente della Repubblica 29 settembre 1973, n. 600; per i soggetti non residenti indicati nel comma 3-ter del citato articolo 27 la misura della predetta ritenuta è pari a quella stabilita dal medesimo comma 3-ter.»;</w:t>
      </w:r>
    </w:p>
    <w:p w14:paraId="138FB988" w14:textId="77777777" w:rsidR="00AD1B0C" w:rsidRPr="00AD1B0C" w:rsidRDefault="00AD1B0C" w:rsidP="00AD1B0C">
      <w:pPr>
        <w:spacing w:after="160" w:line="259" w:lineRule="auto"/>
        <w:jc w:val="both"/>
        <w:rPr>
          <w:rFonts w:cs="Times New Roman"/>
          <w:color w:val="auto"/>
          <w:sz w:val="24"/>
          <w:szCs w:val="24"/>
          <w:lang w:eastAsia="en-US"/>
        </w:rPr>
      </w:pPr>
    </w:p>
    <w:p w14:paraId="0BCD57F9"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   d) dopo il comma 1 è inserito il seguente: «1-bis. Resta fermo il regime fiscale applicabile agli utili provenienti da imprese o enti residenti o localizzati in Stati o territori a regime fiscale privilegiato individuati ai sensi dell'articolo 47-bis, comma 1, del testo unico delle imposte sui redditi di cui al decreto del Presidente della Repubblica 22 dicembre 1986, n. 917.»;</w:t>
      </w:r>
    </w:p>
    <w:p w14:paraId="5FB49C75" w14:textId="77777777" w:rsidR="00AD1B0C" w:rsidRPr="00AD1B0C" w:rsidRDefault="00AD1B0C" w:rsidP="00AD1B0C">
      <w:pPr>
        <w:spacing w:after="160" w:line="259" w:lineRule="auto"/>
        <w:jc w:val="both"/>
        <w:rPr>
          <w:rFonts w:cs="Times New Roman"/>
          <w:color w:val="auto"/>
          <w:sz w:val="24"/>
          <w:szCs w:val="24"/>
          <w:lang w:eastAsia="en-US"/>
        </w:rPr>
      </w:pPr>
    </w:p>
    <w:p w14:paraId="2EE32CC4"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   e) il comma 2 è sostituito dal seguente: «2. Sugli utili derivanti dalle azioni e dagli strumenti finanziari similari alle azioni, immessi nel sistema di deposito accentrato gestito da una società di gestione accentrata, è applicata, in luogo della ritenuta di cui al comma 1, l'imposta sostitutiva di cui all'articolo 27-ter del decreto del Presidente della Repubblica 29 settembre 1973, n. 600, con la stessa aliquota e alle stesse condizioni previste nel medesimo articolo 27-ter. Le ritenute di cui al comma 1 del presente articolo e l'imposta sostitutiva di cui al periodo precedente sono operate sulla base delle informazioni fornite dalla società semplice.»;</w:t>
      </w:r>
    </w:p>
    <w:p w14:paraId="5C392322" w14:textId="77777777" w:rsidR="00AD1B0C" w:rsidRPr="00AD1B0C" w:rsidRDefault="00AD1B0C" w:rsidP="00AD1B0C">
      <w:pPr>
        <w:spacing w:after="160" w:line="259" w:lineRule="auto"/>
        <w:jc w:val="both"/>
        <w:rPr>
          <w:rFonts w:cs="Times New Roman"/>
          <w:color w:val="auto"/>
          <w:sz w:val="24"/>
          <w:szCs w:val="24"/>
          <w:lang w:eastAsia="en-US"/>
        </w:rPr>
      </w:pPr>
    </w:p>
    <w:p w14:paraId="1705B794"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   f) dopo il comma 2 è aggiunto il seguente: «2-bis. Le disposizioni di cui al presente articolo si applicano ai dividendi percepiti a partire dal 1° gennaio 2020. In deroga alle disposizioni di cui al periodo precedente, alle distribuzioni di utili derivanti da partecipazioni in società ed enti soggetti all'imposta sul reddito delle società, formatesi con utili prodotti fino all'esercizio in corso al 31 dicembre 2019, deliberate entro il 31 dicembre 2022, continua ad applicarsi la disciplina previgente a quella prevista dall'articolo 1, commi da 999 a 1006, della legge 27 dicembre 2017, n. 205.».</w:t>
      </w:r>
    </w:p>
    <w:p w14:paraId="516075A4" w14:textId="77777777" w:rsidR="00AD1B0C" w:rsidRPr="00AD1B0C" w:rsidRDefault="00AD1B0C" w:rsidP="00AD1B0C">
      <w:pPr>
        <w:spacing w:after="160" w:line="259" w:lineRule="auto"/>
        <w:jc w:val="both"/>
        <w:rPr>
          <w:rFonts w:cs="Times New Roman"/>
          <w:color w:val="auto"/>
          <w:sz w:val="24"/>
          <w:szCs w:val="24"/>
          <w:lang w:eastAsia="en-US"/>
        </w:rPr>
      </w:pPr>
    </w:p>
    <w:p w14:paraId="7C8DFC5A"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lastRenderedPageBreak/>
        <w:t>Articolo 29.</w:t>
      </w:r>
    </w:p>
    <w:p w14:paraId="6E16F87C"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(Disposizioni in materia di processo tributario e notifica degli atti sanzionatori relativi al contributo unificato e attività del contenzioso degli enti impositori)</w:t>
      </w:r>
    </w:p>
    <w:p w14:paraId="0247AD8E" w14:textId="77777777" w:rsidR="00AD1B0C" w:rsidRPr="00AD1B0C" w:rsidRDefault="00AD1B0C" w:rsidP="00AD1B0C">
      <w:pPr>
        <w:spacing w:after="160" w:line="259" w:lineRule="auto"/>
        <w:jc w:val="both"/>
        <w:rPr>
          <w:rFonts w:cs="Times New Roman"/>
          <w:color w:val="auto"/>
          <w:sz w:val="24"/>
          <w:szCs w:val="24"/>
          <w:lang w:eastAsia="en-US"/>
        </w:rPr>
      </w:pPr>
    </w:p>
    <w:p w14:paraId="12D9C17C"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 Gli enti impositori, gli agenti della riscossione e i soggetti iscritti nell'albo di cui all'articolo 53 del decreto legislativo 15 dicembre 1997, n. 446, e le parti assistite da un difensore abilitato che si sono costituite in giudizio con modalità analogiche, sono tenute a notificare e depositare gli atti successivi, nonché i provvedimenti giurisdizionali, esclusivamente con le modalità telematiche stabilite dal decreto del Ministro dell'economia e delle finanze 23 dicembre 2013, n. 163, e dai successivi decreti attuativi.</w:t>
      </w:r>
    </w:p>
    <w:p w14:paraId="46E05B8F"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  2. All'articolo 16 del decreto del Presidente della Repubblica 30 maggio 2002, n. 115, dopo il comma 1-bis è aggiunto il seguente: «1-ter. La sanzione irrogata, anche attraverso la comunicazione contenuta nell'invito al pagamento di cui all'articolo 248, è notificata a cura dell'ufficio e anche tramite posta elettronica certificata, nel domicilio eletto o, nel caso di mancata elezione del domicilio, è depositata presso l'ufficio.».</w:t>
      </w:r>
    </w:p>
    <w:p w14:paraId="28255F8E"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  3. In deroga al termine fissato dall'articolo 67, comma 1, del decreto-legge 17 marzo 2020, n. 18, la proroga del termine di cui all'articolo 73, comma 1, si applica anche alle attività del contenzioso degli enti impositori.</w:t>
      </w:r>
    </w:p>
    <w:p w14:paraId="3CCFA5ED" w14:textId="77777777" w:rsidR="00AD1B0C" w:rsidRPr="00AD1B0C" w:rsidRDefault="00AD1B0C" w:rsidP="00AD1B0C">
      <w:pPr>
        <w:spacing w:after="160" w:line="259" w:lineRule="auto"/>
        <w:jc w:val="both"/>
        <w:rPr>
          <w:rFonts w:cs="Times New Roman"/>
          <w:color w:val="auto"/>
          <w:sz w:val="24"/>
          <w:szCs w:val="24"/>
          <w:lang w:eastAsia="en-US"/>
        </w:rPr>
      </w:pPr>
    </w:p>
    <w:p w14:paraId="051D38B0"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Articolo 30.</w:t>
      </w:r>
    </w:p>
    <w:p w14:paraId="4D146545"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(Credito d'imposta per l'acquisto di dispositivi di protezione nei luoghi di lavoro)</w:t>
      </w:r>
    </w:p>
    <w:p w14:paraId="227DDDC9" w14:textId="77777777" w:rsidR="00AD1B0C" w:rsidRPr="00AD1B0C" w:rsidRDefault="00AD1B0C" w:rsidP="00AD1B0C">
      <w:pPr>
        <w:spacing w:after="160" w:line="259" w:lineRule="auto"/>
        <w:jc w:val="both"/>
        <w:rPr>
          <w:rFonts w:cs="Times New Roman"/>
          <w:color w:val="auto"/>
          <w:sz w:val="24"/>
          <w:szCs w:val="24"/>
          <w:lang w:eastAsia="en-US"/>
        </w:rPr>
      </w:pPr>
    </w:p>
    <w:p w14:paraId="51B23A11"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 Al fine di incentivare l'acquisto di attrezzature volte a evitare il contagio del virus COVID-19 nei luoghi di lavoro, il credito d'imposta di cui all'articolo 64 del decreto-legge 17 marzo 2020, n. 18, trova applicazione secondo le misure e nei limiti di spesa complessivi ivi previsti, anche per le spese sostenute nell'anno 2020 per l'acquisto di dispositivi di protezione individuale e altri dispositivi di sicurezza atti a proteggere i lavoratori dall'esposizione accidentale ad agenti biologici e a garantire la distanza di sicurezza interpersonale.</w:t>
      </w:r>
    </w:p>
    <w:p w14:paraId="3D6A740B"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  2. Con il decreto del Ministro dello sviluppo economico, di concerto on il Ministro dell'economia e delle finanze, da adottare ai sensi del comma 2 dell'articolo 64 del decreto-legge 17 marzo 2020, n. 18, sono stabiliti altresì i criteri e le modalità di applicazione e di fruizione del credito d'imposta di cui al presente articolo.</w:t>
      </w:r>
    </w:p>
    <w:p w14:paraId="37F2A9FB" w14:textId="77777777" w:rsidR="00AD1B0C" w:rsidRPr="00AD1B0C" w:rsidRDefault="00AD1B0C" w:rsidP="00AD1B0C">
      <w:pPr>
        <w:spacing w:after="160" w:line="259" w:lineRule="auto"/>
        <w:jc w:val="both"/>
        <w:rPr>
          <w:rFonts w:cs="Times New Roman"/>
          <w:color w:val="auto"/>
          <w:sz w:val="24"/>
          <w:szCs w:val="24"/>
          <w:lang w:eastAsia="en-US"/>
        </w:rPr>
      </w:pPr>
    </w:p>
    <w:p w14:paraId="736FCFCE"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Articolo 31.</w:t>
      </w:r>
    </w:p>
    <w:p w14:paraId="238418EF"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(Potenziamento dell'Agenzia delle dogane e dei monopoli)</w:t>
      </w:r>
    </w:p>
    <w:p w14:paraId="1DBD4F7C" w14:textId="77777777" w:rsidR="00AD1B0C" w:rsidRPr="00AD1B0C" w:rsidRDefault="00AD1B0C" w:rsidP="00AD1B0C">
      <w:pPr>
        <w:spacing w:after="160" w:line="259" w:lineRule="auto"/>
        <w:jc w:val="both"/>
        <w:rPr>
          <w:rFonts w:cs="Times New Roman"/>
          <w:color w:val="auto"/>
          <w:sz w:val="24"/>
          <w:szCs w:val="24"/>
          <w:lang w:eastAsia="en-US"/>
        </w:rPr>
      </w:pPr>
    </w:p>
    <w:p w14:paraId="029F068B"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 Per l'anno 2020, al fine di consentire lo svolgimento di maggiori prestazioni lavorative articolate su turnazioni, in considerazione dei rilevanti impegni derivanti dall'incremento delle attività di controllo presso i porti, gli aeroporti e le dogane interne in relazione dall'emergenza sanitaria Covid19, le risorse variabili del Fondo risorse decentrate dell'Agenzia delle dogane e dei monopoli sono incrementate di otto milioni di euro, a valere sui finanziamenti dell'Agenzia stessa, in deroga all'articolo 23, comma 2, del decreto legislativo 25 maggio 2017, n. 75. Alla compensazione degli effetti finanziari in termini di fabbisogno e indebitamento netto, pari a 4,12 milioni di euro per l'anno 2020, si provvede mediante utilizzo delle risorse rivenienti dall'abrogazione di cui al comma 2.</w:t>
      </w:r>
    </w:p>
    <w:p w14:paraId="29CAA258"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  2. L'articolo 70 del decreto-legge 17 marzo 2020, n. 18 è abrogato.</w:t>
      </w:r>
    </w:p>
    <w:p w14:paraId="5DC2C503"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  3. A decorrere dall'entrata in vigore del presente decreto, i dipendenti dell'Agenzia delle dogane e dei monopoli, che provengono dall'Amministrazione Autonoma dei Monopoli di Stato e quelli che prestano servizio presso gli uffici dei Monopoli o presso qualsiasi altro ufficio dell'Agenzia delle dogane e dei monopoli, sono equiparati ai dipendenti provenienti dall'Agenzia delle dogane, nei limiti del servizio prestato e delle attribuzioni ad esso connesse, anche ai sensi di quanto disposto dagli articoli 324 e 325 del decreto del Presidente della Repubblica 23 gennaio 1973, n. 43, dall'articolo 32 del decreto-legge 30 agosto 1993, n. 331, convertito, con modificazioni, dalla legge 29 ottobre 1993, n. 427, dall'articolo 57, comma 3, del decreto del Presidente della Repubblica 22 settembre 1988, n. 447, dagli articoli 30 e 31 della legge 7 gennaio 1929, n. 4, dagli articoli 18, 19 e 58 del decreto legislativo 26 ottobre 1995, n. 504. Agli effetti di cui al presente comma si provvede nell'ambito del fondo delle risorse decentrate nei limiti degli importi complessivamente disponibili a legislazione vigente.</w:t>
      </w:r>
    </w:p>
    <w:p w14:paraId="140CFA08" w14:textId="77777777" w:rsidR="00AD1B0C" w:rsidRPr="00AD1B0C" w:rsidRDefault="00AD1B0C" w:rsidP="00AD1B0C">
      <w:pPr>
        <w:spacing w:after="160" w:line="259" w:lineRule="auto"/>
        <w:jc w:val="both"/>
        <w:rPr>
          <w:rFonts w:cs="Times New Roman"/>
          <w:color w:val="auto"/>
          <w:sz w:val="24"/>
          <w:szCs w:val="24"/>
          <w:lang w:eastAsia="en-US"/>
        </w:rPr>
      </w:pPr>
    </w:p>
    <w:p w14:paraId="50E0B4A3"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Articolo 32.</w:t>
      </w:r>
    </w:p>
    <w:p w14:paraId="577E9FBD"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(Misure urgenti per l'avvio di specifiche funzioni assistenziali per l'emergenza COVID-19)</w:t>
      </w:r>
    </w:p>
    <w:p w14:paraId="2FC2FD4A" w14:textId="77777777" w:rsidR="00AD1B0C" w:rsidRPr="00AD1B0C" w:rsidRDefault="00AD1B0C" w:rsidP="00AD1B0C">
      <w:pPr>
        <w:spacing w:after="160" w:line="259" w:lineRule="auto"/>
        <w:jc w:val="center"/>
        <w:rPr>
          <w:rFonts w:cs="Times New Roman"/>
          <w:color w:val="auto"/>
          <w:sz w:val="24"/>
          <w:szCs w:val="24"/>
          <w:lang w:eastAsia="en-US"/>
        </w:rPr>
      </w:pPr>
    </w:p>
    <w:p w14:paraId="667BBB60"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xml:space="preserve">  1. Per far fronte all'emergenza epidemiologica COVID-19, limitatamente al periodo dello stato di emergenza di cui alla delibera del Consiglio dei ministri 31 gennaio 2020, anche in deroga al limite di spesa di cui all'articolo 45, comma 1-ter, del decreto legge 26 ottobre 2019, n. 124 convertito, con modificazioni, dalla legge 19 dicembre 2019, n. 157, e in deroga all'articolo 8-sexies, comma 1-bis, del </w:t>
      </w:r>
      <w:r w:rsidRPr="00AD1B0C">
        <w:rPr>
          <w:rFonts w:cs="Times New Roman"/>
          <w:color w:val="auto"/>
          <w:sz w:val="24"/>
          <w:szCs w:val="24"/>
          <w:lang w:eastAsia="en-US"/>
        </w:rPr>
        <w:lastRenderedPageBreak/>
        <w:t>decreto legislativo 30 dicembre 1992, n. 502, le regioni, ivi comprese quelle in piano di rientro, e le province autonome di Trento e Bolzano possono riconoscere alle strutture inserite nei piani adottati in attuazione dell'articolo 3, comma 1, lettera b), del decreto legge 17 marzo 2020, n. 18, la remunerazione di una specifica funzione assistenziale per i maggiori costi correlati all'allestimento dei reparti e alla gestione dell'emergenza COVID 19 secondo le disposizioni dei predetti piani e un incremento tariffario per le attività rese a pazienti COVID. Il riconoscimento avviene in sede di rinegoziazione per l'anno 2020 degli accordi e dei contratti di cui all'articolo 8-quinquies del decreto legislativo 30 dicembre 1992, n. 502, per le finalità emergenziali previste dai predetti piani.</w:t>
      </w:r>
    </w:p>
    <w:p w14:paraId="33D03442"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  2. Con decreto del Ministro della salute, di concerto con il Ministro dell'economia e delle finanze, previa Intesa con la Conferenza permanente per i rapporti tra lo Stato, le regioni e le province autonome di Trento e Bolzano, sono stabilite le modalità di determinazione della specifica funzione assistenziale e l'incremento tariffario di cui al comma 1 in modo da garantire la compatibilità con le risorse previste per l'attuazione dell'articolo 3, comma 6, del decreto legge 17 marzo 2020, n. 18.</w:t>
      </w:r>
    </w:p>
    <w:p w14:paraId="55718E68"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  3. Nella vigenza dell'accordo rinegoziato ai sensi del comma 1, gli enti del servizio sanitario nazionale corrispondono agli erogatori privati, a titolo di acconto e salvo conguaglio a seguito di apposita rendicontazione delle attività da parte degli erogatori privati, un corrispettivo, su base mensile, per le prestazioni rese ai sensi del presente articolo, nel limite del 70 per cento dei dodicesimi corrisposti o comunque dovuti per l'anno 2020.</w:t>
      </w:r>
    </w:p>
    <w:p w14:paraId="00712219" w14:textId="77777777" w:rsidR="00AD1B0C" w:rsidRPr="00AD1B0C" w:rsidRDefault="00AD1B0C" w:rsidP="00AD1B0C">
      <w:pPr>
        <w:spacing w:after="160" w:line="259" w:lineRule="auto"/>
        <w:jc w:val="both"/>
        <w:rPr>
          <w:rFonts w:cs="Times New Roman"/>
          <w:color w:val="auto"/>
          <w:sz w:val="24"/>
          <w:szCs w:val="24"/>
          <w:lang w:eastAsia="en-US"/>
        </w:rPr>
      </w:pPr>
    </w:p>
    <w:p w14:paraId="0F35C54B"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Articolo 33.</w:t>
      </w:r>
    </w:p>
    <w:p w14:paraId="1CDE882B"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(Proroga organi e rendiconti)</w:t>
      </w:r>
    </w:p>
    <w:p w14:paraId="201AA843" w14:textId="77777777" w:rsidR="00AD1B0C" w:rsidRPr="00AD1B0C" w:rsidRDefault="00AD1B0C" w:rsidP="00AD1B0C">
      <w:pPr>
        <w:spacing w:after="160" w:line="259" w:lineRule="auto"/>
        <w:jc w:val="center"/>
        <w:rPr>
          <w:rFonts w:cs="Times New Roman"/>
          <w:color w:val="auto"/>
          <w:sz w:val="24"/>
          <w:szCs w:val="24"/>
          <w:lang w:eastAsia="en-US"/>
        </w:rPr>
      </w:pPr>
    </w:p>
    <w:p w14:paraId="39B5CAE0"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 In considerazione della situazione straordinaria di emergenza sanitaria derivante dalla diffusione dell'epidemia COVID-19, per gli enti e organismi pubblici di cui all'articolo 1, comma 2, della legge 31 dicembre 2009, n. 196, con esclusione delle Regioni e delle Province autonome di Trento e di Bolzano, delle Città metropolitane, delle Province, dei Comuni, delle Comunità montane e dei loro consorzi e associazioni, ed altresì con esclusione delle Società, che, nel periodo dello stato di emergenza dichiarato con delibera del Consiglio dei Ministri del 31 gennaio 2020, sono tenuti al rinnovo degli organi ordinari e straordinari di amministrazione e controllo, i termini di cui all'articolo 3, comma 1, del decreto-legge 16 maggio 1994, n. 293, convertito, con modificazioni, dalla legge 15 luglio 1994, n. 444, sono ulteriormente prorogati fino al termine dello stato di emergenza e, comunque, fino alla loro ricomposizione. Fino al termine dello stato di emergenza, gli enti e organismi pubblici a base associativa che, in tale periodo, sono tenuti al rinnovo degli organi di amministrazione e controllo possono sospendere le procedure di rinnovo elettorali, anche in corso, con contestuale proroga degli organi.</w:t>
      </w:r>
    </w:p>
    <w:p w14:paraId="0E34BBDF"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lastRenderedPageBreak/>
        <w:t>  2. Limitatamente all'anno 2020, i rendiconti suppletivi previsti dall'articolo 61 del regio decreto 18 novembre 1923, n. 2440, relativi all'esercizio 2019, sono presentati entro il termine dello stato di emergenza dichiarato con delibera del Consiglio dei Ministri del 31 gennaio 2020.</w:t>
      </w:r>
    </w:p>
    <w:p w14:paraId="1818168E"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  3. All'articolo 11 del decreto legislativo 30 giugno 2011, n. 123, comma 1, dopo la lettera c), è inserita la lettera «c-bis) rendiconti di contabilità speciale concernenti i pagamenti degli interventi europei o della programmazione complementare di cui all'articolo 1, comma 671, della legge 23 dicembre 2014, n. 190»; conseguentemente, all'articolo 12, comma 1, dello stesso decreto legislativo n. 123 del 2011, le parole: «nonché dei pagamenti di cui alla lettera e-bis)», sono sostituite dalle seguenti: «nonché dei pagamenti di cui alle lettere c-bis) ed e-bis)».»</w:t>
      </w:r>
    </w:p>
    <w:p w14:paraId="6F26166E" w14:textId="77777777" w:rsidR="00AD1B0C" w:rsidRPr="00AD1B0C" w:rsidRDefault="00AD1B0C" w:rsidP="00AD1B0C">
      <w:pPr>
        <w:spacing w:after="160" w:line="259" w:lineRule="auto"/>
        <w:jc w:val="both"/>
        <w:rPr>
          <w:rFonts w:cs="Times New Roman"/>
          <w:color w:val="auto"/>
          <w:sz w:val="24"/>
          <w:szCs w:val="24"/>
          <w:lang w:eastAsia="en-US"/>
        </w:rPr>
      </w:pPr>
    </w:p>
    <w:p w14:paraId="233779CA"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Articolo 34.</w:t>
      </w:r>
    </w:p>
    <w:p w14:paraId="22480FBA"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(Divieto di cumulo pensioni e redditi)</w:t>
      </w:r>
    </w:p>
    <w:p w14:paraId="41902823" w14:textId="77777777" w:rsidR="00AD1B0C" w:rsidRPr="00AD1B0C" w:rsidRDefault="00AD1B0C" w:rsidP="00AD1B0C">
      <w:pPr>
        <w:spacing w:after="160" w:line="259" w:lineRule="auto"/>
        <w:jc w:val="both"/>
        <w:rPr>
          <w:rFonts w:cs="Times New Roman"/>
          <w:color w:val="auto"/>
          <w:sz w:val="24"/>
          <w:szCs w:val="24"/>
          <w:lang w:eastAsia="en-US"/>
        </w:rPr>
      </w:pPr>
    </w:p>
    <w:p w14:paraId="5260B130"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 Ai fini del riconoscimento dell'indennità di cui all'articolo 44 del decreto-legge 17 marzo 2020, n. 18, i professionisti iscritti agli enti di diritto privato di previdenza obbligatoria di cui al decreto legislativo 30 giugno 1994, n. 509 e al decreto legislativo 10 febbraio 1996, n. 103 devono intendersi non titolari di trattamento pensionistico e iscritti in via esclusiva.</w:t>
      </w:r>
    </w:p>
    <w:p w14:paraId="627A5C8C" w14:textId="77777777" w:rsidR="00AD1B0C" w:rsidRPr="00AD1B0C" w:rsidRDefault="00AD1B0C" w:rsidP="00AD1B0C">
      <w:pPr>
        <w:spacing w:after="160" w:line="259" w:lineRule="auto"/>
        <w:jc w:val="both"/>
        <w:rPr>
          <w:rFonts w:cs="Times New Roman"/>
          <w:color w:val="auto"/>
          <w:sz w:val="24"/>
          <w:szCs w:val="24"/>
          <w:lang w:eastAsia="en-US"/>
        </w:rPr>
      </w:pPr>
    </w:p>
    <w:p w14:paraId="0B3D4619"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Articolo 35.</w:t>
      </w:r>
    </w:p>
    <w:p w14:paraId="48B6DB63"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(Pin Inps)</w:t>
      </w:r>
    </w:p>
    <w:p w14:paraId="2A0B488C" w14:textId="77777777" w:rsidR="00AD1B0C" w:rsidRPr="00AD1B0C" w:rsidRDefault="00AD1B0C" w:rsidP="00AD1B0C">
      <w:pPr>
        <w:spacing w:after="160" w:line="259" w:lineRule="auto"/>
        <w:jc w:val="both"/>
        <w:rPr>
          <w:rFonts w:cs="Times New Roman"/>
          <w:color w:val="auto"/>
          <w:sz w:val="24"/>
          <w:szCs w:val="24"/>
          <w:lang w:eastAsia="en-US"/>
        </w:rPr>
      </w:pPr>
    </w:p>
    <w:p w14:paraId="0DEAE5B3"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 Fino al termine dello stato di emergenza deliberato dal Consiglio dei ministri in data 31 gennaio 2020 e per l'intero periodo ivi considerato, l'Inps è autorizzato a rilasciare le proprie identità digitali (PIN INPS) in maniera semplificata acquisendo telematicamente gli elementi necessari all'identificazione del richiedente, ferma restando la verifica con riconoscimento diretto, ovvero riconoscimento facciale da remoto, una volta cessata l'attuale situazione emergenziale.</w:t>
      </w:r>
    </w:p>
    <w:p w14:paraId="077AB868" w14:textId="77777777" w:rsidR="00AD1B0C" w:rsidRPr="00AD1B0C" w:rsidRDefault="00AD1B0C" w:rsidP="00AD1B0C">
      <w:pPr>
        <w:spacing w:after="160" w:line="259" w:lineRule="auto"/>
        <w:jc w:val="both"/>
        <w:rPr>
          <w:rFonts w:cs="Times New Roman"/>
          <w:color w:val="auto"/>
          <w:sz w:val="24"/>
          <w:szCs w:val="24"/>
          <w:lang w:eastAsia="en-US"/>
        </w:rPr>
      </w:pPr>
    </w:p>
    <w:p w14:paraId="0A011FFD"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Capo V</w:t>
      </w:r>
    </w:p>
    <w:p w14:paraId="6834D4D8"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DISPOSIZIONI IN MATERIA DI TERMINI PROCESSUALI E PROCEDIMENTALI</w:t>
      </w:r>
    </w:p>
    <w:p w14:paraId="4DD65B8D" w14:textId="77777777" w:rsidR="00AD1B0C" w:rsidRPr="00AD1B0C" w:rsidRDefault="00AD1B0C" w:rsidP="00AD1B0C">
      <w:pPr>
        <w:spacing w:after="160" w:line="259" w:lineRule="auto"/>
        <w:jc w:val="center"/>
        <w:rPr>
          <w:rFonts w:cs="Times New Roman"/>
          <w:color w:val="auto"/>
          <w:sz w:val="24"/>
          <w:szCs w:val="24"/>
          <w:lang w:eastAsia="en-US"/>
        </w:rPr>
      </w:pPr>
    </w:p>
    <w:p w14:paraId="33831E71"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lastRenderedPageBreak/>
        <w:t>Articolo 36.</w:t>
      </w:r>
    </w:p>
    <w:p w14:paraId="4833B64F"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(Termini processuali in materia di giustizia civile, penale, amministrativa, contabile, tributaria e militare)</w:t>
      </w:r>
    </w:p>
    <w:p w14:paraId="02E5C5B3" w14:textId="77777777" w:rsidR="00AD1B0C" w:rsidRPr="00AD1B0C" w:rsidRDefault="00AD1B0C" w:rsidP="00AD1B0C">
      <w:pPr>
        <w:spacing w:after="160" w:line="259" w:lineRule="auto"/>
        <w:jc w:val="both"/>
        <w:rPr>
          <w:rFonts w:cs="Times New Roman"/>
          <w:color w:val="auto"/>
          <w:sz w:val="24"/>
          <w:szCs w:val="24"/>
          <w:lang w:eastAsia="en-US"/>
        </w:rPr>
      </w:pPr>
    </w:p>
    <w:p w14:paraId="43DE2511"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 Il termine del 15 aprile 2020 previsto dall'articolo 83, commi 1 e 2, del decreto-legge 17 marzo 2020, n. 18 è prorogato all'11 maggio 2020. Conseguentemente il termine iniziale del periodo previsto dal comma 6 del predetto articolo è fissato al 12 maggio 2020. Le disposizioni del presente articolo si applicano, in quanto compatibili, ai procedimenti di cui ai commi 20 e 21 dell'articolo 83 del decreto-legge n. 18 del 2020.</w:t>
      </w:r>
    </w:p>
    <w:p w14:paraId="3C40CA21"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  2. La disposizione di cui al comma 1 non si applica ai procedimenti penali in cui i termini di cui all'articolo 304 del codice di procedura penale scadono nei sei mesi successivi all'11 maggio 2020.</w:t>
      </w:r>
    </w:p>
    <w:p w14:paraId="1C973360"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  3. Nei giudizi disciplinati dal codice del processo amministrativo sono ulteriormente sospesi, dal 16 aprile al 3 maggio 2020 inclusi, esclusivamente i termini per la notificazione dei ricorsi, fermo restando quanto previsto dall'articolo 54, comma 3, dello stesso codice.</w:t>
      </w:r>
    </w:p>
    <w:p w14:paraId="6F9AA61D"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  4. La proroga del termine di cui al comma 1, primo periodo, si applica altresì a tutte le funzioni e attività della Corte dei conti, come elencate nell'articolo 85 del decreto legge 17 marzo 2020, n. 18. Conseguentemente il termine iniziale del periodo previsto dal comma 5 del predetto articolo 85 è fissato al 12 maggio 2020.</w:t>
      </w:r>
    </w:p>
    <w:p w14:paraId="1AE3A83D" w14:textId="77777777" w:rsidR="00AD1B0C" w:rsidRPr="00AD1B0C" w:rsidRDefault="00AD1B0C" w:rsidP="00AD1B0C">
      <w:pPr>
        <w:spacing w:after="160" w:line="259" w:lineRule="auto"/>
        <w:jc w:val="both"/>
        <w:rPr>
          <w:rFonts w:cs="Times New Roman"/>
          <w:color w:val="auto"/>
          <w:sz w:val="24"/>
          <w:szCs w:val="24"/>
          <w:lang w:eastAsia="en-US"/>
        </w:rPr>
      </w:pPr>
    </w:p>
    <w:p w14:paraId="2AB9EFD2"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Articolo 37.</w:t>
      </w:r>
    </w:p>
    <w:p w14:paraId="3A3225F4"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(Termini dei procedimenti amministrativi e dell'efficacia degli atti amministrativi in scadenza)</w:t>
      </w:r>
    </w:p>
    <w:p w14:paraId="30E6D33D" w14:textId="77777777" w:rsidR="00AD1B0C" w:rsidRPr="00AD1B0C" w:rsidRDefault="00AD1B0C" w:rsidP="00AD1B0C">
      <w:pPr>
        <w:spacing w:after="160" w:line="259" w:lineRule="auto"/>
        <w:jc w:val="both"/>
        <w:rPr>
          <w:rFonts w:cs="Times New Roman"/>
          <w:color w:val="auto"/>
          <w:sz w:val="24"/>
          <w:szCs w:val="24"/>
          <w:lang w:eastAsia="en-US"/>
        </w:rPr>
      </w:pPr>
    </w:p>
    <w:p w14:paraId="22429D95"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 Il termine del 15 aprile 2020 previsto dai commi 1 e 5 dell'articolo 103 del decreto-legge 17 marzo 2020, n. 18, è prorogato al 15 maggio 2020;</w:t>
      </w:r>
    </w:p>
    <w:p w14:paraId="70A42F79" w14:textId="77777777" w:rsidR="00AD1B0C" w:rsidRPr="00AD1B0C" w:rsidRDefault="00AD1B0C" w:rsidP="00AD1B0C">
      <w:pPr>
        <w:spacing w:after="160" w:line="259" w:lineRule="auto"/>
        <w:jc w:val="both"/>
        <w:rPr>
          <w:rFonts w:cs="Times New Roman"/>
          <w:color w:val="auto"/>
          <w:sz w:val="24"/>
          <w:szCs w:val="24"/>
          <w:lang w:eastAsia="en-US"/>
        </w:rPr>
      </w:pPr>
    </w:p>
    <w:p w14:paraId="65BE26B2"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Capo VI</w:t>
      </w:r>
    </w:p>
    <w:p w14:paraId="4ADF70AD"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DISPOSIZIONI IN MATERIA DI SALUTE E DI LAVORO</w:t>
      </w:r>
    </w:p>
    <w:p w14:paraId="78F279E8" w14:textId="77777777" w:rsidR="00AD1B0C" w:rsidRPr="00AD1B0C" w:rsidRDefault="00AD1B0C" w:rsidP="00AD1B0C">
      <w:pPr>
        <w:spacing w:after="160" w:line="259" w:lineRule="auto"/>
        <w:jc w:val="center"/>
        <w:rPr>
          <w:rFonts w:cs="Times New Roman"/>
          <w:color w:val="auto"/>
          <w:sz w:val="24"/>
          <w:szCs w:val="24"/>
          <w:lang w:eastAsia="en-US"/>
        </w:rPr>
      </w:pPr>
    </w:p>
    <w:p w14:paraId="093BAA0D"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Articolo 38.</w:t>
      </w:r>
    </w:p>
    <w:p w14:paraId="50F7766F"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(Disposizioni urgenti in materia contrattuale per la medicina convenzionata)</w:t>
      </w:r>
    </w:p>
    <w:p w14:paraId="408765A1" w14:textId="77777777" w:rsidR="00AD1B0C" w:rsidRPr="00AD1B0C" w:rsidRDefault="00AD1B0C" w:rsidP="00AD1B0C">
      <w:pPr>
        <w:spacing w:after="160" w:line="259" w:lineRule="auto"/>
        <w:jc w:val="both"/>
        <w:rPr>
          <w:rFonts w:cs="Times New Roman"/>
          <w:color w:val="auto"/>
          <w:sz w:val="24"/>
          <w:szCs w:val="24"/>
          <w:lang w:eastAsia="en-US"/>
        </w:rPr>
      </w:pPr>
    </w:p>
    <w:p w14:paraId="25529B25"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 In considerazione della temporanea sospensione delle trattative in corso per la definizione contrattuale dell'accordo collettivo nazionale 2016-2018 per la Medicina Generale e la Pediatria di Libera Scelta, per le necessità connesse al contenimento dell'emergenza pandemica da COVID-19, per tutta la durata dell'emergenza e salvo quanto previsto dal comma 2, è riconosciuto l'adeguamento immediato della quota capitaria/oraria ai Medici di Medicina Generale e ai Pediatri di Libera Scelta ai contenuti economici previsti dall'Atto di indirizzo per il rinnovo dell'accordo collettivo nazionale della medicina convenzionata, approvato dal Comitato di Settore Regioni-Sanità in data 9 luglio 2019 e 29 agosto 2019 su proposta della Conferenza delle Regioni e delle Province autonome e parere positivo del Governo, riferiti al totale incrementale previsto per il 2018, nonché i relativi arretrati.</w:t>
      </w:r>
    </w:p>
    <w:p w14:paraId="6D16A31F"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  2. Le parti contrattuali, si impegnano a concludere le trattative per l'accordo collettivo nazionale 2016-2018 entro sei mesi dalla fine dell'emergenza secondo le procedure ordinarie, anche tenendo conto dei compiti di cui al comma 3, rinegoziati coerentemente con la parte normativa prevista dal medesimo Atto di indirizzo. Nel caso in cui non si provveda alla conclusione delle trattative nei termini previsti cessano gli effetti di cui al comma 1.</w:t>
      </w:r>
    </w:p>
    <w:p w14:paraId="187CBD72"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  3. Il trattamento economico di cui al comma 1 viene erogato anche per garantire la reperibilità a distanza dei medici per tutta la giornata, anche con l'ausilio del personale di studio, in modo da contenere il contatto diretto e conseguentemente limitare i rischi di contagio dei medici e del personale stesso.</w:t>
      </w:r>
    </w:p>
    <w:p w14:paraId="047C8886"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  4. I medici di Medicina Generale e i Pediatri di Libera scelta si dotano, con oneri a proprio carico, di sistemi di piattaforme digitali che consentano il contatto ordinario e prevalente con i pazienti fragili e cronici gravi, e collaborano a distanza, nel caso in cui non siano dotati di dispositivi di protezione individuale idonei, in via straordinaria ove fosse richiesto dalle Regioni, per la sorveglianza clinica dei pazienti in quarantena o isolamento o in fase di guarigione dimessi precocemente dagli Ospedali.</w:t>
      </w:r>
    </w:p>
    <w:p w14:paraId="388E2272"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xml:space="preserve">  5. Le Regioni possono impegnare il 20 per cento dei fondi ripartiti di cui all'articolo 1, comma 449, della legge 27 dicembre 2019, n. 160, per l'acquisto e la fornitura ai medici di </w:t>
      </w:r>
      <w:proofErr w:type="spellStart"/>
      <w:r w:rsidRPr="00AD1B0C">
        <w:rPr>
          <w:rFonts w:cs="Times New Roman"/>
          <w:color w:val="auto"/>
          <w:sz w:val="24"/>
          <w:szCs w:val="24"/>
          <w:lang w:eastAsia="en-US"/>
        </w:rPr>
        <w:t>pulsiossimetri</w:t>
      </w:r>
      <w:proofErr w:type="spellEnd"/>
      <w:r w:rsidRPr="00AD1B0C">
        <w:rPr>
          <w:rFonts w:cs="Times New Roman"/>
          <w:color w:val="auto"/>
          <w:sz w:val="24"/>
          <w:szCs w:val="24"/>
          <w:lang w:eastAsia="en-US"/>
        </w:rPr>
        <w:t xml:space="preserve"> che permettano, previa consegna al paziente se necessario, la valutazione a distanza della saturazione di ossigeno e della frequenza cardiaca durante il </w:t>
      </w:r>
      <w:proofErr w:type="spellStart"/>
      <w:r w:rsidRPr="00AD1B0C">
        <w:rPr>
          <w:rFonts w:cs="Times New Roman"/>
          <w:color w:val="auto"/>
          <w:sz w:val="24"/>
          <w:szCs w:val="24"/>
          <w:lang w:eastAsia="en-US"/>
        </w:rPr>
        <w:t>videoconsulto</w:t>
      </w:r>
      <w:proofErr w:type="spellEnd"/>
      <w:r w:rsidRPr="00AD1B0C">
        <w:rPr>
          <w:rFonts w:cs="Times New Roman"/>
          <w:color w:val="auto"/>
          <w:sz w:val="24"/>
          <w:szCs w:val="24"/>
          <w:lang w:eastAsia="en-US"/>
        </w:rPr>
        <w:t>. Il medico si avvarrà delle fasi di osservazione e dei segni riscontrati, come dei sintomi riferiti dal paziente, per un orientamento che definisca le successive azioni cliniche necessarie in accordo con i percorsi definiti a livello regionale.</w:t>
      </w:r>
    </w:p>
    <w:p w14:paraId="3FCC37DF"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  6. Per le medesime finalità di cui al comma 1 è riconosciuto l'adeguamento immediato del trattamento economico spettante agli specialisti ambulatoriali, ai contenuti economici previsti dall'Atto di indirizzo per il rinnovo dell'accordo collettivo nazionale della medicina convenzionata, approvato dal Comitato di Settore Regioni-Sanità in data 9 luglio 2019 su proposta della Conferenza delle Regioni e delle Province autonome e parere positivo del Governo, riferiti al totale incrementale previsto per il 2018.</w:t>
      </w:r>
    </w:p>
    <w:p w14:paraId="1888324B"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lastRenderedPageBreak/>
        <w:t>  7. Agli oneri derivanti dal presente articolo si provvede nell'ambito delle risorse finanziarie disponibili a legislazione vigente.</w:t>
      </w:r>
    </w:p>
    <w:p w14:paraId="3BFE1747" w14:textId="77777777" w:rsidR="00AD1B0C" w:rsidRPr="00AD1B0C" w:rsidRDefault="00AD1B0C" w:rsidP="00AD1B0C">
      <w:pPr>
        <w:spacing w:after="160" w:line="259" w:lineRule="auto"/>
        <w:jc w:val="both"/>
        <w:rPr>
          <w:rFonts w:cs="Times New Roman"/>
          <w:color w:val="auto"/>
          <w:sz w:val="24"/>
          <w:szCs w:val="24"/>
          <w:lang w:eastAsia="en-US"/>
        </w:rPr>
      </w:pPr>
    </w:p>
    <w:p w14:paraId="1DCFC2D5"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Articolo 39.</w:t>
      </w:r>
    </w:p>
    <w:p w14:paraId="46721628"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(Procedure semplificate per le pratiche e attrezzature medico-radiologiche)</w:t>
      </w:r>
    </w:p>
    <w:p w14:paraId="21C8DFE3" w14:textId="77777777" w:rsidR="00AD1B0C" w:rsidRPr="00AD1B0C" w:rsidRDefault="00AD1B0C" w:rsidP="00AD1B0C">
      <w:pPr>
        <w:spacing w:after="160" w:line="259" w:lineRule="auto"/>
        <w:jc w:val="center"/>
        <w:rPr>
          <w:rFonts w:cs="Times New Roman"/>
          <w:color w:val="auto"/>
          <w:sz w:val="24"/>
          <w:szCs w:val="24"/>
          <w:lang w:eastAsia="en-US"/>
        </w:rPr>
      </w:pPr>
    </w:p>
    <w:p w14:paraId="3241DBC3"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 Il rispetto dei requisiti di salute e sicurezza per la tutela dei lavoratori e della popolazione dai rischi di esposizione alle radiazioni ionizzanti a seguito delle nuove pratiche medico-radiologiche avviate ai fini della gestione dell'emergenza presso le strutture sanitarie, comprese le aree e strutture di cui all'articolo 4, comma 1, del decreto-legge 17 marzo 2020, n. 18, ovvero eseguite mediante attrezzature radiologiche portatili presso il domicilio del paziente affetto da COVID-19, incluse le residenze assistite, è assolto con l'osservanza delle disposizioni di cui ai Capi VIII e IX del decreto legislativo 17 marzo 1995, n. 230, e con la trasmissione, agli organi di cui all'articolo 22, comma 1 dello stesso decreto legislativo, di una comunicazione di avvio dell'attività, corredata dal benestare dell'esperto qualificato, comprensivo delle valutazioni e indicazioni di radioprotezione di cui all'articolo 61, comma 2, e dell'esito della prima verifica di cui all'articolo 79, comma 1, lettera b), punti 1 e 2, del medesimo decreto legislativo 17 marzo 1995, n. 230.</w:t>
      </w:r>
    </w:p>
    <w:p w14:paraId="23988894"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  2. L'utilizzo e il movimento nei diversi ambienti e luoghi di pertinenza della medesima struttura sanitaria, comprese le aree e strutture di cui all'articolo 4, comma 1, del decreto-legge 17 marzo 2020, n. 18, di attrezzature medico-radiologiche mobili, ai fini dello svolgimento di pratiche mediche per le quali alla data di entrata in vigore del presente decreto sia già stata inoltrata agli organi competenti la comunicazione preventiva di cui all'articolo 22 del decreto legislativo 17 marzo 1995, n. 230, non sono oggetto della comunicazione di cui al comma 1 e restano soggetti al solo benestare dell'esperto qualificato, che la struttura acquisisce agli atti.</w:t>
      </w:r>
    </w:p>
    <w:p w14:paraId="2DBC6D35"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  3. Restano ferme le disposizioni del decreto legislativo 26 maggio 2000, n. 187, in materia di protezione dei pazienti contro i pericoli delle radiazioni ionizzanti connesse a esposizioni mediche.</w:t>
      </w:r>
    </w:p>
    <w:p w14:paraId="30B6631F"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  4. Le disposizioni di cui ai commi 1 e 2 del presente articolo si applicano fino alla data di cessazione dello stato di emergenza sul territorio nazionale relativo al rischio sanitario connesso all'insorgenza di patologie derivanti da COVID-19, dichiarata con la delibera del Consiglio dei ministri del 31 gennaio 2020.</w:t>
      </w:r>
    </w:p>
    <w:p w14:paraId="60056012" w14:textId="77777777" w:rsidR="00AD1B0C" w:rsidRPr="00AD1B0C" w:rsidRDefault="00AD1B0C" w:rsidP="00AD1B0C">
      <w:pPr>
        <w:spacing w:after="160" w:line="259" w:lineRule="auto"/>
        <w:jc w:val="both"/>
        <w:rPr>
          <w:rFonts w:cs="Times New Roman"/>
          <w:color w:val="auto"/>
          <w:sz w:val="24"/>
          <w:szCs w:val="24"/>
          <w:lang w:eastAsia="en-US"/>
        </w:rPr>
      </w:pPr>
    </w:p>
    <w:p w14:paraId="49437B24"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Articolo 40.</w:t>
      </w:r>
    </w:p>
    <w:p w14:paraId="3CD7DD6F"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lastRenderedPageBreak/>
        <w:t>(Disposizioni urgenti materia di sperimentazione dei medicinali per l'emergenza epidemiologica da COVID)</w:t>
      </w:r>
    </w:p>
    <w:p w14:paraId="4056BE7F" w14:textId="77777777" w:rsidR="00AD1B0C" w:rsidRPr="00AD1B0C" w:rsidRDefault="00AD1B0C" w:rsidP="00AD1B0C">
      <w:pPr>
        <w:spacing w:after="160" w:line="259" w:lineRule="auto"/>
        <w:jc w:val="both"/>
        <w:rPr>
          <w:rFonts w:cs="Times New Roman"/>
          <w:color w:val="auto"/>
          <w:sz w:val="24"/>
          <w:szCs w:val="24"/>
          <w:lang w:eastAsia="en-US"/>
        </w:rPr>
      </w:pPr>
    </w:p>
    <w:p w14:paraId="5AD6D970"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 Limitatamente al periodo dello stato di emergenza, di cui alla delibera del Consiglio dei Ministri in data 31 gennaio 2020, ferme restando le disposizioni vigenti in materia di sperimentazione clinica dei medicinali, al fine di migliorare la capacità di coordinamento e di analisi delle evidenze scientifiche disponibili sui medicinali, l'Agenzia italiana del farmaco (AIFA) può accedere a tutti i dati degli studi clinici sperimentali, osservazionali e dei programmi di uso terapeutico compassionevole, per pazienti con COVID-19.</w:t>
      </w:r>
    </w:p>
    <w:p w14:paraId="7F608C94"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  2. I protocolli degli studi clinici sperimentali sui medicinali di fase I, II, III e IV, degli studi osservazionali sui farmaci e dei programmi di uso terapeutico compassionevole sono preliminarmente valutati dalla Commissione tecnico scientifica (CTS) dell'AIFA, che ne comunica gli esiti anche al Comitato tecnico scientifico dell'Unità di crisi del Dipartimento della Protezione civile, di cui all'articolo 2 dell'ordinanza del Capo del Dipartimento della protezione civile n. 630 del 3 febbraio 2020. Relativamente agli studi di fase I la CTS dell'AIFA si avvale del parere della Commissione di cui all'articolo 7 del decreto del Presidente della Repubblica 21 settembre 2001, n. 439.</w:t>
      </w:r>
    </w:p>
    <w:p w14:paraId="35FE0360"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  3. Limitatamente al periodo dello stato di emergenza, di cui alla delibera del Consiglio dei Ministri in data 31 gennaio 2020, il Comitato etico dell'Istituto Nazionale per le Malattie Infettive Lazzaro Spallanzani di Roma, quale comitato etico unico nazionale per la valutazione delle sperimentazioni cliniche dei medicinali per uso umano, degli studi osservazionali sui farmaci, dei programmi di uso terapeutico compassionevole per pazienti con COVID-19, esprime il parere nazionale, anche sulla base della valutazione della CTS dell'AIFA.</w:t>
      </w:r>
    </w:p>
    <w:p w14:paraId="6CD44C38"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  4. Il Comitato etico di cui al comma 3 acquisisce dai promotori tutta la documentazione necessaria unitamente ai protocolli degli studi clinici sperimentali sui medicinali di fase I, II, III e IV, degli studi osservazionali sui farmaci e dei programmi di uso terapeutico compassionevole per la cura dei pazienti con COVID-19, nonché eventuali emendamenti. Alle valutazioni relative alle singole richieste di usi terapeutici nominali si applicano le disposizioni già vigenti in materia.</w:t>
      </w:r>
    </w:p>
    <w:p w14:paraId="277CF216"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  5. Il Comitato etico di cui al comma 3 comunica il parere all'AIFA, e quest'ultima cura la pubblicazione del parere e del protocollo approvato sul proprio sito istituzionale. Al fine di fronteggiare l'emergenza da COVID-19 e limitatamente al periodo di cui alla delibera del Consiglio dei Ministri in data 31 gennaio 2020, in deroga alle vigenti procedure in materia di acquisizione delle domande di sperimentazione clinica, l'AIFA, sentito il Comitato etico nazionale di cui al comma 3, pubblica entro 10 giorni dalla data di entrata in vigore del presente decreto una circolare che indica le procedure semplificate per la menzionata acquisizione delle domande nonché per le modalità di adesione agli studi.</w:t>
      </w:r>
    </w:p>
    <w:p w14:paraId="7F6005A3"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lastRenderedPageBreak/>
        <w:t>  6. Per gli studi sperimentali non profit di cui al presente articolo non è richiesta la stipula di una specifica polizza assicurativa.</w:t>
      </w:r>
    </w:p>
    <w:p w14:paraId="21C541A4"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  7. Dall'applicazione del presente articolo non derivano nuovi e maggiori oneri per la finanza pubblica. Le amministrazioni pubbliche interessate provvedono agli adempimenti di cui al presente articolo con le risorse umane, finanziarie e strumentali disponibili a legislazione vigente sui propri bilanci.</w:t>
      </w:r>
    </w:p>
    <w:p w14:paraId="2773FB22"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  8. A decorrere dall'entrata in vigore del presente decreto l'articolo 17 del decreto legge 17 marzo 2020, n. 18 è abrogato.</w:t>
      </w:r>
    </w:p>
    <w:p w14:paraId="277616ED" w14:textId="77777777" w:rsidR="00AD1B0C" w:rsidRPr="00AD1B0C" w:rsidRDefault="00AD1B0C" w:rsidP="00AD1B0C">
      <w:pPr>
        <w:spacing w:after="160" w:line="259" w:lineRule="auto"/>
        <w:jc w:val="both"/>
        <w:rPr>
          <w:rFonts w:cs="Times New Roman"/>
          <w:color w:val="auto"/>
          <w:sz w:val="24"/>
          <w:szCs w:val="24"/>
          <w:lang w:eastAsia="en-US"/>
        </w:rPr>
      </w:pPr>
    </w:p>
    <w:p w14:paraId="785A5830"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Articolo 41.</w:t>
      </w:r>
    </w:p>
    <w:p w14:paraId="3CF61E53"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(Disposizioni in materia di lavoro)</w:t>
      </w:r>
    </w:p>
    <w:p w14:paraId="48F63DC7" w14:textId="77777777" w:rsidR="00AD1B0C" w:rsidRPr="00AD1B0C" w:rsidRDefault="00AD1B0C" w:rsidP="00AD1B0C">
      <w:pPr>
        <w:spacing w:after="160" w:line="259" w:lineRule="auto"/>
        <w:jc w:val="both"/>
        <w:rPr>
          <w:rFonts w:cs="Times New Roman"/>
          <w:color w:val="auto"/>
          <w:sz w:val="24"/>
          <w:szCs w:val="24"/>
          <w:lang w:eastAsia="en-US"/>
        </w:rPr>
      </w:pPr>
    </w:p>
    <w:p w14:paraId="29ACDD27"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 Le disposizioni di cui all'articolo 19 del decreto-legge 17 marzo 2020, n. 18, si applicano anche ai i lavoratori assunti dal 24 febbraio 2020 al 17 marzo 2020.</w:t>
      </w:r>
    </w:p>
    <w:p w14:paraId="67ACDD2F"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  2. Le disposizioni di cui all'articolo 22 del decreto-legge 17 marzo 2020, n. 18, si applicano anche ai lavoratori assunti tra il 24 febbraio 2020 e il 17 marzo 2020.</w:t>
      </w:r>
    </w:p>
    <w:p w14:paraId="6DAE40DE"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  3. Le domande presentate ai sensi del comma 4 dell'articolo 22 del decreto-legge 17 marzo 2020, n. 18, sono esenti dall'imposta di bollo.</w:t>
      </w:r>
    </w:p>
    <w:p w14:paraId="50FB7AF6"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  4. Alla copertura degli oneri previsti dal presente articolo, valutati in 16 milioni di euro per l'anno 2020, si provvede mediante corrispondente riduzione delle somme di cui all'articolo 56, comma 6, decreto-legge 17 marzo 2020, n. 18 e in soli termini di fabbisogno, mediante utilizzo delle risorse di cui all'articolo 13, comma 12.</w:t>
      </w:r>
    </w:p>
    <w:p w14:paraId="5AA90203" w14:textId="77777777" w:rsidR="00AD1B0C" w:rsidRPr="00AD1B0C" w:rsidRDefault="00AD1B0C" w:rsidP="00AD1B0C">
      <w:pPr>
        <w:spacing w:after="160" w:line="259" w:lineRule="auto"/>
        <w:jc w:val="both"/>
        <w:rPr>
          <w:rFonts w:cs="Times New Roman"/>
          <w:color w:val="auto"/>
          <w:sz w:val="24"/>
          <w:szCs w:val="24"/>
          <w:lang w:eastAsia="en-US"/>
        </w:rPr>
      </w:pPr>
    </w:p>
    <w:p w14:paraId="20BF1458"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Articolo 42.</w:t>
      </w:r>
    </w:p>
    <w:p w14:paraId="5D7C32FB"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(Disposizioni urgenti per disciplinare il Commissariamento dell'Agenzia nazionale per i servizi sanitari regionali)</w:t>
      </w:r>
    </w:p>
    <w:p w14:paraId="00BCBE2D" w14:textId="77777777" w:rsidR="00AD1B0C" w:rsidRPr="00AD1B0C" w:rsidRDefault="00AD1B0C" w:rsidP="00AD1B0C">
      <w:pPr>
        <w:spacing w:after="160" w:line="259" w:lineRule="auto"/>
        <w:jc w:val="both"/>
        <w:rPr>
          <w:rFonts w:cs="Times New Roman"/>
          <w:color w:val="auto"/>
          <w:sz w:val="24"/>
          <w:szCs w:val="24"/>
          <w:lang w:eastAsia="en-US"/>
        </w:rPr>
      </w:pPr>
    </w:p>
    <w:p w14:paraId="63D8628B"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xml:space="preserve">  1. Per le esigenze di contenimento e contrasto dell'emergenza epidemiologica COVID-19, di cui alla delibera del Consiglio dei ministri 31 gennaio 2020, con decreto del Presidente del Consiglio dei ministri, su proposta del Ministro della salute, sentita la Conferenza permanente per i rapporti tra lo Stato, le Regioni e le province autonome, è nominato un commissario straordinario per l'Agenzia nazionale per i </w:t>
      </w:r>
      <w:r w:rsidRPr="00AD1B0C">
        <w:rPr>
          <w:rFonts w:cs="Times New Roman"/>
          <w:color w:val="auto"/>
          <w:sz w:val="24"/>
          <w:szCs w:val="24"/>
          <w:lang w:eastAsia="en-US"/>
        </w:rPr>
        <w:lastRenderedPageBreak/>
        <w:t>servizi sanitari regionali. Il commissario assume, per il periodo in cui è in carica, tutti i poteri di ordinaria e straordinaria amministrazione che lo statuto dell'Agenzia, approvato con decreto del Ministro della salute in data 18 maggio 2018, attribuisce al presidente, al direttore generale ed al consiglio di amministrazione che decadono automaticamente con l'insediamento del commissario. Il commissario è scelto tra esperti di riconosciuta competenza in diritto sanitario, in organizzazione, programmazione, gestione e finanziamento del servizio sanitario, anche estranei alla pubblica amministrazione. Il mandato del commissario cessa alla conclusione dello stato di emergenza deliberato dal Consiglio dei ministri in data 31 gennaio 2020, o alla scadenza delle eventuali proroghe. Qualora il commissario, al momento della nomina, abbia altro incarico in corso, può continuare a svolgerlo, per la durata del mandato di cui al presente comma, in deroga alle disposizioni di cui agli articoli 11 e 14 del decreto legislativo 8 aprile 2013, n. 39. Al commissario è corrisposto un compenso determinato con decreto del Ministro della salute, di concerto con il Ministro dell'economia e delle finanze, salva l'ipotesi di cumulo con altro incarico per il quale già percepisca un compenso.</w:t>
      </w:r>
    </w:p>
    <w:p w14:paraId="7F49500D"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  2. Nell'assolvimento dei compiti istituzionali di ricerca e supporto tecnico-operativo alle regioni, come previsto dall'articolo 2 dello statuto dell'Agenzia, il commissario collabora all'azione di potenziamento della rete di assistenza ospedaliera e territoriale, al fine di assicurare la più elevata risposta sanitaria all'emergenza, monitorando l'adozione, l'aggiornamento e l'attuazione dei piani adottati in applicazione della circolare del Ministero della salute prot. GAB 2627 in data 1° marzo 2020 e alle successive integrazioni; assicura il necessario supporto tecnico operativo e giuridico-amministrativo alle regioni, anche per superare le eventuali criticità riscontrate e per garantire, nella fase emergenziale, i livelli essenziali di assistenza e la effettività della tutela del diritto alla salute; verifica che gli atti, i piani e le azioni di competenza del commissario straordinario di cui all'articolo 122, comma 2, del decreto-legge 17 marzo 2020, n. 18, siano attuati dalle Regioni e dalle Province autonome di Trento e di Bolzano in modo tempestivo ed efficace e fornisce a tale fine ogni supporto richiesto dalle Regioni e dal commissario straordinario, in coerenza con i programmi operativi che le regioni predispongono per l'emergenza Covid-19 di cui all'articolo 18, comma 1 del decreto-legge 17 marzo 2020, n. 18.</w:t>
      </w:r>
    </w:p>
    <w:p w14:paraId="3A90FB0F"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  3. Il commissario, in considerazione del ruolo di raccordo fra il Ministero della salute e le regioni svolto dall'Agenzia, supporta, attraverso l'esercizio delle attività istituzionali proprie dell'Agenzia, indicate al comma 2, la tempestiva attuazione delle direttive del Ministro della salute finalizzate alla gestione dell'emergenza epidemiologica COVID-19, con particolare riferimento agli articoli 3 e 4 del decreto-legge 17 marzo 2020, n. 18, al potenziamento delle reti ospedaliere e territoriali, ai rapporti con gli erogatori pubblici e privati, nonché alle disposizioni di cui al decreto-legge 9 marzo 2020 n. 14 e ad ogni ulteriore atto normativo ed amministrativo generale adottato per fronteggiare l'emergenza, come recepito e delineato per ciascuna regione nei Programmi operativi per l'emergenza COVID-19 di cui al richiamato articolo 18, comma 1.</w:t>
      </w:r>
    </w:p>
    <w:p w14:paraId="66FC3D7F"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lastRenderedPageBreak/>
        <w:t>  Supporta altresì le direzioni generali del Ministero e le Regioni nel perseguimento di ogni ulteriore obiettivo indicato dal Ministro della salute mediante l'adozione di direttive, nell'esercizio della funzione di indirizzo e di controllo del sistema sanitario nazionale. Resta fermo il ruolo di coordinamento del Capo del Dipartimento della protezione civile, ai sensi dell'ordinanza del Capo del Dipartimento della Protezione civile 3 febbraio 2020, n. 630.</w:t>
      </w:r>
    </w:p>
    <w:p w14:paraId="75D0232D" w14:textId="77777777" w:rsidR="00AD1B0C" w:rsidRPr="00AD1B0C" w:rsidRDefault="00AD1B0C" w:rsidP="00AD1B0C">
      <w:pPr>
        <w:spacing w:after="160" w:line="259" w:lineRule="auto"/>
        <w:jc w:val="both"/>
        <w:rPr>
          <w:rFonts w:cs="Times New Roman"/>
          <w:color w:val="auto"/>
          <w:sz w:val="24"/>
          <w:szCs w:val="24"/>
          <w:lang w:eastAsia="en-US"/>
        </w:rPr>
      </w:pPr>
    </w:p>
    <w:p w14:paraId="4CE260B8"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Articolo 43.</w:t>
      </w:r>
    </w:p>
    <w:p w14:paraId="23A557ED"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(Disposizioni finanziarie)</w:t>
      </w:r>
    </w:p>
    <w:p w14:paraId="192AD3DA" w14:textId="77777777" w:rsidR="00AD1B0C" w:rsidRPr="00AD1B0C" w:rsidRDefault="00AD1B0C" w:rsidP="00AD1B0C">
      <w:pPr>
        <w:spacing w:after="160" w:line="259" w:lineRule="auto"/>
        <w:jc w:val="both"/>
        <w:rPr>
          <w:rFonts w:cs="Times New Roman"/>
          <w:color w:val="auto"/>
          <w:sz w:val="24"/>
          <w:szCs w:val="24"/>
          <w:lang w:eastAsia="en-US"/>
        </w:rPr>
      </w:pPr>
    </w:p>
    <w:p w14:paraId="1B0E00E1" w14:textId="77777777" w:rsidR="00AD1B0C" w:rsidRPr="00AD1B0C" w:rsidRDefault="00AD1B0C" w:rsidP="00AD1B0C">
      <w:pPr>
        <w:spacing w:after="160" w:line="259" w:lineRule="auto"/>
        <w:jc w:val="both"/>
        <w:rPr>
          <w:rFonts w:cs="Times New Roman"/>
          <w:color w:val="auto"/>
          <w:sz w:val="24"/>
          <w:szCs w:val="24"/>
          <w:lang w:eastAsia="en-US"/>
        </w:rPr>
      </w:pPr>
      <w:r w:rsidRPr="00AD1B0C">
        <w:rPr>
          <w:rFonts w:cs="Times New Roman"/>
          <w:color w:val="auto"/>
          <w:sz w:val="24"/>
          <w:szCs w:val="24"/>
          <w:lang w:eastAsia="en-US"/>
        </w:rPr>
        <w:t>  1. Ai fini dell'immediata attuazione delle disposizioni recate dal presente decreto, il Ministro dell'economia e delle finanze è autorizzato ad apportare, con propri decreti, le occorrenti variazioni di bilancio. Ove necessario, il Ministero dell'economia e delle finanze può disporre il ricorso ad anticipazioni di tesoreria, la cui regolarizzazione avviene tempestivamente con l'emissione di ordini di pagamento sui pertinenti capitoli di spesa.</w:t>
      </w:r>
    </w:p>
    <w:p w14:paraId="03447170" w14:textId="77777777" w:rsidR="00AD1B0C" w:rsidRPr="00AD1B0C" w:rsidRDefault="00AD1B0C" w:rsidP="00AD1B0C">
      <w:pPr>
        <w:spacing w:after="160" w:line="259" w:lineRule="auto"/>
        <w:jc w:val="both"/>
        <w:rPr>
          <w:rFonts w:cs="Times New Roman"/>
          <w:color w:val="auto"/>
          <w:sz w:val="24"/>
          <w:szCs w:val="24"/>
          <w:lang w:eastAsia="en-US"/>
        </w:rPr>
      </w:pPr>
    </w:p>
    <w:p w14:paraId="73C083EA"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Articolo 44.</w:t>
      </w:r>
    </w:p>
    <w:p w14:paraId="3B91AAFC" w14:textId="77777777" w:rsidR="00AD1B0C" w:rsidRPr="00AD1B0C" w:rsidRDefault="00AD1B0C" w:rsidP="00AD1B0C">
      <w:pPr>
        <w:spacing w:after="160" w:line="259" w:lineRule="auto"/>
        <w:jc w:val="center"/>
        <w:rPr>
          <w:rFonts w:cs="Times New Roman"/>
          <w:color w:val="auto"/>
          <w:sz w:val="24"/>
          <w:szCs w:val="24"/>
          <w:lang w:eastAsia="en-US"/>
        </w:rPr>
      </w:pPr>
      <w:r w:rsidRPr="00AD1B0C">
        <w:rPr>
          <w:rFonts w:cs="Times New Roman"/>
          <w:color w:val="auto"/>
          <w:sz w:val="24"/>
          <w:szCs w:val="24"/>
          <w:lang w:eastAsia="en-US"/>
        </w:rPr>
        <w:t>(Entrata in vigore)</w:t>
      </w:r>
    </w:p>
    <w:p w14:paraId="5E596395" w14:textId="77777777" w:rsidR="00AD1B0C" w:rsidRPr="00AD1B0C" w:rsidRDefault="00AD1B0C" w:rsidP="00AD1B0C">
      <w:pPr>
        <w:spacing w:after="160" w:line="259" w:lineRule="auto"/>
        <w:jc w:val="both"/>
        <w:rPr>
          <w:rFonts w:cs="Times New Roman"/>
          <w:color w:val="auto"/>
          <w:sz w:val="24"/>
          <w:szCs w:val="24"/>
          <w:lang w:eastAsia="en-US"/>
        </w:rPr>
      </w:pPr>
    </w:p>
    <w:p w14:paraId="264E2365" w14:textId="77777777" w:rsidR="007E4F90" w:rsidRPr="00793CC1" w:rsidRDefault="00AD1B0C" w:rsidP="00AD1B0C">
      <w:pPr>
        <w:shd w:val="clear" w:color="auto" w:fill="FFFFFF"/>
        <w:tabs>
          <w:tab w:val="left" w:pos="993"/>
        </w:tabs>
        <w:spacing w:after="120" w:line="240" w:lineRule="auto"/>
        <w:jc w:val="both"/>
        <w:rPr>
          <w:rFonts w:asciiTheme="minorHAnsi" w:eastAsia="Times New Roman" w:hAnsiTheme="minorHAnsi" w:cs="Times New Roman"/>
          <w:bCs/>
          <w:color w:val="000000" w:themeColor="text1"/>
          <w:sz w:val="24"/>
          <w:szCs w:val="24"/>
        </w:rPr>
      </w:pPr>
      <w:r w:rsidRPr="00AD1B0C">
        <w:rPr>
          <w:rFonts w:cs="Times New Roman"/>
          <w:color w:val="auto"/>
          <w:sz w:val="24"/>
          <w:szCs w:val="24"/>
          <w:lang w:eastAsia="en-US"/>
        </w:rPr>
        <w:t>  1. Il presente decreto entra in vigore il giorno successivo a quello della sua pubblicazione nella Gazzetta Ufficiale della Repubblica italiana e sarà presentato alle Camere per la conversione in legge.</w:t>
      </w:r>
    </w:p>
    <w:sectPr w:rsidR="007E4F90" w:rsidRPr="00793CC1" w:rsidSect="00C973FC">
      <w:headerReference w:type="even" r:id="rId8"/>
      <w:headerReference w:type="default" r:id="rId9"/>
      <w:footerReference w:type="even" r:id="rId10"/>
      <w:footerReference w:type="default" r:id="rId11"/>
      <w:headerReference w:type="first" r:id="rId12"/>
      <w:footerReference w:type="first" r:id="rId13"/>
      <w:pgSz w:w="11906" w:h="16838"/>
      <w:pgMar w:top="3261" w:right="851" w:bottom="1701" w:left="907" w:header="850" w:footer="567"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09B182" w14:textId="77777777" w:rsidR="0093508D" w:rsidRDefault="0093508D">
      <w:pPr>
        <w:spacing w:after="0" w:line="240" w:lineRule="auto"/>
      </w:pPr>
      <w:r>
        <w:separator/>
      </w:r>
    </w:p>
  </w:endnote>
  <w:endnote w:type="continuationSeparator" w:id="0">
    <w:p w14:paraId="190B4876" w14:textId="77777777" w:rsidR="0093508D" w:rsidRDefault="00935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w:altName w:val="Arial"/>
    <w:charset w:val="00"/>
    <w:family w:val="swiss"/>
    <w:pitch w:val="variable"/>
    <w:sig w:usb0="00000001" w:usb1="5000005B"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119A7" w14:textId="7E5CE087" w:rsidR="00163604" w:rsidRPr="004D0F93" w:rsidRDefault="00163604" w:rsidP="00FB6FCB">
    <w:pPr>
      <w:pStyle w:val="Pidipagina"/>
      <w:tabs>
        <w:tab w:val="clear" w:pos="9638"/>
        <w:tab w:val="right" w:pos="10034"/>
      </w:tabs>
      <w:jc w:val="right"/>
      <w:rPr>
        <w:rFonts w:asciiTheme="majorHAnsi" w:hAnsiTheme="majorHAnsi"/>
        <w:sz w:val="18"/>
        <w:szCs w:val="18"/>
      </w:rPr>
    </w:pPr>
    <w:r w:rsidRPr="00C8796C">
      <w:rPr>
        <w:rFonts w:asciiTheme="majorHAnsi" w:hAnsiTheme="majorHAnsi"/>
        <w:color w:val="595959" w:themeColor="text1" w:themeTint="A6"/>
        <w:sz w:val="18"/>
        <w:szCs w:val="18"/>
      </w:rPr>
      <w:t xml:space="preserve"> Pag. </w:t>
    </w:r>
    <w:r w:rsidRPr="00C8796C">
      <w:rPr>
        <w:rFonts w:asciiTheme="majorHAnsi" w:hAnsiTheme="majorHAnsi"/>
        <w:color w:val="595959" w:themeColor="text1" w:themeTint="A6"/>
        <w:sz w:val="18"/>
        <w:szCs w:val="18"/>
      </w:rPr>
      <w:fldChar w:fldCharType="begin"/>
    </w:r>
    <w:r w:rsidRPr="00C8796C">
      <w:rPr>
        <w:rFonts w:asciiTheme="majorHAnsi" w:hAnsiTheme="majorHAnsi"/>
        <w:color w:val="595959" w:themeColor="text1" w:themeTint="A6"/>
        <w:sz w:val="18"/>
        <w:szCs w:val="18"/>
      </w:rPr>
      <w:instrText>PAGE  \* Arabic  \* MERGEFORMAT</w:instrText>
    </w:r>
    <w:r w:rsidRPr="00C8796C">
      <w:rPr>
        <w:rFonts w:asciiTheme="majorHAnsi" w:hAnsiTheme="majorHAnsi"/>
        <w:color w:val="595959" w:themeColor="text1" w:themeTint="A6"/>
        <w:sz w:val="18"/>
        <w:szCs w:val="18"/>
      </w:rPr>
      <w:fldChar w:fldCharType="separate"/>
    </w:r>
    <w:r w:rsidR="00496E31">
      <w:rPr>
        <w:rFonts w:asciiTheme="majorHAnsi" w:hAnsiTheme="majorHAnsi"/>
        <w:noProof/>
        <w:color w:val="595959" w:themeColor="text1" w:themeTint="A6"/>
        <w:sz w:val="18"/>
        <w:szCs w:val="18"/>
      </w:rPr>
      <w:t>64</w:t>
    </w:r>
    <w:r w:rsidRPr="00C8796C">
      <w:rPr>
        <w:rFonts w:asciiTheme="majorHAnsi" w:hAnsiTheme="majorHAnsi"/>
        <w:color w:val="595959" w:themeColor="text1" w:themeTint="A6"/>
        <w:sz w:val="18"/>
        <w:szCs w:val="18"/>
      </w:rPr>
      <w:fldChar w:fldCharType="end"/>
    </w:r>
    <w:r w:rsidRPr="00C8796C">
      <w:rPr>
        <w:rFonts w:asciiTheme="majorHAnsi" w:hAnsiTheme="majorHAnsi"/>
        <w:color w:val="595959" w:themeColor="text1" w:themeTint="A6"/>
        <w:sz w:val="18"/>
        <w:szCs w:val="18"/>
      </w:rPr>
      <w:t xml:space="preserve"> di </w:t>
    </w:r>
    <w:r w:rsidR="003775B3">
      <w:fldChar w:fldCharType="begin"/>
    </w:r>
    <w:r w:rsidR="003775B3">
      <w:instrText>NUMPAGES  \* Arabic  \* MERGEFORMAT</w:instrText>
    </w:r>
    <w:r w:rsidR="003775B3">
      <w:fldChar w:fldCharType="separate"/>
    </w:r>
    <w:r w:rsidR="00496E31" w:rsidRPr="00496E31">
      <w:rPr>
        <w:rFonts w:asciiTheme="majorHAnsi" w:hAnsiTheme="majorHAnsi"/>
        <w:noProof/>
        <w:color w:val="595959" w:themeColor="text1" w:themeTint="A6"/>
        <w:sz w:val="18"/>
        <w:szCs w:val="18"/>
      </w:rPr>
      <w:t>64</w:t>
    </w:r>
    <w:r w:rsidR="003775B3">
      <w:rPr>
        <w:rFonts w:asciiTheme="majorHAnsi" w:hAnsiTheme="majorHAnsi"/>
        <w:noProof/>
        <w:color w:val="595959" w:themeColor="text1" w:themeTint="A6"/>
        <w:sz w:val="18"/>
        <w:szCs w:val="18"/>
      </w:rPr>
      <w:fldChar w:fldCharType="end"/>
    </w:r>
  </w:p>
  <w:p w14:paraId="3E11DB0F" w14:textId="77777777" w:rsidR="00163604" w:rsidRDefault="0016360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54689" w14:textId="4DB22C26" w:rsidR="00163604" w:rsidRDefault="00163604" w:rsidP="004532C6">
    <w:pPr>
      <w:pStyle w:val="Pidipagina"/>
      <w:tabs>
        <w:tab w:val="clear" w:pos="9638"/>
        <w:tab w:val="right" w:pos="10034"/>
      </w:tabs>
      <w:rPr>
        <w:rFonts w:asciiTheme="majorHAnsi" w:hAnsiTheme="majorHAnsi"/>
        <w:sz w:val="18"/>
        <w:szCs w:val="18"/>
      </w:rPr>
    </w:pPr>
  </w:p>
  <w:p w14:paraId="7A3FFF8F" w14:textId="77777777" w:rsidR="00163604" w:rsidRPr="005F27F8" w:rsidRDefault="00163604" w:rsidP="004532C6">
    <w:pPr>
      <w:pStyle w:val="Pidipagina"/>
      <w:tabs>
        <w:tab w:val="clear" w:pos="9638"/>
        <w:tab w:val="right" w:pos="10034"/>
      </w:tabs>
      <w:rPr>
        <w:rFonts w:asciiTheme="majorHAnsi" w:hAnsiTheme="majorHAnsi"/>
        <w:color w:val="595959" w:themeColor="text1" w:themeTint="A6"/>
        <w:sz w:val="18"/>
        <w:szCs w:val="18"/>
      </w:rPr>
    </w:pPr>
  </w:p>
  <w:p w14:paraId="043C12A7" w14:textId="77777777" w:rsidR="00163604" w:rsidRPr="005F27F8" w:rsidRDefault="00163604" w:rsidP="004532C6">
    <w:pPr>
      <w:pStyle w:val="Pidipagina"/>
      <w:tabs>
        <w:tab w:val="clear" w:pos="9638"/>
        <w:tab w:val="right" w:pos="10034"/>
      </w:tabs>
      <w:rPr>
        <w:rFonts w:asciiTheme="majorHAnsi" w:hAnsiTheme="majorHAnsi"/>
        <w:color w:val="595959" w:themeColor="text1" w:themeTint="A6"/>
        <w:sz w:val="18"/>
        <w:szCs w:val="18"/>
      </w:rPr>
    </w:pPr>
    <w:r w:rsidRPr="005F27F8">
      <w:rPr>
        <w:rFonts w:asciiTheme="majorHAnsi" w:hAnsiTheme="majorHAnsi"/>
        <w:color w:val="595959" w:themeColor="text1" w:themeTint="A6"/>
        <w:sz w:val="18"/>
        <w:szCs w:val="18"/>
      </w:rPr>
      <w:t xml:space="preserve">Pag. </w:t>
    </w:r>
    <w:r w:rsidRPr="005F27F8">
      <w:rPr>
        <w:rFonts w:asciiTheme="majorHAnsi" w:hAnsiTheme="majorHAnsi"/>
        <w:color w:val="595959" w:themeColor="text1" w:themeTint="A6"/>
        <w:sz w:val="18"/>
        <w:szCs w:val="18"/>
      </w:rPr>
      <w:fldChar w:fldCharType="begin"/>
    </w:r>
    <w:r w:rsidRPr="005F27F8">
      <w:rPr>
        <w:rFonts w:asciiTheme="majorHAnsi" w:hAnsiTheme="majorHAnsi"/>
        <w:color w:val="595959" w:themeColor="text1" w:themeTint="A6"/>
        <w:sz w:val="18"/>
        <w:szCs w:val="18"/>
      </w:rPr>
      <w:instrText>PAGE  \* Arabic  \* MERGEFORMAT</w:instrText>
    </w:r>
    <w:r w:rsidRPr="005F27F8">
      <w:rPr>
        <w:rFonts w:asciiTheme="majorHAnsi" w:hAnsiTheme="majorHAnsi"/>
        <w:color w:val="595959" w:themeColor="text1" w:themeTint="A6"/>
        <w:sz w:val="18"/>
        <w:szCs w:val="18"/>
      </w:rPr>
      <w:fldChar w:fldCharType="separate"/>
    </w:r>
    <w:r w:rsidR="00496E31">
      <w:rPr>
        <w:rFonts w:asciiTheme="majorHAnsi" w:hAnsiTheme="majorHAnsi"/>
        <w:noProof/>
        <w:color w:val="595959" w:themeColor="text1" w:themeTint="A6"/>
        <w:sz w:val="18"/>
        <w:szCs w:val="18"/>
      </w:rPr>
      <w:t>63</w:t>
    </w:r>
    <w:r w:rsidRPr="005F27F8">
      <w:rPr>
        <w:rFonts w:asciiTheme="majorHAnsi" w:hAnsiTheme="majorHAnsi"/>
        <w:color w:val="595959" w:themeColor="text1" w:themeTint="A6"/>
        <w:sz w:val="18"/>
        <w:szCs w:val="18"/>
      </w:rPr>
      <w:fldChar w:fldCharType="end"/>
    </w:r>
    <w:r w:rsidRPr="005F27F8">
      <w:rPr>
        <w:rFonts w:asciiTheme="majorHAnsi" w:hAnsiTheme="majorHAnsi"/>
        <w:color w:val="595959" w:themeColor="text1" w:themeTint="A6"/>
        <w:sz w:val="18"/>
        <w:szCs w:val="18"/>
      </w:rPr>
      <w:t xml:space="preserve"> di </w:t>
    </w:r>
    <w:r w:rsidR="003775B3">
      <w:fldChar w:fldCharType="begin"/>
    </w:r>
    <w:r w:rsidR="003775B3">
      <w:instrText>NUMPAGES  \* Arabic  \* MERGEFORMAT</w:instrText>
    </w:r>
    <w:r w:rsidR="003775B3">
      <w:fldChar w:fldCharType="separate"/>
    </w:r>
    <w:r w:rsidR="00496E31" w:rsidRPr="00496E31">
      <w:rPr>
        <w:rFonts w:asciiTheme="majorHAnsi" w:hAnsiTheme="majorHAnsi"/>
        <w:noProof/>
        <w:color w:val="595959" w:themeColor="text1" w:themeTint="A6"/>
        <w:sz w:val="18"/>
        <w:szCs w:val="18"/>
      </w:rPr>
      <w:t>64</w:t>
    </w:r>
    <w:r w:rsidR="003775B3">
      <w:rPr>
        <w:rFonts w:asciiTheme="majorHAnsi" w:hAnsiTheme="majorHAnsi"/>
        <w:noProof/>
        <w:color w:val="595959" w:themeColor="text1" w:themeTint="A6"/>
        <w:sz w:val="18"/>
        <w:szCs w:val="18"/>
      </w:rPr>
      <w:fldChar w:fldCharType="end"/>
    </w:r>
  </w:p>
  <w:p w14:paraId="0FA45455" w14:textId="77777777" w:rsidR="00163604" w:rsidRPr="002739D4" w:rsidRDefault="00163604" w:rsidP="002739D4">
    <w:pPr>
      <w:pStyle w:val="Pidipagina"/>
      <w:spacing w:line="360" w:lineRule="auto"/>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5346857"/>
      <w:docPartObj>
        <w:docPartGallery w:val="Page Numbers (Bottom of Page)"/>
        <w:docPartUnique/>
      </w:docPartObj>
    </w:sdtPr>
    <w:sdtContent>
      <w:p w14:paraId="4B3BE8B6" w14:textId="5125F9E2" w:rsidR="003775B3" w:rsidRDefault="003775B3">
        <w:pPr>
          <w:pStyle w:val="Pidipagina"/>
          <w:jc w:val="right"/>
        </w:pPr>
        <w:r>
          <w:fldChar w:fldCharType="begin"/>
        </w:r>
        <w:r>
          <w:instrText>PAGE   \* MERGEFORMAT</w:instrText>
        </w:r>
        <w:r>
          <w:fldChar w:fldCharType="separate"/>
        </w:r>
        <w:r>
          <w:t>2</w:t>
        </w:r>
        <w:r>
          <w:fldChar w:fldCharType="end"/>
        </w:r>
      </w:p>
    </w:sdtContent>
  </w:sdt>
  <w:p w14:paraId="46E8B970" w14:textId="77777777" w:rsidR="00163604" w:rsidRPr="002739D4" w:rsidRDefault="00163604" w:rsidP="00B5230B">
    <w:pPr>
      <w:pStyle w:val="Pidipagina"/>
      <w:spacing w:line="360"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0B27C" w14:textId="77777777" w:rsidR="0093508D" w:rsidRDefault="0093508D">
      <w:pPr>
        <w:spacing w:after="0" w:line="240" w:lineRule="auto"/>
      </w:pPr>
      <w:r>
        <w:separator/>
      </w:r>
    </w:p>
  </w:footnote>
  <w:footnote w:type="continuationSeparator" w:id="0">
    <w:p w14:paraId="75BB202F" w14:textId="77777777" w:rsidR="0093508D" w:rsidRDefault="0093508D">
      <w:pPr>
        <w:spacing w:after="0" w:line="240" w:lineRule="auto"/>
      </w:pPr>
      <w:r>
        <w:continuationSeparator/>
      </w:r>
    </w:p>
  </w:footnote>
  <w:footnote w:id="1">
    <w:p w14:paraId="50825B42" w14:textId="77777777" w:rsidR="00163604" w:rsidRPr="000749BB" w:rsidRDefault="00163604" w:rsidP="008C6A11">
      <w:pPr>
        <w:jc w:val="both"/>
        <w:rPr>
          <w:color w:val="000000" w:themeColor="text1"/>
        </w:rPr>
      </w:pPr>
      <w:r>
        <w:rPr>
          <w:rStyle w:val="Rimandonotaapidipagina"/>
        </w:rPr>
        <w:footnoteRef/>
      </w:r>
      <w:r>
        <w:t xml:space="preserve"> </w:t>
      </w:r>
      <w:r w:rsidRPr="000749BB">
        <w:rPr>
          <w:color w:val="000000" w:themeColor="text1"/>
        </w:rPr>
        <w:t xml:space="preserve">1. 96. Berardini, De Girolamo;1. 4. (Nuova formulazione) Moretto, Mor, Ungaro, </w:t>
      </w:r>
      <w:proofErr w:type="spellStart"/>
      <w:r w:rsidRPr="000749BB">
        <w:rPr>
          <w:color w:val="000000" w:themeColor="text1"/>
        </w:rPr>
        <w:t>Marattin</w:t>
      </w:r>
      <w:proofErr w:type="spellEnd"/>
      <w:r w:rsidRPr="000749BB">
        <w:rPr>
          <w:color w:val="000000" w:themeColor="text1"/>
        </w:rPr>
        <w:t xml:space="preserve">, Bendinelli; 1. 5. (Nuova formulazione) Gelmini, </w:t>
      </w:r>
      <w:proofErr w:type="spellStart"/>
      <w:r w:rsidRPr="000749BB">
        <w:rPr>
          <w:color w:val="000000" w:themeColor="text1"/>
        </w:rPr>
        <w:t>Porchietto</w:t>
      </w:r>
      <w:proofErr w:type="spellEnd"/>
      <w:r w:rsidRPr="000749BB">
        <w:rPr>
          <w:color w:val="000000" w:themeColor="text1"/>
        </w:rPr>
        <w:t>, Martino, Giacomoni, Cattaneo, Baratto, Angelucci, Giacometto, Mandelli, Prestigiacomo, Barelli, Fiorini, Squeri, Polidori, Carrara, Della Frera.</w:t>
      </w:r>
    </w:p>
    <w:p w14:paraId="33F3CC84" w14:textId="77777777" w:rsidR="00163604" w:rsidRDefault="00163604">
      <w:pPr>
        <w:pStyle w:val="Testonotaapidipagina"/>
      </w:pPr>
    </w:p>
  </w:footnote>
  <w:footnote w:id="2">
    <w:p w14:paraId="2AF9C01E" w14:textId="77777777" w:rsidR="00163604" w:rsidRPr="000749BB" w:rsidRDefault="00163604" w:rsidP="0004407E">
      <w:pPr>
        <w:jc w:val="both"/>
        <w:rPr>
          <w:color w:val="000000" w:themeColor="text1"/>
        </w:rPr>
      </w:pPr>
      <w:r>
        <w:rPr>
          <w:rStyle w:val="Rimandonotaapidipagina"/>
        </w:rPr>
        <w:footnoteRef/>
      </w:r>
      <w:r>
        <w:t xml:space="preserve"> </w:t>
      </w:r>
      <w:r w:rsidRPr="000749BB">
        <w:rPr>
          <w:color w:val="000000" w:themeColor="text1"/>
        </w:rPr>
        <w:t>1. 47. (Nuova formulazione) Gadda, Moretto.</w:t>
      </w:r>
    </w:p>
    <w:p w14:paraId="4A4C0269" w14:textId="77777777" w:rsidR="00163604" w:rsidRDefault="00163604">
      <w:pPr>
        <w:pStyle w:val="Testonotaapidipagina"/>
      </w:pPr>
    </w:p>
  </w:footnote>
  <w:footnote w:id="3">
    <w:p w14:paraId="610542DF" w14:textId="77777777" w:rsidR="00163604" w:rsidRPr="002756C5" w:rsidRDefault="00163604" w:rsidP="00375658">
      <w:pPr>
        <w:jc w:val="both"/>
        <w:rPr>
          <w:color w:val="000000" w:themeColor="text1"/>
        </w:rPr>
      </w:pPr>
      <w:r>
        <w:rPr>
          <w:rStyle w:val="Rimandonotaapidipagina"/>
        </w:rPr>
        <w:footnoteRef/>
      </w:r>
      <w:r>
        <w:t xml:space="preserve"> </w:t>
      </w:r>
      <w:r w:rsidRPr="002756C5">
        <w:rPr>
          <w:color w:val="000000" w:themeColor="text1"/>
        </w:rPr>
        <w:t xml:space="preserve">1. 106. (Nuova formulazione) </w:t>
      </w:r>
      <w:proofErr w:type="spellStart"/>
      <w:r w:rsidRPr="002756C5">
        <w:rPr>
          <w:color w:val="000000" w:themeColor="text1"/>
        </w:rPr>
        <w:t>Fratoianni</w:t>
      </w:r>
      <w:proofErr w:type="spellEnd"/>
      <w:r w:rsidRPr="002756C5">
        <w:rPr>
          <w:color w:val="000000" w:themeColor="text1"/>
        </w:rPr>
        <w:t>, Pastorino.</w:t>
      </w:r>
    </w:p>
    <w:p w14:paraId="21E33EDA" w14:textId="77777777" w:rsidR="00163604" w:rsidRDefault="00163604">
      <w:pPr>
        <w:pStyle w:val="Testonotaapidipagina"/>
      </w:pPr>
    </w:p>
  </w:footnote>
  <w:footnote w:id="4">
    <w:p w14:paraId="25EF02DE" w14:textId="77777777" w:rsidR="00163604" w:rsidRPr="002756C5" w:rsidRDefault="00163604" w:rsidP="00533418">
      <w:pPr>
        <w:jc w:val="both"/>
        <w:rPr>
          <w:color w:val="000000" w:themeColor="text1"/>
        </w:rPr>
      </w:pPr>
      <w:r>
        <w:rPr>
          <w:rStyle w:val="Rimandonotaapidipagina"/>
        </w:rPr>
        <w:footnoteRef/>
      </w:r>
      <w:r>
        <w:t xml:space="preserve"> </w:t>
      </w:r>
      <w:r w:rsidRPr="002756C5">
        <w:rPr>
          <w:color w:val="000000" w:themeColor="text1"/>
        </w:rPr>
        <w:t>1. 279. (Nuova formulazione) Amitrano, Villani.</w:t>
      </w:r>
    </w:p>
    <w:p w14:paraId="5D4DD809" w14:textId="77777777" w:rsidR="00163604" w:rsidRDefault="00163604">
      <w:pPr>
        <w:pStyle w:val="Testonotaapidipagina"/>
      </w:pPr>
    </w:p>
  </w:footnote>
  <w:footnote w:id="5">
    <w:p w14:paraId="0E65C5DC" w14:textId="77777777" w:rsidR="00163604" w:rsidRPr="002756C5" w:rsidRDefault="00163604" w:rsidP="000F53CD">
      <w:pPr>
        <w:jc w:val="both"/>
        <w:rPr>
          <w:color w:val="000000" w:themeColor="text1"/>
        </w:rPr>
      </w:pPr>
      <w:r>
        <w:rPr>
          <w:rStyle w:val="Rimandonotaapidipagina"/>
        </w:rPr>
        <w:footnoteRef/>
      </w:r>
      <w:r>
        <w:t xml:space="preserve"> </w:t>
      </w:r>
      <w:r w:rsidRPr="002756C5">
        <w:rPr>
          <w:color w:val="000000" w:themeColor="text1"/>
        </w:rPr>
        <w:t>1. 321. I Relatori.</w:t>
      </w:r>
    </w:p>
    <w:p w14:paraId="716454AC" w14:textId="77777777" w:rsidR="00163604" w:rsidRDefault="00163604">
      <w:pPr>
        <w:pStyle w:val="Testonotaapidipagina"/>
      </w:pPr>
    </w:p>
  </w:footnote>
  <w:footnote w:id="6">
    <w:p w14:paraId="31113CD4" w14:textId="77777777" w:rsidR="00163604" w:rsidRPr="002756C5" w:rsidRDefault="00163604" w:rsidP="00830635">
      <w:pPr>
        <w:jc w:val="both"/>
        <w:rPr>
          <w:color w:val="000000" w:themeColor="text1"/>
        </w:rPr>
      </w:pPr>
      <w:r>
        <w:rPr>
          <w:rStyle w:val="Rimandonotaapidipagina"/>
        </w:rPr>
        <w:footnoteRef/>
      </w:r>
      <w:r>
        <w:t xml:space="preserve"> </w:t>
      </w:r>
      <w:r w:rsidRPr="002756C5">
        <w:rPr>
          <w:color w:val="000000" w:themeColor="text1"/>
        </w:rPr>
        <w:t>1. 287. Rachele Silvestri, De Toma.</w:t>
      </w:r>
    </w:p>
    <w:p w14:paraId="7D574BAE" w14:textId="77777777" w:rsidR="00163604" w:rsidRDefault="00163604">
      <w:pPr>
        <w:pStyle w:val="Testonotaapidipagina"/>
      </w:pPr>
    </w:p>
  </w:footnote>
  <w:footnote w:id="7">
    <w:p w14:paraId="18FF5B08" w14:textId="77777777" w:rsidR="00163604" w:rsidRPr="002756C5" w:rsidRDefault="00163604" w:rsidP="00DF6578">
      <w:pPr>
        <w:jc w:val="both"/>
        <w:rPr>
          <w:color w:val="000000" w:themeColor="text1"/>
        </w:rPr>
      </w:pPr>
      <w:r>
        <w:rPr>
          <w:rStyle w:val="Rimandonotaapidipagina"/>
        </w:rPr>
        <w:footnoteRef/>
      </w:r>
      <w:r>
        <w:t xml:space="preserve"> </w:t>
      </w:r>
      <w:r w:rsidRPr="002756C5">
        <w:rPr>
          <w:color w:val="000000" w:themeColor="text1"/>
        </w:rPr>
        <w:t>1. 63. (Nuova formulazione) Fassina, Pastorino, Epifani, Bersani.</w:t>
      </w:r>
    </w:p>
    <w:p w14:paraId="17540F76" w14:textId="77777777" w:rsidR="00163604" w:rsidRDefault="00163604">
      <w:pPr>
        <w:pStyle w:val="Testonotaapidipagina"/>
      </w:pPr>
    </w:p>
  </w:footnote>
  <w:footnote w:id="8">
    <w:p w14:paraId="0EE1D545" w14:textId="77777777" w:rsidR="00163604" w:rsidRPr="002756C5" w:rsidRDefault="00163604" w:rsidP="00994F45">
      <w:pPr>
        <w:jc w:val="both"/>
        <w:rPr>
          <w:color w:val="000000" w:themeColor="text1"/>
        </w:rPr>
      </w:pPr>
      <w:r>
        <w:rPr>
          <w:rStyle w:val="Rimandonotaapidipagina"/>
        </w:rPr>
        <w:footnoteRef/>
      </w:r>
      <w:r>
        <w:t xml:space="preserve"> </w:t>
      </w:r>
      <w:r w:rsidRPr="002756C5">
        <w:rPr>
          <w:color w:val="000000" w:themeColor="text1"/>
        </w:rPr>
        <w:t xml:space="preserve">1. 60. (Nuova formulazione) Benamati, Topo, </w:t>
      </w:r>
      <w:proofErr w:type="spellStart"/>
      <w:r w:rsidRPr="002756C5">
        <w:rPr>
          <w:color w:val="000000" w:themeColor="text1"/>
        </w:rPr>
        <w:t>Pezzopane</w:t>
      </w:r>
      <w:proofErr w:type="spellEnd"/>
      <w:r w:rsidRPr="002756C5">
        <w:rPr>
          <w:color w:val="000000" w:themeColor="text1"/>
        </w:rPr>
        <w:t xml:space="preserve">; 1. 62. (Nuova formulazione) Martino, Gelmini, Giacomoni, Cattaneo, Baratto, Angelucci, Giacometto, </w:t>
      </w:r>
      <w:proofErr w:type="spellStart"/>
      <w:r w:rsidRPr="002756C5">
        <w:rPr>
          <w:color w:val="000000" w:themeColor="text1"/>
        </w:rPr>
        <w:t>Porchietto</w:t>
      </w:r>
      <w:proofErr w:type="spellEnd"/>
      <w:r w:rsidRPr="002756C5">
        <w:rPr>
          <w:color w:val="000000" w:themeColor="text1"/>
        </w:rPr>
        <w:t>, Barelli, Squeri, Carrara, Polidori, Fiorini, Della Frera.</w:t>
      </w:r>
    </w:p>
    <w:p w14:paraId="08BF82C6" w14:textId="77777777" w:rsidR="00163604" w:rsidRDefault="00163604">
      <w:pPr>
        <w:pStyle w:val="Testonotaapidipagina"/>
      </w:pPr>
    </w:p>
  </w:footnote>
  <w:footnote w:id="9">
    <w:p w14:paraId="36089D14" w14:textId="77777777" w:rsidR="00163604" w:rsidRPr="002756C5" w:rsidRDefault="00163604" w:rsidP="00525326">
      <w:pPr>
        <w:jc w:val="both"/>
        <w:rPr>
          <w:color w:val="000000" w:themeColor="text1"/>
        </w:rPr>
      </w:pPr>
      <w:r>
        <w:rPr>
          <w:rStyle w:val="Rimandonotaapidipagina"/>
        </w:rPr>
        <w:footnoteRef/>
      </w:r>
      <w:r>
        <w:t xml:space="preserve"> </w:t>
      </w:r>
      <w:r w:rsidRPr="002756C5">
        <w:rPr>
          <w:color w:val="000000" w:themeColor="text1"/>
        </w:rPr>
        <w:t xml:space="preserve">1. 113. </w:t>
      </w:r>
      <w:proofErr w:type="spellStart"/>
      <w:r w:rsidRPr="002756C5">
        <w:rPr>
          <w:color w:val="000000" w:themeColor="text1"/>
        </w:rPr>
        <w:t>Raduzzi</w:t>
      </w:r>
      <w:proofErr w:type="spellEnd"/>
      <w:r w:rsidRPr="002756C5">
        <w:rPr>
          <w:color w:val="000000" w:themeColor="text1"/>
        </w:rPr>
        <w:t xml:space="preserve">; 1. 250. Mollicone, </w:t>
      </w:r>
      <w:proofErr w:type="spellStart"/>
      <w:r w:rsidRPr="002756C5">
        <w:rPr>
          <w:color w:val="000000" w:themeColor="text1"/>
        </w:rPr>
        <w:t>Osnato</w:t>
      </w:r>
      <w:proofErr w:type="spellEnd"/>
      <w:r w:rsidRPr="002756C5">
        <w:rPr>
          <w:color w:val="000000" w:themeColor="text1"/>
        </w:rPr>
        <w:t>, Zucconi, Bignami, Acquaroli, Baldini.</w:t>
      </w:r>
    </w:p>
    <w:p w14:paraId="037ED61F" w14:textId="77777777" w:rsidR="00163604" w:rsidRDefault="00163604">
      <w:pPr>
        <w:pStyle w:val="Testonotaapidipagina"/>
      </w:pPr>
    </w:p>
  </w:footnote>
  <w:footnote w:id="10">
    <w:p w14:paraId="33E90C2C" w14:textId="77777777" w:rsidR="00163604" w:rsidRPr="002756C5" w:rsidRDefault="00163604" w:rsidP="0005286F">
      <w:pPr>
        <w:jc w:val="both"/>
        <w:rPr>
          <w:color w:val="000000" w:themeColor="text1"/>
        </w:rPr>
      </w:pPr>
      <w:r>
        <w:rPr>
          <w:rStyle w:val="Rimandonotaapidipagina"/>
        </w:rPr>
        <w:footnoteRef/>
      </w:r>
      <w:r>
        <w:t xml:space="preserve"> </w:t>
      </w:r>
      <w:r w:rsidRPr="002756C5">
        <w:rPr>
          <w:color w:val="000000" w:themeColor="text1"/>
        </w:rPr>
        <w:t xml:space="preserve">1. 104. (Nuova formulazione) Zardini, </w:t>
      </w:r>
      <w:proofErr w:type="spellStart"/>
      <w:r w:rsidRPr="002756C5">
        <w:rPr>
          <w:color w:val="000000" w:themeColor="text1"/>
        </w:rPr>
        <w:t>Pezzopane</w:t>
      </w:r>
      <w:proofErr w:type="spellEnd"/>
      <w:r w:rsidRPr="002756C5">
        <w:rPr>
          <w:color w:val="000000" w:themeColor="text1"/>
        </w:rPr>
        <w:t>.</w:t>
      </w:r>
    </w:p>
    <w:p w14:paraId="0E84D492" w14:textId="77777777" w:rsidR="00163604" w:rsidRDefault="00163604">
      <w:pPr>
        <w:pStyle w:val="Testonotaapidipagina"/>
      </w:pPr>
    </w:p>
  </w:footnote>
  <w:footnote w:id="11">
    <w:p w14:paraId="18DB9DB0" w14:textId="77777777" w:rsidR="00163604" w:rsidRPr="00A30F5D" w:rsidRDefault="00163604" w:rsidP="00971381">
      <w:pPr>
        <w:jc w:val="both"/>
        <w:rPr>
          <w:color w:val="000000" w:themeColor="text1"/>
        </w:rPr>
      </w:pPr>
      <w:r>
        <w:rPr>
          <w:rStyle w:val="Rimandonotaapidipagina"/>
        </w:rPr>
        <w:footnoteRef/>
      </w:r>
      <w:r>
        <w:t xml:space="preserve"> </w:t>
      </w:r>
      <w:r w:rsidRPr="00A30F5D">
        <w:rPr>
          <w:color w:val="000000" w:themeColor="text1"/>
        </w:rPr>
        <w:t>1. 323. I Relatori.</w:t>
      </w:r>
    </w:p>
    <w:p w14:paraId="3C3D28B4" w14:textId="77777777" w:rsidR="00163604" w:rsidRDefault="00163604">
      <w:pPr>
        <w:pStyle w:val="Testonotaapidipagina"/>
      </w:pPr>
    </w:p>
  </w:footnote>
  <w:footnote w:id="12">
    <w:p w14:paraId="114F4AF9" w14:textId="77777777" w:rsidR="00163604" w:rsidRPr="00A30F5D" w:rsidRDefault="00163604" w:rsidP="00A34AE9">
      <w:pPr>
        <w:jc w:val="both"/>
        <w:rPr>
          <w:color w:val="000000" w:themeColor="text1"/>
        </w:rPr>
      </w:pPr>
      <w:r>
        <w:rPr>
          <w:rStyle w:val="Rimandonotaapidipagina"/>
        </w:rPr>
        <w:footnoteRef/>
      </w:r>
      <w:r>
        <w:t xml:space="preserve"> </w:t>
      </w:r>
      <w:r w:rsidRPr="00A30F5D">
        <w:rPr>
          <w:color w:val="000000" w:themeColor="text1"/>
        </w:rPr>
        <w:t>1. 322. I Relatori.</w:t>
      </w:r>
    </w:p>
    <w:p w14:paraId="29FBF42C" w14:textId="77777777" w:rsidR="00163604" w:rsidRDefault="00163604">
      <w:pPr>
        <w:pStyle w:val="Testonotaapidipagina"/>
      </w:pPr>
    </w:p>
  </w:footnote>
  <w:footnote w:id="13">
    <w:p w14:paraId="41D2FAED" w14:textId="77777777" w:rsidR="00163604" w:rsidRPr="00F33854" w:rsidRDefault="00163604" w:rsidP="00786639">
      <w:pPr>
        <w:jc w:val="both"/>
        <w:rPr>
          <w:color w:val="000000" w:themeColor="text1"/>
        </w:rPr>
      </w:pPr>
      <w:r>
        <w:rPr>
          <w:rStyle w:val="Rimandonotaapidipagina"/>
        </w:rPr>
        <w:footnoteRef/>
      </w:r>
      <w:r>
        <w:t xml:space="preserve"> </w:t>
      </w:r>
      <w:r w:rsidRPr="00F33854">
        <w:rPr>
          <w:color w:val="000000" w:themeColor="text1"/>
        </w:rPr>
        <w:t>2. 8. I Relatori.</w:t>
      </w:r>
    </w:p>
    <w:p w14:paraId="55F11FC0" w14:textId="77777777" w:rsidR="00163604" w:rsidRDefault="00163604">
      <w:pPr>
        <w:pStyle w:val="Testonotaapidipagina"/>
      </w:pPr>
    </w:p>
  </w:footnote>
  <w:footnote w:id="14">
    <w:p w14:paraId="1E5BF7CC" w14:textId="77777777" w:rsidR="00163604" w:rsidRPr="00F33854" w:rsidRDefault="00163604" w:rsidP="00897768">
      <w:pPr>
        <w:jc w:val="both"/>
        <w:rPr>
          <w:color w:val="000000" w:themeColor="text1"/>
        </w:rPr>
      </w:pPr>
      <w:r>
        <w:rPr>
          <w:rStyle w:val="Rimandonotaapidipagina"/>
        </w:rPr>
        <w:footnoteRef/>
      </w:r>
      <w:r>
        <w:t xml:space="preserve"> </w:t>
      </w:r>
      <w:r w:rsidRPr="00F33854">
        <w:rPr>
          <w:color w:val="000000" w:themeColor="text1"/>
        </w:rPr>
        <w:t xml:space="preserve">4. 02. Caso, Baldino, Piera Aiello, Davide Aiello, Ascari, Lattanzio, Migliorino, Nesci, Salafia, Alaimo, Berti, Bilotti, Brescia, Maurizio </w:t>
      </w:r>
      <w:proofErr w:type="spellStart"/>
      <w:r w:rsidRPr="00F33854">
        <w:rPr>
          <w:color w:val="000000" w:themeColor="text1"/>
        </w:rPr>
        <w:t>Cattoi</w:t>
      </w:r>
      <w:proofErr w:type="spellEnd"/>
      <w:r w:rsidRPr="00F33854">
        <w:rPr>
          <w:color w:val="000000" w:themeColor="text1"/>
        </w:rPr>
        <w:t xml:space="preserve">, Corneli, D'Ambrosio, Sabrina De Carlo, Dieni, Forciniti, Macina, Parisse, Suriano, Francesco Silvestri, Elisa Tripodi, Deiana, Ilaria Fontana, Daga, D'Ippolito, Federico, </w:t>
      </w:r>
      <w:proofErr w:type="spellStart"/>
      <w:r w:rsidRPr="00F33854">
        <w:rPr>
          <w:color w:val="000000" w:themeColor="text1"/>
        </w:rPr>
        <w:t>Licatini</w:t>
      </w:r>
      <w:proofErr w:type="spellEnd"/>
      <w:r w:rsidRPr="00F33854">
        <w:rPr>
          <w:color w:val="000000" w:themeColor="text1"/>
        </w:rPr>
        <w:t xml:space="preserve">, Alberto Manca, Maraia, Micillo, Ricciardi, Terzoni, Varrica, Vianello, Vignaroli, </w:t>
      </w:r>
      <w:proofErr w:type="spellStart"/>
      <w:r w:rsidRPr="00F33854">
        <w:rPr>
          <w:color w:val="000000" w:themeColor="text1"/>
        </w:rPr>
        <w:t>Zolezzi</w:t>
      </w:r>
      <w:proofErr w:type="spellEnd"/>
      <w:r w:rsidRPr="00F33854">
        <w:rPr>
          <w:color w:val="000000" w:themeColor="text1"/>
        </w:rPr>
        <w:t>.</w:t>
      </w:r>
    </w:p>
    <w:p w14:paraId="493E07EE" w14:textId="77777777" w:rsidR="00163604" w:rsidRDefault="00163604">
      <w:pPr>
        <w:pStyle w:val="Testonotaapidipagina"/>
      </w:pPr>
    </w:p>
  </w:footnote>
  <w:footnote w:id="15">
    <w:p w14:paraId="6BC2FF7D" w14:textId="77777777" w:rsidR="00163604" w:rsidRPr="00F33854" w:rsidRDefault="00163604" w:rsidP="007F6AB0">
      <w:pPr>
        <w:jc w:val="both"/>
        <w:rPr>
          <w:color w:val="000000" w:themeColor="text1"/>
        </w:rPr>
      </w:pPr>
      <w:r>
        <w:rPr>
          <w:rStyle w:val="Rimandonotaapidipagina"/>
        </w:rPr>
        <w:footnoteRef/>
      </w:r>
      <w:r>
        <w:t xml:space="preserve"> </w:t>
      </w:r>
      <w:r w:rsidRPr="00F33854">
        <w:rPr>
          <w:color w:val="000000" w:themeColor="text1"/>
        </w:rPr>
        <w:t xml:space="preserve">4. 06. Ilaria Fontana, Deiana, Daga, D'Ippolito, Federico, </w:t>
      </w:r>
      <w:proofErr w:type="spellStart"/>
      <w:r w:rsidRPr="00F33854">
        <w:rPr>
          <w:color w:val="000000" w:themeColor="text1"/>
        </w:rPr>
        <w:t>Licatini</w:t>
      </w:r>
      <w:proofErr w:type="spellEnd"/>
      <w:r w:rsidRPr="00F33854">
        <w:rPr>
          <w:color w:val="000000" w:themeColor="text1"/>
        </w:rPr>
        <w:t xml:space="preserve">, Alberto Manca, Maraia, Micillo, Ricciardi, Terzoni, Varrica, Vianello, Vignaroli, </w:t>
      </w:r>
      <w:proofErr w:type="spellStart"/>
      <w:r w:rsidRPr="00F33854">
        <w:rPr>
          <w:color w:val="000000" w:themeColor="text1"/>
        </w:rPr>
        <w:t>Zolezzi</w:t>
      </w:r>
      <w:proofErr w:type="spellEnd"/>
      <w:r w:rsidRPr="00F33854">
        <w:rPr>
          <w:color w:val="000000" w:themeColor="text1"/>
        </w:rPr>
        <w:t>, Pastorino, Muroni.</w:t>
      </w:r>
    </w:p>
    <w:p w14:paraId="32D049EF" w14:textId="77777777" w:rsidR="00163604" w:rsidRDefault="00163604">
      <w:pPr>
        <w:pStyle w:val="Testonotaapidipagina"/>
      </w:pPr>
    </w:p>
  </w:footnote>
  <w:footnote w:id="16">
    <w:p w14:paraId="7BB12279" w14:textId="77777777" w:rsidR="00163604" w:rsidRPr="00D06905" w:rsidRDefault="00163604" w:rsidP="00DC19C1">
      <w:pPr>
        <w:jc w:val="both"/>
        <w:rPr>
          <w:color w:val="000000" w:themeColor="text1"/>
        </w:rPr>
      </w:pPr>
      <w:r>
        <w:rPr>
          <w:rStyle w:val="Rimandonotaapidipagina"/>
        </w:rPr>
        <w:footnoteRef/>
      </w:r>
      <w:r>
        <w:t xml:space="preserve"> </w:t>
      </w:r>
      <w:r w:rsidRPr="00D06905">
        <w:rPr>
          <w:color w:val="000000" w:themeColor="text1"/>
        </w:rPr>
        <w:t xml:space="preserve">11. 1. </w:t>
      </w:r>
      <w:proofErr w:type="spellStart"/>
      <w:r w:rsidRPr="00D06905">
        <w:rPr>
          <w:color w:val="000000" w:themeColor="text1"/>
        </w:rPr>
        <w:t>Marattin</w:t>
      </w:r>
      <w:proofErr w:type="spellEnd"/>
      <w:r w:rsidRPr="00D06905">
        <w:rPr>
          <w:color w:val="000000" w:themeColor="text1"/>
        </w:rPr>
        <w:t xml:space="preserve">, Ferri, Buratti, Mancini, Romina Mura, Rotta, Topo, Benamati, Bonomo, </w:t>
      </w:r>
      <w:proofErr w:type="spellStart"/>
      <w:r w:rsidRPr="00D06905">
        <w:rPr>
          <w:color w:val="000000" w:themeColor="text1"/>
        </w:rPr>
        <w:t>Lacarra</w:t>
      </w:r>
      <w:proofErr w:type="spellEnd"/>
      <w:r w:rsidRPr="00D06905">
        <w:rPr>
          <w:color w:val="000000" w:themeColor="text1"/>
        </w:rPr>
        <w:t xml:space="preserve">, Manca, Nardi, Zardini, Zennaro, Nitti, Rospi, Berardini, </w:t>
      </w:r>
      <w:proofErr w:type="spellStart"/>
      <w:r w:rsidRPr="00D06905">
        <w:rPr>
          <w:color w:val="000000" w:themeColor="text1"/>
        </w:rPr>
        <w:t>Cancelleri</w:t>
      </w:r>
      <w:proofErr w:type="spellEnd"/>
      <w:r w:rsidRPr="00D06905">
        <w:rPr>
          <w:color w:val="000000" w:themeColor="text1"/>
        </w:rPr>
        <w:t xml:space="preserve">, Caso, Currò, </w:t>
      </w:r>
      <w:proofErr w:type="spellStart"/>
      <w:r w:rsidRPr="00D06905">
        <w:rPr>
          <w:color w:val="000000" w:themeColor="text1"/>
        </w:rPr>
        <w:t>Giuliodori</w:t>
      </w:r>
      <w:proofErr w:type="spellEnd"/>
      <w:r w:rsidRPr="00D06905">
        <w:rPr>
          <w:color w:val="000000" w:themeColor="text1"/>
        </w:rPr>
        <w:t xml:space="preserve">, Grimaldi, Maglione, Maniero, </w:t>
      </w:r>
      <w:proofErr w:type="spellStart"/>
      <w:r w:rsidRPr="00D06905">
        <w:rPr>
          <w:color w:val="000000" w:themeColor="text1"/>
        </w:rPr>
        <w:t>Martinciglio</w:t>
      </w:r>
      <w:proofErr w:type="spellEnd"/>
      <w:r w:rsidRPr="00D06905">
        <w:rPr>
          <w:color w:val="000000" w:themeColor="text1"/>
        </w:rPr>
        <w:t xml:space="preserve">, Migliorino, </w:t>
      </w:r>
      <w:proofErr w:type="spellStart"/>
      <w:r w:rsidRPr="00D06905">
        <w:rPr>
          <w:color w:val="000000" w:themeColor="text1"/>
        </w:rPr>
        <w:t>Raduzzi</w:t>
      </w:r>
      <w:proofErr w:type="spellEnd"/>
      <w:r w:rsidRPr="00D06905">
        <w:rPr>
          <w:color w:val="000000" w:themeColor="text1"/>
        </w:rPr>
        <w:t xml:space="preserve">, Ruggiero, Ruocco, Zanichelli, Angelucci, Baratto, Cattaneo, Giacometto, Giacomoni, Martino, </w:t>
      </w:r>
      <w:proofErr w:type="spellStart"/>
      <w:r w:rsidRPr="00D06905">
        <w:rPr>
          <w:color w:val="000000" w:themeColor="text1"/>
        </w:rPr>
        <w:t>Porchietto</w:t>
      </w:r>
      <w:proofErr w:type="spellEnd"/>
      <w:r w:rsidRPr="00D06905">
        <w:rPr>
          <w:color w:val="000000" w:themeColor="text1"/>
        </w:rPr>
        <w:t xml:space="preserve">, Barelli, Carrara, Della Frera, Fiorini, Polidori, Squeri, Conte, Pastorino, Fornaro, Zucconi, </w:t>
      </w:r>
      <w:proofErr w:type="spellStart"/>
      <w:r w:rsidRPr="00D06905">
        <w:rPr>
          <w:color w:val="000000" w:themeColor="text1"/>
        </w:rPr>
        <w:t>Osnato</w:t>
      </w:r>
      <w:proofErr w:type="spellEnd"/>
      <w:r w:rsidRPr="00D06905">
        <w:rPr>
          <w:color w:val="000000" w:themeColor="text1"/>
        </w:rPr>
        <w:t>, Acquaroli, Colucci, De Toma, Rachele Silvestri.</w:t>
      </w:r>
    </w:p>
    <w:p w14:paraId="55847531" w14:textId="77777777" w:rsidR="00163604" w:rsidRDefault="00163604">
      <w:pPr>
        <w:pStyle w:val="Testonotaapidipagina"/>
      </w:pPr>
    </w:p>
  </w:footnote>
  <w:footnote w:id="17">
    <w:p w14:paraId="5590AEBE" w14:textId="77777777" w:rsidR="00163604" w:rsidRPr="00D06905" w:rsidRDefault="00163604" w:rsidP="00175EC9">
      <w:pPr>
        <w:jc w:val="both"/>
        <w:rPr>
          <w:color w:val="000000" w:themeColor="text1"/>
        </w:rPr>
      </w:pPr>
      <w:r>
        <w:rPr>
          <w:rStyle w:val="Rimandonotaapidipagina"/>
        </w:rPr>
        <w:footnoteRef/>
      </w:r>
      <w:r>
        <w:t xml:space="preserve"> </w:t>
      </w:r>
      <w:r w:rsidRPr="00D06905">
        <w:rPr>
          <w:color w:val="000000" w:themeColor="text1"/>
        </w:rPr>
        <w:t xml:space="preserve">11. 1. </w:t>
      </w:r>
      <w:proofErr w:type="spellStart"/>
      <w:r w:rsidRPr="00D06905">
        <w:rPr>
          <w:color w:val="000000" w:themeColor="text1"/>
        </w:rPr>
        <w:t>Marattin</w:t>
      </w:r>
      <w:proofErr w:type="spellEnd"/>
      <w:r w:rsidRPr="00D06905">
        <w:rPr>
          <w:color w:val="000000" w:themeColor="text1"/>
        </w:rPr>
        <w:t xml:space="preserve">, Ferri, Buratti, Mancini, Romina Mura, Rotta, Topo, Benamati, Bonomo, </w:t>
      </w:r>
      <w:proofErr w:type="spellStart"/>
      <w:r w:rsidRPr="00D06905">
        <w:rPr>
          <w:color w:val="000000" w:themeColor="text1"/>
        </w:rPr>
        <w:t>Lacarra</w:t>
      </w:r>
      <w:proofErr w:type="spellEnd"/>
      <w:r w:rsidRPr="00D06905">
        <w:rPr>
          <w:color w:val="000000" w:themeColor="text1"/>
        </w:rPr>
        <w:t xml:space="preserve">, Manca, Nardi, Zardini, Zennaro, Nitti, Rospi, Berardini, </w:t>
      </w:r>
      <w:proofErr w:type="spellStart"/>
      <w:r w:rsidRPr="00D06905">
        <w:rPr>
          <w:color w:val="000000" w:themeColor="text1"/>
        </w:rPr>
        <w:t>Cancelleri</w:t>
      </w:r>
      <w:proofErr w:type="spellEnd"/>
      <w:r w:rsidRPr="00D06905">
        <w:rPr>
          <w:color w:val="000000" w:themeColor="text1"/>
        </w:rPr>
        <w:t xml:space="preserve">, Caso, Currò, </w:t>
      </w:r>
      <w:proofErr w:type="spellStart"/>
      <w:r w:rsidRPr="00D06905">
        <w:rPr>
          <w:color w:val="000000" w:themeColor="text1"/>
        </w:rPr>
        <w:t>Giuliodori</w:t>
      </w:r>
      <w:proofErr w:type="spellEnd"/>
      <w:r w:rsidRPr="00D06905">
        <w:rPr>
          <w:color w:val="000000" w:themeColor="text1"/>
        </w:rPr>
        <w:t xml:space="preserve">, Grimaldi, Maglione, Maniero, </w:t>
      </w:r>
      <w:proofErr w:type="spellStart"/>
      <w:r w:rsidRPr="00D06905">
        <w:rPr>
          <w:color w:val="000000" w:themeColor="text1"/>
        </w:rPr>
        <w:t>Martinciglio</w:t>
      </w:r>
      <w:proofErr w:type="spellEnd"/>
      <w:r w:rsidRPr="00D06905">
        <w:rPr>
          <w:color w:val="000000" w:themeColor="text1"/>
        </w:rPr>
        <w:t xml:space="preserve">, Migliorino, </w:t>
      </w:r>
      <w:proofErr w:type="spellStart"/>
      <w:r w:rsidRPr="00D06905">
        <w:rPr>
          <w:color w:val="000000" w:themeColor="text1"/>
        </w:rPr>
        <w:t>Raduzzi</w:t>
      </w:r>
      <w:proofErr w:type="spellEnd"/>
      <w:r w:rsidRPr="00D06905">
        <w:rPr>
          <w:color w:val="000000" w:themeColor="text1"/>
        </w:rPr>
        <w:t xml:space="preserve">, Ruggiero, Ruocco, Zanichelli, Angelucci, Baratto, Cattaneo, Giacometto, Giacomoni, Martino, </w:t>
      </w:r>
      <w:proofErr w:type="spellStart"/>
      <w:r w:rsidRPr="00D06905">
        <w:rPr>
          <w:color w:val="000000" w:themeColor="text1"/>
        </w:rPr>
        <w:t>Porchietto</w:t>
      </w:r>
      <w:proofErr w:type="spellEnd"/>
      <w:r w:rsidRPr="00D06905">
        <w:rPr>
          <w:color w:val="000000" w:themeColor="text1"/>
        </w:rPr>
        <w:t xml:space="preserve">, Barelli, Carrara, Della Frera, Fiorini, Polidori, Squeri, Conte, Pastorino, Fornaro, Zucconi, </w:t>
      </w:r>
      <w:proofErr w:type="spellStart"/>
      <w:r w:rsidRPr="00D06905">
        <w:rPr>
          <w:color w:val="000000" w:themeColor="text1"/>
        </w:rPr>
        <w:t>Osnato</w:t>
      </w:r>
      <w:proofErr w:type="spellEnd"/>
      <w:r w:rsidRPr="00D06905">
        <w:rPr>
          <w:color w:val="000000" w:themeColor="text1"/>
        </w:rPr>
        <w:t>, Acquaroli, Colucci, De Toma, Rachele Silvestri.</w:t>
      </w:r>
    </w:p>
    <w:p w14:paraId="2A8C95FA" w14:textId="77777777" w:rsidR="00163604" w:rsidRDefault="00163604">
      <w:pPr>
        <w:pStyle w:val="Testonotaapidipagina"/>
      </w:pPr>
    </w:p>
  </w:footnote>
  <w:footnote w:id="18">
    <w:p w14:paraId="6E626153" w14:textId="77777777" w:rsidR="00163604" w:rsidRPr="00D6163D" w:rsidRDefault="00163604" w:rsidP="009F006D">
      <w:pPr>
        <w:jc w:val="both"/>
        <w:rPr>
          <w:rFonts w:asciiTheme="minorHAnsi" w:hAnsiTheme="minorHAnsi"/>
          <w:color w:val="000000" w:themeColor="text1"/>
        </w:rPr>
      </w:pPr>
      <w:r>
        <w:rPr>
          <w:rStyle w:val="Rimandonotaapidipagina"/>
        </w:rPr>
        <w:footnoteRef/>
      </w:r>
      <w:r>
        <w:t xml:space="preserve"> </w:t>
      </w:r>
      <w:r w:rsidRPr="00D6163D">
        <w:rPr>
          <w:rFonts w:asciiTheme="minorHAnsi" w:hAnsiTheme="minorHAnsi"/>
          <w:color w:val="000000" w:themeColor="text1"/>
        </w:rPr>
        <w:t>13. 4. (Nuova formulaz</w:t>
      </w:r>
      <w:r w:rsidRPr="00D6163D">
        <w:rPr>
          <w:color w:val="000000" w:themeColor="text1"/>
        </w:rPr>
        <w:t xml:space="preserve">ione) Braga, Buratti, </w:t>
      </w:r>
      <w:proofErr w:type="spellStart"/>
      <w:r w:rsidRPr="00D6163D">
        <w:rPr>
          <w:color w:val="000000" w:themeColor="text1"/>
        </w:rPr>
        <w:t>Pezzopane</w:t>
      </w:r>
      <w:proofErr w:type="spellEnd"/>
      <w:r w:rsidRPr="00D6163D">
        <w:rPr>
          <w:color w:val="000000" w:themeColor="text1"/>
        </w:rPr>
        <w:t xml:space="preserve">; </w:t>
      </w:r>
      <w:r w:rsidRPr="00D6163D">
        <w:rPr>
          <w:rFonts w:asciiTheme="minorHAnsi" w:hAnsiTheme="minorHAnsi"/>
          <w:color w:val="000000" w:themeColor="text1"/>
        </w:rPr>
        <w:t xml:space="preserve">13. 5. (Nuova formulazione) Topo, Mancini, Buratti, Mura, </w:t>
      </w:r>
      <w:proofErr w:type="spellStart"/>
      <w:r w:rsidRPr="00D6163D">
        <w:rPr>
          <w:rFonts w:asciiTheme="minorHAnsi" w:hAnsiTheme="minorHAnsi"/>
          <w:color w:val="000000" w:themeColor="text1"/>
        </w:rPr>
        <w:t>Pezzopane</w:t>
      </w:r>
      <w:proofErr w:type="spellEnd"/>
      <w:r w:rsidRPr="00D6163D">
        <w:rPr>
          <w:rFonts w:asciiTheme="minorHAnsi" w:hAnsiTheme="minorHAnsi"/>
          <w:color w:val="000000" w:themeColor="text1"/>
        </w:rPr>
        <w:t xml:space="preserve">, Mura, Rotta, Benamati, Bonomo, </w:t>
      </w:r>
      <w:proofErr w:type="spellStart"/>
      <w:r w:rsidRPr="00D6163D">
        <w:rPr>
          <w:rFonts w:asciiTheme="minorHAnsi" w:hAnsiTheme="minorHAnsi"/>
          <w:color w:val="000000" w:themeColor="text1"/>
        </w:rPr>
        <w:t>Lacarra</w:t>
      </w:r>
      <w:proofErr w:type="spellEnd"/>
      <w:r w:rsidRPr="00D6163D">
        <w:rPr>
          <w:rFonts w:asciiTheme="minorHAnsi" w:hAnsiTheme="minorHAnsi"/>
          <w:color w:val="000000" w:themeColor="text1"/>
        </w:rPr>
        <w:t>, Man</w:t>
      </w:r>
      <w:r w:rsidRPr="00D6163D">
        <w:rPr>
          <w:color w:val="000000" w:themeColor="text1"/>
        </w:rPr>
        <w:t xml:space="preserve">ca, Nardi, Zardini; </w:t>
      </w:r>
      <w:r w:rsidRPr="00D6163D">
        <w:rPr>
          <w:rFonts w:asciiTheme="minorHAnsi" w:hAnsiTheme="minorHAnsi"/>
          <w:color w:val="000000" w:themeColor="text1"/>
        </w:rPr>
        <w:t xml:space="preserve">13. </w:t>
      </w:r>
      <w:r w:rsidRPr="00D6163D">
        <w:rPr>
          <w:color w:val="000000" w:themeColor="text1"/>
        </w:rPr>
        <w:t xml:space="preserve">6. (Nuova formulazione) Angiola; </w:t>
      </w:r>
      <w:r w:rsidRPr="00D6163D">
        <w:rPr>
          <w:rFonts w:asciiTheme="minorHAnsi" w:hAnsiTheme="minorHAnsi"/>
          <w:color w:val="000000" w:themeColor="text1"/>
        </w:rPr>
        <w:t xml:space="preserve">13. 7. (Nuova </w:t>
      </w:r>
      <w:r w:rsidRPr="00D6163D">
        <w:rPr>
          <w:color w:val="000000" w:themeColor="text1"/>
        </w:rPr>
        <w:t xml:space="preserve">formulazione) Pella, </w:t>
      </w:r>
      <w:proofErr w:type="spellStart"/>
      <w:r w:rsidRPr="00D6163D">
        <w:rPr>
          <w:color w:val="000000" w:themeColor="text1"/>
        </w:rPr>
        <w:t>Porchietto</w:t>
      </w:r>
      <w:proofErr w:type="spellEnd"/>
      <w:r w:rsidRPr="00D6163D">
        <w:rPr>
          <w:color w:val="000000" w:themeColor="text1"/>
        </w:rPr>
        <w:t xml:space="preserve">; </w:t>
      </w:r>
      <w:r w:rsidRPr="00D6163D">
        <w:rPr>
          <w:rFonts w:asciiTheme="minorHAnsi" w:hAnsiTheme="minorHAnsi"/>
          <w:color w:val="000000" w:themeColor="text1"/>
        </w:rPr>
        <w:t>13. 8. (Nuova formulazione) Pastorino, Nardi.</w:t>
      </w:r>
    </w:p>
    <w:p w14:paraId="4F3C8E42" w14:textId="77777777" w:rsidR="00163604" w:rsidRDefault="00163604">
      <w:pPr>
        <w:pStyle w:val="Testonotaapidipagina"/>
      </w:pPr>
    </w:p>
  </w:footnote>
  <w:footnote w:id="19">
    <w:p w14:paraId="612A6366" w14:textId="77777777" w:rsidR="00163604" w:rsidRPr="00714183" w:rsidRDefault="00163604" w:rsidP="00A504CE">
      <w:pPr>
        <w:jc w:val="both"/>
        <w:rPr>
          <w:rFonts w:asciiTheme="minorHAnsi" w:hAnsiTheme="minorHAnsi"/>
          <w:color w:val="000000" w:themeColor="text1"/>
        </w:rPr>
      </w:pPr>
      <w:r>
        <w:rPr>
          <w:rStyle w:val="Rimandonotaapidipagina"/>
        </w:rPr>
        <w:footnoteRef/>
      </w:r>
      <w:r>
        <w:t xml:space="preserve"> </w:t>
      </w:r>
      <w:r w:rsidRPr="00714183">
        <w:rPr>
          <w:color w:val="000000" w:themeColor="text1"/>
        </w:rPr>
        <w:t xml:space="preserve">13. 53. Mancini, </w:t>
      </w:r>
      <w:proofErr w:type="spellStart"/>
      <w:r w:rsidRPr="00714183">
        <w:rPr>
          <w:color w:val="000000" w:themeColor="text1"/>
        </w:rPr>
        <w:t>Pezzopane</w:t>
      </w:r>
      <w:proofErr w:type="spellEnd"/>
      <w:r w:rsidRPr="00714183">
        <w:rPr>
          <w:color w:val="000000" w:themeColor="text1"/>
        </w:rPr>
        <w:t xml:space="preserve">; </w:t>
      </w:r>
      <w:r w:rsidRPr="00714183">
        <w:rPr>
          <w:rFonts w:asciiTheme="minorHAnsi" w:hAnsiTheme="minorHAnsi"/>
          <w:color w:val="000000" w:themeColor="text1"/>
        </w:rPr>
        <w:t xml:space="preserve">13. 60. Pedrazzini, Benigni, </w:t>
      </w:r>
      <w:r w:rsidRPr="00714183">
        <w:rPr>
          <w:color w:val="000000" w:themeColor="text1"/>
        </w:rPr>
        <w:t xml:space="preserve">Gagliardi, </w:t>
      </w:r>
      <w:proofErr w:type="spellStart"/>
      <w:r w:rsidRPr="00714183">
        <w:rPr>
          <w:color w:val="000000" w:themeColor="text1"/>
        </w:rPr>
        <w:t>Silli</w:t>
      </w:r>
      <w:proofErr w:type="spellEnd"/>
      <w:r w:rsidRPr="00714183">
        <w:rPr>
          <w:color w:val="000000" w:themeColor="text1"/>
        </w:rPr>
        <w:t xml:space="preserve">, Sorte; </w:t>
      </w:r>
      <w:r w:rsidRPr="00714183">
        <w:rPr>
          <w:rFonts w:asciiTheme="minorHAnsi" w:hAnsiTheme="minorHAnsi"/>
          <w:color w:val="000000" w:themeColor="text1"/>
        </w:rPr>
        <w:t xml:space="preserve">13. 54. </w:t>
      </w:r>
      <w:proofErr w:type="spellStart"/>
      <w:r w:rsidRPr="00714183">
        <w:rPr>
          <w:rFonts w:asciiTheme="minorHAnsi" w:hAnsiTheme="minorHAnsi"/>
          <w:color w:val="000000" w:themeColor="text1"/>
        </w:rPr>
        <w:t>Osnato</w:t>
      </w:r>
      <w:proofErr w:type="spellEnd"/>
      <w:r w:rsidRPr="00714183">
        <w:rPr>
          <w:rFonts w:asciiTheme="minorHAnsi" w:hAnsiTheme="minorHAnsi"/>
          <w:color w:val="000000" w:themeColor="text1"/>
        </w:rPr>
        <w:t xml:space="preserve">, </w:t>
      </w:r>
      <w:proofErr w:type="spellStart"/>
      <w:r w:rsidRPr="00714183">
        <w:rPr>
          <w:rFonts w:asciiTheme="minorHAnsi" w:hAnsiTheme="minorHAnsi"/>
          <w:color w:val="000000" w:themeColor="text1"/>
        </w:rPr>
        <w:t>Trancassini</w:t>
      </w:r>
      <w:proofErr w:type="spellEnd"/>
      <w:r w:rsidRPr="00714183">
        <w:rPr>
          <w:rFonts w:asciiTheme="minorHAnsi" w:hAnsiTheme="minorHAnsi"/>
          <w:color w:val="000000" w:themeColor="text1"/>
        </w:rPr>
        <w:t>, Zucconi, Bignami, Baldini.</w:t>
      </w:r>
    </w:p>
    <w:p w14:paraId="32342FB3" w14:textId="77777777" w:rsidR="00163604" w:rsidRDefault="00163604">
      <w:pPr>
        <w:pStyle w:val="Testonotaapidipagina"/>
      </w:pPr>
    </w:p>
  </w:footnote>
  <w:footnote w:id="20">
    <w:p w14:paraId="1716B23B" w14:textId="77777777" w:rsidR="00163604" w:rsidRPr="00714183" w:rsidRDefault="00163604" w:rsidP="00ED2781">
      <w:pPr>
        <w:jc w:val="both"/>
        <w:rPr>
          <w:rFonts w:asciiTheme="minorHAnsi" w:hAnsiTheme="minorHAnsi"/>
          <w:color w:val="000000" w:themeColor="text1"/>
        </w:rPr>
      </w:pPr>
      <w:r>
        <w:rPr>
          <w:rStyle w:val="Rimandonotaapidipagina"/>
        </w:rPr>
        <w:footnoteRef/>
      </w:r>
      <w:r>
        <w:t xml:space="preserve"> </w:t>
      </w:r>
      <w:r w:rsidRPr="00714183">
        <w:rPr>
          <w:rFonts w:asciiTheme="minorHAnsi" w:hAnsiTheme="minorHAnsi"/>
          <w:color w:val="000000" w:themeColor="text1"/>
        </w:rPr>
        <w:t>13. 39. (Nuova formulazione) De T</w:t>
      </w:r>
      <w:r w:rsidRPr="00714183">
        <w:rPr>
          <w:color w:val="000000" w:themeColor="text1"/>
        </w:rPr>
        <w:t>oma, Rachele Silvestri, Colucci;</w:t>
      </w:r>
      <w:r w:rsidRPr="00714183">
        <w:rPr>
          <w:rFonts w:asciiTheme="minorHAnsi" w:hAnsiTheme="minorHAnsi"/>
          <w:color w:val="000000" w:themeColor="text1"/>
        </w:rPr>
        <w:t xml:space="preserve">13. 43. (Nuova formulazione) Nardi, Ungaro, Moretto, Troiani, </w:t>
      </w:r>
      <w:proofErr w:type="spellStart"/>
      <w:r w:rsidRPr="00714183">
        <w:rPr>
          <w:rFonts w:asciiTheme="minorHAnsi" w:hAnsiTheme="minorHAnsi"/>
          <w:color w:val="000000" w:themeColor="text1"/>
        </w:rPr>
        <w:t>Cancelleri</w:t>
      </w:r>
      <w:proofErr w:type="spellEnd"/>
      <w:r w:rsidRPr="00714183">
        <w:rPr>
          <w:rFonts w:asciiTheme="minorHAnsi" w:hAnsiTheme="minorHAnsi"/>
          <w:color w:val="000000" w:themeColor="text1"/>
        </w:rPr>
        <w:t xml:space="preserve">, Caso, Currò, </w:t>
      </w:r>
      <w:proofErr w:type="spellStart"/>
      <w:r w:rsidRPr="00714183">
        <w:rPr>
          <w:rFonts w:asciiTheme="minorHAnsi" w:hAnsiTheme="minorHAnsi"/>
          <w:color w:val="000000" w:themeColor="text1"/>
        </w:rPr>
        <w:t>Giuliodori</w:t>
      </w:r>
      <w:proofErr w:type="spellEnd"/>
      <w:r w:rsidRPr="00714183">
        <w:rPr>
          <w:rFonts w:asciiTheme="minorHAnsi" w:hAnsiTheme="minorHAnsi"/>
          <w:color w:val="000000" w:themeColor="text1"/>
        </w:rPr>
        <w:t xml:space="preserve">, Grimaldi, Maglione, Maniero, </w:t>
      </w:r>
      <w:proofErr w:type="spellStart"/>
      <w:r w:rsidRPr="00714183">
        <w:rPr>
          <w:rFonts w:asciiTheme="minorHAnsi" w:hAnsiTheme="minorHAnsi"/>
          <w:color w:val="000000" w:themeColor="text1"/>
        </w:rPr>
        <w:t>Martinciglio</w:t>
      </w:r>
      <w:proofErr w:type="spellEnd"/>
      <w:r w:rsidRPr="00714183">
        <w:rPr>
          <w:rFonts w:asciiTheme="minorHAnsi" w:hAnsiTheme="minorHAnsi"/>
          <w:color w:val="000000" w:themeColor="text1"/>
        </w:rPr>
        <w:t xml:space="preserve">, Migliorino, </w:t>
      </w:r>
      <w:proofErr w:type="spellStart"/>
      <w:r w:rsidRPr="00714183">
        <w:rPr>
          <w:rFonts w:asciiTheme="minorHAnsi" w:hAnsiTheme="minorHAnsi"/>
          <w:color w:val="000000" w:themeColor="text1"/>
        </w:rPr>
        <w:t>Raduzzi</w:t>
      </w:r>
      <w:proofErr w:type="spellEnd"/>
      <w:r w:rsidRPr="00714183">
        <w:rPr>
          <w:rFonts w:asciiTheme="minorHAnsi" w:hAnsiTheme="minorHAnsi"/>
          <w:color w:val="000000" w:themeColor="text1"/>
        </w:rPr>
        <w:t xml:space="preserve">, Ruggiero, Ruocco, Zanichelli, Mancini, Rotta, </w:t>
      </w:r>
      <w:r w:rsidRPr="00714183">
        <w:rPr>
          <w:color w:val="000000" w:themeColor="text1"/>
        </w:rPr>
        <w:t xml:space="preserve">Bonomo, </w:t>
      </w:r>
      <w:proofErr w:type="spellStart"/>
      <w:r w:rsidRPr="00714183">
        <w:rPr>
          <w:color w:val="000000" w:themeColor="text1"/>
        </w:rPr>
        <w:t>Lacarra</w:t>
      </w:r>
      <w:proofErr w:type="spellEnd"/>
      <w:r w:rsidRPr="00714183">
        <w:rPr>
          <w:color w:val="000000" w:themeColor="text1"/>
        </w:rPr>
        <w:t xml:space="preserve">, Manca, Zardini; </w:t>
      </w:r>
      <w:r w:rsidRPr="00714183">
        <w:rPr>
          <w:rFonts w:asciiTheme="minorHAnsi" w:hAnsiTheme="minorHAnsi"/>
          <w:color w:val="000000" w:themeColor="text1"/>
        </w:rPr>
        <w:t>13. 47. (Nuova formulazione) S</w:t>
      </w:r>
      <w:r w:rsidRPr="00714183">
        <w:rPr>
          <w:color w:val="000000" w:themeColor="text1"/>
        </w:rPr>
        <w:t xml:space="preserve">queri; </w:t>
      </w:r>
      <w:r w:rsidRPr="00714183">
        <w:rPr>
          <w:rFonts w:asciiTheme="minorHAnsi" w:hAnsiTheme="minorHAnsi"/>
          <w:color w:val="000000" w:themeColor="text1"/>
        </w:rPr>
        <w:t xml:space="preserve">13. 12. (Nuova formulazione) Zucconi, </w:t>
      </w:r>
      <w:proofErr w:type="spellStart"/>
      <w:r w:rsidRPr="00714183">
        <w:rPr>
          <w:rFonts w:asciiTheme="minorHAnsi" w:hAnsiTheme="minorHAnsi"/>
          <w:color w:val="000000" w:themeColor="text1"/>
        </w:rPr>
        <w:t>Osna</w:t>
      </w:r>
      <w:r w:rsidRPr="00714183">
        <w:rPr>
          <w:color w:val="000000" w:themeColor="text1"/>
        </w:rPr>
        <w:t>to</w:t>
      </w:r>
      <w:proofErr w:type="spellEnd"/>
      <w:r w:rsidRPr="00714183">
        <w:rPr>
          <w:color w:val="000000" w:themeColor="text1"/>
        </w:rPr>
        <w:t xml:space="preserve">, Acquaroli, Bignami, Baldini; </w:t>
      </w:r>
      <w:r w:rsidRPr="00714183">
        <w:rPr>
          <w:rFonts w:asciiTheme="minorHAnsi" w:hAnsiTheme="minorHAnsi"/>
          <w:color w:val="000000" w:themeColor="text1"/>
        </w:rPr>
        <w:t>13. 14. (Nuova formulazione) Benamati,</w:t>
      </w:r>
      <w:r w:rsidRPr="00714183">
        <w:rPr>
          <w:color w:val="000000" w:themeColor="text1"/>
        </w:rPr>
        <w:t xml:space="preserve"> Buratti, Topo, Mura, </w:t>
      </w:r>
      <w:proofErr w:type="spellStart"/>
      <w:r w:rsidRPr="00714183">
        <w:rPr>
          <w:color w:val="000000" w:themeColor="text1"/>
        </w:rPr>
        <w:t>Pezzopane</w:t>
      </w:r>
      <w:proofErr w:type="spellEnd"/>
      <w:r w:rsidRPr="00714183">
        <w:rPr>
          <w:color w:val="000000" w:themeColor="text1"/>
        </w:rPr>
        <w:t xml:space="preserve">; </w:t>
      </w:r>
      <w:r w:rsidRPr="00714183">
        <w:rPr>
          <w:rFonts w:asciiTheme="minorHAnsi" w:hAnsiTheme="minorHAnsi"/>
          <w:color w:val="000000" w:themeColor="text1"/>
        </w:rPr>
        <w:t xml:space="preserve">13. 49. (Nuova formulazione) </w:t>
      </w:r>
      <w:proofErr w:type="spellStart"/>
      <w:r w:rsidRPr="00714183">
        <w:rPr>
          <w:rFonts w:asciiTheme="minorHAnsi" w:hAnsiTheme="minorHAnsi"/>
          <w:color w:val="000000" w:themeColor="text1"/>
        </w:rPr>
        <w:t>Paxia</w:t>
      </w:r>
      <w:proofErr w:type="spellEnd"/>
      <w:r w:rsidRPr="00714183">
        <w:rPr>
          <w:rFonts w:asciiTheme="minorHAnsi" w:hAnsiTheme="minorHAnsi"/>
          <w:color w:val="000000" w:themeColor="text1"/>
        </w:rPr>
        <w:t xml:space="preserve">, </w:t>
      </w:r>
      <w:proofErr w:type="spellStart"/>
      <w:r w:rsidRPr="00714183">
        <w:rPr>
          <w:rFonts w:asciiTheme="minorHAnsi" w:hAnsiTheme="minorHAnsi"/>
          <w:color w:val="000000" w:themeColor="text1"/>
        </w:rPr>
        <w:t>Sut</w:t>
      </w:r>
      <w:proofErr w:type="spellEnd"/>
      <w:r w:rsidRPr="00714183">
        <w:rPr>
          <w:rFonts w:asciiTheme="minorHAnsi" w:hAnsiTheme="minorHAnsi"/>
          <w:color w:val="000000" w:themeColor="text1"/>
        </w:rPr>
        <w:t xml:space="preserve">, Berardini, Alemanno, Crippa, Fantinati, Giarrizzo, Masi, Papiro, </w:t>
      </w:r>
      <w:proofErr w:type="spellStart"/>
      <w:r w:rsidRPr="00714183">
        <w:rPr>
          <w:rFonts w:asciiTheme="minorHAnsi" w:hAnsiTheme="minorHAnsi"/>
          <w:color w:val="000000" w:themeColor="text1"/>
        </w:rPr>
        <w:t>Perconti</w:t>
      </w:r>
      <w:proofErr w:type="spellEnd"/>
      <w:r w:rsidRPr="00714183">
        <w:rPr>
          <w:rFonts w:asciiTheme="minorHAnsi" w:hAnsiTheme="minorHAnsi"/>
          <w:color w:val="000000" w:themeColor="text1"/>
        </w:rPr>
        <w:t xml:space="preserve">, </w:t>
      </w:r>
      <w:proofErr w:type="spellStart"/>
      <w:r w:rsidRPr="00714183">
        <w:rPr>
          <w:rFonts w:asciiTheme="minorHAnsi" w:hAnsiTheme="minorHAnsi"/>
          <w:color w:val="000000" w:themeColor="text1"/>
        </w:rPr>
        <w:t>Rizzone</w:t>
      </w:r>
      <w:proofErr w:type="spellEnd"/>
      <w:r w:rsidRPr="00714183">
        <w:rPr>
          <w:rFonts w:asciiTheme="minorHAnsi" w:hAnsiTheme="minorHAnsi"/>
          <w:color w:val="000000" w:themeColor="text1"/>
        </w:rPr>
        <w:t xml:space="preserve">, Scanu, </w:t>
      </w:r>
      <w:proofErr w:type="spellStart"/>
      <w:r w:rsidRPr="00714183">
        <w:rPr>
          <w:rFonts w:asciiTheme="minorHAnsi" w:hAnsiTheme="minorHAnsi"/>
          <w:color w:val="000000" w:themeColor="text1"/>
        </w:rPr>
        <w:t>Sut</w:t>
      </w:r>
      <w:proofErr w:type="spellEnd"/>
      <w:r w:rsidRPr="00714183">
        <w:rPr>
          <w:rFonts w:asciiTheme="minorHAnsi" w:hAnsiTheme="minorHAnsi"/>
          <w:color w:val="000000" w:themeColor="text1"/>
        </w:rPr>
        <w:t xml:space="preserve">, </w:t>
      </w:r>
      <w:proofErr w:type="spellStart"/>
      <w:r w:rsidRPr="00714183">
        <w:rPr>
          <w:rFonts w:asciiTheme="minorHAnsi" w:hAnsiTheme="minorHAnsi"/>
          <w:color w:val="000000" w:themeColor="text1"/>
        </w:rPr>
        <w:t>Vallascas</w:t>
      </w:r>
      <w:proofErr w:type="spellEnd"/>
      <w:r w:rsidRPr="00714183">
        <w:rPr>
          <w:rFonts w:asciiTheme="minorHAnsi" w:hAnsiTheme="minorHAnsi"/>
          <w:color w:val="000000" w:themeColor="text1"/>
        </w:rPr>
        <w:t>.</w:t>
      </w:r>
    </w:p>
    <w:p w14:paraId="5CC050DB" w14:textId="77777777" w:rsidR="00163604" w:rsidRDefault="00163604">
      <w:pPr>
        <w:pStyle w:val="Testonotaapidipagina"/>
      </w:pPr>
    </w:p>
  </w:footnote>
  <w:footnote w:id="21">
    <w:p w14:paraId="58EAD014" w14:textId="77777777" w:rsidR="00163604" w:rsidRPr="00714183" w:rsidRDefault="00163604" w:rsidP="009837D1">
      <w:pPr>
        <w:jc w:val="both"/>
        <w:rPr>
          <w:rFonts w:asciiTheme="minorHAnsi" w:hAnsiTheme="minorHAnsi"/>
          <w:color w:val="000000" w:themeColor="text1"/>
        </w:rPr>
      </w:pPr>
      <w:r>
        <w:rPr>
          <w:rStyle w:val="Rimandonotaapidipagina"/>
        </w:rPr>
        <w:footnoteRef/>
      </w:r>
      <w:r>
        <w:t xml:space="preserve"> </w:t>
      </w:r>
      <w:r w:rsidRPr="00714183">
        <w:rPr>
          <w:rFonts w:asciiTheme="minorHAnsi" w:hAnsiTheme="minorHAnsi"/>
          <w:color w:val="000000" w:themeColor="text1"/>
        </w:rPr>
        <w:t>13. 69.</w:t>
      </w:r>
      <w:r w:rsidRPr="00714183">
        <w:rPr>
          <w:color w:val="000000" w:themeColor="text1"/>
        </w:rPr>
        <w:t xml:space="preserve"> (Nuova formulazione) Acquaroli; </w:t>
      </w:r>
      <w:r w:rsidRPr="00714183">
        <w:rPr>
          <w:rFonts w:asciiTheme="minorHAnsi" w:hAnsiTheme="minorHAnsi"/>
          <w:color w:val="000000" w:themeColor="text1"/>
        </w:rPr>
        <w:t xml:space="preserve">13. 59. (Nuova formulazione) Bitonci, Cavandoli, Centemero, Covolo, Gerardi, Gusmeroli, Alessandro Pagano, Paternoster, Tarantino, </w:t>
      </w:r>
      <w:proofErr w:type="spellStart"/>
      <w:r w:rsidRPr="00714183">
        <w:rPr>
          <w:rFonts w:asciiTheme="minorHAnsi" w:hAnsiTheme="minorHAnsi"/>
          <w:color w:val="000000" w:themeColor="text1"/>
        </w:rPr>
        <w:t>Guidesi</w:t>
      </w:r>
      <w:proofErr w:type="spellEnd"/>
      <w:r w:rsidRPr="00714183">
        <w:rPr>
          <w:rFonts w:asciiTheme="minorHAnsi" w:hAnsiTheme="minorHAnsi"/>
          <w:color w:val="000000" w:themeColor="text1"/>
        </w:rPr>
        <w:t xml:space="preserve">, </w:t>
      </w:r>
      <w:proofErr w:type="spellStart"/>
      <w:r w:rsidRPr="00714183">
        <w:rPr>
          <w:rFonts w:asciiTheme="minorHAnsi" w:hAnsiTheme="minorHAnsi"/>
          <w:color w:val="000000" w:themeColor="text1"/>
        </w:rPr>
        <w:t>Andreuzza</w:t>
      </w:r>
      <w:proofErr w:type="spellEnd"/>
      <w:r w:rsidRPr="00714183">
        <w:rPr>
          <w:rFonts w:asciiTheme="minorHAnsi" w:hAnsiTheme="minorHAnsi"/>
          <w:color w:val="000000" w:themeColor="text1"/>
        </w:rPr>
        <w:t>, Binelli,</w:t>
      </w:r>
      <w:r w:rsidRPr="00714183">
        <w:rPr>
          <w:color w:val="000000" w:themeColor="text1"/>
        </w:rPr>
        <w:t xml:space="preserve"> Colla, Dara, </w:t>
      </w:r>
      <w:proofErr w:type="spellStart"/>
      <w:r w:rsidRPr="00714183">
        <w:rPr>
          <w:color w:val="000000" w:themeColor="text1"/>
        </w:rPr>
        <w:t>Pettazzi</w:t>
      </w:r>
      <w:proofErr w:type="spellEnd"/>
      <w:r w:rsidRPr="00714183">
        <w:rPr>
          <w:color w:val="000000" w:themeColor="text1"/>
        </w:rPr>
        <w:t xml:space="preserve">, Piastra; </w:t>
      </w:r>
      <w:r w:rsidRPr="00714183">
        <w:rPr>
          <w:rFonts w:asciiTheme="minorHAnsi" w:hAnsiTheme="minorHAnsi"/>
          <w:color w:val="000000" w:themeColor="text1"/>
        </w:rPr>
        <w:t>1</w:t>
      </w:r>
      <w:r w:rsidRPr="00714183">
        <w:rPr>
          <w:color w:val="000000" w:themeColor="text1"/>
        </w:rPr>
        <w:t xml:space="preserve">3. 63. (Nuova formulazione) </w:t>
      </w:r>
      <w:proofErr w:type="spellStart"/>
      <w:r w:rsidRPr="00714183">
        <w:rPr>
          <w:color w:val="000000" w:themeColor="text1"/>
        </w:rPr>
        <w:t>Sut</w:t>
      </w:r>
      <w:proofErr w:type="spellEnd"/>
      <w:r w:rsidRPr="00714183">
        <w:rPr>
          <w:color w:val="000000" w:themeColor="text1"/>
        </w:rPr>
        <w:t xml:space="preserve">; </w:t>
      </w:r>
      <w:r w:rsidRPr="00714183">
        <w:rPr>
          <w:rFonts w:asciiTheme="minorHAnsi" w:hAnsiTheme="minorHAnsi"/>
          <w:color w:val="000000" w:themeColor="text1"/>
        </w:rPr>
        <w:t xml:space="preserve">13. 64. (Nuova formulazione) Dal Moro, Bazoli, Berlinghieri, Bonomo, Bordo, Enrico Borghi, Buratti, Carnevali, Ceccanti, Cenni, Ciampi, Critelli, De Luca, De Maria, De </w:t>
      </w:r>
      <w:proofErr w:type="spellStart"/>
      <w:r w:rsidRPr="00714183">
        <w:rPr>
          <w:rFonts w:asciiTheme="minorHAnsi" w:hAnsiTheme="minorHAnsi"/>
          <w:color w:val="000000" w:themeColor="text1"/>
        </w:rPr>
        <w:t>Menech</w:t>
      </w:r>
      <w:proofErr w:type="spellEnd"/>
      <w:r w:rsidRPr="00714183">
        <w:rPr>
          <w:rFonts w:asciiTheme="minorHAnsi" w:hAnsiTheme="minorHAnsi"/>
          <w:color w:val="000000" w:themeColor="text1"/>
        </w:rPr>
        <w:t xml:space="preserve">, Del Basso De Caro, Fassino, Fiano, Giacomelli, Gribaudo, </w:t>
      </w:r>
      <w:proofErr w:type="spellStart"/>
      <w:r w:rsidRPr="00714183">
        <w:rPr>
          <w:rFonts w:asciiTheme="minorHAnsi" w:hAnsiTheme="minorHAnsi"/>
          <w:color w:val="000000" w:themeColor="text1"/>
        </w:rPr>
        <w:t>Lacarra</w:t>
      </w:r>
      <w:proofErr w:type="spellEnd"/>
      <w:r w:rsidRPr="00714183">
        <w:rPr>
          <w:rFonts w:asciiTheme="minorHAnsi" w:hAnsiTheme="minorHAnsi"/>
          <w:color w:val="000000" w:themeColor="text1"/>
        </w:rPr>
        <w:t xml:space="preserve">, Losacco, Lotti, Madia, Gavino Manca, Martina, Melilli, Miceli, Mura, Nardi, Navarra, Orfini, Pellicani, </w:t>
      </w:r>
      <w:proofErr w:type="spellStart"/>
      <w:r w:rsidRPr="00714183">
        <w:rPr>
          <w:rFonts w:asciiTheme="minorHAnsi" w:hAnsiTheme="minorHAnsi"/>
          <w:color w:val="000000" w:themeColor="text1"/>
        </w:rPr>
        <w:t>Pezzopane</w:t>
      </w:r>
      <w:proofErr w:type="spellEnd"/>
      <w:r w:rsidRPr="00714183">
        <w:rPr>
          <w:rFonts w:asciiTheme="minorHAnsi" w:hAnsiTheme="minorHAnsi"/>
          <w:color w:val="000000" w:themeColor="text1"/>
        </w:rPr>
        <w:t xml:space="preserve">, Prestipino, Andrea Romano, Rossi, Rotta, Sensi, Serracchiani, </w:t>
      </w:r>
      <w:proofErr w:type="spellStart"/>
      <w:r w:rsidRPr="00714183">
        <w:rPr>
          <w:rFonts w:asciiTheme="minorHAnsi" w:hAnsiTheme="minorHAnsi"/>
          <w:color w:val="000000" w:themeColor="text1"/>
        </w:rPr>
        <w:t>Soverini</w:t>
      </w:r>
      <w:proofErr w:type="spellEnd"/>
      <w:r w:rsidRPr="00714183">
        <w:rPr>
          <w:rFonts w:asciiTheme="minorHAnsi" w:hAnsiTheme="minorHAnsi"/>
          <w:color w:val="000000" w:themeColor="text1"/>
        </w:rPr>
        <w:t xml:space="preserve">, Topo, </w:t>
      </w:r>
      <w:proofErr w:type="spellStart"/>
      <w:r w:rsidRPr="00714183">
        <w:rPr>
          <w:rFonts w:asciiTheme="minorHAnsi" w:hAnsiTheme="minorHAnsi"/>
          <w:color w:val="000000" w:themeColor="text1"/>
        </w:rPr>
        <w:t>Va</w:t>
      </w:r>
      <w:r w:rsidRPr="00714183">
        <w:rPr>
          <w:color w:val="000000" w:themeColor="text1"/>
        </w:rPr>
        <w:t>zio</w:t>
      </w:r>
      <w:proofErr w:type="spellEnd"/>
      <w:r w:rsidRPr="00714183">
        <w:rPr>
          <w:color w:val="000000" w:themeColor="text1"/>
        </w:rPr>
        <w:t xml:space="preserve">, Mancini, Benamati, Zardini; </w:t>
      </w:r>
      <w:r w:rsidRPr="00714183">
        <w:rPr>
          <w:rFonts w:asciiTheme="minorHAnsi" w:hAnsiTheme="minorHAnsi"/>
          <w:color w:val="000000" w:themeColor="text1"/>
        </w:rPr>
        <w:t xml:space="preserve">13. </w:t>
      </w:r>
      <w:r w:rsidRPr="00714183">
        <w:rPr>
          <w:color w:val="000000" w:themeColor="text1"/>
        </w:rPr>
        <w:t xml:space="preserve">86. (Nuova formulazione) Ungaro; </w:t>
      </w:r>
      <w:r w:rsidRPr="00714183">
        <w:rPr>
          <w:rFonts w:asciiTheme="minorHAnsi" w:hAnsiTheme="minorHAnsi"/>
          <w:color w:val="000000" w:themeColor="text1"/>
        </w:rPr>
        <w:t>13. 62. (Nuova formulazione) Colletti.</w:t>
      </w:r>
    </w:p>
    <w:p w14:paraId="433D6608" w14:textId="77777777" w:rsidR="00163604" w:rsidRDefault="00163604">
      <w:pPr>
        <w:pStyle w:val="Testonotaapidipagina"/>
      </w:pPr>
    </w:p>
  </w:footnote>
  <w:footnote w:id="22">
    <w:p w14:paraId="258027C9" w14:textId="77777777" w:rsidR="00163604" w:rsidRPr="00083383" w:rsidRDefault="00163604" w:rsidP="00B44950">
      <w:pPr>
        <w:jc w:val="both"/>
        <w:rPr>
          <w:rFonts w:asciiTheme="minorHAnsi" w:hAnsiTheme="minorHAnsi"/>
          <w:color w:val="000000" w:themeColor="text1"/>
        </w:rPr>
      </w:pPr>
      <w:r>
        <w:rPr>
          <w:rStyle w:val="Rimandonotaapidipagina"/>
        </w:rPr>
        <w:footnoteRef/>
      </w:r>
      <w:r>
        <w:t xml:space="preserve"> </w:t>
      </w:r>
      <w:r w:rsidRPr="00083383">
        <w:rPr>
          <w:rFonts w:asciiTheme="minorHAnsi" w:hAnsiTheme="minorHAnsi"/>
          <w:color w:val="000000" w:themeColor="text1"/>
        </w:rPr>
        <w:t xml:space="preserve">13. 66. (Nuova formulazione) Cavandoli, Bitonci, Gusmeroli, Centemero, Covolo, Gerardi, Alessandro Pagano, Paternoster, Tarantino, </w:t>
      </w:r>
      <w:proofErr w:type="spellStart"/>
      <w:r w:rsidRPr="00083383">
        <w:rPr>
          <w:rFonts w:asciiTheme="minorHAnsi" w:hAnsiTheme="minorHAnsi"/>
          <w:color w:val="000000" w:themeColor="text1"/>
        </w:rPr>
        <w:t>Andreuzza</w:t>
      </w:r>
      <w:proofErr w:type="spellEnd"/>
      <w:r w:rsidRPr="00083383">
        <w:rPr>
          <w:rFonts w:asciiTheme="minorHAnsi" w:hAnsiTheme="minorHAnsi"/>
          <w:color w:val="000000" w:themeColor="text1"/>
        </w:rPr>
        <w:t xml:space="preserve">, </w:t>
      </w:r>
      <w:proofErr w:type="spellStart"/>
      <w:r w:rsidRPr="00083383">
        <w:rPr>
          <w:rFonts w:asciiTheme="minorHAnsi" w:hAnsiTheme="minorHAnsi"/>
          <w:color w:val="000000" w:themeColor="text1"/>
        </w:rPr>
        <w:t>Guidesi</w:t>
      </w:r>
      <w:proofErr w:type="spellEnd"/>
      <w:r w:rsidRPr="00083383">
        <w:rPr>
          <w:rFonts w:asciiTheme="minorHAnsi" w:hAnsiTheme="minorHAnsi"/>
          <w:color w:val="000000" w:themeColor="text1"/>
        </w:rPr>
        <w:t>, Binelli, Colla,</w:t>
      </w:r>
      <w:r w:rsidRPr="00083383">
        <w:rPr>
          <w:color w:val="000000" w:themeColor="text1"/>
        </w:rPr>
        <w:t xml:space="preserve"> Dara, Galli, </w:t>
      </w:r>
      <w:proofErr w:type="spellStart"/>
      <w:r w:rsidRPr="00083383">
        <w:rPr>
          <w:color w:val="000000" w:themeColor="text1"/>
        </w:rPr>
        <w:t>Pettazzi</w:t>
      </w:r>
      <w:proofErr w:type="spellEnd"/>
      <w:r w:rsidRPr="00083383">
        <w:rPr>
          <w:color w:val="000000" w:themeColor="text1"/>
        </w:rPr>
        <w:t xml:space="preserve">, Piastra; </w:t>
      </w:r>
      <w:r w:rsidRPr="00083383">
        <w:rPr>
          <w:rFonts w:asciiTheme="minorHAnsi" w:hAnsiTheme="minorHAnsi"/>
          <w:color w:val="000000" w:themeColor="text1"/>
        </w:rPr>
        <w:t xml:space="preserve">13. 55. (Nuova formulazione) Mura, Topo, </w:t>
      </w:r>
      <w:proofErr w:type="spellStart"/>
      <w:r w:rsidRPr="00083383">
        <w:rPr>
          <w:rFonts w:asciiTheme="minorHAnsi" w:hAnsiTheme="minorHAnsi"/>
          <w:color w:val="000000" w:themeColor="text1"/>
        </w:rPr>
        <w:t>Pezzopane</w:t>
      </w:r>
      <w:proofErr w:type="spellEnd"/>
      <w:r w:rsidRPr="00083383">
        <w:rPr>
          <w:rFonts w:asciiTheme="minorHAnsi" w:hAnsiTheme="minorHAnsi"/>
          <w:color w:val="000000" w:themeColor="text1"/>
        </w:rPr>
        <w:t>, Buratti, Mancini, Rotta, Benamati, Bonomo,</w:t>
      </w:r>
      <w:r w:rsidRPr="00083383">
        <w:rPr>
          <w:color w:val="000000" w:themeColor="text1"/>
        </w:rPr>
        <w:t xml:space="preserve"> </w:t>
      </w:r>
      <w:proofErr w:type="spellStart"/>
      <w:r w:rsidRPr="00083383">
        <w:rPr>
          <w:color w:val="000000" w:themeColor="text1"/>
        </w:rPr>
        <w:t>Lacarra</w:t>
      </w:r>
      <w:proofErr w:type="spellEnd"/>
      <w:r w:rsidRPr="00083383">
        <w:rPr>
          <w:color w:val="000000" w:themeColor="text1"/>
        </w:rPr>
        <w:t xml:space="preserve">, Manca, Nardi, Zardini; </w:t>
      </w:r>
      <w:r w:rsidRPr="00083383">
        <w:rPr>
          <w:rFonts w:asciiTheme="minorHAnsi" w:hAnsiTheme="minorHAnsi"/>
          <w:color w:val="000000" w:themeColor="text1"/>
        </w:rPr>
        <w:t>13. 57. (Nuova fo</w:t>
      </w:r>
      <w:r w:rsidRPr="00083383">
        <w:rPr>
          <w:color w:val="000000" w:themeColor="text1"/>
        </w:rPr>
        <w:t xml:space="preserve">rmulazione) Moretto, Bendinelli; </w:t>
      </w:r>
      <w:r w:rsidRPr="00083383">
        <w:rPr>
          <w:rFonts w:asciiTheme="minorHAnsi" w:hAnsiTheme="minorHAnsi"/>
          <w:color w:val="000000" w:themeColor="text1"/>
        </w:rPr>
        <w:t xml:space="preserve">13. 84. (Nuova formulazione) Lollobrigida, </w:t>
      </w:r>
      <w:proofErr w:type="spellStart"/>
      <w:r w:rsidRPr="00083383">
        <w:rPr>
          <w:rFonts w:asciiTheme="minorHAnsi" w:hAnsiTheme="minorHAnsi"/>
          <w:color w:val="000000" w:themeColor="text1"/>
        </w:rPr>
        <w:t>Osnato</w:t>
      </w:r>
      <w:proofErr w:type="spellEnd"/>
      <w:r w:rsidRPr="00083383">
        <w:rPr>
          <w:rFonts w:asciiTheme="minorHAnsi" w:hAnsiTheme="minorHAnsi"/>
          <w:color w:val="000000" w:themeColor="text1"/>
        </w:rPr>
        <w:t>, Zucconi, Bign</w:t>
      </w:r>
      <w:r w:rsidRPr="00083383">
        <w:rPr>
          <w:color w:val="000000" w:themeColor="text1"/>
        </w:rPr>
        <w:t xml:space="preserve">ami, Baldini, </w:t>
      </w:r>
      <w:proofErr w:type="spellStart"/>
      <w:r w:rsidRPr="00083383">
        <w:rPr>
          <w:color w:val="000000" w:themeColor="text1"/>
        </w:rPr>
        <w:t>Ciaburro</w:t>
      </w:r>
      <w:proofErr w:type="spellEnd"/>
      <w:r w:rsidRPr="00083383">
        <w:rPr>
          <w:color w:val="000000" w:themeColor="text1"/>
        </w:rPr>
        <w:t xml:space="preserve">, Caretta; </w:t>
      </w:r>
      <w:r w:rsidRPr="00083383">
        <w:rPr>
          <w:rFonts w:asciiTheme="minorHAnsi" w:hAnsiTheme="minorHAnsi"/>
          <w:color w:val="000000" w:themeColor="text1"/>
        </w:rPr>
        <w:t xml:space="preserve">13. 79. (Nuova formulazione) Cattaneo, Giacomoni, Gelmini, Giacometto, </w:t>
      </w:r>
      <w:proofErr w:type="spellStart"/>
      <w:r w:rsidRPr="00083383">
        <w:rPr>
          <w:rFonts w:asciiTheme="minorHAnsi" w:hAnsiTheme="minorHAnsi"/>
          <w:color w:val="000000" w:themeColor="text1"/>
        </w:rPr>
        <w:t>Porchietto</w:t>
      </w:r>
      <w:proofErr w:type="spellEnd"/>
      <w:r w:rsidRPr="00083383">
        <w:rPr>
          <w:rFonts w:asciiTheme="minorHAnsi" w:hAnsiTheme="minorHAnsi"/>
          <w:color w:val="000000" w:themeColor="text1"/>
        </w:rPr>
        <w:t>, Baratto, Martino, Angelucci, Barelli, Fiorini, Squeri, Polidori, Carrara, Della Frera.</w:t>
      </w:r>
    </w:p>
    <w:p w14:paraId="40830C8E" w14:textId="77777777" w:rsidR="00163604" w:rsidRDefault="00163604">
      <w:pPr>
        <w:pStyle w:val="Testonotaapidipagina"/>
      </w:pPr>
    </w:p>
  </w:footnote>
  <w:footnote w:id="23">
    <w:p w14:paraId="7E8588D0" w14:textId="77777777" w:rsidR="00163604" w:rsidRPr="00D535A2" w:rsidRDefault="00163604" w:rsidP="008D24AE">
      <w:pPr>
        <w:jc w:val="both"/>
        <w:rPr>
          <w:rFonts w:asciiTheme="minorHAnsi" w:hAnsiTheme="minorHAnsi"/>
          <w:color w:val="000000" w:themeColor="text1"/>
        </w:rPr>
      </w:pPr>
      <w:r>
        <w:rPr>
          <w:rStyle w:val="Rimandonotaapidipagina"/>
        </w:rPr>
        <w:footnoteRef/>
      </w:r>
      <w:r>
        <w:t xml:space="preserve"> </w:t>
      </w:r>
      <w:r w:rsidRPr="00D535A2">
        <w:rPr>
          <w:rFonts w:asciiTheme="minorHAnsi" w:hAnsiTheme="minorHAnsi"/>
          <w:color w:val="000000" w:themeColor="text1"/>
        </w:rPr>
        <w:t xml:space="preserve">13. 126. (Nuova formulazione) Lazzarini, Lucchini, </w:t>
      </w:r>
      <w:proofErr w:type="spellStart"/>
      <w:r w:rsidRPr="00D535A2">
        <w:rPr>
          <w:rFonts w:asciiTheme="minorHAnsi" w:hAnsiTheme="minorHAnsi"/>
          <w:color w:val="000000" w:themeColor="text1"/>
        </w:rPr>
        <w:t>Andreuzza</w:t>
      </w:r>
      <w:proofErr w:type="spellEnd"/>
      <w:r w:rsidRPr="00D535A2">
        <w:rPr>
          <w:rFonts w:asciiTheme="minorHAnsi" w:hAnsiTheme="minorHAnsi"/>
          <w:color w:val="000000" w:themeColor="text1"/>
        </w:rPr>
        <w:t>, Binelli, Colla, Dara, Ga</w:t>
      </w:r>
      <w:r w:rsidRPr="00D535A2">
        <w:rPr>
          <w:color w:val="000000" w:themeColor="text1"/>
        </w:rPr>
        <w:t xml:space="preserve">lli, </w:t>
      </w:r>
      <w:proofErr w:type="spellStart"/>
      <w:r w:rsidRPr="00D535A2">
        <w:rPr>
          <w:color w:val="000000" w:themeColor="text1"/>
        </w:rPr>
        <w:t>Guidesi</w:t>
      </w:r>
      <w:proofErr w:type="spellEnd"/>
      <w:r w:rsidRPr="00D535A2">
        <w:rPr>
          <w:color w:val="000000" w:themeColor="text1"/>
        </w:rPr>
        <w:t xml:space="preserve">, </w:t>
      </w:r>
      <w:proofErr w:type="spellStart"/>
      <w:r w:rsidRPr="00D535A2">
        <w:rPr>
          <w:color w:val="000000" w:themeColor="text1"/>
        </w:rPr>
        <w:t>Pettazzi</w:t>
      </w:r>
      <w:proofErr w:type="spellEnd"/>
      <w:r w:rsidRPr="00D535A2">
        <w:rPr>
          <w:color w:val="000000" w:themeColor="text1"/>
        </w:rPr>
        <w:t xml:space="preserve">, Piastra; </w:t>
      </w:r>
      <w:r w:rsidRPr="00D535A2">
        <w:rPr>
          <w:rFonts w:asciiTheme="minorHAnsi" w:hAnsiTheme="minorHAnsi"/>
          <w:color w:val="000000" w:themeColor="text1"/>
        </w:rPr>
        <w:t>13. 127. (Nuova formulazione) Moretto, Bendinelli, Buratti, Mancini, Mura, Rotta, Topo, Benamati, Bonomo,</w:t>
      </w:r>
      <w:r w:rsidRPr="00D535A2">
        <w:rPr>
          <w:color w:val="000000" w:themeColor="text1"/>
        </w:rPr>
        <w:t xml:space="preserve"> </w:t>
      </w:r>
      <w:proofErr w:type="spellStart"/>
      <w:r w:rsidRPr="00D535A2">
        <w:rPr>
          <w:color w:val="000000" w:themeColor="text1"/>
        </w:rPr>
        <w:t>Lacarra</w:t>
      </w:r>
      <w:proofErr w:type="spellEnd"/>
      <w:r w:rsidRPr="00D535A2">
        <w:rPr>
          <w:color w:val="000000" w:themeColor="text1"/>
        </w:rPr>
        <w:t xml:space="preserve">, Manca, Nardi, Zardini; </w:t>
      </w:r>
      <w:r w:rsidRPr="00D535A2">
        <w:rPr>
          <w:rFonts w:asciiTheme="minorHAnsi" w:hAnsiTheme="minorHAnsi"/>
          <w:color w:val="000000" w:themeColor="text1"/>
        </w:rPr>
        <w:t xml:space="preserve">13. 128. (Nuova formulazione) </w:t>
      </w:r>
      <w:proofErr w:type="spellStart"/>
      <w:r w:rsidRPr="00D535A2">
        <w:rPr>
          <w:rFonts w:asciiTheme="minorHAnsi" w:hAnsiTheme="minorHAnsi"/>
          <w:color w:val="000000" w:themeColor="text1"/>
        </w:rPr>
        <w:t>Andreuzza</w:t>
      </w:r>
      <w:proofErr w:type="spellEnd"/>
      <w:r w:rsidRPr="00D535A2">
        <w:rPr>
          <w:rFonts w:asciiTheme="minorHAnsi" w:hAnsiTheme="minorHAnsi"/>
          <w:color w:val="000000" w:themeColor="text1"/>
        </w:rPr>
        <w:t xml:space="preserve">, Binelli, Colla, Dara, Galli, </w:t>
      </w:r>
      <w:proofErr w:type="spellStart"/>
      <w:r w:rsidRPr="00D535A2">
        <w:rPr>
          <w:rFonts w:asciiTheme="minorHAnsi" w:hAnsiTheme="minorHAnsi"/>
          <w:color w:val="000000" w:themeColor="text1"/>
        </w:rPr>
        <w:t>Guidesi</w:t>
      </w:r>
      <w:proofErr w:type="spellEnd"/>
      <w:r w:rsidRPr="00D535A2">
        <w:rPr>
          <w:rFonts w:asciiTheme="minorHAnsi" w:hAnsiTheme="minorHAnsi"/>
          <w:color w:val="000000" w:themeColor="text1"/>
        </w:rPr>
        <w:t xml:space="preserve">, </w:t>
      </w:r>
      <w:proofErr w:type="spellStart"/>
      <w:r w:rsidRPr="00D535A2">
        <w:rPr>
          <w:rFonts w:asciiTheme="minorHAnsi" w:hAnsiTheme="minorHAnsi"/>
          <w:color w:val="000000" w:themeColor="text1"/>
        </w:rPr>
        <w:t>Pettazzi</w:t>
      </w:r>
      <w:proofErr w:type="spellEnd"/>
      <w:r w:rsidRPr="00D535A2">
        <w:rPr>
          <w:rFonts w:asciiTheme="minorHAnsi" w:hAnsiTheme="minorHAnsi"/>
          <w:color w:val="000000" w:themeColor="text1"/>
        </w:rPr>
        <w:t>, Piastra, Bitonci, Cavandoli, Centemero, Covolo, Gerardi, Gusmeroli, Alessandro</w:t>
      </w:r>
      <w:r w:rsidRPr="00D535A2">
        <w:rPr>
          <w:color w:val="000000" w:themeColor="text1"/>
        </w:rPr>
        <w:t xml:space="preserve"> Pagano, Paternoster, Tarantino; </w:t>
      </w:r>
      <w:r w:rsidRPr="00D535A2">
        <w:rPr>
          <w:rFonts w:asciiTheme="minorHAnsi" w:hAnsiTheme="minorHAnsi"/>
          <w:color w:val="000000" w:themeColor="text1"/>
        </w:rPr>
        <w:t xml:space="preserve">13. 129. (Nuova formulazione) Zucconi, </w:t>
      </w:r>
      <w:proofErr w:type="spellStart"/>
      <w:r w:rsidRPr="00D535A2">
        <w:rPr>
          <w:rFonts w:asciiTheme="minorHAnsi" w:hAnsiTheme="minorHAnsi"/>
          <w:color w:val="000000" w:themeColor="text1"/>
        </w:rPr>
        <w:t>Osnato</w:t>
      </w:r>
      <w:proofErr w:type="spellEnd"/>
      <w:r w:rsidRPr="00D535A2">
        <w:rPr>
          <w:rFonts w:asciiTheme="minorHAnsi" w:hAnsiTheme="minorHAnsi"/>
          <w:color w:val="000000" w:themeColor="text1"/>
        </w:rPr>
        <w:t>, Acquaro</w:t>
      </w:r>
      <w:r w:rsidRPr="00D535A2">
        <w:rPr>
          <w:color w:val="000000" w:themeColor="text1"/>
        </w:rPr>
        <w:t xml:space="preserve">li, Bignami, Baldini, Mollicone; </w:t>
      </w:r>
      <w:r w:rsidRPr="00D535A2">
        <w:rPr>
          <w:rFonts w:asciiTheme="minorHAnsi" w:hAnsiTheme="minorHAnsi"/>
          <w:color w:val="000000" w:themeColor="text1"/>
        </w:rPr>
        <w:t>13. 130. (Nu</w:t>
      </w:r>
      <w:r w:rsidRPr="00D535A2">
        <w:rPr>
          <w:color w:val="000000" w:themeColor="text1"/>
        </w:rPr>
        <w:t xml:space="preserve">ova formulazione) Trano, Aprile; </w:t>
      </w:r>
      <w:r w:rsidRPr="00D535A2">
        <w:rPr>
          <w:rFonts w:asciiTheme="minorHAnsi" w:hAnsiTheme="minorHAnsi"/>
          <w:color w:val="000000" w:themeColor="text1"/>
        </w:rPr>
        <w:t>13. 393. (Nuova formulazione) Angiola.</w:t>
      </w:r>
    </w:p>
    <w:p w14:paraId="63DE7C9C" w14:textId="77777777" w:rsidR="00163604" w:rsidRDefault="00163604">
      <w:pPr>
        <w:pStyle w:val="Testonotaapidipagina"/>
      </w:pPr>
    </w:p>
  </w:footnote>
  <w:footnote w:id="24">
    <w:p w14:paraId="695F5FFC" w14:textId="77777777" w:rsidR="00163604" w:rsidRPr="000749BB" w:rsidRDefault="00163604" w:rsidP="004226BC">
      <w:pPr>
        <w:jc w:val="both"/>
        <w:rPr>
          <w:color w:val="000000" w:themeColor="text1"/>
        </w:rPr>
      </w:pPr>
      <w:r>
        <w:rPr>
          <w:rStyle w:val="Rimandonotaapidipagina"/>
        </w:rPr>
        <w:footnoteRef/>
      </w:r>
      <w:r>
        <w:t xml:space="preserve"> </w:t>
      </w:r>
      <w:r w:rsidRPr="000749BB">
        <w:rPr>
          <w:color w:val="000000" w:themeColor="text1"/>
        </w:rPr>
        <w:t xml:space="preserve">1. 96. Berardini, De Girolamo;1. 4. (Nuova formulazione) Moretto, Mor, Ungaro, </w:t>
      </w:r>
      <w:proofErr w:type="spellStart"/>
      <w:r w:rsidRPr="000749BB">
        <w:rPr>
          <w:color w:val="000000" w:themeColor="text1"/>
        </w:rPr>
        <w:t>Marattin</w:t>
      </w:r>
      <w:proofErr w:type="spellEnd"/>
      <w:r w:rsidRPr="000749BB">
        <w:rPr>
          <w:color w:val="000000" w:themeColor="text1"/>
        </w:rPr>
        <w:t xml:space="preserve">, Bendinelli; 1. 5. (Nuova formulazione) Gelmini, </w:t>
      </w:r>
      <w:proofErr w:type="spellStart"/>
      <w:r w:rsidRPr="000749BB">
        <w:rPr>
          <w:color w:val="000000" w:themeColor="text1"/>
        </w:rPr>
        <w:t>Porchietto</w:t>
      </w:r>
      <w:proofErr w:type="spellEnd"/>
      <w:r w:rsidRPr="000749BB">
        <w:rPr>
          <w:color w:val="000000" w:themeColor="text1"/>
        </w:rPr>
        <w:t>, Martino, Giacomoni, Cattaneo, Baratto, Angelucci, Giacometto, Mandelli, Prestigiacomo, Barelli, Fiorini, Squeri, Polidori, Carrara, Della Frera.</w:t>
      </w:r>
    </w:p>
    <w:p w14:paraId="0AF2354B" w14:textId="77777777" w:rsidR="00163604" w:rsidRDefault="00163604">
      <w:pPr>
        <w:pStyle w:val="Testonotaapidipagina"/>
      </w:pPr>
    </w:p>
  </w:footnote>
  <w:footnote w:id="25">
    <w:p w14:paraId="08F3438F" w14:textId="77777777" w:rsidR="00163604" w:rsidRPr="00D535A2" w:rsidRDefault="00163604" w:rsidP="00037EE5">
      <w:pPr>
        <w:jc w:val="both"/>
        <w:rPr>
          <w:rFonts w:asciiTheme="minorHAnsi" w:hAnsiTheme="minorHAnsi"/>
          <w:color w:val="000000" w:themeColor="text1"/>
        </w:rPr>
      </w:pPr>
      <w:r>
        <w:rPr>
          <w:rStyle w:val="Rimandonotaapidipagina"/>
        </w:rPr>
        <w:footnoteRef/>
      </w:r>
      <w:r>
        <w:t xml:space="preserve"> </w:t>
      </w:r>
      <w:r w:rsidRPr="00D535A2">
        <w:rPr>
          <w:rFonts w:asciiTheme="minorHAnsi" w:hAnsiTheme="minorHAnsi"/>
          <w:color w:val="000000" w:themeColor="text1"/>
        </w:rPr>
        <w:t>13. 248. (Nuova formulazione) De T</w:t>
      </w:r>
      <w:r w:rsidRPr="00D535A2">
        <w:rPr>
          <w:color w:val="000000" w:themeColor="text1"/>
        </w:rPr>
        <w:t xml:space="preserve">oma, Rachele Silvestri, Colucci; </w:t>
      </w:r>
      <w:r w:rsidRPr="00D535A2">
        <w:rPr>
          <w:rFonts w:asciiTheme="minorHAnsi" w:hAnsiTheme="minorHAnsi"/>
          <w:color w:val="000000" w:themeColor="text1"/>
        </w:rPr>
        <w:t>13. 239. (Nuova formulazione) Squeri</w:t>
      </w:r>
      <w:r w:rsidRPr="00D535A2">
        <w:rPr>
          <w:color w:val="000000" w:themeColor="text1"/>
        </w:rPr>
        <w:t xml:space="preserve">, D'Ettore; </w:t>
      </w:r>
      <w:r w:rsidRPr="00D535A2">
        <w:rPr>
          <w:rFonts w:asciiTheme="minorHAnsi" w:hAnsiTheme="minorHAnsi"/>
          <w:color w:val="000000" w:themeColor="text1"/>
        </w:rPr>
        <w:t xml:space="preserve">13. 183. (Nuova formulazione) Rotta, Buratti, </w:t>
      </w:r>
      <w:proofErr w:type="spellStart"/>
      <w:r w:rsidRPr="00D535A2">
        <w:rPr>
          <w:rFonts w:asciiTheme="minorHAnsi" w:hAnsiTheme="minorHAnsi"/>
          <w:color w:val="000000" w:themeColor="text1"/>
        </w:rPr>
        <w:t>Pezzopane</w:t>
      </w:r>
      <w:proofErr w:type="spellEnd"/>
      <w:r w:rsidRPr="00D535A2">
        <w:rPr>
          <w:rFonts w:asciiTheme="minorHAnsi" w:hAnsiTheme="minorHAnsi"/>
          <w:color w:val="000000" w:themeColor="text1"/>
        </w:rPr>
        <w:t xml:space="preserve">, </w:t>
      </w:r>
      <w:proofErr w:type="spellStart"/>
      <w:r w:rsidRPr="00D535A2">
        <w:rPr>
          <w:rFonts w:asciiTheme="minorHAnsi" w:hAnsiTheme="minorHAnsi"/>
          <w:color w:val="000000" w:themeColor="text1"/>
        </w:rPr>
        <w:t>Morgoni</w:t>
      </w:r>
      <w:proofErr w:type="spellEnd"/>
      <w:r w:rsidRPr="00D535A2">
        <w:rPr>
          <w:rFonts w:asciiTheme="minorHAnsi" w:hAnsiTheme="minorHAnsi"/>
          <w:color w:val="000000" w:themeColor="text1"/>
        </w:rPr>
        <w:t xml:space="preserve">, </w:t>
      </w:r>
      <w:proofErr w:type="spellStart"/>
      <w:r w:rsidRPr="00D535A2">
        <w:rPr>
          <w:rFonts w:asciiTheme="minorHAnsi" w:hAnsiTheme="minorHAnsi"/>
          <w:color w:val="000000" w:themeColor="text1"/>
        </w:rPr>
        <w:t>Fioramonti</w:t>
      </w:r>
      <w:proofErr w:type="spellEnd"/>
      <w:r w:rsidRPr="00D535A2">
        <w:rPr>
          <w:rFonts w:asciiTheme="minorHAnsi" w:hAnsiTheme="minorHAnsi"/>
          <w:color w:val="000000" w:themeColor="text1"/>
        </w:rPr>
        <w:t xml:space="preserve">, Mancini, Mura, Topo, Benamati, Bonomo, </w:t>
      </w:r>
      <w:proofErr w:type="spellStart"/>
      <w:r w:rsidRPr="00D535A2">
        <w:rPr>
          <w:rFonts w:asciiTheme="minorHAnsi" w:hAnsiTheme="minorHAnsi"/>
          <w:color w:val="000000" w:themeColor="text1"/>
        </w:rPr>
        <w:t>Lacarra</w:t>
      </w:r>
      <w:proofErr w:type="spellEnd"/>
      <w:r w:rsidRPr="00D535A2">
        <w:rPr>
          <w:color w:val="000000" w:themeColor="text1"/>
        </w:rPr>
        <w:t xml:space="preserve">, Manca, Nardi, Zardini, Ungaro; </w:t>
      </w:r>
      <w:r w:rsidRPr="00D535A2">
        <w:rPr>
          <w:rFonts w:asciiTheme="minorHAnsi" w:hAnsiTheme="minorHAnsi"/>
          <w:color w:val="000000" w:themeColor="text1"/>
        </w:rPr>
        <w:t xml:space="preserve">13. 310. (Nuova formulazione) Alemanno, Grimaldi, </w:t>
      </w:r>
      <w:proofErr w:type="spellStart"/>
      <w:r w:rsidRPr="00D535A2">
        <w:rPr>
          <w:rFonts w:asciiTheme="minorHAnsi" w:hAnsiTheme="minorHAnsi"/>
          <w:color w:val="000000" w:themeColor="text1"/>
        </w:rPr>
        <w:t>Cancelleri</w:t>
      </w:r>
      <w:proofErr w:type="spellEnd"/>
      <w:r w:rsidRPr="00D535A2">
        <w:rPr>
          <w:rFonts w:asciiTheme="minorHAnsi" w:hAnsiTheme="minorHAnsi"/>
          <w:color w:val="000000" w:themeColor="text1"/>
        </w:rPr>
        <w:t xml:space="preserve">, Caso, Currò, </w:t>
      </w:r>
      <w:proofErr w:type="spellStart"/>
      <w:r w:rsidRPr="00D535A2">
        <w:rPr>
          <w:rFonts w:asciiTheme="minorHAnsi" w:hAnsiTheme="minorHAnsi"/>
          <w:color w:val="000000" w:themeColor="text1"/>
        </w:rPr>
        <w:t>Giuliodori</w:t>
      </w:r>
      <w:proofErr w:type="spellEnd"/>
      <w:r w:rsidRPr="00D535A2">
        <w:rPr>
          <w:rFonts w:asciiTheme="minorHAnsi" w:hAnsiTheme="minorHAnsi"/>
          <w:color w:val="000000" w:themeColor="text1"/>
        </w:rPr>
        <w:t xml:space="preserve">, Maglione, Maniero, </w:t>
      </w:r>
      <w:proofErr w:type="spellStart"/>
      <w:r w:rsidRPr="00D535A2">
        <w:rPr>
          <w:rFonts w:asciiTheme="minorHAnsi" w:hAnsiTheme="minorHAnsi"/>
          <w:color w:val="000000" w:themeColor="text1"/>
        </w:rPr>
        <w:t>Martinciglio</w:t>
      </w:r>
      <w:proofErr w:type="spellEnd"/>
      <w:r w:rsidRPr="00D535A2">
        <w:rPr>
          <w:rFonts w:asciiTheme="minorHAnsi" w:hAnsiTheme="minorHAnsi"/>
          <w:color w:val="000000" w:themeColor="text1"/>
        </w:rPr>
        <w:t xml:space="preserve">, Migliorino, </w:t>
      </w:r>
      <w:proofErr w:type="spellStart"/>
      <w:r w:rsidRPr="00D535A2">
        <w:rPr>
          <w:rFonts w:asciiTheme="minorHAnsi" w:hAnsiTheme="minorHAnsi"/>
          <w:color w:val="000000" w:themeColor="text1"/>
        </w:rPr>
        <w:t>Raduzzi</w:t>
      </w:r>
      <w:proofErr w:type="spellEnd"/>
      <w:r w:rsidRPr="00D535A2">
        <w:rPr>
          <w:rFonts w:asciiTheme="minorHAnsi" w:hAnsiTheme="minorHAnsi"/>
          <w:color w:val="000000" w:themeColor="text1"/>
        </w:rPr>
        <w:t>, Ruggiero, Ruocco, Zanichelli.</w:t>
      </w:r>
    </w:p>
    <w:p w14:paraId="77737919" w14:textId="77777777" w:rsidR="00163604" w:rsidRDefault="00163604">
      <w:pPr>
        <w:pStyle w:val="Testonotaapidipagina"/>
      </w:pPr>
    </w:p>
  </w:footnote>
  <w:footnote w:id="26">
    <w:p w14:paraId="23F99E1C" w14:textId="77777777" w:rsidR="00163604" w:rsidRPr="0000422C" w:rsidRDefault="00163604" w:rsidP="00012BB5">
      <w:pPr>
        <w:jc w:val="both"/>
        <w:rPr>
          <w:color w:val="000000" w:themeColor="text1"/>
        </w:rPr>
      </w:pPr>
      <w:r>
        <w:rPr>
          <w:rStyle w:val="Rimandonotaapidipagina"/>
        </w:rPr>
        <w:footnoteRef/>
      </w:r>
      <w:r>
        <w:t xml:space="preserve"> </w:t>
      </w:r>
      <w:r w:rsidRPr="0000422C">
        <w:rPr>
          <w:rFonts w:asciiTheme="minorHAnsi" w:hAnsiTheme="minorHAnsi"/>
          <w:color w:val="000000" w:themeColor="text1"/>
        </w:rPr>
        <w:t xml:space="preserve">13. 30. (Nuova formulazione) </w:t>
      </w:r>
      <w:proofErr w:type="spellStart"/>
      <w:r w:rsidRPr="0000422C">
        <w:rPr>
          <w:rFonts w:asciiTheme="minorHAnsi" w:hAnsiTheme="minorHAnsi"/>
          <w:color w:val="000000" w:themeColor="text1"/>
        </w:rPr>
        <w:t>Guidesi</w:t>
      </w:r>
      <w:proofErr w:type="spellEnd"/>
      <w:r w:rsidRPr="0000422C">
        <w:rPr>
          <w:rFonts w:asciiTheme="minorHAnsi" w:hAnsiTheme="minorHAnsi"/>
          <w:color w:val="000000" w:themeColor="text1"/>
        </w:rPr>
        <w:t xml:space="preserve">, Boniardi, </w:t>
      </w:r>
      <w:proofErr w:type="spellStart"/>
      <w:r w:rsidRPr="0000422C">
        <w:rPr>
          <w:rFonts w:asciiTheme="minorHAnsi" w:hAnsiTheme="minorHAnsi"/>
          <w:color w:val="000000" w:themeColor="text1"/>
        </w:rPr>
        <w:t>Andreuzza</w:t>
      </w:r>
      <w:proofErr w:type="spellEnd"/>
      <w:r w:rsidRPr="0000422C">
        <w:rPr>
          <w:rFonts w:asciiTheme="minorHAnsi" w:hAnsiTheme="minorHAnsi"/>
          <w:color w:val="000000" w:themeColor="text1"/>
        </w:rPr>
        <w:t xml:space="preserve">, Binelli, Colla, Dara, Galli, </w:t>
      </w:r>
      <w:proofErr w:type="spellStart"/>
      <w:r w:rsidRPr="0000422C">
        <w:rPr>
          <w:rFonts w:asciiTheme="minorHAnsi" w:hAnsiTheme="minorHAnsi"/>
          <w:color w:val="000000" w:themeColor="text1"/>
        </w:rPr>
        <w:t>Pettazzi</w:t>
      </w:r>
      <w:proofErr w:type="spellEnd"/>
      <w:r w:rsidRPr="0000422C">
        <w:rPr>
          <w:rFonts w:asciiTheme="minorHAnsi" w:hAnsiTheme="minorHAnsi"/>
          <w:color w:val="000000" w:themeColor="text1"/>
        </w:rPr>
        <w:t>, Piastra, Bitonci, Cavandoli, Centemero, Covolo, Gerardi, Gusmeroli, Alessandro Pagano, Paternoster, Taranti</w:t>
      </w:r>
      <w:r w:rsidRPr="0000422C">
        <w:rPr>
          <w:color w:val="000000" w:themeColor="text1"/>
        </w:rPr>
        <w:t xml:space="preserve">no; </w:t>
      </w:r>
      <w:r w:rsidRPr="0000422C">
        <w:rPr>
          <w:rFonts w:asciiTheme="minorHAnsi" w:hAnsiTheme="minorHAnsi"/>
          <w:color w:val="000000" w:themeColor="text1"/>
        </w:rPr>
        <w:t>13. 197. (Nuova fo</w:t>
      </w:r>
      <w:r w:rsidRPr="0000422C">
        <w:rPr>
          <w:color w:val="000000" w:themeColor="text1"/>
        </w:rPr>
        <w:t xml:space="preserve">rmulazione) </w:t>
      </w:r>
      <w:proofErr w:type="spellStart"/>
      <w:r w:rsidRPr="0000422C">
        <w:rPr>
          <w:color w:val="000000" w:themeColor="text1"/>
        </w:rPr>
        <w:t>Raduzzi</w:t>
      </w:r>
      <w:proofErr w:type="spellEnd"/>
      <w:r w:rsidRPr="0000422C">
        <w:rPr>
          <w:color w:val="000000" w:themeColor="text1"/>
        </w:rPr>
        <w:t xml:space="preserve">, </w:t>
      </w:r>
      <w:proofErr w:type="spellStart"/>
      <w:r w:rsidRPr="0000422C">
        <w:rPr>
          <w:color w:val="000000" w:themeColor="text1"/>
        </w:rPr>
        <w:t>Sut</w:t>
      </w:r>
      <w:proofErr w:type="spellEnd"/>
      <w:r w:rsidRPr="0000422C">
        <w:rPr>
          <w:color w:val="000000" w:themeColor="text1"/>
        </w:rPr>
        <w:t xml:space="preserve">, Trano; </w:t>
      </w:r>
      <w:r w:rsidRPr="0000422C">
        <w:rPr>
          <w:rFonts w:asciiTheme="minorHAnsi" w:hAnsiTheme="minorHAnsi"/>
          <w:color w:val="000000" w:themeColor="text1"/>
        </w:rPr>
        <w:t>13. 148. (Nuova formulazione) Boschi,</w:t>
      </w:r>
      <w:r w:rsidRPr="0000422C">
        <w:rPr>
          <w:color w:val="000000" w:themeColor="text1"/>
        </w:rPr>
        <w:t xml:space="preserve"> </w:t>
      </w:r>
      <w:proofErr w:type="spellStart"/>
      <w:r w:rsidRPr="0000422C">
        <w:rPr>
          <w:color w:val="000000" w:themeColor="text1"/>
        </w:rPr>
        <w:t>Marattin</w:t>
      </w:r>
      <w:proofErr w:type="spellEnd"/>
      <w:r w:rsidRPr="0000422C">
        <w:rPr>
          <w:color w:val="000000" w:themeColor="text1"/>
        </w:rPr>
        <w:t xml:space="preserve">, Ungaro, Moretto, Mor; </w:t>
      </w:r>
      <w:r w:rsidRPr="0000422C">
        <w:rPr>
          <w:rFonts w:asciiTheme="minorHAnsi" w:hAnsiTheme="minorHAnsi"/>
          <w:color w:val="000000" w:themeColor="text1"/>
        </w:rPr>
        <w:t>13. 136. (Nuova formulazione)</w:t>
      </w:r>
      <w:r w:rsidRPr="0000422C">
        <w:rPr>
          <w:color w:val="000000" w:themeColor="text1"/>
        </w:rPr>
        <w:t xml:space="preserve"> Ungaro, Moretto, Mor, </w:t>
      </w:r>
      <w:proofErr w:type="spellStart"/>
      <w:r w:rsidRPr="0000422C">
        <w:rPr>
          <w:color w:val="000000" w:themeColor="text1"/>
        </w:rPr>
        <w:t>Marattin</w:t>
      </w:r>
      <w:proofErr w:type="spellEnd"/>
      <w:r w:rsidRPr="0000422C">
        <w:rPr>
          <w:color w:val="000000" w:themeColor="text1"/>
        </w:rPr>
        <w:t xml:space="preserve">; </w:t>
      </w:r>
      <w:r w:rsidRPr="0000422C">
        <w:rPr>
          <w:rFonts w:asciiTheme="minorHAnsi" w:hAnsiTheme="minorHAnsi"/>
          <w:color w:val="000000" w:themeColor="text1"/>
        </w:rPr>
        <w:t>13. 147. (Nuova formulaz</w:t>
      </w:r>
      <w:r w:rsidRPr="0000422C">
        <w:rPr>
          <w:color w:val="000000" w:themeColor="text1"/>
        </w:rPr>
        <w:t xml:space="preserve">ione) Benamati, Topo, </w:t>
      </w:r>
      <w:proofErr w:type="spellStart"/>
      <w:r w:rsidRPr="0000422C">
        <w:rPr>
          <w:color w:val="000000" w:themeColor="text1"/>
        </w:rPr>
        <w:t>Pezzopane</w:t>
      </w:r>
      <w:proofErr w:type="spellEnd"/>
      <w:r w:rsidRPr="0000422C">
        <w:rPr>
          <w:color w:val="000000" w:themeColor="text1"/>
        </w:rPr>
        <w:t xml:space="preserve">; </w:t>
      </w:r>
      <w:r w:rsidRPr="0000422C">
        <w:rPr>
          <w:rFonts w:asciiTheme="minorHAnsi" w:hAnsiTheme="minorHAnsi"/>
          <w:color w:val="000000" w:themeColor="text1"/>
        </w:rPr>
        <w:t xml:space="preserve">13. 190. (Nuova formulazione) Giacometto, Baratto, Gelmini, Martino, Giacomoni, Cattaneo, Angelucci, </w:t>
      </w:r>
      <w:proofErr w:type="spellStart"/>
      <w:r w:rsidRPr="0000422C">
        <w:rPr>
          <w:rFonts w:asciiTheme="minorHAnsi" w:hAnsiTheme="minorHAnsi"/>
          <w:color w:val="000000" w:themeColor="text1"/>
        </w:rPr>
        <w:t>Porchietto</w:t>
      </w:r>
      <w:proofErr w:type="spellEnd"/>
      <w:r w:rsidRPr="0000422C">
        <w:rPr>
          <w:rFonts w:asciiTheme="minorHAnsi" w:hAnsiTheme="minorHAnsi"/>
          <w:color w:val="000000" w:themeColor="text1"/>
        </w:rPr>
        <w:t>, Barelli, Squeri, Carrara,</w:t>
      </w:r>
      <w:r w:rsidRPr="0000422C">
        <w:rPr>
          <w:color w:val="000000" w:themeColor="text1"/>
        </w:rPr>
        <w:t xml:space="preserve"> Polidori, Fiorini, Della Frera; </w:t>
      </w:r>
      <w:r w:rsidRPr="0000422C">
        <w:rPr>
          <w:rFonts w:asciiTheme="minorHAnsi" w:hAnsiTheme="minorHAnsi"/>
          <w:color w:val="000000" w:themeColor="text1"/>
        </w:rPr>
        <w:t>13. 213. (Nuova formulazione) Bitonci, Centemero, Cavandoli, Covolo, Gerardi, Gusmeroli, Alessandro</w:t>
      </w:r>
      <w:r w:rsidRPr="0000422C">
        <w:rPr>
          <w:color w:val="000000" w:themeColor="text1"/>
        </w:rPr>
        <w:t xml:space="preserve"> Pagano, Paternoster, Tarantino; </w:t>
      </w:r>
      <w:r w:rsidRPr="0000422C">
        <w:rPr>
          <w:rFonts w:asciiTheme="minorHAnsi" w:hAnsiTheme="minorHAnsi"/>
          <w:color w:val="000000" w:themeColor="text1"/>
        </w:rPr>
        <w:t>13. 258. (Nuova form</w:t>
      </w:r>
      <w:r w:rsidRPr="0000422C">
        <w:rPr>
          <w:color w:val="000000" w:themeColor="text1"/>
        </w:rPr>
        <w:t xml:space="preserve">ulazione) </w:t>
      </w:r>
      <w:proofErr w:type="spellStart"/>
      <w:r w:rsidRPr="0000422C">
        <w:rPr>
          <w:color w:val="000000" w:themeColor="text1"/>
        </w:rPr>
        <w:t>Paxia</w:t>
      </w:r>
      <w:proofErr w:type="spellEnd"/>
      <w:r w:rsidRPr="0000422C">
        <w:rPr>
          <w:color w:val="000000" w:themeColor="text1"/>
        </w:rPr>
        <w:t xml:space="preserve">, </w:t>
      </w:r>
      <w:proofErr w:type="spellStart"/>
      <w:r w:rsidRPr="0000422C">
        <w:rPr>
          <w:color w:val="000000" w:themeColor="text1"/>
        </w:rPr>
        <w:t>Sut</w:t>
      </w:r>
      <w:proofErr w:type="spellEnd"/>
      <w:r w:rsidRPr="0000422C">
        <w:rPr>
          <w:color w:val="000000" w:themeColor="text1"/>
        </w:rPr>
        <w:t xml:space="preserve">, Berardini; </w:t>
      </w:r>
      <w:r w:rsidRPr="0000422C">
        <w:rPr>
          <w:rFonts w:asciiTheme="minorHAnsi" w:hAnsiTheme="minorHAnsi"/>
          <w:color w:val="000000" w:themeColor="text1"/>
        </w:rPr>
        <w:t>13. 259. (Nuov</w:t>
      </w:r>
      <w:r w:rsidRPr="0000422C">
        <w:rPr>
          <w:color w:val="000000" w:themeColor="text1"/>
        </w:rPr>
        <w:t xml:space="preserve">a formulazione) Masi, Berardini; </w:t>
      </w:r>
      <w:r w:rsidRPr="0000422C">
        <w:rPr>
          <w:rFonts w:asciiTheme="minorHAnsi" w:hAnsiTheme="minorHAnsi"/>
          <w:color w:val="000000" w:themeColor="text1"/>
        </w:rPr>
        <w:t xml:space="preserve">13. 413. (ex 1.263) (Nuova formulazione) Dal Moro, Bazoli, Berlinghieri, Bonomo, Bordo, Enrico Borghi, Bruno Bossio, Buratti, Carnevali, Ceccanti, Cenni, Ciampi, Critelli, De Luca, De Maria, De </w:t>
      </w:r>
      <w:proofErr w:type="spellStart"/>
      <w:r w:rsidRPr="0000422C">
        <w:rPr>
          <w:rFonts w:asciiTheme="minorHAnsi" w:hAnsiTheme="minorHAnsi"/>
          <w:color w:val="000000" w:themeColor="text1"/>
        </w:rPr>
        <w:t>Menech</w:t>
      </w:r>
      <w:proofErr w:type="spellEnd"/>
      <w:r w:rsidRPr="0000422C">
        <w:rPr>
          <w:rFonts w:asciiTheme="minorHAnsi" w:hAnsiTheme="minorHAnsi"/>
          <w:color w:val="000000" w:themeColor="text1"/>
        </w:rPr>
        <w:t xml:space="preserve">, Del Basso De Caro, Fassino, Fiano, Giacomelli, Gribaudo, </w:t>
      </w:r>
      <w:proofErr w:type="spellStart"/>
      <w:r w:rsidRPr="0000422C">
        <w:rPr>
          <w:rFonts w:asciiTheme="minorHAnsi" w:hAnsiTheme="minorHAnsi"/>
          <w:color w:val="000000" w:themeColor="text1"/>
        </w:rPr>
        <w:t>Lacarra</w:t>
      </w:r>
      <w:proofErr w:type="spellEnd"/>
      <w:r w:rsidRPr="0000422C">
        <w:rPr>
          <w:rFonts w:asciiTheme="minorHAnsi" w:hAnsiTheme="minorHAnsi"/>
          <w:color w:val="000000" w:themeColor="text1"/>
        </w:rPr>
        <w:t xml:space="preserve">, Losacco, Lotti, Madia, Gavino Manca, Martina, Melilli, Miceli, Mura, Nardi, Navarra, Orfini, Pellicani, </w:t>
      </w:r>
      <w:proofErr w:type="spellStart"/>
      <w:r w:rsidRPr="0000422C">
        <w:rPr>
          <w:rFonts w:asciiTheme="minorHAnsi" w:hAnsiTheme="minorHAnsi"/>
          <w:color w:val="000000" w:themeColor="text1"/>
        </w:rPr>
        <w:t>Pezzopane</w:t>
      </w:r>
      <w:proofErr w:type="spellEnd"/>
      <w:r w:rsidRPr="0000422C">
        <w:rPr>
          <w:rFonts w:asciiTheme="minorHAnsi" w:hAnsiTheme="minorHAnsi"/>
          <w:color w:val="000000" w:themeColor="text1"/>
        </w:rPr>
        <w:t>, Prestipino, Andrea Romano, Rossi, Rotta, Sensi, Serr</w:t>
      </w:r>
      <w:r w:rsidRPr="0000422C">
        <w:rPr>
          <w:color w:val="000000" w:themeColor="text1"/>
        </w:rPr>
        <w:t xml:space="preserve">acchiani, </w:t>
      </w:r>
      <w:proofErr w:type="spellStart"/>
      <w:r w:rsidRPr="0000422C">
        <w:rPr>
          <w:color w:val="000000" w:themeColor="text1"/>
        </w:rPr>
        <w:t>Soverini</w:t>
      </w:r>
      <w:proofErr w:type="spellEnd"/>
      <w:r w:rsidRPr="0000422C">
        <w:rPr>
          <w:color w:val="000000" w:themeColor="text1"/>
        </w:rPr>
        <w:t xml:space="preserve">, Topo, </w:t>
      </w:r>
      <w:proofErr w:type="spellStart"/>
      <w:r w:rsidRPr="0000422C">
        <w:rPr>
          <w:color w:val="000000" w:themeColor="text1"/>
        </w:rPr>
        <w:t>Vazio</w:t>
      </w:r>
      <w:proofErr w:type="spellEnd"/>
      <w:r w:rsidRPr="0000422C">
        <w:rPr>
          <w:color w:val="000000" w:themeColor="text1"/>
        </w:rPr>
        <w:t xml:space="preserve">; </w:t>
      </w:r>
      <w:r w:rsidRPr="0000422C">
        <w:rPr>
          <w:rFonts w:asciiTheme="minorHAnsi" w:hAnsiTheme="minorHAnsi"/>
          <w:color w:val="000000" w:themeColor="text1"/>
        </w:rPr>
        <w:t xml:space="preserve">13. 403. (ex 1.290) (Nuova formulazione) Prisco, </w:t>
      </w:r>
      <w:proofErr w:type="spellStart"/>
      <w:r w:rsidRPr="0000422C">
        <w:rPr>
          <w:rFonts w:asciiTheme="minorHAnsi" w:hAnsiTheme="minorHAnsi"/>
          <w:color w:val="000000" w:themeColor="text1"/>
        </w:rPr>
        <w:t>Os</w:t>
      </w:r>
      <w:r w:rsidRPr="0000422C">
        <w:rPr>
          <w:color w:val="000000" w:themeColor="text1"/>
        </w:rPr>
        <w:t>nato</w:t>
      </w:r>
      <w:proofErr w:type="spellEnd"/>
      <w:r w:rsidRPr="0000422C">
        <w:rPr>
          <w:color w:val="000000" w:themeColor="text1"/>
        </w:rPr>
        <w:t xml:space="preserve">, Zucconi, Bignami, Baldini; </w:t>
      </w:r>
      <w:r w:rsidRPr="0000422C">
        <w:rPr>
          <w:rFonts w:asciiTheme="minorHAnsi" w:hAnsiTheme="minorHAnsi"/>
          <w:color w:val="000000" w:themeColor="text1"/>
        </w:rPr>
        <w:t>13. 404. (ex 1.90) (Nuova formulazione) Lupi, Co</w:t>
      </w:r>
      <w:r w:rsidRPr="0000422C">
        <w:rPr>
          <w:color w:val="000000" w:themeColor="text1"/>
        </w:rPr>
        <w:t xml:space="preserve">lucci, </w:t>
      </w:r>
      <w:proofErr w:type="spellStart"/>
      <w:r w:rsidRPr="0000422C">
        <w:rPr>
          <w:color w:val="000000" w:themeColor="text1"/>
        </w:rPr>
        <w:t>Sangregorio</w:t>
      </w:r>
      <w:proofErr w:type="spellEnd"/>
      <w:r w:rsidRPr="0000422C">
        <w:rPr>
          <w:color w:val="000000" w:themeColor="text1"/>
        </w:rPr>
        <w:t xml:space="preserve">, Tondo; </w:t>
      </w:r>
      <w:r w:rsidRPr="0000422C">
        <w:rPr>
          <w:rFonts w:asciiTheme="minorHAnsi" w:hAnsiTheme="minorHAnsi"/>
          <w:color w:val="000000" w:themeColor="text1"/>
        </w:rPr>
        <w:t>13. 405. (ex 1.146) (Nuova form</w:t>
      </w:r>
      <w:r w:rsidRPr="0000422C">
        <w:rPr>
          <w:color w:val="000000" w:themeColor="text1"/>
        </w:rPr>
        <w:t xml:space="preserve">ulazione) Rospi, Zennaro, Nitti; </w:t>
      </w:r>
      <w:r w:rsidRPr="0000422C">
        <w:rPr>
          <w:rFonts w:asciiTheme="minorHAnsi" w:hAnsiTheme="minorHAnsi"/>
          <w:color w:val="000000" w:themeColor="text1"/>
        </w:rPr>
        <w:t>13. 406. (ex 1.153) (Nuova formulazione) Gusmeroli, Bitonci, Cavandoli, Centemero, Covolo, Gerardi, Alessandro</w:t>
      </w:r>
      <w:r w:rsidRPr="0000422C">
        <w:rPr>
          <w:color w:val="000000" w:themeColor="text1"/>
        </w:rPr>
        <w:t xml:space="preserve"> Pagano, Paternoster, Tarantino; </w:t>
      </w:r>
      <w:r w:rsidRPr="0000422C">
        <w:rPr>
          <w:rFonts w:asciiTheme="minorHAnsi" w:hAnsiTheme="minorHAnsi"/>
          <w:color w:val="000000" w:themeColor="text1"/>
        </w:rPr>
        <w:t>13. 407. (ex 1.161) (Nuova for</w:t>
      </w:r>
      <w:r w:rsidRPr="0000422C">
        <w:rPr>
          <w:color w:val="000000" w:themeColor="text1"/>
        </w:rPr>
        <w:t xml:space="preserve">mulazione) Mor, Ungaro, Moretto; </w:t>
      </w:r>
      <w:r w:rsidRPr="0000422C">
        <w:rPr>
          <w:rFonts w:asciiTheme="minorHAnsi" w:hAnsiTheme="minorHAnsi"/>
          <w:color w:val="000000" w:themeColor="text1"/>
        </w:rPr>
        <w:t xml:space="preserve">13. 408. (ex 1.165) (Nuova formulazione) Baldini, </w:t>
      </w:r>
      <w:proofErr w:type="spellStart"/>
      <w:r w:rsidRPr="0000422C">
        <w:rPr>
          <w:rFonts w:asciiTheme="minorHAnsi" w:hAnsiTheme="minorHAnsi"/>
          <w:color w:val="000000" w:themeColor="text1"/>
        </w:rPr>
        <w:t>Osna</w:t>
      </w:r>
      <w:r w:rsidRPr="0000422C">
        <w:rPr>
          <w:color w:val="000000" w:themeColor="text1"/>
        </w:rPr>
        <w:t>to</w:t>
      </w:r>
      <w:proofErr w:type="spellEnd"/>
      <w:r w:rsidRPr="0000422C">
        <w:rPr>
          <w:color w:val="000000" w:themeColor="text1"/>
        </w:rPr>
        <w:t xml:space="preserve">, Zucconi, Bignami, Acquaroli; </w:t>
      </w:r>
      <w:r w:rsidRPr="0000422C">
        <w:rPr>
          <w:rFonts w:asciiTheme="minorHAnsi" w:hAnsiTheme="minorHAnsi"/>
          <w:color w:val="000000" w:themeColor="text1"/>
        </w:rPr>
        <w:t xml:space="preserve">13. 409. (ex 1.300) (Nuova formulazione) Giacomoni, Martino, Cattaneo, Baratto, Angelucci, Giacometto, </w:t>
      </w:r>
      <w:proofErr w:type="spellStart"/>
      <w:r w:rsidRPr="0000422C">
        <w:rPr>
          <w:rFonts w:asciiTheme="minorHAnsi" w:hAnsiTheme="minorHAnsi"/>
          <w:color w:val="000000" w:themeColor="text1"/>
        </w:rPr>
        <w:t>Porchietto</w:t>
      </w:r>
      <w:proofErr w:type="spellEnd"/>
      <w:r w:rsidRPr="0000422C">
        <w:rPr>
          <w:rFonts w:asciiTheme="minorHAnsi" w:hAnsiTheme="minorHAnsi"/>
          <w:color w:val="000000" w:themeColor="text1"/>
        </w:rPr>
        <w:t xml:space="preserve">, Barelli, Fiorini, Squeri, </w:t>
      </w:r>
      <w:r w:rsidRPr="0000422C">
        <w:rPr>
          <w:color w:val="000000" w:themeColor="text1"/>
        </w:rPr>
        <w:t xml:space="preserve">Polidori, Carrara, Della Frera; </w:t>
      </w:r>
      <w:r w:rsidRPr="0000422C">
        <w:rPr>
          <w:rFonts w:asciiTheme="minorHAnsi" w:hAnsiTheme="minorHAnsi"/>
          <w:color w:val="000000" w:themeColor="text1"/>
        </w:rPr>
        <w:t>13. 410. (ex 1.311) (Nuova fo</w:t>
      </w:r>
      <w:r w:rsidRPr="0000422C">
        <w:rPr>
          <w:color w:val="000000" w:themeColor="text1"/>
        </w:rPr>
        <w:t xml:space="preserve">rmulazione) Zardini, </w:t>
      </w:r>
      <w:proofErr w:type="spellStart"/>
      <w:r w:rsidRPr="0000422C">
        <w:rPr>
          <w:color w:val="000000" w:themeColor="text1"/>
        </w:rPr>
        <w:t>Pezzopane</w:t>
      </w:r>
      <w:proofErr w:type="spellEnd"/>
      <w:r w:rsidRPr="0000422C">
        <w:rPr>
          <w:color w:val="000000" w:themeColor="text1"/>
        </w:rPr>
        <w:t xml:space="preserve">; </w:t>
      </w:r>
      <w:r w:rsidRPr="0000422C">
        <w:rPr>
          <w:rFonts w:asciiTheme="minorHAnsi" w:hAnsiTheme="minorHAnsi"/>
          <w:color w:val="000000" w:themeColor="text1"/>
        </w:rPr>
        <w:t>13. 411. (ex 1.309) (Nuova formulazione) Pastorino, Bersani, Epifani.</w:t>
      </w:r>
    </w:p>
    <w:p w14:paraId="3A334C8C" w14:textId="77777777" w:rsidR="00163604" w:rsidRDefault="00163604">
      <w:pPr>
        <w:pStyle w:val="Testonotaapidipagina"/>
      </w:pPr>
    </w:p>
  </w:footnote>
  <w:footnote w:id="27">
    <w:p w14:paraId="5D0C6F6C" w14:textId="77777777" w:rsidR="00163604" w:rsidRPr="00BC5362" w:rsidRDefault="00163604" w:rsidP="006E6FFB">
      <w:pPr>
        <w:jc w:val="both"/>
        <w:rPr>
          <w:color w:val="000000" w:themeColor="text1"/>
        </w:rPr>
      </w:pPr>
      <w:r>
        <w:rPr>
          <w:rStyle w:val="Rimandonotaapidipagina"/>
        </w:rPr>
        <w:footnoteRef/>
      </w:r>
      <w:r>
        <w:t xml:space="preserve"> </w:t>
      </w:r>
      <w:r w:rsidRPr="00BC5362">
        <w:rPr>
          <w:rFonts w:asciiTheme="minorHAnsi" w:hAnsiTheme="minorHAnsi"/>
          <w:color w:val="000000" w:themeColor="text1"/>
        </w:rPr>
        <w:t xml:space="preserve">13. 152. (Nuova formulazione) Saltamartini, </w:t>
      </w:r>
      <w:proofErr w:type="spellStart"/>
      <w:r w:rsidRPr="00BC5362">
        <w:rPr>
          <w:rFonts w:asciiTheme="minorHAnsi" w:hAnsiTheme="minorHAnsi"/>
          <w:color w:val="000000" w:themeColor="text1"/>
        </w:rPr>
        <w:t>Andreuzza</w:t>
      </w:r>
      <w:proofErr w:type="spellEnd"/>
      <w:r w:rsidRPr="00BC5362">
        <w:rPr>
          <w:rFonts w:asciiTheme="minorHAnsi" w:hAnsiTheme="minorHAnsi"/>
          <w:color w:val="000000" w:themeColor="text1"/>
        </w:rPr>
        <w:t xml:space="preserve">, Binelli, Colla, Dara, Galli, </w:t>
      </w:r>
      <w:proofErr w:type="spellStart"/>
      <w:r w:rsidRPr="00BC5362">
        <w:rPr>
          <w:rFonts w:asciiTheme="minorHAnsi" w:hAnsiTheme="minorHAnsi"/>
          <w:color w:val="000000" w:themeColor="text1"/>
        </w:rPr>
        <w:t>Guidesi</w:t>
      </w:r>
      <w:proofErr w:type="spellEnd"/>
      <w:r w:rsidRPr="00BC5362">
        <w:rPr>
          <w:rFonts w:asciiTheme="minorHAnsi" w:hAnsiTheme="minorHAnsi"/>
          <w:color w:val="000000" w:themeColor="text1"/>
        </w:rPr>
        <w:t xml:space="preserve">, </w:t>
      </w:r>
      <w:proofErr w:type="spellStart"/>
      <w:r w:rsidRPr="00BC5362">
        <w:rPr>
          <w:rFonts w:asciiTheme="minorHAnsi" w:hAnsiTheme="minorHAnsi"/>
          <w:color w:val="000000" w:themeColor="text1"/>
        </w:rPr>
        <w:t>Pettazzi</w:t>
      </w:r>
      <w:proofErr w:type="spellEnd"/>
      <w:r w:rsidRPr="00BC5362">
        <w:rPr>
          <w:rFonts w:asciiTheme="minorHAnsi" w:hAnsiTheme="minorHAnsi"/>
          <w:color w:val="000000" w:themeColor="text1"/>
        </w:rPr>
        <w:t>, Piastra, Bitonci, Cavandoli, Centemero, Covolo, Gerardi, Gusmeroli, Alessandro</w:t>
      </w:r>
      <w:r w:rsidRPr="00BC5362">
        <w:rPr>
          <w:color w:val="000000" w:themeColor="text1"/>
        </w:rPr>
        <w:t xml:space="preserve"> Pagano, Paternoster, Tarantino; </w:t>
      </w:r>
      <w:r w:rsidRPr="00BC5362">
        <w:rPr>
          <w:rFonts w:asciiTheme="minorHAnsi" w:hAnsiTheme="minorHAnsi"/>
          <w:color w:val="000000" w:themeColor="text1"/>
        </w:rPr>
        <w:t xml:space="preserve">13. 158. (Nuova formulazione) </w:t>
      </w:r>
      <w:proofErr w:type="spellStart"/>
      <w:r w:rsidRPr="00BC5362">
        <w:rPr>
          <w:rFonts w:asciiTheme="minorHAnsi" w:hAnsiTheme="minorHAnsi"/>
          <w:color w:val="000000" w:themeColor="text1"/>
        </w:rPr>
        <w:t>Verini</w:t>
      </w:r>
      <w:proofErr w:type="spellEnd"/>
      <w:r w:rsidRPr="00BC5362">
        <w:rPr>
          <w:rFonts w:asciiTheme="minorHAnsi" w:hAnsiTheme="minorHAnsi"/>
          <w:color w:val="000000" w:themeColor="text1"/>
        </w:rPr>
        <w:t xml:space="preserve">, </w:t>
      </w:r>
      <w:proofErr w:type="spellStart"/>
      <w:r w:rsidRPr="00BC5362">
        <w:rPr>
          <w:rFonts w:asciiTheme="minorHAnsi" w:hAnsiTheme="minorHAnsi"/>
          <w:color w:val="000000" w:themeColor="text1"/>
        </w:rPr>
        <w:t>Pezzopane</w:t>
      </w:r>
      <w:proofErr w:type="spellEnd"/>
      <w:r w:rsidRPr="00BC5362">
        <w:rPr>
          <w:rFonts w:asciiTheme="minorHAnsi" w:hAnsiTheme="minorHAnsi"/>
          <w:color w:val="000000" w:themeColor="text1"/>
        </w:rPr>
        <w:t xml:space="preserve">, </w:t>
      </w:r>
      <w:proofErr w:type="spellStart"/>
      <w:r w:rsidRPr="00BC5362">
        <w:rPr>
          <w:rFonts w:asciiTheme="minorHAnsi" w:hAnsiTheme="minorHAnsi"/>
          <w:color w:val="000000" w:themeColor="text1"/>
        </w:rPr>
        <w:t>Morgoni</w:t>
      </w:r>
      <w:proofErr w:type="spellEnd"/>
      <w:r w:rsidRPr="00BC5362">
        <w:rPr>
          <w:rFonts w:asciiTheme="minorHAnsi" w:hAnsiTheme="minorHAnsi"/>
          <w:color w:val="000000" w:themeColor="text1"/>
        </w:rPr>
        <w:t>, Melilli, Buratti, Mancini, Mura, Rotta, Topo, Benamati, Bonomo,</w:t>
      </w:r>
      <w:r w:rsidRPr="00BC5362">
        <w:rPr>
          <w:color w:val="000000" w:themeColor="text1"/>
        </w:rPr>
        <w:t xml:space="preserve"> </w:t>
      </w:r>
      <w:proofErr w:type="spellStart"/>
      <w:r w:rsidRPr="00BC5362">
        <w:rPr>
          <w:color w:val="000000" w:themeColor="text1"/>
        </w:rPr>
        <w:t>Lacarra</w:t>
      </w:r>
      <w:proofErr w:type="spellEnd"/>
      <w:r w:rsidRPr="00BC5362">
        <w:rPr>
          <w:color w:val="000000" w:themeColor="text1"/>
        </w:rPr>
        <w:t xml:space="preserve">, Manca, Nardi, Zardini; </w:t>
      </w:r>
      <w:r w:rsidRPr="00BC5362">
        <w:rPr>
          <w:rFonts w:asciiTheme="minorHAnsi" w:hAnsiTheme="minorHAnsi"/>
          <w:color w:val="000000" w:themeColor="text1"/>
        </w:rPr>
        <w:t>13. 224. (Nuova formulazione) Gabriele Lorenzoni, Terzoni, Corneli</w:t>
      </w:r>
      <w:r w:rsidRPr="00BC5362">
        <w:rPr>
          <w:color w:val="000000" w:themeColor="text1"/>
        </w:rPr>
        <w:t xml:space="preserve">, Grippa, Berardini, Gallinella; </w:t>
      </w:r>
      <w:r w:rsidRPr="00BC5362">
        <w:rPr>
          <w:rFonts w:asciiTheme="minorHAnsi" w:hAnsiTheme="minorHAnsi"/>
          <w:color w:val="000000" w:themeColor="text1"/>
        </w:rPr>
        <w:t xml:space="preserve">13. 412. (ex 1.216) (Nuova formulazione) Caparvi, Marchetti, </w:t>
      </w:r>
      <w:proofErr w:type="spellStart"/>
      <w:r w:rsidRPr="00BC5362">
        <w:rPr>
          <w:rFonts w:asciiTheme="minorHAnsi" w:hAnsiTheme="minorHAnsi"/>
          <w:color w:val="000000" w:themeColor="text1"/>
        </w:rPr>
        <w:t>Patassini</w:t>
      </w:r>
      <w:proofErr w:type="spellEnd"/>
      <w:r w:rsidRPr="00BC5362">
        <w:rPr>
          <w:rFonts w:asciiTheme="minorHAnsi" w:hAnsiTheme="minorHAnsi"/>
          <w:color w:val="000000" w:themeColor="text1"/>
        </w:rPr>
        <w:t xml:space="preserve">, Benvenuto, Lucchini, </w:t>
      </w:r>
      <w:proofErr w:type="spellStart"/>
      <w:r w:rsidRPr="00BC5362">
        <w:rPr>
          <w:rFonts w:asciiTheme="minorHAnsi" w:hAnsiTheme="minorHAnsi"/>
          <w:color w:val="000000" w:themeColor="text1"/>
        </w:rPr>
        <w:t>Badole</w:t>
      </w:r>
      <w:proofErr w:type="spellEnd"/>
      <w:r w:rsidRPr="00BC5362">
        <w:rPr>
          <w:rFonts w:asciiTheme="minorHAnsi" w:hAnsiTheme="minorHAnsi"/>
          <w:color w:val="000000" w:themeColor="text1"/>
        </w:rPr>
        <w:t xml:space="preserve">, D'Eramo, Gobbato, Parolo, Raffaelli, Valbusa, </w:t>
      </w:r>
      <w:proofErr w:type="spellStart"/>
      <w:r w:rsidRPr="00BC5362">
        <w:rPr>
          <w:rFonts w:asciiTheme="minorHAnsi" w:hAnsiTheme="minorHAnsi"/>
          <w:color w:val="000000" w:themeColor="text1"/>
        </w:rPr>
        <w:t>Vallotto</w:t>
      </w:r>
      <w:proofErr w:type="spellEnd"/>
      <w:r w:rsidRPr="00BC5362">
        <w:rPr>
          <w:rFonts w:asciiTheme="minorHAnsi" w:hAnsiTheme="minorHAnsi"/>
          <w:color w:val="000000" w:themeColor="text1"/>
        </w:rPr>
        <w:t xml:space="preserve">, </w:t>
      </w:r>
      <w:proofErr w:type="spellStart"/>
      <w:r w:rsidRPr="00BC5362">
        <w:rPr>
          <w:rFonts w:asciiTheme="minorHAnsi" w:hAnsiTheme="minorHAnsi"/>
          <w:color w:val="000000" w:themeColor="text1"/>
        </w:rPr>
        <w:t>Bellachioma</w:t>
      </w:r>
      <w:proofErr w:type="spellEnd"/>
      <w:r w:rsidRPr="00BC5362">
        <w:rPr>
          <w:rFonts w:asciiTheme="minorHAnsi" w:hAnsiTheme="minorHAnsi"/>
          <w:color w:val="000000" w:themeColor="text1"/>
        </w:rPr>
        <w:t xml:space="preserve">, Basini, De Angelis, </w:t>
      </w:r>
      <w:proofErr w:type="spellStart"/>
      <w:r w:rsidRPr="00BC5362">
        <w:rPr>
          <w:rFonts w:asciiTheme="minorHAnsi" w:hAnsiTheme="minorHAnsi"/>
          <w:color w:val="000000" w:themeColor="text1"/>
        </w:rPr>
        <w:t>Durigon</w:t>
      </w:r>
      <w:proofErr w:type="spellEnd"/>
      <w:r w:rsidRPr="00BC5362">
        <w:rPr>
          <w:rFonts w:asciiTheme="minorHAnsi" w:hAnsiTheme="minorHAnsi"/>
          <w:color w:val="000000" w:themeColor="text1"/>
        </w:rPr>
        <w:t xml:space="preserve">, Latini, Paolini, </w:t>
      </w:r>
      <w:proofErr w:type="spellStart"/>
      <w:r w:rsidRPr="00BC5362">
        <w:rPr>
          <w:rFonts w:asciiTheme="minorHAnsi" w:hAnsiTheme="minorHAnsi"/>
          <w:color w:val="000000" w:themeColor="text1"/>
        </w:rPr>
        <w:t>Zicchieri</w:t>
      </w:r>
      <w:proofErr w:type="spellEnd"/>
      <w:r w:rsidRPr="00BC5362">
        <w:rPr>
          <w:rFonts w:asciiTheme="minorHAnsi" w:hAnsiTheme="minorHAnsi"/>
          <w:color w:val="000000" w:themeColor="text1"/>
        </w:rPr>
        <w:t>.</w:t>
      </w:r>
    </w:p>
    <w:p w14:paraId="411B76E6" w14:textId="77777777" w:rsidR="00163604" w:rsidRDefault="00163604">
      <w:pPr>
        <w:pStyle w:val="Testonotaapidipagina"/>
      </w:pPr>
    </w:p>
  </w:footnote>
  <w:footnote w:id="28">
    <w:p w14:paraId="55AD2846" w14:textId="77777777" w:rsidR="00163604" w:rsidRPr="00BC5362" w:rsidRDefault="00163604" w:rsidP="006E6FFB">
      <w:pPr>
        <w:jc w:val="both"/>
        <w:rPr>
          <w:color w:val="000000" w:themeColor="text1"/>
        </w:rPr>
      </w:pPr>
      <w:r>
        <w:rPr>
          <w:rStyle w:val="Rimandonotaapidipagina"/>
        </w:rPr>
        <w:footnoteRef/>
      </w:r>
      <w:r>
        <w:t xml:space="preserve"> </w:t>
      </w:r>
      <w:r w:rsidRPr="00BC5362">
        <w:rPr>
          <w:rFonts w:asciiTheme="minorHAnsi" w:hAnsiTheme="minorHAnsi"/>
          <w:color w:val="000000" w:themeColor="text1"/>
        </w:rPr>
        <w:t xml:space="preserve">13. 152. (Nuova formulazione) Saltamartini, </w:t>
      </w:r>
      <w:proofErr w:type="spellStart"/>
      <w:r w:rsidRPr="00BC5362">
        <w:rPr>
          <w:rFonts w:asciiTheme="minorHAnsi" w:hAnsiTheme="minorHAnsi"/>
          <w:color w:val="000000" w:themeColor="text1"/>
        </w:rPr>
        <w:t>Andreuzza</w:t>
      </w:r>
      <w:proofErr w:type="spellEnd"/>
      <w:r w:rsidRPr="00BC5362">
        <w:rPr>
          <w:rFonts w:asciiTheme="minorHAnsi" w:hAnsiTheme="minorHAnsi"/>
          <w:color w:val="000000" w:themeColor="text1"/>
        </w:rPr>
        <w:t xml:space="preserve">, Binelli, Colla, Dara, Galli, </w:t>
      </w:r>
      <w:proofErr w:type="spellStart"/>
      <w:r w:rsidRPr="00BC5362">
        <w:rPr>
          <w:rFonts w:asciiTheme="minorHAnsi" w:hAnsiTheme="minorHAnsi"/>
          <w:color w:val="000000" w:themeColor="text1"/>
        </w:rPr>
        <w:t>Guidesi</w:t>
      </w:r>
      <w:proofErr w:type="spellEnd"/>
      <w:r w:rsidRPr="00BC5362">
        <w:rPr>
          <w:rFonts w:asciiTheme="minorHAnsi" w:hAnsiTheme="minorHAnsi"/>
          <w:color w:val="000000" w:themeColor="text1"/>
        </w:rPr>
        <w:t xml:space="preserve">, </w:t>
      </w:r>
      <w:proofErr w:type="spellStart"/>
      <w:r w:rsidRPr="00BC5362">
        <w:rPr>
          <w:rFonts w:asciiTheme="minorHAnsi" w:hAnsiTheme="minorHAnsi"/>
          <w:color w:val="000000" w:themeColor="text1"/>
        </w:rPr>
        <w:t>Pettazzi</w:t>
      </w:r>
      <w:proofErr w:type="spellEnd"/>
      <w:r w:rsidRPr="00BC5362">
        <w:rPr>
          <w:rFonts w:asciiTheme="minorHAnsi" w:hAnsiTheme="minorHAnsi"/>
          <w:color w:val="000000" w:themeColor="text1"/>
        </w:rPr>
        <w:t>, Piastra, Bitonci, Cavandoli, Centemero, Covolo, Gerardi, Gusmeroli, Alessandro</w:t>
      </w:r>
      <w:r w:rsidRPr="00BC5362">
        <w:rPr>
          <w:color w:val="000000" w:themeColor="text1"/>
        </w:rPr>
        <w:t xml:space="preserve"> Pagano, Paternoster, Tarantino; </w:t>
      </w:r>
      <w:r w:rsidRPr="00BC5362">
        <w:rPr>
          <w:rFonts w:asciiTheme="minorHAnsi" w:hAnsiTheme="minorHAnsi"/>
          <w:color w:val="000000" w:themeColor="text1"/>
        </w:rPr>
        <w:t xml:space="preserve">13. 158. (Nuova formulazione) </w:t>
      </w:r>
      <w:proofErr w:type="spellStart"/>
      <w:r w:rsidRPr="00BC5362">
        <w:rPr>
          <w:rFonts w:asciiTheme="minorHAnsi" w:hAnsiTheme="minorHAnsi"/>
          <w:color w:val="000000" w:themeColor="text1"/>
        </w:rPr>
        <w:t>Verini</w:t>
      </w:r>
      <w:proofErr w:type="spellEnd"/>
      <w:r w:rsidRPr="00BC5362">
        <w:rPr>
          <w:rFonts w:asciiTheme="minorHAnsi" w:hAnsiTheme="minorHAnsi"/>
          <w:color w:val="000000" w:themeColor="text1"/>
        </w:rPr>
        <w:t xml:space="preserve">, </w:t>
      </w:r>
      <w:proofErr w:type="spellStart"/>
      <w:r w:rsidRPr="00BC5362">
        <w:rPr>
          <w:rFonts w:asciiTheme="minorHAnsi" w:hAnsiTheme="minorHAnsi"/>
          <w:color w:val="000000" w:themeColor="text1"/>
        </w:rPr>
        <w:t>Pezzopane</w:t>
      </w:r>
      <w:proofErr w:type="spellEnd"/>
      <w:r w:rsidRPr="00BC5362">
        <w:rPr>
          <w:rFonts w:asciiTheme="minorHAnsi" w:hAnsiTheme="minorHAnsi"/>
          <w:color w:val="000000" w:themeColor="text1"/>
        </w:rPr>
        <w:t xml:space="preserve">, </w:t>
      </w:r>
      <w:proofErr w:type="spellStart"/>
      <w:r w:rsidRPr="00BC5362">
        <w:rPr>
          <w:rFonts w:asciiTheme="minorHAnsi" w:hAnsiTheme="minorHAnsi"/>
          <w:color w:val="000000" w:themeColor="text1"/>
        </w:rPr>
        <w:t>Morgoni</w:t>
      </w:r>
      <w:proofErr w:type="spellEnd"/>
      <w:r w:rsidRPr="00BC5362">
        <w:rPr>
          <w:rFonts w:asciiTheme="minorHAnsi" w:hAnsiTheme="minorHAnsi"/>
          <w:color w:val="000000" w:themeColor="text1"/>
        </w:rPr>
        <w:t>, Melilli, Buratti, Mancini, Mura, Rotta, Topo, Benamati, Bonomo,</w:t>
      </w:r>
      <w:r w:rsidRPr="00BC5362">
        <w:rPr>
          <w:color w:val="000000" w:themeColor="text1"/>
        </w:rPr>
        <w:t xml:space="preserve"> </w:t>
      </w:r>
      <w:proofErr w:type="spellStart"/>
      <w:r w:rsidRPr="00BC5362">
        <w:rPr>
          <w:color w:val="000000" w:themeColor="text1"/>
        </w:rPr>
        <w:t>Lacarra</w:t>
      </w:r>
      <w:proofErr w:type="spellEnd"/>
      <w:r w:rsidRPr="00BC5362">
        <w:rPr>
          <w:color w:val="000000" w:themeColor="text1"/>
        </w:rPr>
        <w:t xml:space="preserve">, Manca, Nardi, Zardini; </w:t>
      </w:r>
      <w:r w:rsidRPr="00BC5362">
        <w:rPr>
          <w:rFonts w:asciiTheme="minorHAnsi" w:hAnsiTheme="minorHAnsi"/>
          <w:color w:val="000000" w:themeColor="text1"/>
        </w:rPr>
        <w:t>13. 224. (Nuova formulazione) Gabriele Lorenzoni, Terzoni, Corneli</w:t>
      </w:r>
      <w:r w:rsidRPr="00BC5362">
        <w:rPr>
          <w:color w:val="000000" w:themeColor="text1"/>
        </w:rPr>
        <w:t xml:space="preserve">, Grippa, Berardini, Gallinella; </w:t>
      </w:r>
      <w:r w:rsidRPr="00BC5362">
        <w:rPr>
          <w:rFonts w:asciiTheme="minorHAnsi" w:hAnsiTheme="minorHAnsi"/>
          <w:color w:val="000000" w:themeColor="text1"/>
        </w:rPr>
        <w:t xml:space="preserve">13. 412. (ex 1.216) (Nuova formulazione) Caparvi, Marchetti, </w:t>
      </w:r>
      <w:proofErr w:type="spellStart"/>
      <w:r w:rsidRPr="00BC5362">
        <w:rPr>
          <w:rFonts w:asciiTheme="minorHAnsi" w:hAnsiTheme="minorHAnsi"/>
          <w:color w:val="000000" w:themeColor="text1"/>
        </w:rPr>
        <w:t>Patassini</w:t>
      </w:r>
      <w:proofErr w:type="spellEnd"/>
      <w:r w:rsidRPr="00BC5362">
        <w:rPr>
          <w:rFonts w:asciiTheme="minorHAnsi" w:hAnsiTheme="minorHAnsi"/>
          <w:color w:val="000000" w:themeColor="text1"/>
        </w:rPr>
        <w:t xml:space="preserve">, Benvenuto, Lucchini, </w:t>
      </w:r>
      <w:proofErr w:type="spellStart"/>
      <w:r w:rsidRPr="00BC5362">
        <w:rPr>
          <w:rFonts w:asciiTheme="minorHAnsi" w:hAnsiTheme="minorHAnsi"/>
          <w:color w:val="000000" w:themeColor="text1"/>
        </w:rPr>
        <w:t>Badole</w:t>
      </w:r>
      <w:proofErr w:type="spellEnd"/>
      <w:r w:rsidRPr="00BC5362">
        <w:rPr>
          <w:rFonts w:asciiTheme="minorHAnsi" w:hAnsiTheme="minorHAnsi"/>
          <w:color w:val="000000" w:themeColor="text1"/>
        </w:rPr>
        <w:t xml:space="preserve">, D'Eramo, Gobbato, Parolo, Raffaelli, Valbusa, </w:t>
      </w:r>
      <w:proofErr w:type="spellStart"/>
      <w:r w:rsidRPr="00BC5362">
        <w:rPr>
          <w:rFonts w:asciiTheme="minorHAnsi" w:hAnsiTheme="minorHAnsi"/>
          <w:color w:val="000000" w:themeColor="text1"/>
        </w:rPr>
        <w:t>Vallotto</w:t>
      </w:r>
      <w:proofErr w:type="spellEnd"/>
      <w:r w:rsidRPr="00BC5362">
        <w:rPr>
          <w:rFonts w:asciiTheme="minorHAnsi" w:hAnsiTheme="minorHAnsi"/>
          <w:color w:val="000000" w:themeColor="text1"/>
        </w:rPr>
        <w:t xml:space="preserve">, </w:t>
      </w:r>
      <w:proofErr w:type="spellStart"/>
      <w:r w:rsidRPr="00BC5362">
        <w:rPr>
          <w:rFonts w:asciiTheme="minorHAnsi" w:hAnsiTheme="minorHAnsi"/>
          <w:color w:val="000000" w:themeColor="text1"/>
        </w:rPr>
        <w:t>Bellachioma</w:t>
      </w:r>
      <w:proofErr w:type="spellEnd"/>
      <w:r w:rsidRPr="00BC5362">
        <w:rPr>
          <w:rFonts w:asciiTheme="minorHAnsi" w:hAnsiTheme="minorHAnsi"/>
          <w:color w:val="000000" w:themeColor="text1"/>
        </w:rPr>
        <w:t xml:space="preserve">, Basini, De Angelis, </w:t>
      </w:r>
      <w:proofErr w:type="spellStart"/>
      <w:r w:rsidRPr="00BC5362">
        <w:rPr>
          <w:rFonts w:asciiTheme="minorHAnsi" w:hAnsiTheme="minorHAnsi"/>
          <w:color w:val="000000" w:themeColor="text1"/>
        </w:rPr>
        <w:t>Durigon</w:t>
      </w:r>
      <w:proofErr w:type="spellEnd"/>
      <w:r w:rsidRPr="00BC5362">
        <w:rPr>
          <w:rFonts w:asciiTheme="minorHAnsi" w:hAnsiTheme="minorHAnsi"/>
          <w:color w:val="000000" w:themeColor="text1"/>
        </w:rPr>
        <w:t xml:space="preserve">, Latini, Paolini, </w:t>
      </w:r>
      <w:proofErr w:type="spellStart"/>
      <w:r w:rsidRPr="00BC5362">
        <w:rPr>
          <w:rFonts w:asciiTheme="minorHAnsi" w:hAnsiTheme="minorHAnsi"/>
          <w:color w:val="000000" w:themeColor="text1"/>
        </w:rPr>
        <w:t>Zicchieri</w:t>
      </w:r>
      <w:proofErr w:type="spellEnd"/>
      <w:r w:rsidRPr="00BC5362">
        <w:rPr>
          <w:rFonts w:asciiTheme="minorHAnsi" w:hAnsiTheme="minorHAnsi"/>
          <w:color w:val="000000" w:themeColor="text1"/>
        </w:rPr>
        <w:t>.</w:t>
      </w:r>
    </w:p>
    <w:p w14:paraId="6EEEF3A6" w14:textId="77777777" w:rsidR="00163604" w:rsidRDefault="00163604">
      <w:pPr>
        <w:pStyle w:val="Testonotaapidipagina"/>
      </w:pPr>
    </w:p>
  </w:footnote>
  <w:footnote w:id="29">
    <w:p w14:paraId="6006088F" w14:textId="77777777" w:rsidR="00163604" w:rsidRPr="00BC5362" w:rsidRDefault="00163604" w:rsidP="009868D8">
      <w:pPr>
        <w:jc w:val="both"/>
        <w:rPr>
          <w:rFonts w:asciiTheme="minorHAnsi" w:hAnsiTheme="minorHAnsi"/>
          <w:color w:val="000000" w:themeColor="text1"/>
        </w:rPr>
      </w:pPr>
      <w:r>
        <w:rPr>
          <w:rStyle w:val="Rimandonotaapidipagina"/>
        </w:rPr>
        <w:footnoteRef/>
      </w:r>
      <w:r>
        <w:t xml:space="preserve"> </w:t>
      </w:r>
      <w:r w:rsidRPr="00BC5362">
        <w:rPr>
          <w:rFonts w:asciiTheme="minorHAnsi" w:hAnsiTheme="minorHAnsi"/>
          <w:color w:val="000000" w:themeColor="text1"/>
        </w:rPr>
        <w:t>13. 234. (Nuova formulazione) Pastorino</w:t>
      </w:r>
      <w:r w:rsidRPr="00BC5362">
        <w:rPr>
          <w:color w:val="000000" w:themeColor="text1"/>
        </w:rPr>
        <w:t xml:space="preserve">; </w:t>
      </w:r>
      <w:r w:rsidRPr="00BC5362">
        <w:rPr>
          <w:rFonts w:asciiTheme="minorHAnsi" w:hAnsiTheme="minorHAnsi"/>
          <w:color w:val="000000" w:themeColor="text1"/>
        </w:rPr>
        <w:t>13. 138. (Nuova fo</w:t>
      </w:r>
      <w:r w:rsidRPr="00BC5362">
        <w:rPr>
          <w:color w:val="000000" w:themeColor="text1"/>
        </w:rPr>
        <w:t xml:space="preserve">rmulazione) Moretto, Bendinelli; </w:t>
      </w:r>
      <w:r w:rsidRPr="00BC5362">
        <w:rPr>
          <w:rFonts w:asciiTheme="minorHAnsi" w:hAnsiTheme="minorHAnsi"/>
          <w:color w:val="000000" w:themeColor="text1"/>
        </w:rPr>
        <w:t>13. 161. (Nuova formulazione) Zardini, Mancini, Mura, Rotta</w:t>
      </w:r>
      <w:r w:rsidRPr="00BC5362">
        <w:rPr>
          <w:color w:val="000000" w:themeColor="text1"/>
        </w:rPr>
        <w:t xml:space="preserve">, Bonomo, </w:t>
      </w:r>
      <w:proofErr w:type="spellStart"/>
      <w:r w:rsidRPr="00BC5362">
        <w:rPr>
          <w:color w:val="000000" w:themeColor="text1"/>
        </w:rPr>
        <w:t>Lacarra</w:t>
      </w:r>
      <w:proofErr w:type="spellEnd"/>
      <w:r w:rsidRPr="00BC5362">
        <w:rPr>
          <w:color w:val="000000" w:themeColor="text1"/>
        </w:rPr>
        <w:t xml:space="preserve">, Manca, Nardi; </w:t>
      </w:r>
      <w:r w:rsidRPr="00BC5362">
        <w:rPr>
          <w:rFonts w:asciiTheme="minorHAnsi" w:hAnsiTheme="minorHAnsi"/>
          <w:color w:val="000000" w:themeColor="text1"/>
        </w:rPr>
        <w:t xml:space="preserve">13. 137. (Nuova formulazione) Mollicone, </w:t>
      </w:r>
      <w:proofErr w:type="spellStart"/>
      <w:r w:rsidRPr="00BC5362">
        <w:rPr>
          <w:rFonts w:asciiTheme="minorHAnsi" w:hAnsiTheme="minorHAnsi"/>
          <w:color w:val="000000" w:themeColor="text1"/>
        </w:rPr>
        <w:t>Osnato</w:t>
      </w:r>
      <w:proofErr w:type="spellEnd"/>
      <w:r w:rsidRPr="00BC5362">
        <w:rPr>
          <w:rFonts w:asciiTheme="minorHAnsi" w:hAnsiTheme="minorHAnsi"/>
          <w:color w:val="000000" w:themeColor="text1"/>
        </w:rPr>
        <w:t>, Zucconi, B</w:t>
      </w:r>
      <w:r w:rsidRPr="00BC5362">
        <w:rPr>
          <w:color w:val="000000" w:themeColor="text1"/>
        </w:rPr>
        <w:t xml:space="preserve">ignami, Acquaroli, Baldini; </w:t>
      </w:r>
      <w:r w:rsidRPr="00BC5362">
        <w:rPr>
          <w:rFonts w:asciiTheme="minorHAnsi" w:hAnsiTheme="minorHAnsi"/>
          <w:color w:val="000000" w:themeColor="text1"/>
        </w:rPr>
        <w:t xml:space="preserve">13. 220. (Nuova formulazione) Baratto, Giacomoni, Martino, Cattaneo, Angelucci, Giacometto, </w:t>
      </w:r>
      <w:proofErr w:type="spellStart"/>
      <w:r w:rsidRPr="00BC5362">
        <w:rPr>
          <w:rFonts w:asciiTheme="minorHAnsi" w:hAnsiTheme="minorHAnsi"/>
          <w:color w:val="000000" w:themeColor="text1"/>
        </w:rPr>
        <w:t>Porchietto</w:t>
      </w:r>
      <w:proofErr w:type="spellEnd"/>
      <w:r w:rsidRPr="00BC5362">
        <w:rPr>
          <w:rFonts w:asciiTheme="minorHAnsi" w:hAnsiTheme="minorHAnsi"/>
          <w:color w:val="000000" w:themeColor="text1"/>
        </w:rPr>
        <w:t>, Barelli, Fiorini, Squeri,</w:t>
      </w:r>
      <w:r w:rsidRPr="00BC5362">
        <w:rPr>
          <w:color w:val="000000" w:themeColor="text1"/>
        </w:rPr>
        <w:t xml:space="preserve"> Polidori, Carrara, Della Frera; </w:t>
      </w:r>
      <w:r w:rsidRPr="00BC5362">
        <w:rPr>
          <w:rFonts w:asciiTheme="minorHAnsi" w:hAnsiTheme="minorHAnsi"/>
          <w:color w:val="000000" w:themeColor="text1"/>
        </w:rPr>
        <w:t>13. 185. (Nuova formulazione) Gelmini</w:t>
      </w:r>
      <w:r w:rsidRPr="00BC5362">
        <w:rPr>
          <w:color w:val="000000" w:themeColor="text1"/>
        </w:rPr>
        <w:t xml:space="preserve">, Perego Di Cremnago, Giacomoni; </w:t>
      </w:r>
      <w:r w:rsidRPr="00BC5362">
        <w:rPr>
          <w:rFonts w:asciiTheme="minorHAnsi" w:hAnsiTheme="minorHAnsi"/>
          <w:color w:val="000000" w:themeColor="text1"/>
        </w:rPr>
        <w:t xml:space="preserve">13. 180. (Nuova formulazione) Lollobrigida, </w:t>
      </w:r>
      <w:proofErr w:type="spellStart"/>
      <w:r w:rsidRPr="00BC5362">
        <w:rPr>
          <w:rFonts w:asciiTheme="minorHAnsi" w:hAnsiTheme="minorHAnsi"/>
          <w:color w:val="000000" w:themeColor="text1"/>
        </w:rPr>
        <w:t>Trancassini</w:t>
      </w:r>
      <w:proofErr w:type="spellEnd"/>
      <w:r w:rsidRPr="00BC5362">
        <w:rPr>
          <w:rFonts w:asciiTheme="minorHAnsi" w:hAnsiTheme="minorHAnsi"/>
          <w:color w:val="000000" w:themeColor="text1"/>
        </w:rPr>
        <w:t xml:space="preserve">, </w:t>
      </w:r>
      <w:proofErr w:type="spellStart"/>
      <w:r w:rsidRPr="00BC5362">
        <w:rPr>
          <w:rFonts w:asciiTheme="minorHAnsi" w:hAnsiTheme="minorHAnsi"/>
          <w:color w:val="000000" w:themeColor="text1"/>
        </w:rPr>
        <w:t>Osnato</w:t>
      </w:r>
      <w:proofErr w:type="spellEnd"/>
      <w:r w:rsidRPr="00BC5362">
        <w:rPr>
          <w:rFonts w:asciiTheme="minorHAnsi" w:hAnsiTheme="minorHAnsi"/>
          <w:color w:val="000000" w:themeColor="text1"/>
        </w:rPr>
        <w:t>, Zucconi, Bign</w:t>
      </w:r>
      <w:r w:rsidRPr="00BC5362">
        <w:rPr>
          <w:color w:val="000000" w:themeColor="text1"/>
        </w:rPr>
        <w:t xml:space="preserve">ami, Baldini, </w:t>
      </w:r>
      <w:proofErr w:type="spellStart"/>
      <w:r w:rsidRPr="00BC5362">
        <w:rPr>
          <w:color w:val="000000" w:themeColor="text1"/>
        </w:rPr>
        <w:t>Ciaburro</w:t>
      </w:r>
      <w:proofErr w:type="spellEnd"/>
      <w:r w:rsidRPr="00BC5362">
        <w:rPr>
          <w:color w:val="000000" w:themeColor="text1"/>
        </w:rPr>
        <w:t xml:space="preserve">, Caretta; </w:t>
      </w:r>
      <w:r w:rsidRPr="00BC5362">
        <w:rPr>
          <w:rFonts w:asciiTheme="minorHAnsi" w:hAnsiTheme="minorHAnsi"/>
          <w:color w:val="000000" w:themeColor="text1"/>
        </w:rPr>
        <w:t>13. 145. (Nuova formulazion</w:t>
      </w:r>
      <w:r w:rsidRPr="00BC5362">
        <w:rPr>
          <w:color w:val="000000" w:themeColor="text1"/>
        </w:rPr>
        <w:t xml:space="preserve">e) Benamati, Buratti, </w:t>
      </w:r>
      <w:proofErr w:type="spellStart"/>
      <w:r w:rsidRPr="00BC5362">
        <w:rPr>
          <w:color w:val="000000" w:themeColor="text1"/>
        </w:rPr>
        <w:t>Pezzopane</w:t>
      </w:r>
      <w:proofErr w:type="spellEnd"/>
      <w:r w:rsidRPr="00BC5362">
        <w:rPr>
          <w:color w:val="000000" w:themeColor="text1"/>
        </w:rPr>
        <w:t xml:space="preserve">; </w:t>
      </w:r>
      <w:r w:rsidRPr="00BC5362">
        <w:rPr>
          <w:rFonts w:asciiTheme="minorHAnsi" w:hAnsiTheme="minorHAnsi"/>
          <w:color w:val="000000" w:themeColor="text1"/>
        </w:rPr>
        <w:t xml:space="preserve">13. 150. (Nuova formulazione) Saltamartini, Bitonci, Di Muro, </w:t>
      </w:r>
      <w:proofErr w:type="spellStart"/>
      <w:r w:rsidRPr="00BC5362">
        <w:rPr>
          <w:rFonts w:asciiTheme="minorHAnsi" w:hAnsiTheme="minorHAnsi"/>
          <w:color w:val="000000" w:themeColor="text1"/>
        </w:rPr>
        <w:t>Andreuzza</w:t>
      </w:r>
      <w:proofErr w:type="spellEnd"/>
      <w:r w:rsidRPr="00BC5362">
        <w:rPr>
          <w:rFonts w:asciiTheme="minorHAnsi" w:hAnsiTheme="minorHAnsi"/>
          <w:color w:val="000000" w:themeColor="text1"/>
        </w:rPr>
        <w:t xml:space="preserve">, Binelli, Colla, Dara, Galli, </w:t>
      </w:r>
      <w:proofErr w:type="spellStart"/>
      <w:r w:rsidRPr="00BC5362">
        <w:rPr>
          <w:rFonts w:asciiTheme="minorHAnsi" w:hAnsiTheme="minorHAnsi"/>
          <w:color w:val="000000" w:themeColor="text1"/>
        </w:rPr>
        <w:t>Guidesi</w:t>
      </w:r>
      <w:proofErr w:type="spellEnd"/>
      <w:r w:rsidRPr="00BC5362">
        <w:rPr>
          <w:rFonts w:asciiTheme="minorHAnsi" w:hAnsiTheme="minorHAnsi"/>
          <w:color w:val="000000" w:themeColor="text1"/>
        </w:rPr>
        <w:t xml:space="preserve">, </w:t>
      </w:r>
      <w:proofErr w:type="spellStart"/>
      <w:r w:rsidRPr="00BC5362">
        <w:rPr>
          <w:rFonts w:asciiTheme="minorHAnsi" w:hAnsiTheme="minorHAnsi"/>
          <w:color w:val="000000" w:themeColor="text1"/>
        </w:rPr>
        <w:t>Pettazzi</w:t>
      </w:r>
      <w:proofErr w:type="spellEnd"/>
      <w:r w:rsidRPr="00BC5362">
        <w:rPr>
          <w:rFonts w:asciiTheme="minorHAnsi" w:hAnsiTheme="minorHAnsi"/>
          <w:color w:val="000000" w:themeColor="text1"/>
        </w:rPr>
        <w:t>, Piastra, Cavandoli, Centemero, Covolo, Gerardi, Gusmeroli, Alessandro</w:t>
      </w:r>
      <w:r w:rsidRPr="00BC5362">
        <w:rPr>
          <w:color w:val="000000" w:themeColor="text1"/>
        </w:rPr>
        <w:t xml:space="preserve"> Pagano, Paternoster, Tarantino; </w:t>
      </w:r>
      <w:r w:rsidRPr="00BC5362">
        <w:rPr>
          <w:rFonts w:asciiTheme="minorHAnsi" w:hAnsiTheme="minorHAnsi"/>
          <w:color w:val="000000" w:themeColor="text1"/>
        </w:rPr>
        <w:t>13. 139. (Nuova formulazione) T</w:t>
      </w:r>
      <w:r w:rsidRPr="00BC5362">
        <w:rPr>
          <w:color w:val="000000" w:themeColor="text1"/>
        </w:rPr>
        <w:t xml:space="preserve">opo; </w:t>
      </w:r>
      <w:r w:rsidRPr="00BC5362">
        <w:rPr>
          <w:rFonts w:asciiTheme="minorHAnsi" w:hAnsiTheme="minorHAnsi"/>
          <w:color w:val="000000" w:themeColor="text1"/>
        </w:rPr>
        <w:t>13. 175. (Nuova formulazione) Ungaro.</w:t>
      </w:r>
    </w:p>
    <w:p w14:paraId="62834D75" w14:textId="77777777" w:rsidR="00163604" w:rsidRDefault="00163604">
      <w:pPr>
        <w:pStyle w:val="Testonotaapidipagina"/>
      </w:pPr>
    </w:p>
  </w:footnote>
  <w:footnote w:id="30">
    <w:p w14:paraId="623F76D7" w14:textId="77777777" w:rsidR="00163604" w:rsidRPr="0000422C" w:rsidRDefault="00163604" w:rsidP="00A35C5F">
      <w:pPr>
        <w:jc w:val="both"/>
        <w:rPr>
          <w:color w:val="000000" w:themeColor="text1"/>
        </w:rPr>
      </w:pPr>
      <w:r>
        <w:rPr>
          <w:rStyle w:val="Rimandonotaapidipagina"/>
        </w:rPr>
        <w:footnoteRef/>
      </w:r>
      <w:r>
        <w:t xml:space="preserve"> </w:t>
      </w:r>
      <w:r w:rsidRPr="0000422C">
        <w:rPr>
          <w:rFonts w:asciiTheme="minorHAnsi" w:hAnsiTheme="minorHAnsi"/>
          <w:color w:val="000000" w:themeColor="text1"/>
        </w:rPr>
        <w:t xml:space="preserve">13. 30. (Nuova formulazione) </w:t>
      </w:r>
      <w:proofErr w:type="spellStart"/>
      <w:r w:rsidRPr="0000422C">
        <w:rPr>
          <w:rFonts w:asciiTheme="minorHAnsi" w:hAnsiTheme="minorHAnsi"/>
          <w:color w:val="000000" w:themeColor="text1"/>
        </w:rPr>
        <w:t>Guidesi</w:t>
      </w:r>
      <w:proofErr w:type="spellEnd"/>
      <w:r w:rsidRPr="0000422C">
        <w:rPr>
          <w:rFonts w:asciiTheme="minorHAnsi" w:hAnsiTheme="minorHAnsi"/>
          <w:color w:val="000000" w:themeColor="text1"/>
        </w:rPr>
        <w:t xml:space="preserve">, Boniardi, </w:t>
      </w:r>
      <w:proofErr w:type="spellStart"/>
      <w:r w:rsidRPr="0000422C">
        <w:rPr>
          <w:rFonts w:asciiTheme="minorHAnsi" w:hAnsiTheme="minorHAnsi"/>
          <w:color w:val="000000" w:themeColor="text1"/>
        </w:rPr>
        <w:t>Andreuzza</w:t>
      </w:r>
      <w:proofErr w:type="spellEnd"/>
      <w:r w:rsidRPr="0000422C">
        <w:rPr>
          <w:rFonts w:asciiTheme="minorHAnsi" w:hAnsiTheme="minorHAnsi"/>
          <w:color w:val="000000" w:themeColor="text1"/>
        </w:rPr>
        <w:t xml:space="preserve">, Binelli, Colla, Dara, Galli, </w:t>
      </w:r>
      <w:proofErr w:type="spellStart"/>
      <w:r w:rsidRPr="0000422C">
        <w:rPr>
          <w:rFonts w:asciiTheme="minorHAnsi" w:hAnsiTheme="minorHAnsi"/>
          <w:color w:val="000000" w:themeColor="text1"/>
        </w:rPr>
        <w:t>Pettazzi</w:t>
      </w:r>
      <w:proofErr w:type="spellEnd"/>
      <w:r w:rsidRPr="0000422C">
        <w:rPr>
          <w:rFonts w:asciiTheme="minorHAnsi" w:hAnsiTheme="minorHAnsi"/>
          <w:color w:val="000000" w:themeColor="text1"/>
        </w:rPr>
        <w:t>, Piastra, Bitonci, Cavandoli, Centemero, Covolo, Gerardi, Gusmeroli, Alessandro Pagano, Paternoster, Taranti</w:t>
      </w:r>
      <w:r w:rsidRPr="0000422C">
        <w:rPr>
          <w:color w:val="000000" w:themeColor="text1"/>
        </w:rPr>
        <w:t xml:space="preserve">no; </w:t>
      </w:r>
      <w:r w:rsidRPr="0000422C">
        <w:rPr>
          <w:rFonts w:asciiTheme="minorHAnsi" w:hAnsiTheme="minorHAnsi"/>
          <w:color w:val="000000" w:themeColor="text1"/>
        </w:rPr>
        <w:t>13. 197. (Nuova fo</w:t>
      </w:r>
      <w:r w:rsidRPr="0000422C">
        <w:rPr>
          <w:color w:val="000000" w:themeColor="text1"/>
        </w:rPr>
        <w:t xml:space="preserve">rmulazione) </w:t>
      </w:r>
      <w:proofErr w:type="spellStart"/>
      <w:r w:rsidRPr="0000422C">
        <w:rPr>
          <w:color w:val="000000" w:themeColor="text1"/>
        </w:rPr>
        <w:t>Raduzzi</w:t>
      </w:r>
      <w:proofErr w:type="spellEnd"/>
      <w:r w:rsidRPr="0000422C">
        <w:rPr>
          <w:color w:val="000000" w:themeColor="text1"/>
        </w:rPr>
        <w:t xml:space="preserve">, </w:t>
      </w:r>
      <w:proofErr w:type="spellStart"/>
      <w:r w:rsidRPr="0000422C">
        <w:rPr>
          <w:color w:val="000000" w:themeColor="text1"/>
        </w:rPr>
        <w:t>Sut</w:t>
      </w:r>
      <w:proofErr w:type="spellEnd"/>
      <w:r w:rsidRPr="0000422C">
        <w:rPr>
          <w:color w:val="000000" w:themeColor="text1"/>
        </w:rPr>
        <w:t xml:space="preserve">, Trano; </w:t>
      </w:r>
      <w:r w:rsidRPr="0000422C">
        <w:rPr>
          <w:rFonts w:asciiTheme="minorHAnsi" w:hAnsiTheme="minorHAnsi"/>
          <w:color w:val="000000" w:themeColor="text1"/>
        </w:rPr>
        <w:t>13. 148. (Nuova formulazione) Boschi,</w:t>
      </w:r>
      <w:r w:rsidRPr="0000422C">
        <w:rPr>
          <w:color w:val="000000" w:themeColor="text1"/>
        </w:rPr>
        <w:t xml:space="preserve"> </w:t>
      </w:r>
      <w:proofErr w:type="spellStart"/>
      <w:r w:rsidRPr="0000422C">
        <w:rPr>
          <w:color w:val="000000" w:themeColor="text1"/>
        </w:rPr>
        <w:t>Marattin</w:t>
      </w:r>
      <w:proofErr w:type="spellEnd"/>
      <w:r w:rsidRPr="0000422C">
        <w:rPr>
          <w:color w:val="000000" w:themeColor="text1"/>
        </w:rPr>
        <w:t xml:space="preserve">, Ungaro, Moretto, Mor; </w:t>
      </w:r>
      <w:r w:rsidRPr="0000422C">
        <w:rPr>
          <w:rFonts w:asciiTheme="minorHAnsi" w:hAnsiTheme="minorHAnsi"/>
          <w:color w:val="000000" w:themeColor="text1"/>
        </w:rPr>
        <w:t>13. 136. (Nuova formulazione)</w:t>
      </w:r>
      <w:r w:rsidRPr="0000422C">
        <w:rPr>
          <w:color w:val="000000" w:themeColor="text1"/>
        </w:rPr>
        <w:t xml:space="preserve"> Ungaro, Moretto, Mor, </w:t>
      </w:r>
      <w:proofErr w:type="spellStart"/>
      <w:r w:rsidRPr="0000422C">
        <w:rPr>
          <w:color w:val="000000" w:themeColor="text1"/>
        </w:rPr>
        <w:t>Marattin</w:t>
      </w:r>
      <w:proofErr w:type="spellEnd"/>
      <w:r w:rsidRPr="0000422C">
        <w:rPr>
          <w:color w:val="000000" w:themeColor="text1"/>
        </w:rPr>
        <w:t xml:space="preserve">; </w:t>
      </w:r>
      <w:r w:rsidRPr="0000422C">
        <w:rPr>
          <w:rFonts w:asciiTheme="minorHAnsi" w:hAnsiTheme="minorHAnsi"/>
          <w:color w:val="000000" w:themeColor="text1"/>
        </w:rPr>
        <w:t>13. 147. (Nuova formulaz</w:t>
      </w:r>
      <w:r w:rsidRPr="0000422C">
        <w:rPr>
          <w:color w:val="000000" w:themeColor="text1"/>
        </w:rPr>
        <w:t xml:space="preserve">ione) Benamati, Topo, </w:t>
      </w:r>
      <w:proofErr w:type="spellStart"/>
      <w:r w:rsidRPr="0000422C">
        <w:rPr>
          <w:color w:val="000000" w:themeColor="text1"/>
        </w:rPr>
        <w:t>Pezzopane</w:t>
      </w:r>
      <w:proofErr w:type="spellEnd"/>
      <w:r w:rsidRPr="0000422C">
        <w:rPr>
          <w:color w:val="000000" w:themeColor="text1"/>
        </w:rPr>
        <w:t xml:space="preserve">; </w:t>
      </w:r>
      <w:r w:rsidRPr="0000422C">
        <w:rPr>
          <w:rFonts w:asciiTheme="minorHAnsi" w:hAnsiTheme="minorHAnsi"/>
          <w:color w:val="000000" w:themeColor="text1"/>
        </w:rPr>
        <w:t xml:space="preserve">13. 190. (Nuova formulazione) Giacometto, Baratto, Gelmini, Martino, Giacomoni, Cattaneo, Angelucci, </w:t>
      </w:r>
      <w:proofErr w:type="spellStart"/>
      <w:r w:rsidRPr="0000422C">
        <w:rPr>
          <w:rFonts w:asciiTheme="minorHAnsi" w:hAnsiTheme="minorHAnsi"/>
          <w:color w:val="000000" w:themeColor="text1"/>
        </w:rPr>
        <w:t>Porchietto</w:t>
      </w:r>
      <w:proofErr w:type="spellEnd"/>
      <w:r w:rsidRPr="0000422C">
        <w:rPr>
          <w:rFonts w:asciiTheme="minorHAnsi" w:hAnsiTheme="minorHAnsi"/>
          <w:color w:val="000000" w:themeColor="text1"/>
        </w:rPr>
        <w:t>, Barelli, Squeri, Carrara,</w:t>
      </w:r>
      <w:r w:rsidRPr="0000422C">
        <w:rPr>
          <w:color w:val="000000" w:themeColor="text1"/>
        </w:rPr>
        <w:t xml:space="preserve"> Polidori, Fiorini, Della Frera; </w:t>
      </w:r>
      <w:r w:rsidRPr="0000422C">
        <w:rPr>
          <w:rFonts w:asciiTheme="minorHAnsi" w:hAnsiTheme="minorHAnsi"/>
          <w:color w:val="000000" w:themeColor="text1"/>
        </w:rPr>
        <w:t>13. 213. (Nuova formulazione) Bitonci, Centemero, Cavandoli, Covolo, Gerardi, Gusmeroli, Alessandro</w:t>
      </w:r>
      <w:r w:rsidRPr="0000422C">
        <w:rPr>
          <w:color w:val="000000" w:themeColor="text1"/>
        </w:rPr>
        <w:t xml:space="preserve"> Pagano, Paternoster, Tarantino; </w:t>
      </w:r>
      <w:r w:rsidRPr="0000422C">
        <w:rPr>
          <w:rFonts w:asciiTheme="minorHAnsi" w:hAnsiTheme="minorHAnsi"/>
          <w:color w:val="000000" w:themeColor="text1"/>
        </w:rPr>
        <w:t>13. 258. (Nuova form</w:t>
      </w:r>
      <w:r w:rsidRPr="0000422C">
        <w:rPr>
          <w:color w:val="000000" w:themeColor="text1"/>
        </w:rPr>
        <w:t xml:space="preserve">ulazione) </w:t>
      </w:r>
      <w:proofErr w:type="spellStart"/>
      <w:r w:rsidRPr="0000422C">
        <w:rPr>
          <w:color w:val="000000" w:themeColor="text1"/>
        </w:rPr>
        <w:t>Paxia</w:t>
      </w:r>
      <w:proofErr w:type="spellEnd"/>
      <w:r w:rsidRPr="0000422C">
        <w:rPr>
          <w:color w:val="000000" w:themeColor="text1"/>
        </w:rPr>
        <w:t xml:space="preserve">, </w:t>
      </w:r>
      <w:proofErr w:type="spellStart"/>
      <w:r w:rsidRPr="0000422C">
        <w:rPr>
          <w:color w:val="000000" w:themeColor="text1"/>
        </w:rPr>
        <w:t>Sut</w:t>
      </w:r>
      <w:proofErr w:type="spellEnd"/>
      <w:r w:rsidRPr="0000422C">
        <w:rPr>
          <w:color w:val="000000" w:themeColor="text1"/>
        </w:rPr>
        <w:t xml:space="preserve">, Berardini; </w:t>
      </w:r>
      <w:r w:rsidRPr="0000422C">
        <w:rPr>
          <w:rFonts w:asciiTheme="minorHAnsi" w:hAnsiTheme="minorHAnsi"/>
          <w:color w:val="000000" w:themeColor="text1"/>
        </w:rPr>
        <w:t>13. 259. (Nuov</w:t>
      </w:r>
      <w:r w:rsidRPr="0000422C">
        <w:rPr>
          <w:color w:val="000000" w:themeColor="text1"/>
        </w:rPr>
        <w:t xml:space="preserve">a formulazione) Masi, Berardini; </w:t>
      </w:r>
      <w:r w:rsidRPr="0000422C">
        <w:rPr>
          <w:rFonts w:asciiTheme="minorHAnsi" w:hAnsiTheme="minorHAnsi"/>
          <w:color w:val="000000" w:themeColor="text1"/>
        </w:rPr>
        <w:t xml:space="preserve">13. 413. (ex 1.263) (Nuova formulazione) Dal Moro, Bazoli, Berlinghieri, Bonomo, Bordo, Enrico Borghi, Bruno Bossio, Buratti, Carnevali, Ceccanti, Cenni, Ciampi, Critelli, De Luca, De Maria, De </w:t>
      </w:r>
      <w:proofErr w:type="spellStart"/>
      <w:r w:rsidRPr="0000422C">
        <w:rPr>
          <w:rFonts w:asciiTheme="minorHAnsi" w:hAnsiTheme="minorHAnsi"/>
          <w:color w:val="000000" w:themeColor="text1"/>
        </w:rPr>
        <w:t>Menech</w:t>
      </w:r>
      <w:proofErr w:type="spellEnd"/>
      <w:r w:rsidRPr="0000422C">
        <w:rPr>
          <w:rFonts w:asciiTheme="minorHAnsi" w:hAnsiTheme="minorHAnsi"/>
          <w:color w:val="000000" w:themeColor="text1"/>
        </w:rPr>
        <w:t xml:space="preserve">, Del Basso De Caro, Fassino, Fiano, Giacomelli, Gribaudo, </w:t>
      </w:r>
      <w:proofErr w:type="spellStart"/>
      <w:r w:rsidRPr="0000422C">
        <w:rPr>
          <w:rFonts w:asciiTheme="minorHAnsi" w:hAnsiTheme="minorHAnsi"/>
          <w:color w:val="000000" w:themeColor="text1"/>
        </w:rPr>
        <w:t>Lacarra</w:t>
      </w:r>
      <w:proofErr w:type="spellEnd"/>
      <w:r w:rsidRPr="0000422C">
        <w:rPr>
          <w:rFonts w:asciiTheme="minorHAnsi" w:hAnsiTheme="minorHAnsi"/>
          <w:color w:val="000000" w:themeColor="text1"/>
        </w:rPr>
        <w:t xml:space="preserve">, Losacco, Lotti, Madia, Gavino Manca, Martina, Melilli, Miceli, Mura, Nardi, Navarra, Orfini, Pellicani, </w:t>
      </w:r>
      <w:proofErr w:type="spellStart"/>
      <w:r w:rsidRPr="0000422C">
        <w:rPr>
          <w:rFonts w:asciiTheme="minorHAnsi" w:hAnsiTheme="minorHAnsi"/>
          <w:color w:val="000000" w:themeColor="text1"/>
        </w:rPr>
        <w:t>Pezzopane</w:t>
      </w:r>
      <w:proofErr w:type="spellEnd"/>
      <w:r w:rsidRPr="0000422C">
        <w:rPr>
          <w:rFonts w:asciiTheme="minorHAnsi" w:hAnsiTheme="minorHAnsi"/>
          <w:color w:val="000000" w:themeColor="text1"/>
        </w:rPr>
        <w:t>, Prestipino, Andrea Romano, Rossi, Rotta, Sensi, Serr</w:t>
      </w:r>
      <w:r w:rsidRPr="0000422C">
        <w:rPr>
          <w:color w:val="000000" w:themeColor="text1"/>
        </w:rPr>
        <w:t xml:space="preserve">acchiani, </w:t>
      </w:r>
      <w:proofErr w:type="spellStart"/>
      <w:r w:rsidRPr="0000422C">
        <w:rPr>
          <w:color w:val="000000" w:themeColor="text1"/>
        </w:rPr>
        <w:t>Soverini</w:t>
      </w:r>
      <w:proofErr w:type="spellEnd"/>
      <w:r w:rsidRPr="0000422C">
        <w:rPr>
          <w:color w:val="000000" w:themeColor="text1"/>
        </w:rPr>
        <w:t xml:space="preserve">, Topo, </w:t>
      </w:r>
      <w:proofErr w:type="spellStart"/>
      <w:r w:rsidRPr="0000422C">
        <w:rPr>
          <w:color w:val="000000" w:themeColor="text1"/>
        </w:rPr>
        <w:t>Vazio</w:t>
      </w:r>
      <w:proofErr w:type="spellEnd"/>
      <w:r w:rsidRPr="0000422C">
        <w:rPr>
          <w:color w:val="000000" w:themeColor="text1"/>
        </w:rPr>
        <w:t xml:space="preserve">; </w:t>
      </w:r>
      <w:r w:rsidRPr="0000422C">
        <w:rPr>
          <w:rFonts w:asciiTheme="minorHAnsi" w:hAnsiTheme="minorHAnsi"/>
          <w:color w:val="000000" w:themeColor="text1"/>
        </w:rPr>
        <w:t xml:space="preserve">13. 403. (ex 1.290) (Nuova formulazione) Prisco, </w:t>
      </w:r>
      <w:proofErr w:type="spellStart"/>
      <w:r w:rsidRPr="0000422C">
        <w:rPr>
          <w:rFonts w:asciiTheme="minorHAnsi" w:hAnsiTheme="minorHAnsi"/>
          <w:color w:val="000000" w:themeColor="text1"/>
        </w:rPr>
        <w:t>Os</w:t>
      </w:r>
      <w:r w:rsidRPr="0000422C">
        <w:rPr>
          <w:color w:val="000000" w:themeColor="text1"/>
        </w:rPr>
        <w:t>nato</w:t>
      </w:r>
      <w:proofErr w:type="spellEnd"/>
      <w:r w:rsidRPr="0000422C">
        <w:rPr>
          <w:color w:val="000000" w:themeColor="text1"/>
        </w:rPr>
        <w:t xml:space="preserve">, Zucconi, Bignami, Baldini; </w:t>
      </w:r>
      <w:r w:rsidRPr="0000422C">
        <w:rPr>
          <w:rFonts w:asciiTheme="minorHAnsi" w:hAnsiTheme="minorHAnsi"/>
          <w:color w:val="000000" w:themeColor="text1"/>
        </w:rPr>
        <w:t>13. 404. (ex 1.90) (Nuova formulazione) Lupi, Co</w:t>
      </w:r>
      <w:r w:rsidRPr="0000422C">
        <w:rPr>
          <w:color w:val="000000" w:themeColor="text1"/>
        </w:rPr>
        <w:t xml:space="preserve">lucci, </w:t>
      </w:r>
      <w:proofErr w:type="spellStart"/>
      <w:r w:rsidRPr="0000422C">
        <w:rPr>
          <w:color w:val="000000" w:themeColor="text1"/>
        </w:rPr>
        <w:t>Sangregorio</w:t>
      </w:r>
      <w:proofErr w:type="spellEnd"/>
      <w:r w:rsidRPr="0000422C">
        <w:rPr>
          <w:color w:val="000000" w:themeColor="text1"/>
        </w:rPr>
        <w:t xml:space="preserve">, Tondo; </w:t>
      </w:r>
      <w:r w:rsidRPr="0000422C">
        <w:rPr>
          <w:rFonts w:asciiTheme="minorHAnsi" w:hAnsiTheme="minorHAnsi"/>
          <w:color w:val="000000" w:themeColor="text1"/>
        </w:rPr>
        <w:t>13. 405. (ex 1.146) (Nuova form</w:t>
      </w:r>
      <w:r w:rsidRPr="0000422C">
        <w:rPr>
          <w:color w:val="000000" w:themeColor="text1"/>
        </w:rPr>
        <w:t xml:space="preserve">ulazione) Rospi, Zennaro, Nitti; </w:t>
      </w:r>
      <w:r w:rsidRPr="0000422C">
        <w:rPr>
          <w:rFonts w:asciiTheme="minorHAnsi" w:hAnsiTheme="minorHAnsi"/>
          <w:color w:val="000000" w:themeColor="text1"/>
        </w:rPr>
        <w:t>13. 406. (ex 1.153) (Nuova formulazione) Gusmeroli, Bitonci, Cavandoli, Centemero, Covolo, Gerardi, Alessandro</w:t>
      </w:r>
      <w:r w:rsidRPr="0000422C">
        <w:rPr>
          <w:color w:val="000000" w:themeColor="text1"/>
        </w:rPr>
        <w:t xml:space="preserve"> Pagano, Paternoster, Tarantino; </w:t>
      </w:r>
      <w:r w:rsidRPr="0000422C">
        <w:rPr>
          <w:rFonts w:asciiTheme="minorHAnsi" w:hAnsiTheme="minorHAnsi"/>
          <w:color w:val="000000" w:themeColor="text1"/>
        </w:rPr>
        <w:t>13. 407. (ex 1.161) (Nuova for</w:t>
      </w:r>
      <w:r w:rsidRPr="0000422C">
        <w:rPr>
          <w:color w:val="000000" w:themeColor="text1"/>
        </w:rPr>
        <w:t xml:space="preserve">mulazione) Mor, Ungaro, Moretto; </w:t>
      </w:r>
      <w:r w:rsidRPr="0000422C">
        <w:rPr>
          <w:rFonts w:asciiTheme="minorHAnsi" w:hAnsiTheme="minorHAnsi"/>
          <w:color w:val="000000" w:themeColor="text1"/>
        </w:rPr>
        <w:t xml:space="preserve">13. 408. (ex 1.165) (Nuova formulazione) Baldini, </w:t>
      </w:r>
      <w:proofErr w:type="spellStart"/>
      <w:r w:rsidRPr="0000422C">
        <w:rPr>
          <w:rFonts w:asciiTheme="minorHAnsi" w:hAnsiTheme="minorHAnsi"/>
          <w:color w:val="000000" w:themeColor="text1"/>
        </w:rPr>
        <w:t>Osna</w:t>
      </w:r>
      <w:r w:rsidRPr="0000422C">
        <w:rPr>
          <w:color w:val="000000" w:themeColor="text1"/>
        </w:rPr>
        <w:t>to</w:t>
      </w:r>
      <w:proofErr w:type="spellEnd"/>
      <w:r w:rsidRPr="0000422C">
        <w:rPr>
          <w:color w:val="000000" w:themeColor="text1"/>
        </w:rPr>
        <w:t xml:space="preserve">, Zucconi, Bignami, Acquaroli; </w:t>
      </w:r>
      <w:r w:rsidRPr="0000422C">
        <w:rPr>
          <w:rFonts w:asciiTheme="minorHAnsi" w:hAnsiTheme="minorHAnsi"/>
          <w:color w:val="000000" w:themeColor="text1"/>
        </w:rPr>
        <w:t xml:space="preserve">13. 409. (ex 1.300) (Nuova formulazione) Giacomoni, Martino, Cattaneo, Baratto, Angelucci, Giacometto, </w:t>
      </w:r>
      <w:proofErr w:type="spellStart"/>
      <w:r w:rsidRPr="0000422C">
        <w:rPr>
          <w:rFonts w:asciiTheme="minorHAnsi" w:hAnsiTheme="minorHAnsi"/>
          <w:color w:val="000000" w:themeColor="text1"/>
        </w:rPr>
        <w:t>Porchietto</w:t>
      </w:r>
      <w:proofErr w:type="spellEnd"/>
      <w:r w:rsidRPr="0000422C">
        <w:rPr>
          <w:rFonts w:asciiTheme="minorHAnsi" w:hAnsiTheme="minorHAnsi"/>
          <w:color w:val="000000" w:themeColor="text1"/>
        </w:rPr>
        <w:t xml:space="preserve">, Barelli, Fiorini, Squeri, </w:t>
      </w:r>
      <w:r w:rsidRPr="0000422C">
        <w:rPr>
          <w:color w:val="000000" w:themeColor="text1"/>
        </w:rPr>
        <w:t xml:space="preserve">Polidori, Carrara, Della Frera; </w:t>
      </w:r>
      <w:r w:rsidRPr="0000422C">
        <w:rPr>
          <w:rFonts w:asciiTheme="minorHAnsi" w:hAnsiTheme="minorHAnsi"/>
          <w:color w:val="000000" w:themeColor="text1"/>
        </w:rPr>
        <w:t>13. 410. (ex 1.311) (Nuova fo</w:t>
      </w:r>
      <w:r w:rsidRPr="0000422C">
        <w:rPr>
          <w:color w:val="000000" w:themeColor="text1"/>
        </w:rPr>
        <w:t xml:space="preserve">rmulazione) Zardini, </w:t>
      </w:r>
      <w:proofErr w:type="spellStart"/>
      <w:r w:rsidRPr="0000422C">
        <w:rPr>
          <w:color w:val="000000" w:themeColor="text1"/>
        </w:rPr>
        <w:t>Pezzopane</w:t>
      </w:r>
      <w:proofErr w:type="spellEnd"/>
      <w:r w:rsidRPr="0000422C">
        <w:rPr>
          <w:color w:val="000000" w:themeColor="text1"/>
        </w:rPr>
        <w:t xml:space="preserve">; </w:t>
      </w:r>
      <w:r w:rsidRPr="0000422C">
        <w:rPr>
          <w:rFonts w:asciiTheme="minorHAnsi" w:hAnsiTheme="minorHAnsi"/>
          <w:color w:val="000000" w:themeColor="text1"/>
        </w:rPr>
        <w:t>13. 411. (ex 1.309) (Nuova formulazione) Pastorino, Bersani, Epifani.</w:t>
      </w:r>
    </w:p>
    <w:p w14:paraId="37BF012E" w14:textId="77777777" w:rsidR="00163604" w:rsidRDefault="00163604">
      <w:pPr>
        <w:pStyle w:val="Testonotaapidipagina"/>
      </w:pPr>
    </w:p>
  </w:footnote>
  <w:footnote w:id="31">
    <w:p w14:paraId="359D0AD8" w14:textId="77777777" w:rsidR="00163604" w:rsidRPr="0000422C" w:rsidRDefault="00163604" w:rsidP="00A35C5F">
      <w:pPr>
        <w:jc w:val="both"/>
        <w:rPr>
          <w:color w:val="000000" w:themeColor="text1"/>
        </w:rPr>
      </w:pPr>
      <w:r>
        <w:rPr>
          <w:rStyle w:val="Rimandonotaapidipagina"/>
        </w:rPr>
        <w:footnoteRef/>
      </w:r>
      <w:r>
        <w:t xml:space="preserve"> </w:t>
      </w:r>
      <w:r w:rsidRPr="0000422C">
        <w:rPr>
          <w:rFonts w:asciiTheme="minorHAnsi" w:hAnsiTheme="minorHAnsi"/>
          <w:color w:val="000000" w:themeColor="text1"/>
        </w:rPr>
        <w:t xml:space="preserve">13. 30. (Nuova formulazione) </w:t>
      </w:r>
      <w:proofErr w:type="spellStart"/>
      <w:r w:rsidRPr="0000422C">
        <w:rPr>
          <w:rFonts w:asciiTheme="minorHAnsi" w:hAnsiTheme="minorHAnsi"/>
          <w:color w:val="000000" w:themeColor="text1"/>
        </w:rPr>
        <w:t>Guidesi</w:t>
      </w:r>
      <w:proofErr w:type="spellEnd"/>
      <w:r w:rsidRPr="0000422C">
        <w:rPr>
          <w:rFonts w:asciiTheme="minorHAnsi" w:hAnsiTheme="minorHAnsi"/>
          <w:color w:val="000000" w:themeColor="text1"/>
        </w:rPr>
        <w:t xml:space="preserve">, Boniardi, </w:t>
      </w:r>
      <w:proofErr w:type="spellStart"/>
      <w:r w:rsidRPr="0000422C">
        <w:rPr>
          <w:rFonts w:asciiTheme="minorHAnsi" w:hAnsiTheme="minorHAnsi"/>
          <w:color w:val="000000" w:themeColor="text1"/>
        </w:rPr>
        <w:t>Andreuzza</w:t>
      </w:r>
      <w:proofErr w:type="spellEnd"/>
      <w:r w:rsidRPr="0000422C">
        <w:rPr>
          <w:rFonts w:asciiTheme="minorHAnsi" w:hAnsiTheme="minorHAnsi"/>
          <w:color w:val="000000" w:themeColor="text1"/>
        </w:rPr>
        <w:t xml:space="preserve">, Binelli, Colla, Dara, Galli, </w:t>
      </w:r>
      <w:proofErr w:type="spellStart"/>
      <w:r w:rsidRPr="0000422C">
        <w:rPr>
          <w:rFonts w:asciiTheme="minorHAnsi" w:hAnsiTheme="minorHAnsi"/>
          <w:color w:val="000000" w:themeColor="text1"/>
        </w:rPr>
        <w:t>Pettazzi</w:t>
      </w:r>
      <w:proofErr w:type="spellEnd"/>
      <w:r w:rsidRPr="0000422C">
        <w:rPr>
          <w:rFonts w:asciiTheme="minorHAnsi" w:hAnsiTheme="minorHAnsi"/>
          <w:color w:val="000000" w:themeColor="text1"/>
        </w:rPr>
        <w:t>, Piastra, Bitonci, Cavandoli, Centemero, Covolo, Gerardi, Gusmeroli, Alessandro Pagano, Paternoster, Taranti</w:t>
      </w:r>
      <w:r w:rsidRPr="0000422C">
        <w:rPr>
          <w:color w:val="000000" w:themeColor="text1"/>
        </w:rPr>
        <w:t xml:space="preserve">no; </w:t>
      </w:r>
      <w:r w:rsidRPr="0000422C">
        <w:rPr>
          <w:rFonts w:asciiTheme="minorHAnsi" w:hAnsiTheme="minorHAnsi"/>
          <w:color w:val="000000" w:themeColor="text1"/>
        </w:rPr>
        <w:t>13. 197. (Nuova fo</w:t>
      </w:r>
      <w:r w:rsidRPr="0000422C">
        <w:rPr>
          <w:color w:val="000000" w:themeColor="text1"/>
        </w:rPr>
        <w:t xml:space="preserve">rmulazione) </w:t>
      </w:r>
      <w:proofErr w:type="spellStart"/>
      <w:r w:rsidRPr="0000422C">
        <w:rPr>
          <w:color w:val="000000" w:themeColor="text1"/>
        </w:rPr>
        <w:t>Raduzzi</w:t>
      </w:r>
      <w:proofErr w:type="spellEnd"/>
      <w:r w:rsidRPr="0000422C">
        <w:rPr>
          <w:color w:val="000000" w:themeColor="text1"/>
        </w:rPr>
        <w:t xml:space="preserve">, </w:t>
      </w:r>
      <w:proofErr w:type="spellStart"/>
      <w:r w:rsidRPr="0000422C">
        <w:rPr>
          <w:color w:val="000000" w:themeColor="text1"/>
        </w:rPr>
        <w:t>Sut</w:t>
      </w:r>
      <w:proofErr w:type="spellEnd"/>
      <w:r w:rsidRPr="0000422C">
        <w:rPr>
          <w:color w:val="000000" w:themeColor="text1"/>
        </w:rPr>
        <w:t xml:space="preserve">, Trano; </w:t>
      </w:r>
      <w:r w:rsidRPr="0000422C">
        <w:rPr>
          <w:rFonts w:asciiTheme="minorHAnsi" w:hAnsiTheme="minorHAnsi"/>
          <w:color w:val="000000" w:themeColor="text1"/>
        </w:rPr>
        <w:t>13. 148. (Nuova formulazione) Boschi,</w:t>
      </w:r>
      <w:r w:rsidRPr="0000422C">
        <w:rPr>
          <w:color w:val="000000" w:themeColor="text1"/>
        </w:rPr>
        <w:t xml:space="preserve"> </w:t>
      </w:r>
      <w:proofErr w:type="spellStart"/>
      <w:r w:rsidRPr="0000422C">
        <w:rPr>
          <w:color w:val="000000" w:themeColor="text1"/>
        </w:rPr>
        <w:t>Marattin</w:t>
      </w:r>
      <w:proofErr w:type="spellEnd"/>
      <w:r w:rsidRPr="0000422C">
        <w:rPr>
          <w:color w:val="000000" w:themeColor="text1"/>
        </w:rPr>
        <w:t xml:space="preserve">, Ungaro, Moretto, Mor; </w:t>
      </w:r>
      <w:r w:rsidRPr="0000422C">
        <w:rPr>
          <w:rFonts w:asciiTheme="minorHAnsi" w:hAnsiTheme="minorHAnsi"/>
          <w:color w:val="000000" w:themeColor="text1"/>
        </w:rPr>
        <w:t>13. 136. (Nuova formulazione)</w:t>
      </w:r>
      <w:r w:rsidRPr="0000422C">
        <w:rPr>
          <w:color w:val="000000" w:themeColor="text1"/>
        </w:rPr>
        <w:t xml:space="preserve"> Ungaro, Moretto, Mor, </w:t>
      </w:r>
      <w:proofErr w:type="spellStart"/>
      <w:r w:rsidRPr="0000422C">
        <w:rPr>
          <w:color w:val="000000" w:themeColor="text1"/>
        </w:rPr>
        <w:t>Marattin</w:t>
      </w:r>
      <w:proofErr w:type="spellEnd"/>
      <w:r w:rsidRPr="0000422C">
        <w:rPr>
          <w:color w:val="000000" w:themeColor="text1"/>
        </w:rPr>
        <w:t xml:space="preserve">; </w:t>
      </w:r>
      <w:r w:rsidRPr="0000422C">
        <w:rPr>
          <w:rFonts w:asciiTheme="minorHAnsi" w:hAnsiTheme="minorHAnsi"/>
          <w:color w:val="000000" w:themeColor="text1"/>
        </w:rPr>
        <w:t>13. 147. (Nuova formulaz</w:t>
      </w:r>
      <w:r w:rsidRPr="0000422C">
        <w:rPr>
          <w:color w:val="000000" w:themeColor="text1"/>
        </w:rPr>
        <w:t xml:space="preserve">ione) Benamati, Topo, </w:t>
      </w:r>
      <w:proofErr w:type="spellStart"/>
      <w:r w:rsidRPr="0000422C">
        <w:rPr>
          <w:color w:val="000000" w:themeColor="text1"/>
        </w:rPr>
        <w:t>Pezzopane</w:t>
      </w:r>
      <w:proofErr w:type="spellEnd"/>
      <w:r w:rsidRPr="0000422C">
        <w:rPr>
          <w:color w:val="000000" w:themeColor="text1"/>
        </w:rPr>
        <w:t xml:space="preserve">; </w:t>
      </w:r>
      <w:r w:rsidRPr="0000422C">
        <w:rPr>
          <w:rFonts w:asciiTheme="minorHAnsi" w:hAnsiTheme="minorHAnsi"/>
          <w:color w:val="000000" w:themeColor="text1"/>
        </w:rPr>
        <w:t xml:space="preserve">13. 190. (Nuova formulazione) Giacometto, Baratto, Gelmini, Martino, Giacomoni, Cattaneo, Angelucci, </w:t>
      </w:r>
      <w:proofErr w:type="spellStart"/>
      <w:r w:rsidRPr="0000422C">
        <w:rPr>
          <w:rFonts w:asciiTheme="minorHAnsi" w:hAnsiTheme="minorHAnsi"/>
          <w:color w:val="000000" w:themeColor="text1"/>
        </w:rPr>
        <w:t>Porchietto</w:t>
      </w:r>
      <w:proofErr w:type="spellEnd"/>
      <w:r w:rsidRPr="0000422C">
        <w:rPr>
          <w:rFonts w:asciiTheme="minorHAnsi" w:hAnsiTheme="minorHAnsi"/>
          <w:color w:val="000000" w:themeColor="text1"/>
        </w:rPr>
        <w:t>, Barelli, Squeri, Carrara,</w:t>
      </w:r>
      <w:r w:rsidRPr="0000422C">
        <w:rPr>
          <w:color w:val="000000" w:themeColor="text1"/>
        </w:rPr>
        <w:t xml:space="preserve"> Polidori, Fiorini, Della Frera; </w:t>
      </w:r>
      <w:r w:rsidRPr="0000422C">
        <w:rPr>
          <w:rFonts w:asciiTheme="minorHAnsi" w:hAnsiTheme="minorHAnsi"/>
          <w:color w:val="000000" w:themeColor="text1"/>
        </w:rPr>
        <w:t>13. 213. (Nuova formulazione) Bitonci, Centemero, Cavandoli, Covolo, Gerardi, Gusmeroli, Alessandro</w:t>
      </w:r>
      <w:r w:rsidRPr="0000422C">
        <w:rPr>
          <w:color w:val="000000" w:themeColor="text1"/>
        </w:rPr>
        <w:t xml:space="preserve"> Pagano, Paternoster, Tarantino; </w:t>
      </w:r>
      <w:r w:rsidRPr="0000422C">
        <w:rPr>
          <w:rFonts w:asciiTheme="minorHAnsi" w:hAnsiTheme="minorHAnsi"/>
          <w:color w:val="000000" w:themeColor="text1"/>
        </w:rPr>
        <w:t>13. 258. (Nuova form</w:t>
      </w:r>
      <w:r w:rsidRPr="0000422C">
        <w:rPr>
          <w:color w:val="000000" w:themeColor="text1"/>
        </w:rPr>
        <w:t xml:space="preserve">ulazione) </w:t>
      </w:r>
      <w:proofErr w:type="spellStart"/>
      <w:r w:rsidRPr="0000422C">
        <w:rPr>
          <w:color w:val="000000" w:themeColor="text1"/>
        </w:rPr>
        <w:t>Paxia</w:t>
      </w:r>
      <w:proofErr w:type="spellEnd"/>
      <w:r w:rsidRPr="0000422C">
        <w:rPr>
          <w:color w:val="000000" w:themeColor="text1"/>
        </w:rPr>
        <w:t xml:space="preserve">, </w:t>
      </w:r>
      <w:proofErr w:type="spellStart"/>
      <w:r w:rsidRPr="0000422C">
        <w:rPr>
          <w:color w:val="000000" w:themeColor="text1"/>
        </w:rPr>
        <w:t>Sut</w:t>
      </w:r>
      <w:proofErr w:type="spellEnd"/>
      <w:r w:rsidRPr="0000422C">
        <w:rPr>
          <w:color w:val="000000" w:themeColor="text1"/>
        </w:rPr>
        <w:t xml:space="preserve">, Berardini; </w:t>
      </w:r>
      <w:r w:rsidRPr="0000422C">
        <w:rPr>
          <w:rFonts w:asciiTheme="minorHAnsi" w:hAnsiTheme="minorHAnsi"/>
          <w:color w:val="000000" w:themeColor="text1"/>
        </w:rPr>
        <w:t>13. 259. (Nuov</w:t>
      </w:r>
      <w:r w:rsidRPr="0000422C">
        <w:rPr>
          <w:color w:val="000000" w:themeColor="text1"/>
        </w:rPr>
        <w:t xml:space="preserve">a formulazione) Masi, Berardini; </w:t>
      </w:r>
      <w:r w:rsidRPr="0000422C">
        <w:rPr>
          <w:rFonts w:asciiTheme="minorHAnsi" w:hAnsiTheme="minorHAnsi"/>
          <w:color w:val="000000" w:themeColor="text1"/>
        </w:rPr>
        <w:t xml:space="preserve">13. 413. (ex 1.263) (Nuova formulazione) Dal Moro, Bazoli, Berlinghieri, Bonomo, Bordo, Enrico Borghi, Bruno Bossio, Buratti, Carnevali, Ceccanti, Cenni, Ciampi, Critelli, De Luca, De Maria, De </w:t>
      </w:r>
      <w:proofErr w:type="spellStart"/>
      <w:r w:rsidRPr="0000422C">
        <w:rPr>
          <w:rFonts w:asciiTheme="minorHAnsi" w:hAnsiTheme="minorHAnsi"/>
          <w:color w:val="000000" w:themeColor="text1"/>
        </w:rPr>
        <w:t>Menech</w:t>
      </w:r>
      <w:proofErr w:type="spellEnd"/>
      <w:r w:rsidRPr="0000422C">
        <w:rPr>
          <w:rFonts w:asciiTheme="minorHAnsi" w:hAnsiTheme="minorHAnsi"/>
          <w:color w:val="000000" w:themeColor="text1"/>
        </w:rPr>
        <w:t xml:space="preserve">, Del Basso De Caro, Fassino, Fiano, Giacomelli, Gribaudo, </w:t>
      </w:r>
      <w:proofErr w:type="spellStart"/>
      <w:r w:rsidRPr="0000422C">
        <w:rPr>
          <w:rFonts w:asciiTheme="minorHAnsi" w:hAnsiTheme="minorHAnsi"/>
          <w:color w:val="000000" w:themeColor="text1"/>
        </w:rPr>
        <w:t>Lacarra</w:t>
      </w:r>
      <w:proofErr w:type="spellEnd"/>
      <w:r w:rsidRPr="0000422C">
        <w:rPr>
          <w:rFonts w:asciiTheme="minorHAnsi" w:hAnsiTheme="minorHAnsi"/>
          <w:color w:val="000000" w:themeColor="text1"/>
        </w:rPr>
        <w:t xml:space="preserve">, Losacco, Lotti, Madia, Gavino Manca, Martina, Melilli, Miceli, Mura, Nardi, Navarra, Orfini, Pellicani, </w:t>
      </w:r>
      <w:proofErr w:type="spellStart"/>
      <w:r w:rsidRPr="0000422C">
        <w:rPr>
          <w:rFonts w:asciiTheme="minorHAnsi" w:hAnsiTheme="minorHAnsi"/>
          <w:color w:val="000000" w:themeColor="text1"/>
        </w:rPr>
        <w:t>Pezzopane</w:t>
      </w:r>
      <w:proofErr w:type="spellEnd"/>
      <w:r w:rsidRPr="0000422C">
        <w:rPr>
          <w:rFonts w:asciiTheme="minorHAnsi" w:hAnsiTheme="minorHAnsi"/>
          <w:color w:val="000000" w:themeColor="text1"/>
        </w:rPr>
        <w:t>, Prestipino, Andrea Romano, Rossi, Rotta, Sensi, Serr</w:t>
      </w:r>
      <w:r w:rsidRPr="0000422C">
        <w:rPr>
          <w:color w:val="000000" w:themeColor="text1"/>
        </w:rPr>
        <w:t xml:space="preserve">acchiani, </w:t>
      </w:r>
      <w:proofErr w:type="spellStart"/>
      <w:r w:rsidRPr="0000422C">
        <w:rPr>
          <w:color w:val="000000" w:themeColor="text1"/>
        </w:rPr>
        <w:t>Soverini</w:t>
      </w:r>
      <w:proofErr w:type="spellEnd"/>
      <w:r w:rsidRPr="0000422C">
        <w:rPr>
          <w:color w:val="000000" w:themeColor="text1"/>
        </w:rPr>
        <w:t xml:space="preserve">, Topo, </w:t>
      </w:r>
      <w:proofErr w:type="spellStart"/>
      <w:r w:rsidRPr="0000422C">
        <w:rPr>
          <w:color w:val="000000" w:themeColor="text1"/>
        </w:rPr>
        <w:t>Vazio</w:t>
      </w:r>
      <w:proofErr w:type="spellEnd"/>
      <w:r w:rsidRPr="0000422C">
        <w:rPr>
          <w:color w:val="000000" w:themeColor="text1"/>
        </w:rPr>
        <w:t xml:space="preserve">; </w:t>
      </w:r>
      <w:r w:rsidRPr="0000422C">
        <w:rPr>
          <w:rFonts w:asciiTheme="minorHAnsi" w:hAnsiTheme="minorHAnsi"/>
          <w:color w:val="000000" w:themeColor="text1"/>
        </w:rPr>
        <w:t xml:space="preserve">13. 403. (ex 1.290) (Nuova formulazione) Prisco, </w:t>
      </w:r>
      <w:proofErr w:type="spellStart"/>
      <w:r w:rsidRPr="0000422C">
        <w:rPr>
          <w:rFonts w:asciiTheme="minorHAnsi" w:hAnsiTheme="minorHAnsi"/>
          <w:color w:val="000000" w:themeColor="text1"/>
        </w:rPr>
        <w:t>Os</w:t>
      </w:r>
      <w:r w:rsidRPr="0000422C">
        <w:rPr>
          <w:color w:val="000000" w:themeColor="text1"/>
        </w:rPr>
        <w:t>nato</w:t>
      </w:r>
      <w:proofErr w:type="spellEnd"/>
      <w:r w:rsidRPr="0000422C">
        <w:rPr>
          <w:color w:val="000000" w:themeColor="text1"/>
        </w:rPr>
        <w:t xml:space="preserve">, Zucconi, Bignami, Baldini; </w:t>
      </w:r>
      <w:r w:rsidRPr="0000422C">
        <w:rPr>
          <w:rFonts w:asciiTheme="minorHAnsi" w:hAnsiTheme="minorHAnsi"/>
          <w:color w:val="000000" w:themeColor="text1"/>
        </w:rPr>
        <w:t>13. 404. (ex 1.90) (Nuova formulazione) Lupi, Co</w:t>
      </w:r>
      <w:r w:rsidRPr="0000422C">
        <w:rPr>
          <w:color w:val="000000" w:themeColor="text1"/>
        </w:rPr>
        <w:t xml:space="preserve">lucci, </w:t>
      </w:r>
      <w:proofErr w:type="spellStart"/>
      <w:r w:rsidRPr="0000422C">
        <w:rPr>
          <w:color w:val="000000" w:themeColor="text1"/>
        </w:rPr>
        <w:t>Sangregorio</w:t>
      </w:r>
      <w:proofErr w:type="spellEnd"/>
      <w:r w:rsidRPr="0000422C">
        <w:rPr>
          <w:color w:val="000000" w:themeColor="text1"/>
        </w:rPr>
        <w:t xml:space="preserve">, Tondo; </w:t>
      </w:r>
      <w:r w:rsidRPr="0000422C">
        <w:rPr>
          <w:rFonts w:asciiTheme="minorHAnsi" w:hAnsiTheme="minorHAnsi"/>
          <w:color w:val="000000" w:themeColor="text1"/>
        </w:rPr>
        <w:t>13. 405. (ex 1.146) (Nuova form</w:t>
      </w:r>
      <w:r w:rsidRPr="0000422C">
        <w:rPr>
          <w:color w:val="000000" w:themeColor="text1"/>
        </w:rPr>
        <w:t xml:space="preserve">ulazione) Rospi, Zennaro, Nitti; </w:t>
      </w:r>
      <w:r w:rsidRPr="0000422C">
        <w:rPr>
          <w:rFonts w:asciiTheme="minorHAnsi" w:hAnsiTheme="minorHAnsi"/>
          <w:color w:val="000000" w:themeColor="text1"/>
        </w:rPr>
        <w:t>13. 406. (ex 1.153) (Nuova formulazione) Gusmeroli, Bitonci, Cavandoli, Centemero, Covolo, Gerardi, Alessandro</w:t>
      </w:r>
      <w:r w:rsidRPr="0000422C">
        <w:rPr>
          <w:color w:val="000000" w:themeColor="text1"/>
        </w:rPr>
        <w:t xml:space="preserve"> Pagano, Paternoster, Tarantino; </w:t>
      </w:r>
      <w:r w:rsidRPr="0000422C">
        <w:rPr>
          <w:rFonts w:asciiTheme="minorHAnsi" w:hAnsiTheme="minorHAnsi"/>
          <w:color w:val="000000" w:themeColor="text1"/>
        </w:rPr>
        <w:t>13. 407. (ex 1.161) (Nuova for</w:t>
      </w:r>
      <w:r w:rsidRPr="0000422C">
        <w:rPr>
          <w:color w:val="000000" w:themeColor="text1"/>
        </w:rPr>
        <w:t xml:space="preserve">mulazione) Mor, Ungaro, Moretto; </w:t>
      </w:r>
      <w:r w:rsidRPr="0000422C">
        <w:rPr>
          <w:rFonts w:asciiTheme="minorHAnsi" w:hAnsiTheme="minorHAnsi"/>
          <w:color w:val="000000" w:themeColor="text1"/>
        </w:rPr>
        <w:t xml:space="preserve">13. 408. (ex 1.165) (Nuova formulazione) Baldini, </w:t>
      </w:r>
      <w:proofErr w:type="spellStart"/>
      <w:r w:rsidRPr="0000422C">
        <w:rPr>
          <w:rFonts w:asciiTheme="minorHAnsi" w:hAnsiTheme="minorHAnsi"/>
          <w:color w:val="000000" w:themeColor="text1"/>
        </w:rPr>
        <w:t>Osna</w:t>
      </w:r>
      <w:r w:rsidRPr="0000422C">
        <w:rPr>
          <w:color w:val="000000" w:themeColor="text1"/>
        </w:rPr>
        <w:t>to</w:t>
      </w:r>
      <w:proofErr w:type="spellEnd"/>
      <w:r w:rsidRPr="0000422C">
        <w:rPr>
          <w:color w:val="000000" w:themeColor="text1"/>
        </w:rPr>
        <w:t xml:space="preserve">, Zucconi, Bignami, Acquaroli; </w:t>
      </w:r>
      <w:r w:rsidRPr="0000422C">
        <w:rPr>
          <w:rFonts w:asciiTheme="minorHAnsi" w:hAnsiTheme="minorHAnsi"/>
          <w:color w:val="000000" w:themeColor="text1"/>
        </w:rPr>
        <w:t xml:space="preserve">13. 409. (ex 1.300) (Nuova formulazione) Giacomoni, Martino, Cattaneo, Baratto, Angelucci, Giacometto, </w:t>
      </w:r>
      <w:proofErr w:type="spellStart"/>
      <w:r w:rsidRPr="0000422C">
        <w:rPr>
          <w:rFonts w:asciiTheme="minorHAnsi" w:hAnsiTheme="minorHAnsi"/>
          <w:color w:val="000000" w:themeColor="text1"/>
        </w:rPr>
        <w:t>Porchietto</w:t>
      </w:r>
      <w:proofErr w:type="spellEnd"/>
      <w:r w:rsidRPr="0000422C">
        <w:rPr>
          <w:rFonts w:asciiTheme="minorHAnsi" w:hAnsiTheme="minorHAnsi"/>
          <w:color w:val="000000" w:themeColor="text1"/>
        </w:rPr>
        <w:t xml:space="preserve">, Barelli, Fiorini, Squeri, </w:t>
      </w:r>
      <w:r w:rsidRPr="0000422C">
        <w:rPr>
          <w:color w:val="000000" w:themeColor="text1"/>
        </w:rPr>
        <w:t xml:space="preserve">Polidori, Carrara, Della Frera; </w:t>
      </w:r>
      <w:r w:rsidRPr="0000422C">
        <w:rPr>
          <w:rFonts w:asciiTheme="minorHAnsi" w:hAnsiTheme="minorHAnsi"/>
          <w:color w:val="000000" w:themeColor="text1"/>
        </w:rPr>
        <w:t>13. 410. (ex 1.311) (Nuova fo</w:t>
      </w:r>
      <w:r w:rsidRPr="0000422C">
        <w:rPr>
          <w:color w:val="000000" w:themeColor="text1"/>
        </w:rPr>
        <w:t xml:space="preserve">rmulazione) Zardini, </w:t>
      </w:r>
      <w:proofErr w:type="spellStart"/>
      <w:r w:rsidRPr="0000422C">
        <w:rPr>
          <w:color w:val="000000" w:themeColor="text1"/>
        </w:rPr>
        <w:t>Pezzopane</w:t>
      </w:r>
      <w:proofErr w:type="spellEnd"/>
      <w:r w:rsidRPr="0000422C">
        <w:rPr>
          <w:color w:val="000000" w:themeColor="text1"/>
        </w:rPr>
        <w:t xml:space="preserve">; </w:t>
      </w:r>
      <w:r w:rsidRPr="0000422C">
        <w:rPr>
          <w:rFonts w:asciiTheme="minorHAnsi" w:hAnsiTheme="minorHAnsi"/>
          <w:color w:val="000000" w:themeColor="text1"/>
        </w:rPr>
        <w:t>13. 411. (ex 1.309) (Nuova formulazione) Pastorino, Bersani, Epifani.</w:t>
      </w:r>
    </w:p>
    <w:p w14:paraId="64B5BEBB" w14:textId="77777777" w:rsidR="00163604" w:rsidRDefault="00163604">
      <w:pPr>
        <w:pStyle w:val="Testonotaapidipagina"/>
      </w:pPr>
    </w:p>
  </w:footnote>
  <w:footnote w:id="32">
    <w:p w14:paraId="2B6309F7" w14:textId="77777777" w:rsidR="00163604" w:rsidRPr="00BC5362" w:rsidRDefault="00163604" w:rsidP="006E6FFB">
      <w:pPr>
        <w:jc w:val="both"/>
        <w:rPr>
          <w:color w:val="000000" w:themeColor="text1"/>
        </w:rPr>
      </w:pPr>
      <w:r>
        <w:rPr>
          <w:rStyle w:val="Rimandonotaapidipagina"/>
        </w:rPr>
        <w:footnoteRef/>
      </w:r>
      <w:r>
        <w:t xml:space="preserve"> </w:t>
      </w:r>
      <w:r w:rsidRPr="00BC5362">
        <w:rPr>
          <w:rFonts w:asciiTheme="minorHAnsi" w:hAnsiTheme="minorHAnsi"/>
          <w:color w:val="000000" w:themeColor="text1"/>
        </w:rPr>
        <w:t xml:space="preserve">13. 152. (Nuova formulazione) Saltamartini, </w:t>
      </w:r>
      <w:proofErr w:type="spellStart"/>
      <w:r w:rsidRPr="00BC5362">
        <w:rPr>
          <w:rFonts w:asciiTheme="minorHAnsi" w:hAnsiTheme="minorHAnsi"/>
          <w:color w:val="000000" w:themeColor="text1"/>
        </w:rPr>
        <w:t>Andreuzza</w:t>
      </w:r>
      <w:proofErr w:type="spellEnd"/>
      <w:r w:rsidRPr="00BC5362">
        <w:rPr>
          <w:rFonts w:asciiTheme="minorHAnsi" w:hAnsiTheme="minorHAnsi"/>
          <w:color w:val="000000" w:themeColor="text1"/>
        </w:rPr>
        <w:t xml:space="preserve">, Binelli, Colla, Dara, Galli, </w:t>
      </w:r>
      <w:proofErr w:type="spellStart"/>
      <w:r w:rsidRPr="00BC5362">
        <w:rPr>
          <w:rFonts w:asciiTheme="minorHAnsi" w:hAnsiTheme="minorHAnsi"/>
          <w:color w:val="000000" w:themeColor="text1"/>
        </w:rPr>
        <w:t>Guidesi</w:t>
      </w:r>
      <w:proofErr w:type="spellEnd"/>
      <w:r w:rsidRPr="00BC5362">
        <w:rPr>
          <w:rFonts w:asciiTheme="minorHAnsi" w:hAnsiTheme="minorHAnsi"/>
          <w:color w:val="000000" w:themeColor="text1"/>
        </w:rPr>
        <w:t xml:space="preserve">, </w:t>
      </w:r>
      <w:proofErr w:type="spellStart"/>
      <w:r w:rsidRPr="00BC5362">
        <w:rPr>
          <w:rFonts w:asciiTheme="minorHAnsi" w:hAnsiTheme="minorHAnsi"/>
          <w:color w:val="000000" w:themeColor="text1"/>
        </w:rPr>
        <w:t>Pettazzi</w:t>
      </w:r>
      <w:proofErr w:type="spellEnd"/>
      <w:r w:rsidRPr="00BC5362">
        <w:rPr>
          <w:rFonts w:asciiTheme="minorHAnsi" w:hAnsiTheme="minorHAnsi"/>
          <w:color w:val="000000" w:themeColor="text1"/>
        </w:rPr>
        <w:t>, Piastra, Bitonci, Cavandoli, Centemero, Covolo, Gerardi, Gusmeroli, Alessandro</w:t>
      </w:r>
      <w:r w:rsidRPr="00BC5362">
        <w:rPr>
          <w:color w:val="000000" w:themeColor="text1"/>
        </w:rPr>
        <w:t xml:space="preserve"> Pagano, Paternoster, Tarantino; </w:t>
      </w:r>
      <w:r w:rsidRPr="00BC5362">
        <w:rPr>
          <w:rFonts w:asciiTheme="minorHAnsi" w:hAnsiTheme="minorHAnsi"/>
          <w:color w:val="000000" w:themeColor="text1"/>
        </w:rPr>
        <w:t xml:space="preserve">13. 158. (Nuova formulazione) </w:t>
      </w:r>
      <w:proofErr w:type="spellStart"/>
      <w:r w:rsidRPr="00BC5362">
        <w:rPr>
          <w:rFonts w:asciiTheme="minorHAnsi" w:hAnsiTheme="minorHAnsi"/>
          <w:color w:val="000000" w:themeColor="text1"/>
        </w:rPr>
        <w:t>Verini</w:t>
      </w:r>
      <w:proofErr w:type="spellEnd"/>
      <w:r w:rsidRPr="00BC5362">
        <w:rPr>
          <w:rFonts w:asciiTheme="minorHAnsi" w:hAnsiTheme="minorHAnsi"/>
          <w:color w:val="000000" w:themeColor="text1"/>
        </w:rPr>
        <w:t xml:space="preserve">, </w:t>
      </w:r>
      <w:proofErr w:type="spellStart"/>
      <w:r w:rsidRPr="00BC5362">
        <w:rPr>
          <w:rFonts w:asciiTheme="minorHAnsi" w:hAnsiTheme="minorHAnsi"/>
          <w:color w:val="000000" w:themeColor="text1"/>
        </w:rPr>
        <w:t>Pezzopane</w:t>
      </w:r>
      <w:proofErr w:type="spellEnd"/>
      <w:r w:rsidRPr="00BC5362">
        <w:rPr>
          <w:rFonts w:asciiTheme="minorHAnsi" w:hAnsiTheme="minorHAnsi"/>
          <w:color w:val="000000" w:themeColor="text1"/>
        </w:rPr>
        <w:t xml:space="preserve">, </w:t>
      </w:r>
      <w:proofErr w:type="spellStart"/>
      <w:r w:rsidRPr="00BC5362">
        <w:rPr>
          <w:rFonts w:asciiTheme="minorHAnsi" w:hAnsiTheme="minorHAnsi"/>
          <w:color w:val="000000" w:themeColor="text1"/>
        </w:rPr>
        <w:t>Morgoni</w:t>
      </w:r>
      <w:proofErr w:type="spellEnd"/>
      <w:r w:rsidRPr="00BC5362">
        <w:rPr>
          <w:rFonts w:asciiTheme="minorHAnsi" w:hAnsiTheme="minorHAnsi"/>
          <w:color w:val="000000" w:themeColor="text1"/>
        </w:rPr>
        <w:t>, Melilli, Buratti, Mancini, Mura, Rotta, Topo, Benamati, Bonomo,</w:t>
      </w:r>
      <w:r w:rsidRPr="00BC5362">
        <w:rPr>
          <w:color w:val="000000" w:themeColor="text1"/>
        </w:rPr>
        <w:t xml:space="preserve"> </w:t>
      </w:r>
      <w:proofErr w:type="spellStart"/>
      <w:r w:rsidRPr="00BC5362">
        <w:rPr>
          <w:color w:val="000000" w:themeColor="text1"/>
        </w:rPr>
        <w:t>Lacarra</w:t>
      </w:r>
      <w:proofErr w:type="spellEnd"/>
      <w:r w:rsidRPr="00BC5362">
        <w:rPr>
          <w:color w:val="000000" w:themeColor="text1"/>
        </w:rPr>
        <w:t xml:space="preserve">, Manca, Nardi, Zardini; </w:t>
      </w:r>
      <w:r w:rsidRPr="00BC5362">
        <w:rPr>
          <w:rFonts w:asciiTheme="minorHAnsi" w:hAnsiTheme="minorHAnsi"/>
          <w:color w:val="000000" w:themeColor="text1"/>
        </w:rPr>
        <w:t>13. 224. (Nuova formulazione) Gabriele Lorenzoni, Terzoni, Corneli</w:t>
      </w:r>
      <w:r w:rsidRPr="00BC5362">
        <w:rPr>
          <w:color w:val="000000" w:themeColor="text1"/>
        </w:rPr>
        <w:t xml:space="preserve">, Grippa, Berardini, Gallinella; </w:t>
      </w:r>
      <w:r w:rsidRPr="00BC5362">
        <w:rPr>
          <w:rFonts w:asciiTheme="minorHAnsi" w:hAnsiTheme="minorHAnsi"/>
          <w:color w:val="000000" w:themeColor="text1"/>
        </w:rPr>
        <w:t xml:space="preserve">13. 412. (ex 1.216) (Nuova formulazione) Caparvi, Marchetti, </w:t>
      </w:r>
      <w:proofErr w:type="spellStart"/>
      <w:r w:rsidRPr="00BC5362">
        <w:rPr>
          <w:rFonts w:asciiTheme="minorHAnsi" w:hAnsiTheme="minorHAnsi"/>
          <w:color w:val="000000" w:themeColor="text1"/>
        </w:rPr>
        <w:t>Patassini</w:t>
      </w:r>
      <w:proofErr w:type="spellEnd"/>
      <w:r w:rsidRPr="00BC5362">
        <w:rPr>
          <w:rFonts w:asciiTheme="minorHAnsi" w:hAnsiTheme="minorHAnsi"/>
          <w:color w:val="000000" w:themeColor="text1"/>
        </w:rPr>
        <w:t xml:space="preserve">, Benvenuto, Lucchini, </w:t>
      </w:r>
      <w:proofErr w:type="spellStart"/>
      <w:r w:rsidRPr="00BC5362">
        <w:rPr>
          <w:rFonts w:asciiTheme="minorHAnsi" w:hAnsiTheme="minorHAnsi"/>
          <w:color w:val="000000" w:themeColor="text1"/>
        </w:rPr>
        <w:t>Badole</w:t>
      </w:r>
      <w:proofErr w:type="spellEnd"/>
      <w:r w:rsidRPr="00BC5362">
        <w:rPr>
          <w:rFonts w:asciiTheme="minorHAnsi" w:hAnsiTheme="minorHAnsi"/>
          <w:color w:val="000000" w:themeColor="text1"/>
        </w:rPr>
        <w:t xml:space="preserve">, D'Eramo, Gobbato, Parolo, Raffaelli, Valbusa, </w:t>
      </w:r>
      <w:proofErr w:type="spellStart"/>
      <w:r w:rsidRPr="00BC5362">
        <w:rPr>
          <w:rFonts w:asciiTheme="minorHAnsi" w:hAnsiTheme="minorHAnsi"/>
          <w:color w:val="000000" w:themeColor="text1"/>
        </w:rPr>
        <w:t>Vallotto</w:t>
      </w:r>
      <w:proofErr w:type="spellEnd"/>
      <w:r w:rsidRPr="00BC5362">
        <w:rPr>
          <w:rFonts w:asciiTheme="minorHAnsi" w:hAnsiTheme="minorHAnsi"/>
          <w:color w:val="000000" w:themeColor="text1"/>
        </w:rPr>
        <w:t xml:space="preserve">, </w:t>
      </w:r>
      <w:proofErr w:type="spellStart"/>
      <w:r w:rsidRPr="00BC5362">
        <w:rPr>
          <w:rFonts w:asciiTheme="minorHAnsi" w:hAnsiTheme="minorHAnsi"/>
          <w:color w:val="000000" w:themeColor="text1"/>
        </w:rPr>
        <w:t>Bellachioma</w:t>
      </w:r>
      <w:proofErr w:type="spellEnd"/>
      <w:r w:rsidRPr="00BC5362">
        <w:rPr>
          <w:rFonts w:asciiTheme="minorHAnsi" w:hAnsiTheme="minorHAnsi"/>
          <w:color w:val="000000" w:themeColor="text1"/>
        </w:rPr>
        <w:t xml:space="preserve">, Basini, De Angelis, </w:t>
      </w:r>
      <w:proofErr w:type="spellStart"/>
      <w:r w:rsidRPr="00BC5362">
        <w:rPr>
          <w:rFonts w:asciiTheme="minorHAnsi" w:hAnsiTheme="minorHAnsi"/>
          <w:color w:val="000000" w:themeColor="text1"/>
        </w:rPr>
        <w:t>Durigon</w:t>
      </w:r>
      <w:proofErr w:type="spellEnd"/>
      <w:r w:rsidRPr="00BC5362">
        <w:rPr>
          <w:rFonts w:asciiTheme="minorHAnsi" w:hAnsiTheme="minorHAnsi"/>
          <w:color w:val="000000" w:themeColor="text1"/>
        </w:rPr>
        <w:t xml:space="preserve">, Latini, Paolini, </w:t>
      </w:r>
      <w:proofErr w:type="spellStart"/>
      <w:r w:rsidRPr="00BC5362">
        <w:rPr>
          <w:rFonts w:asciiTheme="minorHAnsi" w:hAnsiTheme="minorHAnsi"/>
          <w:color w:val="000000" w:themeColor="text1"/>
        </w:rPr>
        <w:t>Zicchieri</w:t>
      </w:r>
      <w:proofErr w:type="spellEnd"/>
      <w:r w:rsidRPr="00BC5362">
        <w:rPr>
          <w:rFonts w:asciiTheme="minorHAnsi" w:hAnsiTheme="minorHAnsi"/>
          <w:color w:val="000000" w:themeColor="text1"/>
        </w:rPr>
        <w:t>.</w:t>
      </w:r>
    </w:p>
    <w:p w14:paraId="11821024" w14:textId="77777777" w:rsidR="00163604" w:rsidRDefault="00163604">
      <w:pPr>
        <w:pStyle w:val="Testonotaapidipagina"/>
      </w:pPr>
    </w:p>
  </w:footnote>
  <w:footnote w:id="33">
    <w:p w14:paraId="45B1EC86" w14:textId="77777777" w:rsidR="00163604" w:rsidRPr="00626EC0" w:rsidRDefault="00163604" w:rsidP="00F93539">
      <w:pPr>
        <w:jc w:val="both"/>
        <w:rPr>
          <w:color w:val="000000" w:themeColor="text1"/>
        </w:rPr>
      </w:pPr>
      <w:r>
        <w:rPr>
          <w:rStyle w:val="Rimandonotaapidipagina"/>
        </w:rPr>
        <w:footnoteRef/>
      </w:r>
      <w:r>
        <w:t xml:space="preserve"> </w:t>
      </w:r>
      <w:r w:rsidRPr="00626EC0">
        <w:rPr>
          <w:rFonts w:asciiTheme="minorHAnsi" w:hAnsiTheme="minorHAnsi"/>
          <w:color w:val="000000" w:themeColor="text1"/>
        </w:rPr>
        <w:t>13.</w:t>
      </w:r>
      <w:r w:rsidRPr="00626EC0">
        <w:rPr>
          <w:color w:val="000000" w:themeColor="text1"/>
        </w:rPr>
        <w:t xml:space="preserve"> 164. Benamati, Topo, </w:t>
      </w:r>
      <w:proofErr w:type="spellStart"/>
      <w:r w:rsidRPr="00626EC0">
        <w:rPr>
          <w:color w:val="000000" w:themeColor="text1"/>
        </w:rPr>
        <w:t>Pezzopane</w:t>
      </w:r>
      <w:proofErr w:type="spellEnd"/>
      <w:r w:rsidRPr="00626EC0">
        <w:rPr>
          <w:color w:val="000000" w:themeColor="text1"/>
        </w:rPr>
        <w:t xml:space="preserve">; </w:t>
      </w:r>
      <w:r w:rsidRPr="00626EC0">
        <w:rPr>
          <w:rFonts w:asciiTheme="minorHAnsi" w:hAnsiTheme="minorHAnsi"/>
          <w:color w:val="000000" w:themeColor="text1"/>
        </w:rPr>
        <w:t xml:space="preserve">13. 275. Dara, </w:t>
      </w:r>
      <w:proofErr w:type="spellStart"/>
      <w:r w:rsidRPr="00626EC0">
        <w:rPr>
          <w:rFonts w:asciiTheme="minorHAnsi" w:hAnsiTheme="minorHAnsi"/>
          <w:color w:val="000000" w:themeColor="text1"/>
        </w:rPr>
        <w:t>Andreuzza</w:t>
      </w:r>
      <w:proofErr w:type="spellEnd"/>
      <w:r w:rsidRPr="00626EC0">
        <w:rPr>
          <w:rFonts w:asciiTheme="minorHAnsi" w:hAnsiTheme="minorHAnsi"/>
          <w:color w:val="000000" w:themeColor="text1"/>
        </w:rPr>
        <w:t xml:space="preserve">, Binelli, Colla, Galli, </w:t>
      </w:r>
      <w:proofErr w:type="spellStart"/>
      <w:r w:rsidRPr="00626EC0">
        <w:rPr>
          <w:rFonts w:asciiTheme="minorHAnsi" w:hAnsiTheme="minorHAnsi"/>
          <w:color w:val="000000" w:themeColor="text1"/>
        </w:rPr>
        <w:t>Guidesi</w:t>
      </w:r>
      <w:proofErr w:type="spellEnd"/>
      <w:r w:rsidRPr="00626EC0">
        <w:rPr>
          <w:rFonts w:asciiTheme="minorHAnsi" w:hAnsiTheme="minorHAnsi"/>
          <w:color w:val="000000" w:themeColor="text1"/>
        </w:rPr>
        <w:t xml:space="preserve">, </w:t>
      </w:r>
      <w:proofErr w:type="spellStart"/>
      <w:r w:rsidRPr="00626EC0">
        <w:rPr>
          <w:rFonts w:asciiTheme="minorHAnsi" w:hAnsiTheme="minorHAnsi"/>
          <w:color w:val="000000" w:themeColor="text1"/>
        </w:rPr>
        <w:t>Pettazzi</w:t>
      </w:r>
      <w:proofErr w:type="spellEnd"/>
      <w:r w:rsidRPr="00626EC0">
        <w:rPr>
          <w:rFonts w:asciiTheme="minorHAnsi" w:hAnsiTheme="minorHAnsi"/>
          <w:color w:val="000000" w:themeColor="text1"/>
        </w:rPr>
        <w:t>, Piastra, Bitonci, Cavandoli, Centemero, Covolo, Gerardi, Gusmeroli, Alessandro Pagano, Paternoster, Ta</w:t>
      </w:r>
      <w:r w:rsidRPr="00626EC0">
        <w:rPr>
          <w:color w:val="000000" w:themeColor="text1"/>
        </w:rPr>
        <w:t xml:space="preserve">rantino; </w:t>
      </w:r>
      <w:r w:rsidRPr="00626EC0">
        <w:rPr>
          <w:rFonts w:asciiTheme="minorHAnsi" w:hAnsiTheme="minorHAnsi"/>
          <w:color w:val="000000" w:themeColor="text1"/>
        </w:rPr>
        <w:t xml:space="preserve">13. 282. Fiorini, Giacometto, Baratto, Gelmini, Martino, Giacomoni, Cattaneo, Angelucci, </w:t>
      </w:r>
      <w:proofErr w:type="spellStart"/>
      <w:r w:rsidRPr="00626EC0">
        <w:rPr>
          <w:rFonts w:asciiTheme="minorHAnsi" w:hAnsiTheme="minorHAnsi"/>
          <w:color w:val="000000" w:themeColor="text1"/>
        </w:rPr>
        <w:t>Porchietto</w:t>
      </w:r>
      <w:proofErr w:type="spellEnd"/>
      <w:r w:rsidRPr="00626EC0">
        <w:rPr>
          <w:rFonts w:asciiTheme="minorHAnsi" w:hAnsiTheme="minorHAnsi"/>
          <w:color w:val="000000" w:themeColor="text1"/>
        </w:rPr>
        <w:t>, Barelli, Squeri,</w:t>
      </w:r>
      <w:r w:rsidRPr="00626EC0">
        <w:rPr>
          <w:color w:val="000000" w:themeColor="text1"/>
        </w:rPr>
        <w:t xml:space="preserve"> Carrara, Polidori, Della Frera; </w:t>
      </w:r>
      <w:r w:rsidRPr="00626EC0">
        <w:rPr>
          <w:rFonts w:asciiTheme="minorHAnsi" w:hAnsiTheme="minorHAnsi"/>
          <w:color w:val="000000" w:themeColor="text1"/>
        </w:rPr>
        <w:t xml:space="preserve">13. 295. </w:t>
      </w:r>
      <w:proofErr w:type="spellStart"/>
      <w:r w:rsidRPr="00626EC0">
        <w:rPr>
          <w:rFonts w:asciiTheme="minorHAnsi" w:hAnsiTheme="minorHAnsi"/>
          <w:color w:val="000000" w:themeColor="text1"/>
        </w:rPr>
        <w:t>Sut</w:t>
      </w:r>
      <w:proofErr w:type="spellEnd"/>
      <w:r w:rsidRPr="00626EC0">
        <w:rPr>
          <w:rFonts w:asciiTheme="minorHAnsi" w:hAnsiTheme="minorHAnsi"/>
          <w:color w:val="000000" w:themeColor="text1"/>
        </w:rPr>
        <w:t xml:space="preserve">, Alemanno, Berardini, Fantinati, Giarrizzo, Masi, Papiro, </w:t>
      </w:r>
      <w:proofErr w:type="spellStart"/>
      <w:r w:rsidRPr="00626EC0">
        <w:rPr>
          <w:rFonts w:asciiTheme="minorHAnsi" w:hAnsiTheme="minorHAnsi"/>
          <w:color w:val="000000" w:themeColor="text1"/>
        </w:rPr>
        <w:t>Paxia</w:t>
      </w:r>
      <w:proofErr w:type="spellEnd"/>
      <w:r w:rsidRPr="00626EC0">
        <w:rPr>
          <w:rFonts w:asciiTheme="minorHAnsi" w:hAnsiTheme="minorHAnsi"/>
          <w:color w:val="000000" w:themeColor="text1"/>
        </w:rPr>
        <w:t xml:space="preserve">, </w:t>
      </w:r>
      <w:proofErr w:type="spellStart"/>
      <w:r w:rsidRPr="00626EC0">
        <w:rPr>
          <w:rFonts w:asciiTheme="minorHAnsi" w:hAnsiTheme="minorHAnsi"/>
          <w:color w:val="000000" w:themeColor="text1"/>
        </w:rPr>
        <w:t>Perconti</w:t>
      </w:r>
      <w:proofErr w:type="spellEnd"/>
      <w:r w:rsidRPr="00626EC0">
        <w:rPr>
          <w:rFonts w:asciiTheme="minorHAnsi" w:hAnsiTheme="minorHAnsi"/>
          <w:color w:val="000000" w:themeColor="text1"/>
        </w:rPr>
        <w:t xml:space="preserve">, </w:t>
      </w:r>
      <w:proofErr w:type="spellStart"/>
      <w:r w:rsidRPr="00626EC0">
        <w:rPr>
          <w:rFonts w:asciiTheme="minorHAnsi" w:hAnsiTheme="minorHAnsi"/>
          <w:color w:val="000000" w:themeColor="text1"/>
        </w:rPr>
        <w:t>Rizzone</w:t>
      </w:r>
      <w:proofErr w:type="spellEnd"/>
      <w:r w:rsidRPr="00626EC0">
        <w:rPr>
          <w:rFonts w:asciiTheme="minorHAnsi" w:hAnsiTheme="minorHAnsi"/>
          <w:color w:val="000000" w:themeColor="text1"/>
        </w:rPr>
        <w:t xml:space="preserve">, Scanu, </w:t>
      </w:r>
      <w:proofErr w:type="spellStart"/>
      <w:r w:rsidRPr="00626EC0">
        <w:rPr>
          <w:rFonts w:asciiTheme="minorHAnsi" w:hAnsiTheme="minorHAnsi"/>
          <w:color w:val="000000" w:themeColor="text1"/>
        </w:rPr>
        <w:t>Vallascas</w:t>
      </w:r>
      <w:proofErr w:type="spellEnd"/>
      <w:r w:rsidRPr="00626EC0">
        <w:rPr>
          <w:rFonts w:asciiTheme="minorHAnsi" w:hAnsiTheme="minorHAnsi"/>
          <w:color w:val="000000" w:themeColor="text1"/>
        </w:rPr>
        <w:t>.</w:t>
      </w:r>
    </w:p>
    <w:p w14:paraId="55CBBA67" w14:textId="77777777" w:rsidR="00163604" w:rsidRDefault="00163604">
      <w:pPr>
        <w:pStyle w:val="Testonotaapidipagina"/>
      </w:pPr>
    </w:p>
  </w:footnote>
  <w:footnote w:id="34">
    <w:p w14:paraId="03BAE693" w14:textId="77777777" w:rsidR="00163604" w:rsidRPr="00626EC0" w:rsidRDefault="00163604" w:rsidP="001533B3">
      <w:pPr>
        <w:jc w:val="both"/>
        <w:rPr>
          <w:rFonts w:asciiTheme="minorHAnsi" w:hAnsiTheme="minorHAnsi"/>
          <w:color w:val="000000" w:themeColor="text1"/>
        </w:rPr>
      </w:pPr>
      <w:r>
        <w:rPr>
          <w:rStyle w:val="Rimandonotaapidipagina"/>
        </w:rPr>
        <w:footnoteRef/>
      </w:r>
      <w:r>
        <w:t xml:space="preserve"> </w:t>
      </w:r>
      <w:r w:rsidRPr="00626EC0">
        <w:rPr>
          <w:rFonts w:asciiTheme="minorHAnsi" w:hAnsiTheme="minorHAnsi"/>
          <w:color w:val="000000" w:themeColor="text1"/>
        </w:rPr>
        <w:t>13. 286. (Nuova formulazione) Faro, Donno.</w:t>
      </w:r>
    </w:p>
    <w:p w14:paraId="342C511F" w14:textId="77777777" w:rsidR="00163604" w:rsidRDefault="00163604">
      <w:pPr>
        <w:pStyle w:val="Testonotaapidipagina"/>
      </w:pPr>
    </w:p>
  </w:footnote>
  <w:footnote w:id="35">
    <w:p w14:paraId="2330E330" w14:textId="77777777" w:rsidR="00163604" w:rsidRPr="00626EC0" w:rsidRDefault="00163604" w:rsidP="007E5AE3">
      <w:pPr>
        <w:jc w:val="both"/>
        <w:rPr>
          <w:rFonts w:asciiTheme="minorHAnsi" w:hAnsiTheme="minorHAnsi"/>
          <w:color w:val="000000" w:themeColor="text1"/>
        </w:rPr>
      </w:pPr>
      <w:r>
        <w:rPr>
          <w:rStyle w:val="Rimandonotaapidipagina"/>
        </w:rPr>
        <w:footnoteRef/>
      </w:r>
      <w:r>
        <w:t xml:space="preserve"> </w:t>
      </w:r>
      <w:r w:rsidRPr="00626EC0">
        <w:rPr>
          <w:rFonts w:asciiTheme="minorHAnsi" w:hAnsiTheme="minorHAnsi"/>
          <w:color w:val="000000" w:themeColor="text1"/>
        </w:rPr>
        <w:t xml:space="preserve">13. 44. (Nuova formulazione) Nardi, </w:t>
      </w:r>
      <w:proofErr w:type="spellStart"/>
      <w:r w:rsidRPr="00626EC0">
        <w:rPr>
          <w:rFonts w:asciiTheme="minorHAnsi" w:hAnsiTheme="minorHAnsi"/>
          <w:color w:val="000000" w:themeColor="text1"/>
        </w:rPr>
        <w:t>Pezzopane</w:t>
      </w:r>
      <w:proofErr w:type="spellEnd"/>
      <w:r w:rsidRPr="00626EC0">
        <w:rPr>
          <w:rFonts w:asciiTheme="minorHAnsi" w:hAnsiTheme="minorHAnsi"/>
          <w:color w:val="000000" w:themeColor="text1"/>
        </w:rPr>
        <w:t xml:space="preserve">, Buratti, Mancini, Mura, Rotta, Topo, Benamati, </w:t>
      </w:r>
      <w:r w:rsidRPr="00626EC0">
        <w:rPr>
          <w:color w:val="000000" w:themeColor="text1"/>
        </w:rPr>
        <w:t xml:space="preserve">Bonomo, </w:t>
      </w:r>
      <w:proofErr w:type="spellStart"/>
      <w:r w:rsidRPr="00626EC0">
        <w:rPr>
          <w:color w:val="000000" w:themeColor="text1"/>
        </w:rPr>
        <w:t>Lacarra</w:t>
      </w:r>
      <w:proofErr w:type="spellEnd"/>
      <w:r w:rsidRPr="00626EC0">
        <w:rPr>
          <w:color w:val="000000" w:themeColor="text1"/>
        </w:rPr>
        <w:t xml:space="preserve">, Manca, Zardini; </w:t>
      </w:r>
      <w:r w:rsidRPr="00626EC0">
        <w:rPr>
          <w:rFonts w:asciiTheme="minorHAnsi" w:hAnsiTheme="minorHAnsi"/>
          <w:color w:val="000000" w:themeColor="text1"/>
        </w:rPr>
        <w:t>13. 42. (Nuova formulazi</w:t>
      </w:r>
      <w:r w:rsidRPr="00626EC0">
        <w:rPr>
          <w:color w:val="000000" w:themeColor="text1"/>
        </w:rPr>
        <w:t xml:space="preserve">one) De Toma, Rachele Silvestri; </w:t>
      </w:r>
      <w:r w:rsidRPr="00626EC0">
        <w:rPr>
          <w:rFonts w:asciiTheme="minorHAnsi" w:hAnsiTheme="minorHAnsi"/>
          <w:color w:val="000000" w:themeColor="text1"/>
        </w:rPr>
        <w:t>13. 22. (Nuova f</w:t>
      </w:r>
      <w:r w:rsidRPr="00626EC0">
        <w:rPr>
          <w:color w:val="000000" w:themeColor="text1"/>
        </w:rPr>
        <w:t xml:space="preserve">ormulazione) Squeri; </w:t>
      </w:r>
      <w:r w:rsidRPr="00626EC0">
        <w:rPr>
          <w:rFonts w:asciiTheme="minorHAnsi" w:hAnsiTheme="minorHAnsi"/>
          <w:color w:val="000000" w:themeColor="text1"/>
        </w:rPr>
        <w:t xml:space="preserve">13. 32. (Nuova formulazione) Zucconi, </w:t>
      </w:r>
      <w:proofErr w:type="spellStart"/>
      <w:r w:rsidRPr="00626EC0">
        <w:rPr>
          <w:rFonts w:asciiTheme="minorHAnsi" w:hAnsiTheme="minorHAnsi"/>
          <w:color w:val="000000" w:themeColor="text1"/>
        </w:rPr>
        <w:t>Osna</w:t>
      </w:r>
      <w:r w:rsidRPr="00626EC0">
        <w:rPr>
          <w:color w:val="000000" w:themeColor="text1"/>
        </w:rPr>
        <w:t>to</w:t>
      </w:r>
      <w:proofErr w:type="spellEnd"/>
      <w:r w:rsidRPr="00626EC0">
        <w:rPr>
          <w:color w:val="000000" w:themeColor="text1"/>
        </w:rPr>
        <w:t xml:space="preserve">, Acquaroli, Bignami, Baldini; </w:t>
      </w:r>
      <w:r w:rsidRPr="00626EC0">
        <w:rPr>
          <w:rFonts w:asciiTheme="minorHAnsi" w:hAnsiTheme="minorHAnsi"/>
          <w:color w:val="000000" w:themeColor="text1"/>
        </w:rPr>
        <w:t>1</w:t>
      </w:r>
      <w:r w:rsidRPr="00626EC0">
        <w:rPr>
          <w:color w:val="000000" w:themeColor="text1"/>
        </w:rPr>
        <w:t xml:space="preserve">3. 18. (Nuova formulazione) Mor; </w:t>
      </w:r>
      <w:r w:rsidRPr="00626EC0">
        <w:rPr>
          <w:rFonts w:asciiTheme="minorHAnsi" w:hAnsiTheme="minorHAnsi"/>
          <w:color w:val="000000" w:themeColor="text1"/>
        </w:rPr>
        <w:t xml:space="preserve">13. 299 </w:t>
      </w:r>
      <w:proofErr w:type="spellStart"/>
      <w:r w:rsidRPr="00626EC0">
        <w:rPr>
          <w:rFonts w:asciiTheme="minorHAnsi" w:hAnsiTheme="minorHAnsi"/>
          <w:color w:val="000000" w:themeColor="text1"/>
        </w:rPr>
        <w:t>Raduzzi</w:t>
      </w:r>
      <w:proofErr w:type="spellEnd"/>
    </w:p>
    <w:p w14:paraId="25886282" w14:textId="77777777" w:rsidR="00163604" w:rsidRDefault="00163604">
      <w:pPr>
        <w:pStyle w:val="Testonotaapidipagina"/>
      </w:pPr>
    </w:p>
  </w:footnote>
  <w:footnote w:id="36">
    <w:p w14:paraId="7C37E64C" w14:textId="77777777" w:rsidR="00163604" w:rsidRPr="007466A9" w:rsidRDefault="00163604" w:rsidP="00A55601">
      <w:pPr>
        <w:jc w:val="both"/>
        <w:rPr>
          <w:rFonts w:asciiTheme="minorHAnsi" w:hAnsiTheme="minorHAnsi"/>
          <w:color w:val="000000" w:themeColor="text1"/>
        </w:rPr>
      </w:pPr>
      <w:r>
        <w:rPr>
          <w:rStyle w:val="Rimandonotaapidipagina"/>
        </w:rPr>
        <w:footnoteRef/>
      </w:r>
      <w:r>
        <w:t xml:space="preserve"> </w:t>
      </w:r>
      <w:r w:rsidRPr="007466A9">
        <w:rPr>
          <w:rFonts w:asciiTheme="minorHAnsi" w:hAnsiTheme="minorHAnsi"/>
          <w:color w:val="000000" w:themeColor="text1"/>
        </w:rPr>
        <w:t xml:space="preserve">13. 303. (Nuova formulazione) Zucconi, </w:t>
      </w:r>
      <w:proofErr w:type="spellStart"/>
      <w:r w:rsidRPr="007466A9">
        <w:rPr>
          <w:rFonts w:asciiTheme="minorHAnsi" w:hAnsiTheme="minorHAnsi"/>
          <w:color w:val="000000" w:themeColor="text1"/>
        </w:rPr>
        <w:t>Osna</w:t>
      </w:r>
      <w:r w:rsidRPr="007466A9">
        <w:rPr>
          <w:color w:val="000000" w:themeColor="text1"/>
        </w:rPr>
        <w:t>to</w:t>
      </w:r>
      <w:proofErr w:type="spellEnd"/>
      <w:r w:rsidRPr="007466A9">
        <w:rPr>
          <w:color w:val="000000" w:themeColor="text1"/>
        </w:rPr>
        <w:t xml:space="preserve">, Acquaroli, Bignami, Baldini; </w:t>
      </w:r>
      <w:r w:rsidRPr="007466A9">
        <w:rPr>
          <w:rFonts w:asciiTheme="minorHAnsi" w:hAnsiTheme="minorHAnsi"/>
          <w:color w:val="000000" w:themeColor="text1"/>
        </w:rPr>
        <w:t xml:space="preserve">13. 304. (Nuova formulazione) Saltamartini, </w:t>
      </w:r>
      <w:proofErr w:type="spellStart"/>
      <w:r w:rsidRPr="007466A9">
        <w:rPr>
          <w:rFonts w:asciiTheme="minorHAnsi" w:hAnsiTheme="minorHAnsi"/>
          <w:color w:val="000000" w:themeColor="text1"/>
        </w:rPr>
        <w:t>Andreuzza</w:t>
      </w:r>
      <w:proofErr w:type="spellEnd"/>
      <w:r w:rsidRPr="007466A9">
        <w:rPr>
          <w:rFonts w:asciiTheme="minorHAnsi" w:hAnsiTheme="minorHAnsi"/>
          <w:color w:val="000000" w:themeColor="text1"/>
        </w:rPr>
        <w:t xml:space="preserve">, Binelli, Colla, Dara, Galli, </w:t>
      </w:r>
      <w:proofErr w:type="spellStart"/>
      <w:r w:rsidRPr="007466A9">
        <w:rPr>
          <w:rFonts w:asciiTheme="minorHAnsi" w:hAnsiTheme="minorHAnsi"/>
          <w:color w:val="000000" w:themeColor="text1"/>
        </w:rPr>
        <w:t>Guidesi</w:t>
      </w:r>
      <w:proofErr w:type="spellEnd"/>
      <w:r w:rsidRPr="007466A9">
        <w:rPr>
          <w:rFonts w:asciiTheme="minorHAnsi" w:hAnsiTheme="minorHAnsi"/>
          <w:color w:val="000000" w:themeColor="text1"/>
        </w:rPr>
        <w:t xml:space="preserve">, </w:t>
      </w:r>
      <w:proofErr w:type="spellStart"/>
      <w:r w:rsidRPr="007466A9">
        <w:rPr>
          <w:rFonts w:asciiTheme="minorHAnsi" w:hAnsiTheme="minorHAnsi"/>
          <w:color w:val="000000" w:themeColor="text1"/>
        </w:rPr>
        <w:t>Pettazzi</w:t>
      </w:r>
      <w:proofErr w:type="spellEnd"/>
      <w:r w:rsidRPr="007466A9">
        <w:rPr>
          <w:rFonts w:asciiTheme="minorHAnsi" w:hAnsiTheme="minorHAnsi"/>
          <w:color w:val="000000" w:themeColor="text1"/>
        </w:rPr>
        <w:t>, Piastra, Bitonci, Cavandoli, Centemero, Covolo, Gerardi, Gusmeroli, Alessandro Pagano, Paternoster, Tarantino.</w:t>
      </w:r>
    </w:p>
    <w:p w14:paraId="078ADFFC" w14:textId="77777777" w:rsidR="00163604" w:rsidRDefault="00163604">
      <w:pPr>
        <w:pStyle w:val="Testonotaapidipagina"/>
      </w:pPr>
    </w:p>
  </w:footnote>
  <w:footnote w:id="37">
    <w:p w14:paraId="75BF6916" w14:textId="77777777" w:rsidR="00163604" w:rsidRPr="007466A9" w:rsidRDefault="00163604" w:rsidP="00522252">
      <w:pPr>
        <w:jc w:val="both"/>
        <w:rPr>
          <w:rFonts w:asciiTheme="minorHAnsi" w:hAnsiTheme="minorHAnsi"/>
          <w:color w:val="000000" w:themeColor="text1"/>
        </w:rPr>
      </w:pPr>
      <w:r>
        <w:rPr>
          <w:rStyle w:val="Rimandonotaapidipagina"/>
        </w:rPr>
        <w:footnoteRef/>
      </w:r>
      <w:r>
        <w:t xml:space="preserve"> </w:t>
      </w:r>
      <w:r w:rsidRPr="007466A9">
        <w:rPr>
          <w:rFonts w:asciiTheme="minorHAnsi" w:hAnsiTheme="minorHAnsi"/>
          <w:color w:val="000000" w:themeColor="text1"/>
        </w:rPr>
        <w:t xml:space="preserve">13. 309. </w:t>
      </w:r>
      <w:proofErr w:type="spellStart"/>
      <w:r w:rsidRPr="007466A9">
        <w:rPr>
          <w:rFonts w:asciiTheme="minorHAnsi" w:hAnsiTheme="minorHAnsi"/>
          <w:color w:val="000000" w:themeColor="text1"/>
        </w:rPr>
        <w:t>Sut</w:t>
      </w:r>
      <w:proofErr w:type="spellEnd"/>
      <w:r w:rsidRPr="007466A9">
        <w:rPr>
          <w:rFonts w:asciiTheme="minorHAnsi" w:hAnsiTheme="minorHAnsi"/>
          <w:color w:val="000000" w:themeColor="text1"/>
        </w:rPr>
        <w:t xml:space="preserve">, Alemanno, Berardini, Fantinati, Giarrizzo, Masi, Papiro, </w:t>
      </w:r>
      <w:proofErr w:type="spellStart"/>
      <w:r w:rsidRPr="007466A9">
        <w:rPr>
          <w:rFonts w:asciiTheme="minorHAnsi" w:hAnsiTheme="minorHAnsi"/>
          <w:color w:val="000000" w:themeColor="text1"/>
        </w:rPr>
        <w:t>Paxia</w:t>
      </w:r>
      <w:proofErr w:type="spellEnd"/>
      <w:r w:rsidRPr="007466A9">
        <w:rPr>
          <w:rFonts w:asciiTheme="minorHAnsi" w:hAnsiTheme="minorHAnsi"/>
          <w:color w:val="000000" w:themeColor="text1"/>
        </w:rPr>
        <w:t xml:space="preserve">, </w:t>
      </w:r>
      <w:proofErr w:type="spellStart"/>
      <w:r w:rsidRPr="007466A9">
        <w:rPr>
          <w:rFonts w:asciiTheme="minorHAnsi" w:hAnsiTheme="minorHAnsi"/>
          <w:color w:val="000000" w:themeColor="text1"/>
        </w:rPr>
        <w:t>Perconti</w:t>
      </w:r>
      <w:proofErr w:type="spellEnd"/>
      <w:r w:rsidRPr="007466A9">
        <w:rPr>
          <w:rFonts w:asciiTheme="minorHAnsi" w:hAnsiTheme="minorHAnsi"/>
          <w:color w:val="000000" w:themeColor="text1"/>
        </w:rPr>
        <w:t xml:space="preserve">, </w:t>
      </w:r>
      <w:proofErr w:type="spellStart"/>
      <w:r w:rsidRPr="007466A9">
        <w:rPr>
          <w:rFonts w:asciiTheme="minorHAnsi" w:hAnsiTheme="minorHAnsi"/>
          <w:color w:val="000000" w:themeColor="text1"/>
        </w:rPr>
        <w:t>Rizzone</w:t>
      </w:r>
      <w:proofErr w:type="spellEnd"/>
      <w:r w:rsidRPr="007466A9">
        <w:rPr>
          <w:rFonts w:asciiTheme="minorHAnsi" w:hAnsiTheme="minorHAnsi"/>
          <w:color w:val="000000" w:themeColor="text1"/>
        </w:rPr>
        <w:t xml:space="preserve">, Scanu, </w:t>
      </w:r>
      <w:proofErr w:type="spellStart"/>
      <w:r w:rsidRPr="007466A9">
        <w:rPr>
          <w:rFonts w:asciiTheme="minorHAnsi" w:hAnsiTheme="minorHAnsi"/>
          <w:color w:val="000000" w:themeColor="text1"/>
        </w:rPr>
        <w:t>Vallascas</w:t>
      </w:r>
      <w:proofErr w:type="spellEnd"/>
      <w:r w:rsidRPr="007466A9">
        <w:rPr>
          <w:rFonts w:asciiTheme="minorHAnsi" w:hAnsiTheme="minorHAnsi"/>
          <w:color w:val="000000" w:themeColor="text1"/>
        </w:rPr>
        <w:t>.</w:t>
      </w:r>
    </w:p>
    <w:p w14:paraId="4B2F6714" w14:textId="77777777" w:rsidR="00163604" w:rsidRDefault="00163604">
      <w:pPr>
        <w:pStyle w:val="Testonotaapidipagina"/>
      </w:pPr>
    </w:p>
  </w:footnote>
  <w:footnote w:id="38">
    <w:p w14:paraId="74924E4B" w14:textId="77777777" w:rsidR="00163604" w:rsidRPr="007466A9" w:rsidRDefault="00163604" w:rsidP="00257BDB">
      <w:pPr>
        <w:jc w:val="both"/>
        <w:rPr>
          <w:color w:val="000000" w:themeColor="text1"/>
        </w:rPr>
      </w:pPr>
      <w:r>
        <w:rPr>
          <w:rStyle w:val="Rimandonotaapidipagina"/>
        </w:rPr>
        <w:footnoteRef/>
      </w:r>
      <w:r>
        <w:t xml:space="preserve"> </w:t>
      </w:r>
      <w:r w:rsidRPr="007466A9">
        <w:rPr>
          <w:rFonts w:asciiTheme="minorHAnsi" w:hAnsiTheme="minorHAnsi"/>
          <w:color w:val="000000" w:themeColor="text1"/>
        </w:rPr>
        <w:t>13. 219. (Nuova form</w:t>
      </w:r>
      <w:r w:rsidRPr="007466A9">
        <w:rPr>
          <w:color w:val="000000" w:themeColor="text1"/>
        </w:rPr>
        <w:t xml:space="preserve">ulazione) Masi, Zanichelli, </w:t>
      </w:r>
      <w:proofErr w:type="spellStart"/>
      <w:r w:rsidRPr="007466A9">
        <w:rPr>
          <w:color w:val="000000" w:themeColor="text1"/>
        </w:rPr>
        <w:t>Sut</w:t>
      </w:r>
      <w:proofErr w:type="spellEnd"/>
      <w:r w:rsidRPr="007466A9">
        <w:rPr>
          <w:color w:val="000000" w:themeColor="text1"/>
        </w:rPr>
        <w:t xml:space="preserve">; </w:t>
      </w:r>
      <w:r w:rsidRPr="007466A9">
        <w:rPr>
          <w:rFonts w:asciiTheme="minorHAnsi" w:hAnsiTheme="minorHAnsi"/>
          <w:color w:val="000000" w:themeColor="text1"/>
        </w:rPr>
        <w:t>13. 160. (Nuova fo</w:t>
      </w:r>
      <w:r w:rsidRPr="007466A9">
        <w:rPr>
          <w:color w:val="000000" w:themeColor="text1"/>
        </w:rPr>
        <w:t xml:space="preserve">rmulazione) Comaroli, Cavandoli; </w:t>
      </w:r>
      <w:r w:rsidRPr="007466A9">
        <w:rPr>
          <w:rFonts w:asciiTheme="minorHAnsi" w:hAnsiTheme="minorHAnsi"/>
          <w:color w:val="000000" w:themeColor="text1"/>
        </w:rPr>
        <w:t>13. 233. (Nuova formulazione) Past</w:t>
      </w:r>
      <w:r w:rsidRPr="007466A9">
        <w:rPr>
          <w:color w:val="000000" w:themeColor="text1"/>
        </w:rPr>
        <w:t xml:space="preserve">orino, Muroni, Fassina, Fornaro; </w:t>
      </w:r>
      <w:r w:rsidRPr="007466A9">
        <w:rPr>
          <w:rFonts w:asciiTheme="minorHAnsi" w:hAnsiTheme="minorHAnsi"/>
          <w:color w:val="000000" w:themeColor="text1"/>
        </w:rPr>
        <w:t>13. 316. (Nuova formula</w:t>
      </w:r>
      <w:r w:rsidRPr="007466A9">
        <w:rPr>
          <w:color w:val="000000" w:themeColor="text1"/>
        </w:rPr>
        <w:t xml:space="preserve">zione) Ubaldo Pagano, </w:t>
      </w:r>
      <w:proofErr w:type="spellStart"/>
      <w:r w:rsidRPr="007466A9">
        <w:rPr>
          <w:color w:val="000000" w:themeColor="text1"/>
        </w:rPr>
        <w:t>Pezzopane</w:t>
      </w:r>
      <w:proofErr w:type="spellEnd"/>
      <w:r w:rsidRPr="007466A9">
        <w:rPr>
          <w:color w:val="000000" w:themeColor="text1"/>
        </w:rPr>
        <w:t xml:space="preserve">; </w:t>
      </w:r>
      <w:r w:rsidRPr="007466A9">
        <w:rPr>
          <w:rFonts w:asciiTheme="minorHAnsi" w:hAnsiTheme="minorHAnsi"/>
          <w:color w:val="000000" w:themeColor="text1"/>
        </w:rPr>
        <w:t>13. 351. (Nuo</w:t>
      </w:r>
      <w:r w:rsidRPr="007466A9">
        <w:rPr>
          <w:color w:val="000000" w:themeColor="text1"/>
        </w:rPr>
        <w:t xml:space="preserve">va formulazione) Gadda, Moretto; </w:t>
      </w:r>
      <w:r w:rsidRPr="007466A9">
        <w:rPr>
          <w:rFonts w:asciiTheme="minorHAnsi" w:hAnsiTheme="minorHAnsi"/>
          <w:color w:val="000000" w:themeColor="text1"/>
        </w:rPr>
        <w:t>13.</w:t>
      </w:r>
      <w:r w:rsidRPr="007466A9">
        <w:rPr>
          <w:color w:val="000000" w:themeColor="text1"/>
        </w:rPr>
        <w:t xml:space="preserve"> 350. (Nuova formulazione) Lupi; </w:t>
      </w:r>
      <w:r w:rsidRPr="007466A9">
        <w:rPr>
          <w:rFonts w:asciiTheme="minorHAnsi" w:hAnsiTheme="minorHAnsi"/>
          <w:color w:val="000000" w:themeColor="text1"/>
        </w:rPr>
        <w:t>13. 355. (Nuova formulazione) Lorenzin, Carnevali, Rizzo Nervo,</w:t>
      </w:r>
      <w:r w:rsidRPr="007466A9">
        <w:rPr>
          <w:color w:val="000000" w:themeColor="text1"/>
        </w:rPr>
        <w:t xml:space="preserve"> Siani, Pini, Schirò, </w:t>
      </w:r>
      <w:proofErr w:type="spellStart"/>
      <w:r w:rsidRPr="007466A9">
        <w:rPr>
          <w:color w:val="000000" w:themeColor="text1"/>
        </w:rPr>
        <w:t>Pezzopane</w:t>
      </w:r>
      <w:proofErr w:type="spellEnd"/>
      <w:r w:rsidRPr="007466A9">
        <w:rPr>
          <w:color w:val="000000" w:themeColor="text1"/>
        </w:rPr>
        <w:t xml:space="preserve">; </w:t>
      </w:r>
      <w:r w:rsidRPr="007466A9">
        <w:rPr>
          <w:rFonts w:asciiTheme="minorHAnsi" w:hAnsiTheme="minorHAnsi"/>
          <w:color w:val="000000" w:themeColor="text1"/>
        </w:rPr>
        <w:t xml:space="preserve">13. 400. (ex 1.33) (Nuova formulazione) Lepri, Carnevali, Serracchiani, Gribaudo, </w:t>
      </w:r>
      <w:proofErr w:type="spellStart"/>
      <w:r w:rsidRPr="007466A9">
        <w:rPr>
          <w:rFonts w:asciiTheme="minorHAnsi" w:hAnsiTheme="minorHAnsi"/>
          <w:color w:val="000000" w:themeColor="text1"/>
        </w:rPr>
        <w:t>Viscomi</w:t>
      </w:r>
      <w:proofErr w:type="spellEnd"/>
      <w:r w:rsidRPr="007466A9">
        <w:rPr>
          <w:rFonts w:asciiTheme="minorHAnsi" w:hAnsiTheme="minorHAnsi"/>
          <w:color w:val="000000" w:themeColor="text1"/>
        </w:rPr>
        <w:t>, Mura, Carla Cantone, Rizzo Nervo,</w:t>
      </w:r>
      <w:r w:rsidRPr="007466A9">
        <w:rPr>
          <w:color w:val="000000" w:themeColor="text1"/>
        </w:rPr>
        <w:t xml:space="preserve"> Siani, Pini, Schirò, </w:t>
      </w:r>
      <w:proofErr w:type="spellStart"/>
      <w:r w:rsidRPr="007466A9">
        <w:rPr>
          <w:color w:val="000000" w:themeColor="text1"/>
        </w:rPr>
        <w:t>Pezzopane</w:t>
      </w:r>
      <w:proofErr w:type="spellEnd"/>
      <w:r w:rsidRPr="007466A9">
        <w:rPr>
          <w:color w:val="000000" w:themeColor="text1"/>
        </w:rPr>
        <w:t xml:space="preserve">; </w:t>
      </w:r>
      <w:r w:rsidRPr="007466A9">
        <w:rPr>
          <w:rFonts w:asciiTheme="minorHAnsi" w:hAnsiTheme="minorHAnsi"/>
          <w:color w:val="000000" w:themeColor="text1"/>
        </w:rPr>
        <w:t xml:space="preserve">13. 401. (ex 1.27) (Nuova formulazione) </w:t>
      </w:r>
      <w:proofErr w:type="spellStart"/>
      <w:r w:rsidRPr="007466A9">
        <w:rPr>
          <w:rFonts w:asciiTheme="minorHAnsi" w:hAnsiTheme="minorHAnsi"/>
          <w:color w:val="000000" w:themeColor="text1"/>
        </w:rPr>
        <w:t>Verini</w:t>
      </w:r>
      <w:proofErr w:type="spellEnd"/>
      <w:r w:rsidRPr="007466A9">
        <w:rPr>
          <w:rFonts w:asciiTheme="minorHAnsi" w:hAnsiTheme="minorHAnsi"/>
          <w:color w:val="000000" w:themeColor="text1"/>
        </w:rPr>
        <w:t xml:space="preserve">, Serracchiani, </w:t>
      </w:r>
      <w:proofErr w:type="spellStart"/>
      <w:r w:rsidRPr="007466A9">
        <w:rPr>
          <w:rFonts w:asciiTheme="minorHAnsi" w:hAnsiTheme="minorHAnsi"/>
          <w:color w:val="000000" w:themeColor="text1"/>
        </w:rPr>
        <w:t>Quartapelle</w:t>
      </w:r>
      <w:proofErr w:type="spellEnd"/>
      <w:r w:rsidRPr="007466A9">
        <w:rPr>
          <w:rFonts w:asciiTheme="minorHAnsi" w:hAnsiTheme="minorHAnsi"/>
          <w:color w:val="000000" w:themeColor="text1"/>
        </w:rPr>
        <w:t xml:space="preserve"> Procopio, </w:t>
      </w:r>
      <w:proofErr w:type="spellStart"/>
      <w:r w:rsidRPr="007466A9">
        <w:rPr>
          <w:rFonts w:asciiTheme="minorHAnsi" w:hAnsiTheme="minorHAnsi"/>
          <w:color w:val="000000" w:themeColor="text1"/>
        </w:rPr>
        <w:t>Morgoni</w:t>
      </w:r>
      <w:proofErr w:type="spellEnd"/>
      <w:r w:rsidRPr="007466A9">
        <w:rPr>
          <w:rFonts w:asciiTheme="minorHAnsi" w:hAnsiTheme="minorHAnsi"/>
          <w:color w:val="000000" w:themeColor="text1"/>
        </w:rPr>
        <w:t>, Ub</w:t>
      </w:r>
      <w:r w:rsidRPr="007466A9">
        <w:rPr>
          <w:color w:val="000000" w:themeColor="text1"/>
        </w:rPr>
        <w:t xml:space="preserve">aldo Pagano, </w:t>
      </w:r>
      <w:proofErr w:type="spellStart"/>
      <w:r w:rsidRPr="007466A9">
        <w:rPr>
          <w:color w:val="000000" w:themeColor="text1"/>
        </w:rPr>
        <w:t>Pezzopane</w:t>
      </w:r>
      <w:proofErr w:type="spellEnd"/>
      <w:r w:rsidRPr="007466A9">
        <w:rPr>
          <w:color w:val="000000" w:themeColor="text1"/>
        </w:rPr>
        <w:t xml:space="preserve">, De Luca; </w:t>
      </w:r>
      <w:r w:rsidRPr="007466A9">
        <w:rPr>
          <w:rFonts w:asciiTheme="minorHAnsi" w:hAnsiTheme="minorHAnsi"/>
          <w:color w:val="000000" w:themeColor="text1"/>
        </w:rPr>
        <w:t xml:space="preserve">3. 402. (ex 1.12) (Nuova formulazione) Piccoli Nardelli, Di Giorgi, Prestipino, Rossi, Ciampi, Orfini, </w:t>
      </w:r>
      <w:proofErr w:type="spellStart"/>
      <w:r w:rsidRPr="007466A9">
        <w:rPr>
          <w:rFonts w:asciiTheme="minorHAnsi" w:hAnsiTheme="minorHAnsi"/>
          <w:color w:val="000000" w:themeColor="text1"/>
        </w:rPr>
        <w:t>Pezzopane</w:t>
      </w:r>
      <w:proofErr w:type="spellEnd"/>
      <w:r w:rsidRPr="007466A9">
        <w:rPr>
          <w:rFonts w:asciiTheme="minorHAnsi" w:hAnsiTheme="minorHAnsi"/>
          <w:color w:val="000000" w:themeColor="text1"/>
        </w:rPr>
        <w:t>.</w:t>
      </w:r>
    </w:p>
    <w:p w14:paraId="2BD27FE5" w14:textId="77777777" w:rsidR="00163604" w:rsidRDefault="00163604">
      <w:pPr>
        <w:pStyle w:val="Testonotaapidipagina"/>
      </w:pPr>
    </w:p>
  </w:footnote>
  <w:footnote w:id="39">
    <w:p w14:paraId="4581365A" w14:textId="77777777" w:rsidR="00163604" w:rsidRPr="007466A9" w:rsidRDefault="00163604" w:rsidP="00030D03">
      <w:pPr>
        <w:jc w:val="both"/>
        <w:rPr>
          <w:rFonts w:asciiTheme="minorHAnsi" w:hAnsiTheme="minorHAnsi"/>
          <w:color w:val="000000" w:themeColor="text1"/>
        </w:rPr>
      </w:pPr>
      <w:r>
        <w:rPr>
          <w:rStyle w:val="Rimandonotaapidipagina"/>
        </w:rPr>
        <w:footnoteRef/>
      </w:r>
      <w:r>
        <w:t xml:space="preserve"> </w:t>
      </w:r>
      <w:r w:rsidRPr="007466A9">
        <w:rPr>
          <w:rFonts w:asciiTheme="minorHAnsi" w:hAnsiTheme="minorHAnsi"/>
          <w:color w:val="000000" w:themeColor="text1"/>
        </w:rPr>
        <w:t>13. 399. I Relatori.</w:t>
      </w:r>
    </w:p>
    <w:p w14:paraId="090F0373" w14:textId="77777777" w:rsidR="00163604" w:rsidRDefault="00163604">
      <w:pPr>
        <w:pStyle w:val="Testonotaapidipagina"/>
      </w:pPr>
    </w:p>
  </w:footnote>
  <w:footnote w:id="40">
    <w:p w14:paraId="200403B5" w14:textId="77777777" w:rsidR="00163604" w:rsidRPr="007466A9" w:rsidRDefault="00163604" w:rsidP="008C18C2">
      <w:pPr>
        <w:jc w:val="both"/>
        <w:rPr>
          <w:rFonts w:asciiTheme="minorHAnsi" w:hAnsiTheme="minorHAnsi"/>
          <w:color w:val="000000" w:themeColor="text1"/>
        </w:rPr>
      </w:pPr>
      <w:r>
        <w:rPr>
          <w:rStyle w:val="Rimandonotaapidipagina"/>
        </w:rPr>
        <w:footnoteRef/>
      </w:r>
      <w:r>
        <w:t xml:space="preserve"> </w:t>
      </w:r>
      <w:r w:rsidRPr="007466A9">
        <w:rPr>
          <w:rFonts w:asciiTheme="minorHAnsi" w:hAnsiTheme="minorHAnsi"/>
          <w:color w:val="000000" w:themeColor="text1"/>
        </w:rPr>
        <w:t xml:space="preserve">13. 063. (Nuova formulazione) Francesco Silvestri, Davide Aiello, Caso, Lattanzio, Migliorino, Nesci, Piera Aiello, Ascari, Barbuto, Cataldi, Di Sarno, Dori, D'Orso, Giuliano, Palmisano, Perantoni, Saitta, Salafia, Sarti, </w:t>
      </w:r>
      <w:proofErr w:type="spellStart"/>
      <w:r w:rsidRPr="007466A9">
        <w:rPr>
          <w:rFonts w:asciiTheme="minorHAnsi" w:hAnsiTheme="minorHAnsi"/>
          <w:color w:val="000000" w:themeColor="text1"/>
        </w:rPr>
        <w:t>Scutellà</w:t>
      </w:r>
      <w:proofErr w:type="spellEnd"/>
      <w:r w:rsidRPr="007466A9">
        <w:rPr>
          <w:rFonts w:asciiTheme="minorHAnsi" w:hAnsiTheme="minorHAnsi"/>
          <w:color w:val="000000" w:themeColor="text1"/>
        </w:rPr>
        <w:t xml:space="preserve">, </w:t>
      </w:r>
      <w:proofErr w:type="spellStart"/>
      <w:r w:rsidRPr="007466A9">
        <w:rPr>
          <w:rFonts w:asciiTheme="minorHAnsi" w:hAnsiTheme="minorHAnsi"/>
          <w:color w:val="000000" w:themeColor="text1"/>
        </w:rPr>
        <w:t>Cancelleri</w:t>
      </w:r>
      <w:proofErr w:type="spellEnd"/>
      <w:r w:rsidRPr="007466A9">
        <w:rPr>
          <w:rFonts w:asciiTheme="minorHAnsi" w:hAnsiTheme="minorHAnsi"/>
          <w:color w:val="000000" w:themeColor="text1"/>
        </w:rPr>
        <w:t xml:space="preserve">, Currò, </w:t>
      </w:r>
      <w:proofErr w:type="spellStart"/>
      <w:r w:rsidRPr="007466A9">
        <w:rPr>
          <w:rFonts w:asciiTheme="minorHAnsi" w:hAnsiTheme="minorHAnsi"/>
          <w:color w:val="000000" w:themeColor="text1"/>
        </w:rPr>
        <w:t>Giuliodori</w:t>
      </w:r>
      <w:proofErr w:type="spellEnd"/>
      <w:r w:rsidRPr="007466A9">
        <w:rPr>
          <w:rFonts w:asciiTheme="minorHAnsi" w:hAnsiTheme="minorHAnsi"/>
          <w:color w:val="000000" w:themeColor="text1"/>
        </w:rPr>
        <w:t xml:space="preserve">, Grimaldi, Maglione, Maniero, </w:t>
      </w:r>
      <w:proofErr w:type="spellStart"/>
      <w:r w:rsidRPr="007466A9">
        <w:rPr>
          <w:rFonts w:asciiTheme="minorHAnsi" w:hAnsiTheme="minorHAnsi"/>
          <w:color w:val="000000" w:themeColor="text1"/>
        </w:rPr>
        <w:t>Martinciglio</w:t>
      </w:r>
      <w:proofErr w:type="spellEnd"/>
      <w:r w:rsidRPr="007466A9">
        <w:rPr>
          <w:rFonts w:asciiTheme="minorHAnsi" w:hAnsiTheme="minorHAnsi"/>
          <w:color w:val="000000" w:themeColor="text1"/>
        </w:rPr>
        <w:t xml:space="preserve">, </w:t>
      </w:r>
      <w:proofErr w:type="spellStart"/>
      <w:r w:rsidRPr="007466A9">
        <w:rPr>
          <w:rFonts w:asciiTheme="minorHAnsi" w:hAnsiTheme="minorHAnsi"/>
          <w:color w:val="000000" w:themeColor="text1"/>
        </w:rPr>
        <w:t>Raduzzi</w:t>
      </w:r>
      <w:proofErr w:type="spellEnd"/>
      <w:r w:rsidRPr="007466A9">
        <w:rPr>
          <w:rFonts w:asciiTheme="minorHAnsi" w:hAnsiTheme="minorHAnsi"/>
          <w:color w:val="000000" w:themeColor="text1"/>
        </w:rPr>
        <w:t xml:space="preserve">, Ruggiero, Ruocco, Zanichelli, Pastorino, Buratti, Mancini, Mura, Rotta, Topo, Benamati, Bonomo, </w:t>
      </w:r>
      <w:proofErr w:type="spellStart"/>
      <w:r w:rsidRPr="007466A9">
        <w:rPr>
          <w:rFonts w:asciiTheme="minorHAnsi" w:hAnsiTheme="minorHAnsi"/>
          <w:color w:val="000000" w:themeColor="text1"/>
        </w:rPr>
        <w:t>Lacarra</w:t>
      </w:r>
      <w:proofErr w:type="spellEnd"/>
      <w:r w:rsidRPr="007466A9">
        <w:rPr>
          <w:rFonts w:asciiTheme="minorHAnsi" w:hAnsiTheme="minorHAnsi"/>
          <w:color w:val="000000" w:themeColor="text1"/>
        </w:rPr>
        <w:t>, Manca, Nardi, Zardini.</w:t>
      </w:r>
    </w:p>
    <w:p w14:paraId="550F01AE" w14:textId="77777777" w:rsidR="00163604" w:rsidRDefault="00163604">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0F610" w14:textId="46D5424A" w:rsidR="00163604" w:rsidRDefault="00163604" w:rsidP="00473B76">
    <w:pPr>
      <w:pStyle w:val="Intestazione"/>
      <w:tabs>
        <w:tab w:val="clear" w:pos="4819"/>
        <w:tab w:val="clear" w:pos="9638"/>
        <w:tab w:val="left" w:pos="81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C949D" w14:textId="4C1E9E77" w:rsidR="00163604" w:rsidRPr="00A82891" w:rsidRDefault="00163604" w:rsidP="007C573D">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1B750" w14:textId="499DD3DB" w:rsidR="00163604" w:rsidRDefault="00163604" w:rsidP="00E257C8">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751C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 w15:restartNumberingAfterBreak="0">
    <w:nsid w:val="02EB3097"/>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2" w15:restartNumberingAfterBreak="0">
    <w:nsid w:val="04F302B8"/>
    <w:multiLevelType w:val="hybridMultilevel"/>
    <w:tmpl w:val="EC1A2856"/>
    <w:lvl w:ilvl="0" w:tplc="9D786CEA">
      <w:numFmt w:val="bullet"/>
      <w:lvlText w:val="&gt;"/>
      <w:lvlJc w:val="left"/>
      <w:pPr>
        <w:ind w:left="644" w:hanging="360"/>
      </w:pPr>
      <w:rPr>
        <w:rFonts w:ascii="Calibri" w:hAnsi="Calibri" w:cs="Calibri" w:hint="default"/>
        <w:b/>
        <w:i w:val="0"/>
        <w:color w:val="FFC000"/>
        <w:sz w:val="2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0A993153"/>
    <w:multiLevelType w:val="multilevel"/>
    <w:tmpl w:val="1A28C680"/>
    <w:lvl w:ilvl="0">
      <w:start w:val="109"/>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ascii="Times New Roman" w:eastAsia="Times New Roman" w:hAnsi="Times New Roman" w:cs="Times New Roman" w:hint="default"/>
        <w:w w:val="100"/>
        <w:sz w:val="24"/>
        <w:szCs w:val="24"/>
        <w:lang w:val="it-IT" w:eastAsia="en-US" w:bidi="ar-SA"/>
      </w:rPr>
    </w:lvl>
    <w:lvl w:ilvl="3">
      <w:start w:val="1"/>
      <w:numFmt w:val="lowerLetter"/>
      <w:lvlText w:val="%4)"/>
      <w:lvlJc w:val="left"/>
      <w:pPr>
        <w:ind w:left="587" w:hanging="286"/>
      </w:pPr>
      <w:rPr>
        <w:rFonts w:ascii="Times New Roman" w:eastAsia="Times New Roman" w:hAnsi="Times New Roman" w:cs="Times New Roman" w:hint="default"/>
        <w:i/>
        <w:w w:val="100"/>
        <w:sz w:val="24"/>
        <w:szCs w:val="24"/>
        <w:lang w:val="it-IT" w:eastAsia="en-US" w:bidi="ar-SA"/>
      </w:rPr>
    </w:lvl>
    <w:lvl w:ilvl="4">
      <w:numFmt w:val="bullet"/>
      <w:lvlText w:val="•"/>
      <w:lvlJc w:val="left"/>
      <w:pPr>
        <w:ind w:left="3334" w:hanging="286"/>
      </w:pPr>
      <w:rPr>
        <w:rFonts w:hint="default"/>
        <w:lang w:val="it-IT" w:eastAsia="en-US" w:bidi="ar-SA"/>
      </w:rPr>
    </w:lvl>
    <w:lvl w:ilvl="5">
      <w:numFmt w:val="bullet"/>
      <w:lvlText w:val="•"/>
      <w:lvlJc w:val="left"/>
      <w:pPr>
        <w:ind w:left="4202" w:hanging="286"/>
      </w:pPr>
      <w:rPr>
        <w:rFonts w:hint="default"/>
        <w:lang w:val="it-IT" w:eastAsia="en-US" w:bidi="ar-SA"/>
      </w:rPr>
    </w:lvl>
    <w:lvl w:ilvl="6">
      <w:numFmt w:val="bullet"/>
      <w:lvlText w:val="•"/>
      <w:lvlJc w:val="left"/>
      <w:pPr>
        <w:ind w:left="5069" w:hanging="286"/>
      </w:pPr>
      <w:rPr>
        <w:rFonts w:hint="default"/>
        <w:lang w:val="it-IT" w:eastAsia="en-US" w:bidi="ar-SA"/>
      </w:rPr>
    </w:lvl>
    <w:lvl w:ilvl="7">
      <w:numFmt w:val="bullet"/>
      <w:lvlText w:val="•"/>
      <w:lvlJc w:val="left"/>
      <w:pPr>
        <w:ind w:left="5937" w:hanging="286"/>
      </w:pPr>
      <w:rPr>
        <w:rFonts w:hint="default"/>
        <w:lang w:val="it-IT" w:eastAsia="en-US" w:bidi="ar-SA"/>
      </w:rPr>
    </w:lvl>
    <w:lvl w:ilvl="8">
      <w:numFmt w:val="bullet"/>
      <w:lvlText w:val="•"/>
      <w:lvlJc w:val="left"/>
      <w:pPr>
        <w:ind w:left="6804" w:hanging="286"/>
      </w:pPr>
      <w:rPr>
        <w:rFonts w:hint="default"/>
        <w:lang w:val="it-IT" w:eastAsia="en-US" w:bidi="ar-SA"/>
      </w:rPr>
    </w:lvl>
  </w:abstractNum>
  <w:abstractNum w:abstractNumId="4" w15:restartNumberingAfterBreak="0">
    <w:nsid w:val="0AED6385"/>
    <w:multiLevelType w:val="hybridMultilevel"/>
    <w:tmpl w:val="58565C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F337CB"/>
    <w:multiLevelType w:val="multilevel"/>
    <w:tmpl w:val="6FE0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F23877"/>
    <w:multiLevelType w:val="hybridMultilevel"/>
    <w:tmpl w:val="C5CA6F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A5236E"/>
    <w:multiLevelType w:val="hybridMultilevel"/>
    <w:tmpl w:val="B3F2C1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60C786B"/>
    <w:multiLevelType w:val="multilevel"/>
    <w:tmpl w:val="CCC0A068"/>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2"/>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7"/>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7"/>
      </w:pPr>
      <w:rPr>
        <w:rFonts w:hint="default"/>
        <w:lang w:val="it-IT" w:eastAsia="en-US" w:bidi="ar-SA"/>
      </w:rPr>
    </w:lvl>
    <w:lvl w:ilvl="5">
      <w:numFmt w:val="bullet"/>
      <w:lvlText w:val="•"/>
      <w:lvlJc w:val="left"/>
      <w:pPr>
        <w:ind w:left="4551" w:hanging="247"/>
      </w:pPr>
      <w:rPr>
        <w:rFonts w:hint="default"/>
        <w:lang w:val="it-IT" w:eastAsia="en-US" w:bidi="ar-SA"/>
      </w:rPr>
    </w:lvl>
    <w:lvl w:ilvl="6">
      <w:numFmt w:val="bullet"/>
      <w:lvlText w:val="•"/>
      <w:lvlJc w:val="left"/>
      <w:pPr>
        <w:ind w:left="5348" w:hanging="247"/>
      </w:pPr>
      <w:rPr>
        <w:rFonts w:hint="default"/>
        <w:lang w:val="it-IT" w:eastAsia="en-US" w:bidi="ar-SA"/>
      </w:rPr>
    </w:lvl>
    <w:lvl w:ilvl="7">
      <w:numFmt w:val="bullet"/>
      <w:lvlText w:val="•"/>
      <w:lvlJc w:val="left"/>
      <w:pPr>
        <w:ind w:left="6146" w:hanging="247"/>
      </w:pPr>
      <w:rPr>
        <w:rFonts w:hint="default"/>
        <w:lang w:val="it-IT" w:eastAsia="en-US" w:bidi="ar-SA"/>
      </w:rPr>
    </w:lvl>
    <w:lvl w:ilvl="8">
      <w:numFmt w:val="bullet"/>
      <w:lvlText w:val="•"/>
      <w:lvlJc w:val="left"/>
      <w:pPr>
        <w:ind w:left="6944" w:hanging="247"/>
      </w:pPr>
      <w:rPr>
        <w:rFonts w:hint="default"/>
        <w:lang w:val="it-IT" w:eastAsia="en-US" w:bidi="ar-SA"/>
      </w:rPr>
    </w:lvl>
  </w:abstractNum>
  <w:abstractNum w:abstractNumId="9" w15:restartNumberingAfterBreak="0">
    <w:nsid w:val="16C53E5C"/>
    <w:multiLevelType w:val="hybridMultilevel"/>
    <w:tmpl w:val="2364F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796812"/>
    <w:multiLevelType w:val="hybridMultilevel"/>
    <w:tmpl w:val="B192DA84"/>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1" w15:restartNumberingAfterBreak="0">
    <w:nsid w:val="212259FD"/>
    <w:multiLevelType w:val="multilevel"/>
    <w:tmpl w:val="19149CCA"/>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6"/>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5"/>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5"/>
      </w:pPr>
      <w:rPr>
        <w:rFonts w:hint="default"/>
        <w:lang w:val="it-IT" w:eastAsia="en-US" w:bidi="ar-SA"/>
      </w:rPr>
    </w:lvl>
    <w:lvl w:ilvl="5">
      <w:numFmt w:val="bullet"/>
      <w:lvlText w:val="•"/>
      <w:lvlJc w:val="left"/>
      <w:pPr>
        <w:ind w:left="4551" w:hanging="245"/>
      </w:pPr>
      <w:rPr>
        <w:rFonts w:hint="default"/>
        <w:lang w:val="it-IT" w:eastAsia="en-US" w:bidi="ar-SA"/>
      </w:rPr>
    </w:lvl>
    <w:lvl w:ilvl="6">
      <w:numFmt w:val="bullet"/>
      <w:lvlText w:val="•"/>
      <w:lvlJc w:val="left"/>
      <w:pPr>
        <w:ind w:left="5348" w:hanging="245"/>
      </w:pPr>
      <w:rPr>
        <w:rFonts w:hint="default"/>
        <w:lang w:val="it-IT" w:eastAsia="en-US" w:bidi="ar-SA"/>
      </w:rPr>
    </w:lvl>
    <w:lvl w:ilvl="7">
      <w:numFmt w:val="bullet"/>
      <w:lvlText w:val="•"/>
      <w:lvlJc w:val="left"/>
      <w:pPr>
        <w:ind w:left="6146" w:hanging="245"/>
      </w:pPr>
      <w:rPr>
        <w:rFonts w:hint="default"/>
        <w:lang w:val="it-IT" w:eastAsia="en-US" w:bidi="ar-SA"/>
      </w:rPr>
    </w:lvl>
    <w:lvl w:ilvl="8">
      <w:numFmt w:val="bullet"/>
      <w:lvlText w:val="•"/>
      <w:lvlJc w:val="left"/>
      <w:pPr>
        <w:ind w:left="6944" w:hanging="245"/>
      </w:pPr>
      <w:rPr>
        <w:rFonts w:hint="default"/>
        <w:lang w:val="it-IT" w:eastAsia="en-US" w:bidi="ar-SA"/>
      </w:rPr>
    </w:lvl>
  </w:abstractNum>
  <w:abstractNum w:abstractNumId="12" w15:restartNumberingAfterBreak="0">
    <w:nsid w:val="2FA7524A"/>
    <w:multiLevelType w:val="hybridMultilevel"/>
    <w:tmpl w:val="61F2FA3C"/>
    <w:lvl w:ilvl="0" w:tplc="8ADECF38">
      <w:numFmt w:val="bullet"/>
      <w:pStyle w:val="TitolonewsletterISPRO"/>
      <w:lvlText w:val="&gt;"/>
      <w:lvlJc w:val="left"/>
      <w:pPr>
        <w:ind w:left="928" w:hanging="360"/>
      </w:pPr>
      <w:rPr>
        <w:rFonts w:ascii="Calibri" w:hAnsi="Calibri" w:cs="Calibri" w:hint="default"/>
        <w:b/>
        <w:i w:val="0"/>
        <w:color w:val="FFC000"/>
        <w:sz w:val="2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319D7F2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4" w15:restartNumberingAfterBreak="0">
    <w:nsid w:val="32A809C6"/>
    <w:multiLevelType w:val="hybridMultilevel"/>
    <w:tmpl w:val="73D057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9413816"/>
    <w:multiLevelType w:val="hybridMultilevel"/>
    <w:tmpl w:val="462699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BD945FE"/>
    <w:multiLevelType w:val="multilevel"/>
    <w:tmpl w:val="2D50B164"/>
    <w:lvl w:ilvl="0">
      <w:start w:val="94"/>
      <w:numFmt w:val="decimal"/>
      <w:lvlText w:val="%1"/>
      <w:lvlJc w:val="left"/>
      <w:pPr>
        <w:ind w:left="1247" w:hanging="660"/>
      </w:pPr>
      <w:rPr>
        <w:rFonts w:hint="default"/>
        <w:lang w:val="it-IT" w:eastAsia="en-US" w:bidi="ar-SA"/>
      </w:rPr>
    </w:lvl>
    <w:lvl w:ilvl="1">
      <w:numFmt w:val="decimal"/>
      <w:lvlText w:val="%1.%2"/>
      <w:lvlJc w:val="left"/>
      <w:pPr>
        <w:ind w:left="1247" w:hanging="660"/>
      </w:pPr>
      <w:rPr>
        <w:rFonts w:hint="default"/>
        <w:lang w:val="it-IT" w:eastAsia="en-US" w:bidi="ar-SA"/>
      </w:rPr>
    </w:lvl>
    <w:lvl w:ilvl="2">
      <w:start w:val="1"/>
      <w:numFmt w:val="decimal"/>
      <w:lvlText w:val="%1.%2.%3"/>
      <w:lvlJc w:val="left"/>
      <w:pPr>
        <w:ind w:left="1247" w:hanging="66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1"/>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673" w:hanging="251"/>
      </w:pPr>
      <w:rPr>
        <w:rFonts w:hint="default"/>
        <w:lang w:val="it-IT" w:eastAsia="en-US" w:bidi="ar-SA"/>
      </w:rPr>
    </w:lvl>
    <w:lvl w:ilvl="5">
      <w:numFmt w:val="bullet"/>
      <w:lvlText w:val="•"/>
      <w:lvlJc w:val="left"/>
      <w:pPr>
        <w:ind w:left="4484" w:hanging="251"/>
      </w:pPr>
      <w:rPr>
        <w:rFonts w:hint="default"/>
        <w:lang w:val="it-IT" w:eastAsia="en-US" w:bidi="ar-SA"/>
      </w:rPr>
    </w:lvl>
    <w:lvl w:ilvl="6">
      <w:numFmt w:val="bullet"/>
      <w:lvlText w:val="•"/>
      <w:lvlJc w:val="left"/>
      <w:pPr>
        <w:ind w:left="5295" w:hanging="251"/>
      </w:pPr>
      <w:rPr>
        <w:rFonts w:hint="default"/>
        <w:lang w:val="it-IT" w:eastAsia="en-US" w:bidi="ar-SA"/>
      </w:rPr>
    </w:lvl>
    <w:lvl w:ilvl="7">
      <w:numFmt w:val="bullet"/>
      <w:lvlText w:val="•"/>
      <w:lvlJc w:val="left"/>
      <w:pPr>
        <w:ind w:left="6106" w:hanging="251"/>
      </w:pPr>
      <w:rPr>
        <w:rFonts w:hint="default"/>
        <w:lang w:val="it-IT" w:eastAsia="en-US" w:bidi="ar-SA"/>
      </w:rPr>
    </w:lvl>
    <w:lvl w:ilvl="8">
      <w:numFmt w:val="bullet"/>
      <w:lvlText w:val="•"/>
      <w:lvlJc w:val="left"/>
      <w:pPr>
        <w:ind w:left="6917" w:hanging="251"/>
      </w:pPr>
      <w:rPr>
        <w:rFonts w:hint="default"/>
        <w:lang w:val="it-IT" w:eastAsia="en-US" w:bidi="ar-SA"/>
      </w:rPr>
    </w:lvl>
  </w:abstractNum>
  <w:abstractNum w:abstractNumId="17" w15:restartNumberingAfterBreak="0">
    <w:nsid w:val="470E31AA"/>
    <w:multiLevelType w:val="multilevel"/>
    <w:tmpl w:val="12325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C672A7"/>
    <w:multiLevelType w:val="hybridMultilevel"/>
    <w:tmpl w:val="65143C7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5B3A0323"/>
    <w:multiLevelType w:val="hybridMultilevel"/>
    <w:tmpl w:val="E85CD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384130C"/>
    <w:multiLevelType w:val="hybridMultilevel"/>
    <w:tmpl w:val="E5DCB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3F57250"/>
    <w:multiLevelType w:val="multilevel"/>
    <w:tmpl w:val="AD66AF2C"/>
    <w:lvl w:ilvl="0">
      <w:start w:val="11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1"/>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9"/>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9"/>
      </w:pPr>
      <w:rPr>
        <w:rFonts w:hint="default"/>
        <w:lang w:val="it-IT" w:eastAsia="en-US" w:bidi="ar-SA"/>
      </w:rPr>
    </w:lvl>
    <w:lvl w:ilvl="5">
      <w:numFmt w:val="bullet"/>
      <w:lvlText w:val="•"/>
      <w:lvlJc w:val="left"/>
      <w:pPr>
        <w:ind w:left="4551" w:hanging="249"/>
      </w:pPr>
      <w:rPr>
        <w:rFonts w:hint="default"/>
        <w:lang w:val="it-IT" w:eastAsia="en-US" w:bidi="ar-SA"/>
      </w:rPr>
    </w:lvl>
    <w:lvl w:ilvl="6">
      <w:numFmt w:val="bullet"/>
      <w:lvlText w:val="•"/>
      <w:lvlJc w:val="left"/>
      <w:pPr>
        <w:ind w:left="5348" w:hanging="249"/>
      </w:pPr>
      <w:rPr>
        <w:rFonts w:hint="default"/>
        <w:lang w:val="it-IT" w:eastAsia="en-US" w:bidi="ar-SA"/>
      </w:rPr>
    </w:lvl>
    <w:lvl w:ilvl="7">
      <w:numFmt w:val="bullet"/>
      <w:lvlText w:val="•"/>
      <w:lvlJc w:val="left"/>
      <w:pPr>
        <w:ind w:left="6146" w:hanging="249"/>
      </w:pPr>
      <w:rPr>
        <w:rFonts w:hint="default"/>
        <w:lang w:val="it-IT" w:eastAsia="en-US" w:bidi="ar-SA"/>
      </w:rPr>
    </w:lvl>
    <w:lvl w:ilvl="8">
      <w:numFmt w:val="bullet"/>
      <w:lvlText w:val="•"/>
      <w:lvlJc w:val="left"/>
      <w:pPr>
        <w:ind w:left="6944" w:hanging="249"/>
      </w:pPr>
      <w:rPr>
        <w:rFonts w:hint="default"/>
        <w:lang w:val="it-IT" w:eastAsia="en-US" w:bidi="ar-SA"/>
      </w:rPr>
    </w:lvl>
  </w:abstractNum>
  <w:abstractNum w:abstractNumId="22" w15:restartNumberingAfterBreak="0">
    <w:nsid w:val="64CF35F5"/>
    <w:multiLevelType w:val="multilevel"/>
    <w:tmpl w:val="0AB66186"/>
    <w:lvl w:ilvl="0">
      <w:start w:val="123"/>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hint="default"/>
        <w:w w:val="100"/>
        <w:lang w:val="it-IT" w:eastAsia="en-US" w:bidi="ar-SA"/>
      </w:rPr>
    </w:lvl>
    <w:lvl w:ilvl="3">
      <w:numFmt w:val="bullet"/>
      <w:lvlText w:val="•"/>
      <w:lvlJc w:val="left"/>
      <w:pPr>
        <w:ind w:left="3142" w:hanging="247"/>
      </w:pPr>
      <w:rPr>
        <w:rFonts w:hint="default"/>
        <w:lang w:val="it-IT" w:eastAsia="en-US" w:bidi="ar-SA"/>
      </w:rPr>
    </w:lvl>
    <w:lvl w:ilvl="4">
      <w:numFmt w:val="bullet"/>
      <w:lvlText w:val="•"/>
      <w:lvlJc w:val="left"/>
      <w:pPr>
        <w:ind w:left="3913" w:hanging="247"/>
      </w:pPr>
      <w:rPr>
        <w:rFonts w:hint="default"/>
        <w:lang w:val="it-IT" w:eastAsia="en-US" w:bidi="ar-SA"/>
      </w:rPr>
    </w:lvl>
    <w:lvl w:ilvl="5">
      <w:numFmt w:val="bullet"/>
      <w:lvlText w:val="•"/>
      <w:lvlJc w:val="left"/>
      <w:pPr>
        <w:ind w:left="4684" w:hanging="247"/>
      </w:pPr>
      <w:rPr>
        <w:rFonts w:hint="default"/>
        <w:lang w:val="it-IT" w:eastAsia="en-US" w:bidi="ar-SA"/>
      </w:rPr>
    </w:lvl>
    <w:lvl w:ilvl="6">
      <w:numFmt w:val="bullet"/>
      <w:lvlText w:val="•"/>
      <w:lvlJc w:val="left"/>
      <w:pPr>
        <w:ind w:left="5455" w:hanging="247"/>
      </w:pPr>
      <w:rPr>
        <w:rFonts w:hint="default"/>
        <w:lang w:val="it-IT" w:eastAsia="en-US" w:bidi="ar-SA"/>
      </w:rPr>
    </w:lvl>
    <w:lvl w:ilvl="7">
      <w:numFmt w:val="bullet"/>
      <w:lvlText w:val="•"/>
      <w:lvlJc w:val="left"/>
      <w:pPr>
        <w:ind w:left="6226" w:hanging="247"/>
      </w:pPr>
      <w:rPr>
        <w:rFonts w:hint="default"/>
        <w:lang w:val="it-IT" w:eastAsia="en-US" w:bidi="ar-SA"/>
      </w:rPr>
    </w:lvl>
    <w:lvl w:ilvl="8">
      <w:numFmt w:val="bullet"/>
      <w:lvlText w:val="•"/>
      <w:lvlJc w:val="left"/>
      <w:pPr>
        <w:ind w:left="6997" w:hanging="247"/>
      </w:pPr>
      <w:rPr>
        <w:rFonts w:hint="default"/>
        <w:lang w:val="it-IT" w:eastAsia="en-US" w:bidi="ar-SA"/>
      </w:rPr>
    </w:lvl>
  </w:abstractNum>
  <w:abstractNum w:abstractNumId="23" w15:restartNumberingAfterBreak="0">
    <w:nsid w:val="69692EA1"/>
    <w:multiLevelType w:val="hybridMultilevel"/>
    <w:tmpl w:val="233AAEFC"/>
    <w:lvl w:ilvl="0" w:tplc="A9641690">
      <w:start w:val="1"/>
      <w:numFmt w:val="lowerLetter"/>
      <w:lvlText w:val="%1)"/>
      <w:lvlJc w:val="left"/>
      <w:pPr>
        <w:ind w:left="587" w:hanging="240"/>
        <w:jc w:val="right"/>
      </w:pPr>
      <w:rPr>
        <w:rFonts w:ascii="Times New Roman" w:eastAsia="Times New Roman" w:hAnsi="Times New Roman" w:cs="Times New Roman" w:hint="default"/>
        <w:w w:val="100"/>
        <w:sz w:val="24"/>
        <w:szCs w:val="24"/>
        <w:lang w:val="it-IT" w:eastAsia="en-US" w:bidi="ar-SA"/>
      </w:rPr>
    </w:lvl>
    <w:lvl w:ilvl="1" w:tplc="072808DE">
      <w:start w:val="1"/>
      <w:numFmt w:val="decimal"/>
      <w:lvlText w:val="%2)"/>
      <w:lvlJc w:val="left"/>
      <w:pPr>
        <w:ind w:left="2091" w:hanging="260"/>
      </w:pPr>
      <w:rPr>
        <w:rFonts w:ascii="Times New Roman" w:eastAsia="Times New Roman" w:hAnsi="Times New Roman" w:cs="Times New Roman" w:hint="default"/>
        <w:w w:val="100"/>
        <w:sz w:val="24"/>
        <w:szCs w:val="24"/>
        <w:lang w:val="it-IT" w:eastAsia="en-US" w:bidi="ar-SA"/>
      </w:rPr>
    </w:lvl>
    <w:lvl w:ilvl="2" w:tplc="88E07486">
      <w:numFmt w:val="bullet"/>
      <w:lvlText w:val="•"/>
      <w:lvlJc w:val="left"/>
      <w:pPr>
        <w:ind w:left="2815" w:hanging="260"/>
      </w:pPr>
      <w:rPr>
        <w:rFonts w:hint="default"/>
        <w:lang w:val="it-IT" w:eastAsia="en-US" w:bidi="ar-SA"/>
      </w:rPr>
    </w:lvl>
    <w:lvl w:ilvl="3" w:tplc="B7D85C1A">
      <w:numFmt w:val="bullet"/>
      <w:lvlText w:val="•"/>
      <w:lvlJc w:val="left"/>
      <w:pPr>
        <w:ind w:left="3531" w:hanging="260"/>
      </w:pPr>
      <w:rPr>
        <w:rFonts w:hint="default"/>
        <w:lang w:val="it-IT" w:eastAsia="en-US" w:bidi="ar-SA"/>
      </w:rPr>
    </w:lvl>
    <w:lvl w:ilvl="4" w:tplc="CB4827E4">
      <w:numFmt w:val="bullet"/>
      <w:lvlText w:val="•"/>
      <w:lvlJc w:val="left"/>
      <w:pPr>
        <w:ind w:left="4246" w:hanging="260"/>
      </w:pPr>
      <w:rPr>
        <w:rFonts w:hint="default"/>
        <w:lang w:val="it-IT" w:eastAsia="en-US" w:bidi="ar-SA"/>
      </w:rPr>
    </w:lvl>
    <w:lvl w:ilvl="5" w:tplc="E2962D08">
      <w:numFmt w:val="bullet"/>
      <w:lvlText w:val="•"/>
      <w:lvlJc w:val="left"/>
      <w:pPr>
        <w:ind w:left="4962" w:hanging="260"/>
      </w:pPr>
      <w:rPr>
        <w:rFonts w:hint="default"/>
        <w:lang w:val="it-IT" w:eastAsia="en-US" w:bidi="ar-SA"/>
      </w:rPr>
    </w:lvl>
    <w:lvl w:ilvl="6" w:tplc="F482CD1A">
      <w:numFmt w:val="bullet"/>
      <w:lvlText w:val="•"/>
      <w:lvlJc w:val="left"/>
      <w:pPr>
        <w:ind w:left="5677" w:hanging="260"/>
      </w:pPr>
      <w:rPr>
        <w:rFonts w:hint="default"/>
        <w:lang w:val="it-IT" w:eastAsia="en-US" w:bidi="ar-SA"/>
      </w:rPr>
    </w:lvl>
    <w:lvl w:ilvl="7" w:tplc="0E1E0608">
      <w:numFmt w:val="bullet"/>
      <w:lvlText w:val="•"/>
      <w:lvlJc w:val="left"/>
      <w:pPr>
        <w:ind w:left="6393" w:hanging="260"/>
      </w:pPr>
      <w:rPr>
        <w:rFonts w:hint="default"/>
        <w:lang w:val="it-IT" w:eastAsia="en-US" w:bidi="ar-SA"/>
      </w:rPr>
    </w:lvl>
    <w:lvl w:ilvl="8" w:tplc="9C82CFE4">
      <w:numFmt w:val="bullet"/>
      <w:lvlText w:val="•"/>
      <w:lvlJc w:val="left"/>
      <w:pPr>
        <w:ind w:left="7108" w:hanging="260"/>
      </w:pPr>
      <w:rPr>
        <w:rFonts w:hint="default"/>
        <w:lang w:val="it-IT" w:eastAsia="en-US" w:bidi="ar-SA"/>
      </w:rPr>
    </w:lvl>
  </w:abstractNum>
  <w:abstractNum w:abstractNumId="24" w15:restartNumberingAfterBreak="0">
    <w:nsid w:val="69967F5A"/>
    <w:multiLevelType w:val="multilevel"/>
    <w:tmpl w:val="E654D078"/>
    <w:lvl w:ilvl="0">
      <w:start w:val="125"/>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8"/>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6"/>
        <w:jc w:val="right"/>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56"/>
      </w:pPr>
      <w:rPr>
        <w:rFonts w:hint="default"/>
        <w:lang w:val="it-IT" w:eastAsia="en-US" w:bidi="ar-SA"/>
      </w:rPr>
    </w:lvl>
    <w:lvl w:ilvl="5">
      <w:numFmt w:val="bullet"/>
      <w:lvlText w:val="•"/>
      <w:lvlJc w:val="left"/>
      <w:pPr>
        <w:ind w:left="4551" w:hanging="256"/>
      </w:pPr>
      <w:rPr>
        <w:rFonts w:hint="default"/>
        <w:lang w:val="it-IT" w:eastAsia="en-US" w:bidi="ar-SA"/>
      </w:rPr>
    </w:lvl>
    <w:lvl w:ilvl="6">
      <w:numFmt w:val="bullet"/>
      <w:lvlText w:val="•"/>
      <w:lvlJc w:val="left"/>
      <w:pPr>
        <w:ind w:left="5348" w:hanging="256"/>
      </w:pPr>
      <w:rPr>
        <w:rFonts w:hint="default"/>
        <w:lang w:val="it-IT" w:eastAsia="en-US" w:bidi="ar-SA"/>
      </w:rPr>
    </w:lvl>
    <w:lvl w:ilvl="7">
      <w:numFmt w:val="bullet"/>
      <w:lvlText w:val="•"/>
      <w:lvlJc w:val="left"/>
      <w:pPr>
        <w:ind w:left="6146" w:hanging="256"/>
      </w:pPr>
      <w:rPr>
        <w:rFonts w:hint="default"/>
        <w:lang w:val="it-IT" w:eastAsia="en-US" w:bidi="ar-SA"/>
      </w:rPr>
    </w:lvl>
    <w:lvl w:ilvl="8">
      <w:numFmt w:val="bullet"/>
      <w:lvlText w:val="•"/>
      <w:lvlJc w:val="left"/>
      <w:pPr>
        <w:ind w:left="6944" w:hanging="256"/>
      </w:pPr>
      <w:rPr>
        <w:rFonts w:hint="default"/>
        <w:lang w:val="it-IT" w:eastAsia="en-US" w:bidi="ar-SA"/>
      </w:rPr>
    </w:lvl>
  </w:abstractNum>
  <w:abstractNum w:abstractNumId="25" w15:restartNumberingAfterBreak="0">
    <w:nsid w:val="6D1D2E73"/>
    <w:multiLevelType w:val="hybridMultilevel"/>
    <w:tmpl w:val="3C60990A"/>
    <w:lvl w:ilvl="0" w:tplc="A0881952">
      <w:start w:val="1"/>
      <w:numFmt w:val="decimal"/>
      <w:lvlText w:val="%1."/>
      <w:lvlJc w:val="left"/>
      <w:pPr>
        <w:ind w:left="587" w:hanging="270"/>
      </w:pPr>
      <w:rPr>
        <w:rFonts w:ascii="Times New Roman" w:eastAsia="Times New Roman" w:hAnsi="Times New Roman" w:cs="Times New Roman" w:hint="default"/>
        <w:w w:val="100"/>
        <w:sz w:val="24"/>
        <w:szCs w:val="24"/>
        <w:lang w:val="it-IT" w:eastAsia="en-US" w:bidi="ar-SA"/>
      </w:rPr>
    </w:lvl>
    <w:lvl w:ilvl="1" w:tplc="AA840FD6">
      <w:numFmt w:val="bullet"/>
      <w:lvlText w:val="•"/>
      <w:lvlJc w:val="left"/>
      <w:pPr>
        <w:ind w:left="1375" w:hanging="270"/>
      </w:pPr>
      <w:rPr>
        <w:rFonts w:hint="default"/>
        <w:lang w:val="it-IT" w:eastAsia="en-US" w:bidi="ar-SA"/>
      </w:rPr>
    </w:lvl>
    <w:lvl w:ilvl="2" w:tplc="F560116A">
      <w:numFmt w:val="bullet"/>
      <w:lvlText w:val="•"/>
      <w:lvlJc w:val="left"/>
      <w:pPr>
        <w:ind w:left="2171" w:hanging="270"/>
      </w:pPr>
      <w:rPr>
        <w:rFonts w:hint="default"/>
        <w:lang w:val="it-IT" w:eastAsia="en-US" w:bidi="ar-SA"/>
      </w:rPr>
    </w:lvl>
    <w:lvl w:ilvl="3" w:tplc="93CA192A">
      <w:numFmt w:val="bullet"/>
      <w:lvlText w:val="•"/>
      <w:lvlJc w:val="left"/>
      <w:pPr>
        <w:ind w:left="2967" w:hanging="270"/>
      </w:pPr>
      <w:rPr>
        <w:rFonts w:hint="default"/>
        <w:lang w:val="it-IT" w:eastAsia="en-US" w:bidi="ar-SA"/>
      </w:rPr>
    </w:lvl>
    <w:lvl w:ilvl="4" w:tplc="B106D46E">
      <w:numFmt w:val="bullet"/>
      <w:lvlText w:val="•"/>
      <w:lvlJc w:val="left"/>
      <w:pPr>
        <w:ind w:left="3763" w:hanging="270"/>
      </w:pPr>
      <w:rPr>
        <w:rFonts w:hint="default"/>
        <w:lang w:val="it-IT" w:eastAsia="en-US" w:bidi="ar-SA"/>
      </w:rPr>
    </w:lvl>
    <w:lvl w:ilvl="5" w:tplc="0CC8D854">
      <w:numFmt w:val="bullet"/>
      <w:lvlText w:val="•"/>
      <w:lvlJc w:val="left"/>
      <w:pPr>
        <w:ind w:left="4559" w:hanging="270"/>
      </w:pPr>
      <w:rPr>
        <w:rFonts w:hint="default"/>
        <w:lang w:val="it-IT" w:eastAsia="en-US" w:bidi="ar-SA"/>
      </w:rPr>
    </w:lvl>
    <w:lvl w:ilvl="6" w:tplc="D03885BA">
      <w:numFmt w:val="bullet"/>
      <w:lvlText w:val="•"/>
      <w:lvlJc w:val="left"/>
      <w:pPr>
        <w:ind w:left="5355" w:hanging="270"/>
      </w:pPr>
      <w:rPr>
        <w:rFonts w:hint="default"/>
        <w:lang w:val="it-IT" w:eastAsia="en-US" w:bidi="ar-SA"/>
      </w:rPr>
    </w:lvl>
    <w:lvl w:ilvl="7" w:tplc="B356756A">
      <w:numFmt w:val="bullet"/>
      <w:lvlText w:val="•"/>
      <w:lvlJc w:val="left"/>
      <w:pPr>
        <w:ind w:left="6151" w:hanging="270"/>
      </w:pPr>
      <w:rPr>
        <w:rFonts w:hint="default"/>
        <w:lang w:val="it-IT" w:eastAsia="en-US" w:bidi="ar-SA"/>
      </w:rPr>
    </w:lvl>
    <w:lvl w:ilvl="8" w:tplc="DD465AB6">
      <w:numFmt w:val="bullet"/>
      <w:lvlText w:val="•"/>
      <w:lvlJc w:val="left"/>
      <w:pPr>
        <w:ind w:left="6947" w:hanging="270"/>
      </w:pPr>
      <w:rPr>
        <w:rFonts w:hint="default"/>
        <w:lang w:val="it-IT" w:eastAsia="en-US" w:bidi="ar-SA"/>
      </w:rPr>
    </w:lvl>
  </w:abstractNum>
  <w:abstractNum w:abstractNumId="26" w15:restartNumberingAfterBreak="0">
    <w:nsid w:val="758F3A79"/>
    <w:multiLevelType w:val="hybridMultilevel"/>
    <w:tmpl w:val="E75AE79C"/>
    <w:lvl w:ilvl="0" w:tplc="D11E01E0">
      <w:start w:val="1"/>
      <w:numFmt w:val="lowerLetter"/>
      <w:lvlText w:val="%1)"/>
      <w:lvlJc w:val="left"/>
      <w:pPr>
        <w:ind w:left="587" w:hanging="253"/>
      </w:pPr>
      <w:rPr>
        <w:rFonts w:ascii="Times New Roman" w:eastAsia="Times New Roman" w:hAnsi="Times New Roman" w:cs="Times New Roman" w:hint="default"/>
        <w:w w:val="100"/>
        <w:sz w:val="24"/>
        <w:szCs w:val="24"/>
        <w:lang w:val="it-IT" w:eastAsia="en-US" w:bidi="ar-SA"/>
      </w:rPr>
    </w:lvl>
    <w:lvl w:ilvl="1" w:tplc="5DDAEFEC">
      <w:numFmt w:val="bullet"/>
      <w:lvlText w:val="•"/>
      <w:lvlJc w:val="left"/>
      <w:pPr>
        <w:ind w:left="1375" w:hanging="253"/>
      </w:pPr>
      <w:rPr>
        <w:rFonts w:hint="default"/>
        <w:lang w:val="it-IT" w:eastAsia="en-US" w:bidi="ar-SA"/>
      </w:rPr>
    </w:lvl>
    <w:lvl w:ilvl="2" w:tplc="B0A0A0EA">
      <w:numFmt w:val="bullet"/>
      <w:lvlText w:val="•"/>
      <w:lvlJc w:val="left"/>
      <w:pPr>
        <w:ind w:left="2171" w:hanging="253"/>
      </w:pPr>
      <w:rPr>
        <w:rFonts w:hint="default"/>
        <w:lang w:val="it-IT" w:eastAsia="en-US" w:bidi="ar-SA"/>
      </w:rPr>
    </w:lvl>
    <w:lvl w:ilvl="3" w:tplc="D0F4D450">
      <w:numFmt w:val="bullet"/>
      <w:lvlText w:val="•"/>
      <w:lvlJc w:val="left"/>
      <w:pPr>
        <w:ind w:left="2967" w:hanging="253"/>
      </w:pPr>
      <w:rPr>
        <w:rFonts w:hint="default"/>
        <w:lang w:val="it-IT" w:eastAsia="en-US" w:bidi="ar-SA"/>
      </w:rPr>
    </w:lvl>
    <w:lvl w:ilvl="4" w:tplc="B4166322">
      <w:numFmt w:val="bullet"/>
      <w:lvlText w:val="•"/>
      <w:lvlJc w:val="left"/>
      <w:pPr>
        <w:ind w:left="3763" w:hanging="253"/>
      </w:pPr>
      <w:rPr>
        <w:rFonts w:hint="default"/>
        <w:lang w:val="it-IT" w:eastAsia="en-US" w:bidi="ar-SA"/>
      </w:rPr>
    </w:lvl>
    <w:lvl w:ilvl="5" w:tplc="6C928722">
      <w:numFmt w:val="bullet"/>
      <w:lvlText w:val="•"/>
      <w:lvlJc w:val="left"/>
      <w:pPr>
        <w:ind w:left="4559" w:hanging="253"/>
      </w:pPr>
      <w:rPr>
        <w:rFonts w:hint="default"/>
        <w:lang w:val="it-IT" w:eastAsia="en-US" w:bidi="ar-SA"/>
      </w:rPr>
    </w:lvl>
    <w:lvl w:ilvl="6" w:tplc="CD421A02">
      <w:numFmt w:val="bullet"/>
      <w:lvlText w:val="•"/>
      <w:lvlJc w:val="left"/>
      <w:pPr>
        <w:ind w:left="5355" w:hanging="253"/>
      </w:pPr>
      <w:rPr>
        <w:rFonts w:hint="default"/>
        <w:lang w:val="it-IT" w:eastAsia="en-US" w:bidi="ar-SA"/>
      </w:rPr>
    </w:lvl>
    <w:lvl w:ilvl="7" w:tplc="43604A8E">
      <w:numFmt w:val="bullet"/>
      <w:lvlText w:val="•"/>
      <w:lvlJc w:val="left"/>
      <w:pPr>
        <w:ind w:left="6151" w:hanging="253"/>
      </w:pPr>
      <w:rPr>
        <w:rFonts w:hint="default"/>
        <w:lang w:val="it-IT" w:eastAsia="en-US" w:bidi="ar-SA"/>
      </w:rPr>
    </w:lvl>
    <w:lvl w:ilvl="8" w:tplc="AFB8C540">
      <w:numFmt w:val="bullet"/>
      <w:lvlText w:val="•"/>
      <w:lvlJc w:val="left"/>
      <w:pPr>
        <w:ind w:left="6947" w:hanging="253"/>
      </w:pPr>
      <w:rPr>
        <w:rFonts w:hint="default"/>
        <w:lang w:val="it-IT" w:eastAsia="en-US" w:bidi="ar-SA"/>
      </w:rPr>
    </w:lvl>
  </w:abstractNum>
  <w:num w:numId="1">
    <w:abstractNumId w:val="2"/>
  </w:num>
  <w:num w:numId="2">
    <w:abstractNumId w:val="12"/>
  </w:num>
  <w:num w:numId="3">
    <w:abstractNumId w:val="10"/>
  </w:num>
  <w:num w:numId="4">
    <w:abstractNumId w:val="7"/>
  </w:num>
  <w:num w:numId="5">
    <w:abstractNumId w:val="18"/>
  </w:num>
  <w:num w:numId="6">
    <w:abstractNumId w:val="4"/>
  </w:num>
  <w:num w:numId="7">
    <w:abstractNumId w:val="20"/>
  </w:num>
  <w:num w:numId="8">
    <w:abstractNumId w:val="17"/>
  </w:num>
  <w:num w:numId="9">
    <w:abstractNumId w:val="9"/>
  </w:num>
  <w:num w:numId="10">
    <w:abstractNumId w:val="6"/>
  </w:num>
  <w:num w:numId="11">
    <w:abstractNumId w:val="5"/>
  </w:num>
  <w:num w:numId="12">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9"/>
  </w:num>
  <w:num w:numId="14">
    <w:abstractNumId w:val="26"/>
  </w:num>
  <w:num w:numId="15">
    <w:abstractNumId w:val="24"/>
  </w:num>
  <w:num w:numId="16">
    <w:abstractNumId w:val="22"/>
  </w:num>
  <w:num w:numId="17">
    <w:abstractNumId w:val="21"/>
  </w:num>
  <w:num w:numId="18">
    <w:abstractNumId w:val="3"/>
  </w:num>
  <w:num w:numId="19">
    <w:abstractNumId w:val="23"/>
  </w:num>
  <w:num w:numId="20">
    <w:abstractNumId w:val="13"/>
  </w:num>
  <w:num w:numId="21">
    <w:abstractNumId w:val="0"/>
  </w:num>
  <w:num w:numId="22">
    <w:abstractNumId w:val="1"/>
  </w:num>
  <w:num w:numId="23">
    <w:abstractNumId w:val="8"/>
  </w:num>
  <w:num w:numId="24">
    <w:abstractNumId w:val="11"/>
  </w:num>
  <w:num w:numId="25">
    <w:abstractNumId w:val="16"/>
  </w:num>
  <w:num w:numId="26">
    <w:abstractNumId w:val="25"/>
  </w:num>
  <w:num w:numId="27">
    <w:abstractNumId w:val="14"/>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mirrorMargins/>
  <w:proofState w:spelling="clean" w:grammar="clean"/>
  <w:defaultTabStop w:val="720"/>
  <w:hyphenationZone w:val="283"/>
  <w:evenAndOddHeaders/>
  <w:drawingGridHorizontalSpacing w:val="100"/>
  <w:drawingGridVerticalSpacing w:val="136"/>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14F"/>
    <w:rsid w:val="0000283B"/>
    <w:rsid w:val="0000392B"/>
    <w:rsid w:val="00011639"/>
    <w:rsid w:val="00012BB5"/>
    <w:rsid w:val="0001354D"/>
    <w:rsid w:val="0001412B"/>
    <w:rsid w:val="00014F29"/>
    <w:rsid w:val="00020E62"/>
    <w:rsid w:val="00030D03"/>
    <w:rsid w:val="000312C3"/>
    <w:rsid w:val="000331CC"/>
    <w:rsid w:val="000334E1"/>
    <w:rsid w:val="00037EE5"/>
    <w:rsid w:val="00040E4A"/>
    <w:rsid w:val="00042E03"/>
    <w:rsid w:val="0004407E"/>
    <w:rsid w:val="00051A57"/>
    <w:rsid w:val="000525CC"/>
    <w:rsid w:val="0005286F"/>
    <w:rsid w:val="000548FD"/>
    <w:rsid w:val="00055E6C"/>
    <w:rsid w:val="00062B9B"/>
    <w:rsid w:val="00065D85"/>
    <w:rsid w:val="0009180C"/>
    <w:rsid w:val="00095FE5"/>
    <w:rsid w:val="000A078D"/>
    <w:rsid w:val="000A0A41"/>
    <w:rsid w:val="000B4E72"/>
    <w:rsid w:val="000B5D07"/>
    <w:rsid w:val="000C3A15"/>
    <w:rsid w:val="000C45FD"/>
    <w:rsid w:val="000C50F1"/>
    <w:rsid w:val="000D6B51"/>
    <w:rsid w:val="000D78D2"/>
    <w:rsid w:val="000E2A19"/>
    <w:rsid w:val="000E58CB"/>
    <w:rsid w:val="000F53CD"/>
    <w:rsid w:val="000F7413"/>
    <w:rsid w:val="000F7F93"/>
    <w:rsid w:val="00105332"/>
    <w:rsid w:val="0011107C"/>
    <w:rsid w:val="00112F2F"/>
    <w:rsid w:val="00113CFE"/>
    <w:rsid w:val="00113F64"/>
    <w:rsid w:val="001160F9"/>
    <w:rsid w:val="0012190D"/>
    <w:rsid w:val="00125203"/>
    <w:rsid w:val="00125CBA"/>
    <w:rsid w:val="00126E8F"/>
    <w:rsid w:val="0013117C"/>
    <w:rsid w:val="0013176B"/>
    <w:rsid w:val="00133E8D"/>
    <w:rsid w:val="00134C90"/>
    <w:rsid w:val="00137B3F"/>
    <w:rsid w:val="001406E9"/>
    <w:rsid w:val="001413DF"/>
    <w:rsid w:val="00141485"/>
    <w:rsid w:val="001533B3"/>
    <w:rsid w:val="0015538C"/>
    <w:rsid w:val="00163604"/>
    <w:rsid w:val="001636BB"/>
    <w:rsid w:val="00165484"/>
    <w:rsid w:val="00166CB1"/>
    <w:rsid w:val="0017004E"/>
    <w:rsid w:val="00175EC9"/>
    <w:rsid w:val="0017723D"/>
    <w:rsid w:val="00182895"/>
    <w:rsid w:val="00187D36"/>
    <w:rsid w:val="0019195A"/>
    <w:rsid w:val="001927D7"/>
    <w:rsid w:val="001A1A70"/>
    <w:rsid w:val="001A22CF"/>
    <w:rsid w:val="001A275C"/>
    <w:rsid w:val="001A749A"/>
    <w:rsid w:val="001B3F84"/>
    <w:rsid w:val="001B687E"/>
    <w:rsid w:val="001C0AB0"/>
    <w:rsid w:val="001D04E2"/>
    <w:rsid w:val="001D1E46"/>
    <w:rsid w:val="001F378B"/>
    <w:rsid w:val="001F5EA4"/>
    <w:rsid w:val="001F6D3A"/>
    <w:rsid w:val="001F75AD"/>
    <w:rsid w:val="0020198A"/>
    <w:rsid w:val="00201A99"/>
    <w:rsid w:val="0020737D"/>
    <w:rsid w:val="0021022B"/>
    <w:rsid w:val="00213445"/>
    <w:rsid w:val="00215E69"/>
    <w:rsid w:val="00220748"/>
    <w:rsid w:val="0022078B"/>
    <w:rsid w:val="002273FB"/>
    <w:rsid w:val="00227FEC"/>
    <w:rsid w:val="00234096"/>
    <w:rsid w:val="00236326"/>
    <w:rsid w:val="0024213A"/>
    <w:rsid w:val="00245260"/>
    <w:rsid w:val="00251FEF"/>
    <w:rsid w:val="002565F2"/>
    <w:rsid w:val="00257BDB"/>
    <w:rsid w:val="00262F41"/>
    <w:rsid w:val="00264750"/>
    <w:rsid w:val="002739D4"/>
    <w:rsid w:val="00276E23"/>
    <w:rsid w:val="00283714"/>
    <w:rsid w:val="002846E6"/>
    <w:rsid w:val="002857B8"/>
    <w:rsid w:val="00294ADF"/>
    <w:rsid w:val="0029625E"/>
    <w:rsid w:val="002971FC"/>
    <w:rsid w:val="002A02BE"/>
    <w:rsid w:val="002A0A24"/>
    <w:rsid w:val="002B44C9"/>
    <w:rsid w:val="002C7E0D"/>
    <w:rsid w:val="002D6ED1"/>
    <w:rsid w:val="002D7720"/>
    <w:rsid w:val="002F18B4"/>
    <w:rsid w:val="002F2BAA"/>
    <w:rsid w:val="003063A8"/>
    <w:rsid w:val="003078B7"/>
    <w:rsid w:val="0031282F"/>
    <w:rsid w:val="00312DBA"/>
    <w:rsid w:val="003151B6"/>
    <w:rsid w:val="00315935"/>
    <w:rsid w:val="003169C1"/>
    <w:rsid w:val="0031763F"/>
    <w:rsid w:val="003178E9"/>
    <w:rsid w:val="00322A69"/>
    <w:rsid w:val="00323F0B"/>
    <w:rsid w:val="00325718"/>
    <w:rsid w:val="00327588"/>
    <w:rsid w:val="00327D1A"/>
    <w:rsid w:val="003315DB"/>
    <w:rsid w:val="00341212"/>
    <w:rsid w:val="0034367D"/>
    <w:rsid w:val="00346C59"/>
    <w:rsid w:val="00351552"/>
    <w:rsid w:val="00354FAF"/>
    <w:rsid w:val="00356968"/>
    <w:rsid w:val="0036194E"/>
    <w:rsid w:val="00363304"/>
    <w:rsid w:val="00364A97"/>
    <w:rsid w:val="00375658"/>
    <w:rsid w:val="003775B3"/>
    <w:rsid w:val="00377D10"/>
    <w:rsid w:val="003905DB"/>
    <w:rsid w:val="003B55CF"/>
    <w:rsid w:val="003B618F"/>
    <w:rsid w:val="003C13CE"/>
    <w:rsid w:val="003C2822"/>
    <w:rsid w:val="003D1E5D"/>
    <w:rsid w:val="003D2A0B"/>
    <w:rsid w:val="003D492A"/>
    <w:rsid w:val="003D602D"/>
    <w:rsid w:val="003D6F56"/>
    <w:rsid w:val="003E19B6"/>
    <w:rsid w:val="003E6C3F"/>
    <w:rsid w:val="003F2553"/>
    <w:rsid w:val="003F3306"/>
    <w:rsid w:val="003F51F8"/>
    <w:rsid w:val="004033D2"/>
    <w:rsid w:val="004035C7"/>
    <w:rsid w:val="004041F4"/>
    <w:rsid w:val="00410BE0"/>
    <w:rsid w:val="00410C42"/>
    <w:rsid w:val="0041357C"/>
    <w:rsid w:val="00420460"/>
    <w:rsid w:val="004226BC"/>
    <w:rsid w:val="00422E52"/>
    <w:rsid w:val="00424DB6"/>
    <w:rsid w:val="00434AA2"/>
    <w:rsid w:val="00440F4A"/>
    <w:rsid w:val="00441A04"/>
    <w:rsid w:val="00450D5B"/>
    <w:rsid w:val="004519D7"/>
    <w:rsid w:val="00451BB1"/>
    <w:rsid w:val="004532C6"/>
    <w:rsid w:val="004545F6"/>
    <w:rsid w:val="00454637"/>
    <w:rsid w:val="00456787"/>
    <w:rsid w:val="00465F1C"/>
    <w:rsid w:val="00473B76"/>
    <w:rsid w:val="004764A8"/>
    <w:rsid w:val="0048054C"/>
    <w:rsid w:val="00481C8C"/>
    <w:rsid w:val="004832BA"/>
    <w:rsid w:val="0048371F"/>
    <w:rsid w:val="004850A2"/>
    <w:rsid w:val="00487615"/>
    <w:rsid w:val="00496E31"/>
    <w:rsid w:val="004B288A"/>
    <w:rsid w:val="004B4327"/>
    <w:rsid w:val="004C16CF"/>
    <w:rsid w:val="004C7ECF"/>
    <w:rsid w:val="004D04A9"/>
    <w:rsid w:val="004D0F93"/>
    <w:rsid w:val="004D533E"/>
    <w:rsid w:val="004D588C"/>
    <w:rsid w:val="004D72A3"/>
    <w:rsid w:val="004D7FDD"/>
    <w:rsid w:val="004E4696"/>
    <w:rsid w:val="004E56A0"/>
    <w:rsid w:val="004E6060"/>
    <w:rsid w:val="004F0EE3"/>
    <w:rsid w:val="004F227F"/>
    <w:rsid w:val="004F5448"/>
    <w:rsid w:val="0050205B"/>
    <w:rsid w:val="005028B7"/>
    <w:rsid w:val="00510FB9"/>
    <w:rsid w:val="005127BF"/>
    <w:rsid w:val="005155CB"/>
    <w:rsid w:val="00516E7D"/>
    <w:rsid w:val="005171AF"/>
    <w:rsid w:val="00522252"/>
    <w:rsid w:val="00523A2C"/>
    <w:rsid w:val="00525326"/>
    <w:rsid w:val="00533418"/>
    <w:rsid w:val="005334F4"/>
    <w:rsid w:val="005345AF"/>
    <w:rsid w:val="00535DE3"/>
    <w:rsid w:val="0053600A"/>
    <w:rsid w:val="00536959"/>
    <w:rsid w:val="00537EE1"/>
    <w:rsid w:val="00541E41"/>
    <w:rsid w:val="005455B5"/>
    <w:rsid w:val="00553F54"/>
    <w:rsid w:val="005705AA"/>
    <w:rsid w:val="0057099F"/>
    <w:rsid w:val="00571386"/>
    <w:rsid w:val="00572BE9"/>
    <w:rsid w:val="0058489B"/>
    <w:rsid w:val="00590380"/>
    <w:rsid w:val="00592362"/>
    <w:rsid w:val="005926F7"/>
    <w:rsid w:val="005934CD"/>
    <w:rsid w:val="005A0F9A"/>
    <w:rsid w:val="005B3648"/>
    <w:rsid w:val="005B4FD5"/>
    <w:rsid w:val="005C16F5"/>
    <w:rsid w:val="005C7C10"/>
    <w:rsid w:val="005D50F5"/>
    <w:rsid w:val="005D520C"/>
    <w:rsid w:val="005D53A6"/>
    <w:rsid w:val="005E0892"/>
    <w:rsid w:val="005E472D"/>
    <w:rsid w:val="005E72C2"/>
    <w:rsid w:val="005F1255"/>
    <w:rsid w:val="005F1A2D"/>
    <w:rsid w:val="005F27F8"/>
    <w:rsid w:val="005F4267"/>
    <w:rsid w:val="006054DE"/>
    <w:rsid w:val="00606053"/>
    <w:rsid w:val="0061002C"/>
    <w:rsid w:val="006173DE"/>
    <w:rsid w:val="0062159B"/>
    <w:rsid w:val="00623045"/>
    <w:rsid w:val="00623577"/>
    <w:rsid w:val="006361BB"/>
    <w:rsid w:val="00644AD8"/>
    <w:rsid w:val="006508D0"/>
    <w:rsid w:val="00652AF5"/>
    <w:rsid w:val="00653758"/>
    <w:rsid w:val="0065552E"/>
    <w:rsid w:val="0065699F"/>
    <w:rsid w:val="00656B6D"/>
    <w:rsid w:val="00666366"/>
    <w:rsid w:val="00671FC2"/>
    <w:rsid w:val="00677E92"/>
    <w:rsid w:val="00682580"/>
    <w:rsid w:val="006839D6"/>
    <w:rsid w:val="0069179E"/>
    <w:rsid w:val="006973EE"/>
    <w:rsid w:val="006A1DE0"/>
    <w:rsid w:val="006A579B"/>
    <w:rsid w:val="006B30B2"/>
    <w:rsid w:val="006C4C74"/>
    <w:rsid w:val="006D1C75"/>
    <w:rsid w:val="006E2B63"/>
    <w:rsid w:val="006E302B"/>
    <w:rsid w:val="006E522F"/>
    <w:rsid w:val="006E6FFB"/>
    <w:rsid w:val="006F455D"/>
    <w:rsid w:val="006F5E11"/>
    <w:rsid w:val="006F6F3C"/>
    <w:rsid w:val="00704B03"/>
    <w:rsid w:val="007053B8"/>
    <w:rsid w:val="0070663F"/>
    <w:rsid w:val="007156B5"/>
    <w:rsid w:val="007207DA"/>
    <w:rsid w:val="0072446D"/>
    <w:rsid w:val="007329D0"/>
    <w:rsid w:val="00734D39"/>
    <w:rsid w:val="00740F55"/>
    <w:rsid w:val="00744976"/>
    <w:rsid w:val="0074650F"/>
    <w:rsid w:val="00747EC8"/>
    <w:rsid w:val="00751D46"/>
    <w:rsid w:val="00753E34"/>
    <w:rsid w:val="00754B81"/>
    <w:rsid w:val="00756258"/>
    <w:rsid w:val="0077462B"/>
    <w:rsid w:val="007811E7"/>
    <w:rsid w:val="00783AF0"/>
    <w:rsid w:val="00786639"/>
    <w:rsid w:val="00792ADB"/>
    <w:rsid w:val="00793B10"/>
    <w:rsid w:val="00793CC1"/>
    <w:rsid w:val="007A1606"/>
    <w:rsid w:val="007A35B6"/>
    <w:rsid w:val="007A66FC"/>
    <w:rsid w:val="007B16C8"/>
    <w:rsid w:val="007B3A12"/>
    <w:rsid w:val="007B5023"/>
    <w:rsid w:val="007B5275"/>
    <w:rsid w:val="007C3B1E"/>
    <w:rsid w:val="007C436B"/>
    <w:rsid w:val="007C573D"/>
    <w:rsid w:val="007C70BC"/>
    <w:rsid w:val="007D14FF"/>
    <w:rsid w:val="007D36E1"/>
    <w:rsid w:val="007D7409"/>
    <w:rsid w:val="007E4D43"/>
    <w:rsid w:val="007E4F90"/>
    <w:rsid w:val="007E5AE3"/>
    <w:rsid w:val="007E5FDD"/>
    <w:rsid w:val="007F2DFA"/>
    <w:rsid w:val="007F34E5"/>
    <w:rsid w:val="007F4B1D"/>
    <w:rsid w:val="007F50A8"/>
    <w:rsid w:val="007F6AB0"/>
    <w:rsid w:val="00800796"/>
    <w:rsid w:val="00800D74"/>
    <w:rsid w:val="0080396B"/>
    <w:rsid w:val="00804187"/>
    <w:rsid w:val="00816A2D"/>
    <w:rsid w:val="008246C0"/>
    <w:rsid w:val="00830635"/>
    <w:rsid w:val="0084772D"/>
    <w:rsid w:val="00854469"/>
    <w:rsid w:val="0086411D"/>
    <w:rsid w:val="00873812"/>
    <w:rsid w:val="0088040D"/>
    <w:rsid w:val="008857CB"/>
    <w:rsid w:val="00885EE4"/>
    <w:rsid w:val="00891EE5"/>
    <w:rsid w:val="00892983"/>
    <w:rsid w:val="0089371A"/>
    <w:rsid w:val="00897768"/>
    <w:rsid w:val="008A15BB"/>
    <w:rsid w:val="008A7373"/>
    <w:rsid w:val="008B2177"/>
    <w:rsid w:val="008C18C2"/>
    <w:rsid w:val="008C1950"/>
    <w:rsid w:val="008C6A11"/>
    <w:rsid w:val="008D0E7A"/>
    <w:rsid w:val="008D24AE"/>
    <w:rsid w:val="008D3ABD"/>
    <w:rsid w:val="008D5A12"/>
    <w:rsid w:val="008E3353"/>
    <w:rsid w:val="008E3C4F"/>
    <w:rsid w:val="008F1B4E"/>
    <w:rsid w:val="008F7901"/>
    <w:rsid w:val="00902675"/>
    <w:rsid w:val="00903114"/>
    <w:rsid w:val="00906464"/>
    <w:rsid w:val="00906668"/>
    <w:rsid w:val="00906D72"/>
    <w:rsid w:val="009154FE"/>
    <w:rsid w:val="0092229A"/>
    <w:rsid w:val="00924849"/>
    <w:rsid w:val="00930666"/>
    <w:rsid w:val="0093508D"/>
    <w:rsid w:val="00936FBB"/>
    <w:rsid w:val="00937028"/>
    <w:rsid w:val="009413E8"/>
    <w:rsid w:val="00952A50"/>
    <w:rsid w:val="00954A51"/>
    <w:rsid w:val="00954CF6"/>
    <w:rsid w:val="00954FA6"/>
    <w:rsid w:val="009553AE"/>
    <w:rsid w:val="00955763"/>
    <w:rsid w:val="00956698"/>
    <w:rsid w:val="0096056C"/>
    <w:rsid w:val="009624C1"/>
    <w:rsid w:val="009636B3"/>
    <w:rsid w:val="00971381"/>
    <w:rsid w:val="00972961"/>
    <w:rsid w:val="00974127"/>
    <w:rsid w:val="00977105"/>
    <w:rsid w:val="009837D1"/>
    <w:rsid w:val="009868D8"/>
    <w:rsid w:val="0099337D"/>
    <w:rsid w:val="00993538"/>
    <w:rsid w:val="00994F45"/>
    <w:rsid w:val="009962ED"/>
    <w:rsid w:val="009A74B2"/>
    <w:rsid w:val="009B23A9"/>
    <w:rsid w:val="009B53F9"/>
    <w:rsid w:val="009C53EF"/>
    <w:rsid w:val="009C570D"/>
    <w:rsid w:val="009E014F"/>
    <w:rsid w:val="009F006D"/>
    <w:rsid w:val="009F11A4"/>
    <w:rsid w:val="009F26AF"/>
    <w:rsid w:val="009F3802"/>
    <w:rsid w:val="009F3C67"/>
    <w:rsid w:val="00A00765"/>
    <w:rsid w:val="00A03B51"/>
    <w:rsid w:val="00A07323"/>
    <w:rsid w:val="00A07672"/>
    <w:rsid w:val="00A16EC0"/>
    <w:rsid w:val="00A16FC1"/>
    <w:rsid w:val="00A20BEE"/>
    <w:rsid w:val="00A24F3A"/>
    <w:rsid w:val="00A30BD7"/>
    <w:rsid w:val="00A313F5"/>
    <w:rsid w:val="00A33CDD"/>
    <w:rsid w:val="00A34AE9"/>
    <w:rsid w:val="00A35C5F"/>
    <w:rsid w:val="00A37720"/>
    <w:rsid w:val="00A43B43"/>
    <w:rsid w:val="00A5014D"/>
    <w:rsid w:val="00A504CE"/>
    <w:rsid w:val="00A5211E"/>
    <w:rsid w:val="00A54685"/>
    <w:rsid w:val="00A55601"/>
    <w:rsid w:val="00A55A78"/>
    <w:rsid w:val="00A61AF7"/>
    <w:rsid w:val="00A6378C"/>
    <w:rsid w:val="00A705D9"/>
    <w:rsid w:val="00A75719"/>
    <w:rsid w:val="00A808EB"/>
    <w:rsid w:val="00A82891"/>
    <w:rsid w:val="00A854AD"/>
    <w:rsid w:val="00A918F9"/>
    <w:rsid w:val="00A92EF0"/>
    <w:rsid w:val="00AA11AD"/>
    <w:rsid w:val="00AA120E"/>
    <w:rsid w:val="00AA127C"/>
    <w:rsid w:val="00AA5107"/>
    <w:rsid w:val="00AA706F"/>
    <w:rsid w:val="00AB6F71"/>
    <w:rsid w:val="00AC3A3B"/>
    <w:rsid w:val="00AD1B0C"/>
    <w:rsid w:val="00AD5AFD"/>
    <w:rsid w:val="00AE708D"/>
    <w:rsid w:val="00AF590A"/>
    <w:rsid w:val="00B0286F"/>
    <w:rsid w:val="00B07423"/>
    <w:rsid w:val="00B13F9F"/>
    <w:rsid w:val="00B159D2"/>
    <w:rsid w:val="00B16393"/>
    <w:rsid w:val="00B2344F"/>
    <w:rsid w:val="00B23C5F"/>
    <w:rsid w:val="00B2603D"/>
    <w:rsid w:val="00B26435"/>
    <w:rsid w:val="00B26C50"/>
    <w:rsid w:val="00B32CFF"/>
    <w:rsid w:val="00B32F3D"/>
    <w:rsid w:val="00B42702"/>
    <w:rsid w:val="00B42FCB"/>
    <w:rsid w:val="00B44950"/>
    <w:rsid w:val="00B4529F"/>
    <w:rsid w:val="00B45315"/>
    <w:rsid w:val="00B51638"/>
    <w:rsid w:val="00B520D6"/>
    <w:rsid w:val="00B5230B"/>
    <w:rsid w:val="00B52F6C"/>
    <w:rsid w:val="00B56801"/>
    <w:rsid w:val="00B61054"/>
    <w:rsid w:val="00B62016"/>
    <w:rsid w:val="00B645F5"/>
    <w:rsid w:val="00B67116"/>
    <w:rsid w:val="00B67C39"/>
    <w:rsid w:val="00B76C9A"/>
    <w:rsid w:val="00B778D4"/>
    <w:rsid w:val="00B82448"/>
    <w:rsid w:val="00B82DA5"/>
    <w:rsid w:val="00B93B12"/>
    <w:rsid w:val="00BA3423"/>
    <w:rsid w:val="00BB608C"/>
    <w:rsid w:val="00BB62AF"/>
    <w:rsid w:val="00BC2F2E"/>
    <w:rsid w:val="00BC2F98"/>
    <w:rsid w:val="00BC49F4"/>
    <w:rsid w:val="00BC4B89"/>
    <w:rsid w:val="00BD415D"/>
    <w:rsid w:val="00BD4A22"/>
    <w:rsid w:val="00BE31DC"/>
    <w:rsid w:val="00BE3369"/>
    <w:rsid w:val="00BE42ED"/>
    <w:rsid w:val="00BE50CB"/>
    <w:rsid w:val="00BE5171"/>
    <w:rsid w:val="00BE5A1B"/>
    <w:rsid w:val="00BE5EE1"/>
    <w:rsid w:val="00BE6A6C"/>
    <w:rsid w:val="00C02901"/>
    <w:rsid w:val="00C051A0"/>
    <w:rsid w:val="00C0623F"/>
    <w:rsid w:val="00C14E8D"/>
    <w:rsid w:val="00C2005D"/>
    <w:rsid w:val="00C20DE6"/>
    <w:rsid w:val="00C2564D"/>
    <w:rsid w:val="00C32577"/>
    <w:rsid w:val="00C4624D"/>
    <w:rsid w:val="00C50F7C"/>
    <w:rsid w:val="00C51C68"/>
    <w:rsid w:val="00C5243A"/>
    <w:rsid w:val="00C553DF"/>
    <w:rsid w:val="00C76E5E"/>
    <w:rsid w:val="00C86438"/>
    <w:rsid w:val="00C8754B"/>
    <w:rsid w:val="00C908BC"/>
    <w:rsid w:val="00C91B38"/>
    <w:rsid w:val="00C9381B"/>
    <w:rsid w:val="00C973FC"/>
    <w:rsid w:val="00CA6FB6"/>
    <w:rsid w:val="00CA7386"/>
    <w:rsid w:val="00CB0296"/>
    <w:rsid w:val="00CB2D1D"/>
    <w:rsid w:val="00CB3CA1"/>
    <w:rsid w:val="00CB5E62"/>
    <w:rsid w:val="00CB5F02"/>
    <w:rsid w:val="00CC3DC5"/>
    <w:rsid w:val="00CD386D"/>
    <w:rsid w:val="00CE0751"/>
    <w:rsid w:val="00CE692C"/>
    <w:rsid w:val="00CE7AE2"/>
    <w:rsid w:val="00CF5ED7"/>
    <w:rsid w:val="00D015AC"/>
    <w:rsid w:val="00D025C8"/>
    <w:rsid w:val="00D03F5F"/>
    <w:rsid w:val="00D13684"/>
    <w:rsid w:val="00D13A58"/>
    <w:rsid w:val="00D16843"/>
    <w:rsid w:val="00D22E40"/>
    <w:rsid w:val="00D26D33"/>
    <w:rsid w:val="00D27808"/>
    <w:rsid w:val="00D3239E"/>
    <w:rsid w:val="00D33922"/>
    <w:rsid w:val="00D34A99"/>
    <w:rsid w:val="00D35B55"/>
    <w:rsid w:val="00D43152"/>
    <w:rsid w:val="00D455DA"/>
    <w:rsid w:val="00D52D9C"/>
    <w:rsid w:val="00D55161"/>
    <w:rsid w:val="00D66E90"/>
    <w:rsid w:val="00D6709B"/>
    <w:rsid w:val="00D727AF"/>
    <w:rsid w:val="00D76A6D"/>
    <w:rsid w:val="00D80B36"/>
    <w:rsid w:val="00D854D2"/>
    <w:rsid w:val="00D90935"/>
    <w:rsid w:val="00D90D1C"/>
    <w:rsid w:val="00D946FA"/>
    <w:rsid w:val="00DA1D50"/>
    <w:rsid w:val="00DC19C1"/>
    <w:rsid w:val="00DC3B6D"/>
    <w:rsid w:val="00DC77AE"/>
    <w:rsid w:val="00DD1A90"/>
    <w:rsid w:val="00DD243B"/>
    <w:rsid w:val="00DD5954"/>
    <w:rsid w:val="00DD7918"/>
    <w:rsid w:val="00DE0168"/>
    <w:rsid w:val="00DE23E5"/>
    <w:rsid w:val="00DE294B"/>
    <w:rsid w:val="00DE41E7"/>
    <w:rsid w:val="00DE54E2"/>
    <w:rsid w:val="00DE709C"/>
    <w:rsid w:val="00DF1B53"/>
    <w:rsid w:val="00DF1D3E"/>
    <w:rsid w:val="00DF3B3B"/>
    <w:rsid w:val="00DF4C64"/>
    <w:rsid w:val="00DF61F7"/>
    <w:rsid w:val="00DF6578"/>
    <w:rsid w:val="00DF7694"/>
    <w:rsid w:val="00E10939"/>
    <w:rsid w:val="00E10B48"/>
    <w:rsid w:val="00E10F35"/>
    <w:rsid w:val="00E119AB"/>
    <w:rsid w:val="00E12D33"/>
    <w:rsid w:val="00E12DC7"/>
    <w:rsid w:val="00E149B5"/>
    <w:rsid w:val="00E20887"/>
    <w:rsid w:val="00E24809"/>
    <w:rsid w:val="00E257C8"/>
    <w:rsid w:val="00E34094"/>
    <w:rsid w:val="00E37BEC"/>
    <w:rsid w:val="00E447A6"/>
    <w:rsid w:val="00E44F44"/>
    <w:rsid w:val="00E477A5"/>
    <w:rsid w:val="00E52027"/>
    <w:rsid w:val="00E52913"/>
    <w:rsid w:val="00E7709B"/>
    <w:rsid w:val="00E810E2"/>
    <w:rsid w:val="00E8364C"/>
    <w:rsid w:val="00E87237"/>
    <w:rsid w:val="00E94B93"/>
    <w:rsid w:val="00EA41FC"/>
    <w:rsid w:val="00EB45F6"/>
    <w:rsid w:val="00EB6C23"/>
    <w:rsid w:val="00EC1DCD"/>
    <w:rsid w:val="00EC58C7"/>
    <w:rsid w:val="00ED0087"/>
    <w:rsid w:val="00ED2781"/>
    <w:rsid w:val="00ED3475"/>
    <w:rsid w:val="00EE1DD8"/>
    <w:rsid w:val="00EE4D49"/>
    <w:rsid w:val="00EE5B75"/>
    <w:rsid w:val="00EE5D4B"/>
    <w:rsid w:val="00EE7D35"/>
    <w:rsid w:val="00EF0D42"/>
    <w:rsid w:val="00EF3D6D"/>
    <w:rsid w:val="00EF5680"/>
    <w:rsid w:val="00EF7DC4"/>
    <w:rsid w:val="00EF7E38"/>
    <w:rsid w:val="00F00276"/>
    <w:rsid w:val="00F009FD"/>
    <w:rsid w:val="00F00B1C"/>
    <w:rsid w:val="00F05A11"/>
    <w:rsid w:val="00F11632"/>
    <w:rsid w:val="00F13D70"/>
    <w:rsid w:val="00F25B8E"/>
    <w:rsid w:val="00F25BDF"/>
    <w:rsid w:val="00F305F6"/>
    <w:rsid w:val="00F30C03"/>
    <w:rsid w:val="00F347CD"/>
    <w:rsid w:val="00F41ECE"/>
    <w:rsid w:val="00F41FA0"/>
    <w:rsid w:val="00F42C0E"/>
    <w:rsid w:val="00F43227"/>
    <w:rsid w:val="00F46BB9"/>
    <w:rsid w:val="00F51528"/>
    <w:rsid w:val="00F5379F"/>
    <w:rsid w:val="00F61292"/>
    <w:rsid w:val="00F627C9"/>
    <w:rsid w:val="00F64885"/>
    <w:rsid w:val="00F65A63"/>
    <w:rsid w:val="00F6661B"/>
    <w:rsid w:val="00F679DD"/>
    <w:rsid w:val="00F70338"/>
    <w:rsid w:val="00F74A55"/>
    <w:rsid w:val="00F77BB8"/>
    <w:rsid w:val="00F8139A"/>
    <w:rsid w:val="00F8188D"/>
    <w:rsid w:val="00F86181"/>
    <w:rsid w:val="00F863AD"/>
    <w:rsid w:val="00F916C7"/>
    <w:rsid w:val="00F93539"/>
    <w:rsid w:val="00F96968"/>
    <w:rsid w:val="00FA0928"/>
    <w:rsid w:val="00FA0BE3"/>
    <w:rsid w:val="00FB097F"/>
    <w:rsid w:val="00FB6FCB"/>
    <w:rsid w:val="00FC1D7E"/>
    <w:rsid w:val="00FC3D6D"/>
    <w:rsid w:val="00FC5C2F"/>
    <w:rsid w:val="00FC6D35"/>
    <w:rsid w:val="00FD1CFE"/>
    <w:rsid w:val="00FD4993"/>
    <w:rsid w:val="00FF21C7"/>
    <w:rsid w:val="00FF3505"/>
    <w:rsid w:val="00FF60DE"/>
    <w:rsid w:val="00FF65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64F639"/>
  <w15:docId w15:val="{3E4634A0-9478-4B98-ABD3-C35628283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Raleway" w:eastAsia="Calibri" w:hAnsi="Raleway" w:cs="Calibri"/>
        <w:color w:val="878787"/>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F00276"/>
    <w:rPr>
      <w:rFonts w:ascii="Calibri" w:hAnsi="Calibri"/>
    </w:rPr>
  </w:style>
  <w:style w:type="paragraph" w:styleId="Titolo1">
    <w:name w:val="heading 1"/>
    <w:basedOn w:val="Normale"/>
    <w:next w:val="Normale"/>
    <w:link w:val="Titolo1Carattere"/>
    <w:uiPriority w:val="9"/>
    <w:qFormat/>
    <w:rsid w:val="00465F1C"/>
    <w:pPr>
      <w:keepNext/>
      <w:keepLines/>
      <w:spacing w:before="480" w:after="120"/>
      <w:contextualSpacing/>
      <w:outlineLvl w:val="0"/>
    </w:pPr>
    <w:rPr>
      <w:b/>
      <w:sz w:val="48"/>
      <w:szCs w:val="48"/>
    </w:rPr>
  </w:style>
  <w:style w:type="paragraph" w:styleId="Titolo2">
    <w:name w:val="heading 2"/>
    <w:basedOn w:val="Normale"/>
    <w:next w:val="Normale"/>
    <w:link w:val="Titolo2Carattere"/>
    <w:uiPriority w:val="9"/>
    <w:qFormat/>
    <w:rsid w:val="00465F1C"/>
    <w:pPr>
      <w:keepNext/>
      <w:keepLines/>
      <w:spacing w:before="360" w:after="80"/>
      <w:contextualSpacing/>
      <w:outlineLvl w:val="1"/>
    </w:pPr>
    <w:rPr>
      <w:b/>
      <w:sz w:val="36"/>
      <w:szCs w:val="36"/>
    </w:rPr>
  </w:style>
  <w:style w:type="paragraph" w:styleId="Titolo3">
    <w:name w:val="heading 3"/>
    <w:basedOn w:val="Normale"/>
    <w:next w:val="Normale"/>
    <w:link w:val="Titolo3Carattere"/>
    <w:uiPriority w:val="9"/>
    <w:qFormat/>
    <w:rsid w:val="00465F1C"/>
    <w:pPr>
      <w:keepNext/>
      <w:keepLines/>
      <w:spacing w:before="280" w:after="80"/>
      <w:contextualSpacing/>
      <w:outlineLvl w:val="2"/>
    </w:pPr>
    <w:rPr>
      <w:b/>
      <w:sz w:val="28"/>
      <w:szCs w:val="28"/>
    </w:rPr>
  </w:style>
  <w:style w:type="paragraph" w:styleId="Titolo4">
    <w:name w:val="heading 4"/>
    <w:basedOn w:val="Normale"/>
    <w:next w:val="Normale"/>
    <w:link w:val="Titolo4Carattere"/>
    <w:uiPriority w:val="9"/>
    <w:qFormat/>
    <w:rsid w:val="00465F1C"/>
    <w:pPr>
      <w:keepNext/>
      <w:keepLines/>
      <w:spacing w:before="240" w:after="40"/>
      <w:contextualSpacing/>
      <w:outlineLvl w:val="3"/>
    </w:pPr>
    <w:rPr>
      <w:b/>
      <w:sz w:val="24"/>
      <w:szCs w:val="24"/>
    </w:rPr>
  </w:style>
  <w:style w:type="paragraph" w:styleId="Titolo5">
    <w:name w:val="heading 5"/>
    <w:basedOn w:val="Normale"/>
    <w:next w:val="Normale"/>
    <w:link w:val="Titolo5Carattere"/>
    <w:uiPriority w:val="9"/>
    <w:qFormat/>
    <w:rsid w:val="00465F1C"/>
    <w:pPr>
      <w:keepNext/>
      <w:keepLines/>
      <w:spacing w:before="220" w:after="40"/>
      <w:contextualSpacing/>
      <w:outlineLvl w:val="4"/>
    </w:pPr>
    <w:rPr>
      <w:b/>
      <w:sz w:val="22"/>
      <w:szCs w:val="22"/>
    </w:rPr>
  </w:style>
  <w:style w:type="paragraph" w:styleId="Titolo6">
    <w:name w:val="heading 6"/>
    <w:basedOn w:val="Normale"/>
    <w:next w:val="Normale"/>
    <w:link w:val="Titolo6Carattere"/>
    <w:uiPriority w:val="9"/>
    <w:qFormat/>
    <w:rsid w:val="00465F1C"/>
    <w:pPr>
      <w:keepNext/>
      <w:keepLines/>
      <w:spacing w:before="200" w:after="40"/>
      <w:contextualSpacing/>
      <w:outlineLvl w:val="5"/>
    </w:pPr>
    <w:rPr>
      <w:b/>
    </w:rPr>
  </w:style>
  <w:style w:type="paragraph" w:styleId="Titolo7">
    <w:name w:val="heading 7"/>
    <w:basedOn w:val="Normale"/>
    <w:next w:val="Normale"/>
    <w:link w:val="Titolo7Carattere"/>
    <w:uiPriority w:val="9"/>
    <w:semiHidden/>
    <w:unhideWhenUsed/>
    <w:qFormat/>
    <w:rsid w:val="00EE4D49"/>
    <w:pPr>
      <w:keepNext/>
      <w:keepLines/>
      <w:spacing w:before="40" w:after="0"/>
      <w:outlineLvl w:val="6"/>
    </w:pPr>
    <w:rPr>
      <w:rFonts w:ascii="Calibri Light" w:eastAsia="Times New Roman" w:hAnsi="Calibri Light" w:cs="Times New Roman"/>
      <w:i/>
      <w:iCs/>
      <w:color w:val="C45911"/>
    </w:rPr>
  </w:style>
  <w:style w:type="paragraph" w:styleId="Titolo8">
    <w:name w:val="heading 8"/>
    <w:basedOn w:val="Normale"/>
    <w:next w:val="Normale"/>
    <w:link w:val="Titolo8Carattere"/>
    <w:uiPriority w:val="9"/>
    <w:semiHidden/>
    <w:unhideWhenUsed/>
    <w:qFormat/>
    <w:rsid w:val="00EE4D49"/>
    <w:pPr>
      <w:keepNext/>
      <w:keepLines/>
      <w:spacing w:before="40" w:after="0"/>
      <w:outlineLvl w:val="7"/>
    </w:pPr>
    <w:rPr>
      <w:rFonts w:ascii="Calibri Light" w:eastAsia="Times New Roman" w:hAnsi="Calibri Light" w:cs="Times New Roman"/>
      <w:i/>
      <w:iCs/>
      <w:color w:val="ED7D31"/>
    </w:rPr>
  </w:style>
  <w:style w:type="paragraph" w:styleId="Titolo9">
    <w:name w:val="heading 9"/>
    <w:basedOn w:val="Normale"/>
    <w:next w:val="Normale"/>
    <w:link w:val="Titolo9Carattere"/>
    <w:uiPriority w:val="9"/>
    <w:semiHidden/>
    <w:unhideWhenUsed/>
    <w:qFormat/>
    <w:rsid w:val="00EE4D49"/>
    <w:pPr>
      <w:keepNext/>
      <w:keepLines/>
      <w:spacing w:before="40" w:after="0"/>
      <w:outlineLvl w:val="8"/>
    </w:pPr>
    <w:rPr>
      <w:rFonts w:ascii="Calibri Light" w:eastAsia="Times New Roman" w:hAnsi="Calibri Light" w:cs="Times New Roman"/>
      <w:i/>
      <w:iCs/>
      <w:color w:val="ED7D3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65F1C"/>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465F1C"/>
    <w:pPr>
      <w:keepNext/>
      <w:keepLines/>
      <w:spacing w:before="480" w:after="120"/>
      <w:contextualSpacing/>
    </w:pPr>
    <w:rPr>
      <w:b/>
      <w:sz w:val="72"/>
      <w:szCs w:val="72"/>
    </w:rPr>
  </w:style>
  <w:style w:type="paragraph" w:styleId="Sottotitolo">
    <w:name w:val="Subtitle"/>
    <w:basedOn w:val="Normale"/>
    <w:next w:val="Normale"/>
    <w:link w:val="SottotitoloCarattere"/>
    <w:uiPriority w:val="11"/>
    <w:qFormat/>
    <w:rsid w:val="00D34A99"/>
    <w:pPr>
      <w:keepNext/>
      <w:keepLines/>
      <w:spacing w:before="360" w:after="80"/>
      <w:contextualSpacing/>
    </w:pPr>
    <w:rPr>
      <w:rFonts w:eastAsia="Georgia" w:cs="Georgia"/>
      <w:i/>
      <w:color w:val="666666"/>
      <w:sz w:val="48"/>
      <w:szCs w:val="48"/>
    </w:rPr>
  </w:style>
  <w:style w:type="paragraph" w:styleId="Intestazione">
    <w:name w:val="header"/>
    <w:basedOn w:val="Normale"/>
    <w:link w:val="IntestazioneCarattere"/>
    <w:uiPriority w:val="99"/>
    <w:unhideWhenUsed/>
    <w:rsid w:val="004F0E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0EE3"/>
  </w:style>
  <w:style w:type="paragraph" w:styleId="Pidipagina">
    <w:name w:val="footer"/>
    <w:basedOn w:val="Normale"/>
    <w:link w:val="PidipaginaCarattere"/>
    <w:uiPriority w:val="99"/>
    <w:unhideWhenUsed/>
    <w:rsid w:val="004F0E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0EE3"/>
  </w:style>
  <w:style w:type="character" w:styleId="Collegamentoipertestuale">
    <w:name w:val="Hyperlink"/>
    <w:basedOn w:val="Carpredefinitoparagrafo"/>
    <w:uiPriority w:val="99"/>
    <w:unhideWhenUsed/>
    <w:rsid w:val="00364A97"/>
    <w:rPr>
      <w:color w:val="0563C1" w:themeColor="hyperlink"/>
      <w:u w:val="single"/>
    </w:rPr>
  </w:style>
  <w:style w:type="character" w:styleId="Collegamentovisitato">
    <w:name w:val="FollowedHyperlink"/>
    <w:basedOn w:val="Carpredefinitoparagrafo"/>
    <w:uiPriority w:val="99"/>
    <w:semiHidden/>
    <w:unhideWhenUsed/>
    <w:rsid w:val="00364A97"/>
    <w:rPr>
      <w:color w:val="954F72" w:themeColor="followedHyperlink"/>
      <w:u w:val="single"/>
    </w:rPr>
  </w:style>
  <w:style w:type="character" w:styleId="Numeropagina">
    <w:name w:val="page number"/>
    <w:basedOn w:val="Carpredefinitoparagrafo"/>
    <w:uiPriority w:val="99"/>
    <w:semiHidden/>
    <w:unhideWhenUsed/>
    <w:rsid w:val="0069179E"/>
  </w:style>
  <w:style w:type="character" w:styleId="Enfasigrassetto">
    <w:name w:val="Strong"/>
    <w:basedOn w:val="Carpredefinitoparagrafo"/>
    <w:uiPriority w:val="22"/>
    <w:qFormat/>
    <w:rsid w:val="00473B76"/>
    <w:rPr>
      <w:b/>
      <w:bCs/>
    </w:rPr>
  </w:style>
  <w:style w:type="paragraph" w:styleId="Paragrafoelenco">
    <w:name w:val="List Paragraph"/>
    <w:basedOn w:val="Normale"/>
    <w:uiPriority w:val="1"/>
    <w:qFormat/>
    <w:rsid w:val="007B5023"/>
    <w:pPr>
      <w:ind w:left="720"/>
      <w:contextualSpacing/>
    </w:pPr>
  </w:style>
  <w:style w:type="paragraph" w:customStyle="1" w:styleId="TitolonewsletterISPRO">
    <w:name w:val="Titolo newsletter ISPRO"/>
    <w:link w:val="TitolonewsletterISPROCarattere"/>
    <w:rsid w:val="003151B6"/>
    <w:pPr>
      <w:numPr>
        <w:numId w:val="2"/>
      </w:numPr>
      <w:spacing w:after="140"/>
      <w:ind w:left="284"/>
      <w:jc w:val="center"/>
    </w:pPr>
    <w:rPr>
      <w:rFonts w:ascii="Calibri" w:hAnsi="Calibri"/>
      <w:b/>
      <w:color w:val="1D4387"/>
      <w:sz w:val="36"/>
      <w:szCs w:val="36"/>
    </w:rPr>
  </w:style>
  <w:style w:type="character" w:customStyle="1" w:styleId="TitolonewsletterISPROCarattere">
    <w:name w:val="Titolo newsletter ISPRO Carattere"/>
    <w:basedOn w:val="Carpredefinitoparagrafo"/>
    <w:link w:val="TitolonewsletterISPRO"/>
    <w:rsid w:val="003151B6"/>
    <w:rPr>
      <w:rFonts w:ascii="Calibri" w:hAnsi="Calibri"/>
      <w:b/>
      <w:color w:val="1D4387"/>
      <w:sz w:val="36"/>
      <w:szCs w:val="36"/>
    </w:rPr>
  </w:style>
  <w:style w:type="paragraph" w:styleId="Testofumetto">
    <w:name w:val="Balloon Text"/>
    <w:basedOn w:val="Normale"/>
    <w:link w:val="TestofumettoCarattere"/>
    <w:uiPriority w:val="99"/>
    <w:semiHidden/>
    <w:unhideWhenUsed/>
    <w:rsid w:val="00E257C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E257C8"/>
    <w:rPr>
      <w:rFonts w:ascii="Times New Roman" w:hAnsi="Times New Roman" w:cs="Times New Roman"/>
      <w:sz w:val="18"/>
      <w:szCs w:val="18"/>
    </w:rPr>
  </w:style>
  <w:style w:type="paragraph" w:styleId="NormaleWeb">
    <w:name w:val="Normal (Web)"/>
    <w:basedOn w:val="Normale"/>
    <w:uiPriority w:val="99"/>
    <w:unhideWhenUsed/>
    <w:rsid w:val="00C973F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center">
    <w:name w:val="testocenter"/>
    <w:basedOn w:val="Normale"/>
    <w:rsid w:val="0074497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justify">
    <w:name w:val="testojustify"/>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emen">
    <w:name w:val="emen"/>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6">
    <w:name w:val="a6"/>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nfasicorsivo">
    <w:name w:val="Emphasis"/>
    <w:basedOn w:val="Carpredefinitoparagrafo"/>
    <w:uiPriority w:val="20"/>
    <w:qFormat/>
    <w:rsid w:val="00EF0D42"/>
    <w:rPr>
      <w:i/>
      <w:iCs/>
    </w:rPr>
  </w:style>
  <w:style w:type="paragraph" w:customStyle="1" w:styleId="a">
    <w:name w:val="a"/>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
    <w:name w:val="in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rt">
    <w:name w:val="ar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rubr">
    <w:name w:val="rubr"/>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0">
    <w:name w:val="titol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
    <w:name w:val="intervent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ede">
    <w:name w:val="sede"/>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enter">
    <w:name w:val="center"/>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ere">
    <w:name w:val="parere"/>
    <w:basedOn w:val="Normale"/>
    <w:rsid w:val="00D136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nderline">
    <w:name w:val="underline"/>
    <w:basedOn w:val="Carpredefinitoparagrafo"/>
    <w:rsid w:val="005934CD"/>
  </w:style>
  <w:style w:type="character" w:customStyle="1" w:styleId="numeropagina0">
    <w:name w:val="numeropagina"/>
    <w:basedOn w:val="Carpredefinitoparagrafo"/>
    <w:rsid w:val="00F64885"/>
  </w:style>
  <w:style w:type="character" w:styleId="AcronimoHTML">
    <w:name w:val="HTML Acronym"/>
    <w:basedOn w:val="Carpredefinitoparagrafo"/>
    <w:uiPriority w:val="99"/>
    <w:semiHidden/>
    <w:unhideWhenUsed/>
    <w:rsid w:val="00EE5B75"/>
  </w:style>
  <w:style w:type="paragraph" w:styleId="Testonotaapidipagina">
    <w:name w:val="footnote text"/>
    <w:basedOn w:val="Normale"/>
    <w:link w:val="TestonotaapidipaginaCarattere"/>
    <w:uiPriority w:val="99"/>
    <w:semiHidden/>
    <w:unhideWhenUsed/>
    <w:rsid w:val="00CE0751"/>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CE0751"/>
    <w:rPr>
      <w:rFonts w:ascii="Calibri" w:hAnsi="Calibri"/>
    </w:rPr>
  </w:style>
  <w:style w:type="character" w:styleId="Rimandonotaapidipagina">
    <w:name w:val="footnote reference"/>
    <w:basedOn w:val="Carpredefinitoparagrafo"/>
    <w:uiPriority w:val="99"/>
    <w:semiHidden/>
    <w:unhideWhenUsed/>
    <w:rsid w:val="00CE0751"/>
    <w:rPr>
      <w:vertAlign w:val="superscript"/>
    </w:rPr>
  </w:style>
  <w:style w:type="paragraph" w:customStyle="1" w:styleId="sottotitolo0">
    <w:name w:val="sottotitol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virtuale">
    <w:name w:val="interventovirtuale"/>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residenza">
    <w:name w:val="presidenza"/>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vviso">
    <w:name w:val="avvis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allegato">
    <w:name w:val="titolo_allegat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sezione">
    <w:name w:val="titolosezione"/>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pologia">
    <w:name w:val="tipologia"/>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71">
    <w:name w:val="Titolo 71"/>
    <w:basedOn w:val="Normale"/>
    <w:next w:val="Normale"/>
    <w:uiPriority w:val="9"/>
    <w:semiHidden/>
    <w:unhideWhenUsed/>
    <w:qFormat/>
    <w:rsid w:val="00EE4D49"/>
    <w:pPr>
      <w:pBdr>
        <w:bottom w:val="dotted" w:sz="4" w:space="2" w:color="F4B083"/>
      </w:pBdr>
      <w:spacing w:before="200" w:after="100" w:line="240" w:lineRule="auto"/>
      <w:contextualSpacing/>
      <w:outlineLvl w:val="6"/>
    </w:pPr>
    <w:rPr>
      <w:rFonts w:ascii="Calibri Light" w:eastAsia="Times New Roman" w:hAnsi="Calibri Light" w:cs="Times New Roman"/>
      <w:i/>
      <w:iCs/>
      <w:color w:val="C45911"/>
      <w:sz w:val="22"/>
      <w:szCs w:val="22"/>
      <w:lang w:eastAsia="en-US"/>
    </w:rPr>
  </w:style>
  <w:style w:type="paragraph" w:customStyle="1" w:styleId="Titolo81">
    <w:name w:val="Titolo 81"/>
    <w:basedOn w:val="Normale"/>
    <w:next w:val="Normale"/>
    <w:uiPriority w:val="9"/>
    <w:semiHidden/>
    <w:unhideWhenUsed/>
    <w:qFormat/>
    <w:rsid w:val="00EE4D49"/>
    <w:pPr>
      <w:spacing w:before="200" w:after="100" w:line="240" w:lineRule="auto"/>
      <w:contextualSpacing/>
      <w:outlineLvl w:val="7"/>
    </w:pPr>
    <w:rPr>
      <w:rFonts w:ascii="Calibri Light" w:eastAsia="Times New Roman" w:hAnsi="Calibri Light" w:cs="Times New Roman"/>
      <w:i/>
      <w:iCs/>
      <w:color w:val="ED7D31"/>
      <w:sz w:val="22"/>
      <w:szCs w:val="22"/>
      <w:lang w:eastAsia="en-US"/>
    </w:rPr>
  </w:style>
  <w:style w:type="paragraph" w:customStyle="1" w:styleId="Titolo91">
    <w:name w:val="Titolo 91"/>
    <w:basedOn w:val="Normale"/>
    <w:next w:val="Normale"/>
    <w:uiPriority w:val="9"/>
    <w:semiHidden/>
    <w:unhideWhenUsed/>
    <w:qFormat/>
    <w:rsid w:val="00EE4D49"/>
    <w:pPr>
      <w:spacing w:before="200" w:after="100" w:line="240" w:lineRule="auto"/>
      <w:contextualSpacing/>
      <w:outlineLvl w:val="8"/>
    </w:pPr>
    <w:rPr>
      <w:rFonts w:ascii="Calibri Light" w:eastAsia="Times New Roman" w:hAnsi="Calibri Light" w:cs="Times New Roman"/>
      <w:i/>
      <w:iCs/>
      <w:color w:val="ED7D31"/>
      <w:lang w:eastAsia="en-US"/>
    </w:rPr>
  </w:style>
  <w:style w:type="numbering" w:customStyle="1" w:styleId="Nessunelenco1">
    <w:name w:val="Nessun elenco1"/>
    <w:next w:val="Nessunelenco"/>
    <w:uiPriority w:val="99"/>
    <w:semiHidden/>
    <w:unhideWhenUsed/>
    <w:rsid w:val="00EE4D49"/>
  </w:style>
  <w:style w:type="character" w:customStyle="1" w:styleId="Titolo1Carattere">
    <w:name w:val="Titolo 1 Carattere"/>
    <w:basedOn w:val="Carpredefinitoparagrafo"/>
    <w:link w:val="Titolo1"/>
    <w:uiPriority w:val="9"/>
    <w:rsid w:val="00EE4D49"/>
    <w:rPr>
      <w:rFonts w:ascii="Calibri" w:hAnsi="Calibri"/>
      <w:b/>
      <w:sz w:val="48"/>
      <w:szCs w:val="48"/>
    </w:rPr>
  </w:style>
  <w:style w:type="character" w:customStyle="1" w:styleId="Titolo2Carattere">
    <w:name w:val="Titolo 2 Carattere"/>
    <w:basedOn w:val="Carpredefinitoparagrafo"/>
    <w:link w:val="Titolo2"/>
    <w:uiPriority w:val="9"/>
    <w:rsid w:val="00EE4D49"/>
    <w:rPr>
      <w:rFonts w:ascii="Calibri" w:hAnsi="Calibri"/>
      <w:b/>
      <w:sz w:val="36"/>
      <w:szCs w:val="36"/>
    </w:rPr>
  </w:style>
  <w:style w:type="character" w:customStyle="1" w:styleId="Titolo3Carattere">
    <w:name w:val="Titolo 3 Carattere"/>
    <w:basedOn w:val="Carpredefinitoparagrafo"/>
    <w:link w:val="Titolo3"/>
    <w:uiPriority w:val="9"/>
    <w:rsid w:val="00EE4D49"/>
    <w:rPr>
      <w:rFonts w:ascii="Calibri" w:hAnsi="Calibri"/>
      <w:b/>
      <w:sz w:val="28"/>
      <w:szCs w:val="28"/>
    </w:rPr>
  </w:style>
  <w:style w:type="character" w:customStyle="1" w:styleId="Titolo4Carattere">
    <w:name w:val="Titolo 4 Carattere"/>
    <w:basedOn w:val="Carpredefinitoparagrafo"/>
    <w:link w:val="Titolo4"/>
    <w:uiPriority w:val="9"/>
    <w:rsid w:val="00EE4D49"/>
    <w:rPr>
      <w:rFonts w:ascii="Calibri" w:hAnsi="Calibri"/>
      <w:b/>
      <w:sz w:val="24"/>
      <w:szCs w:val="24"/>
    </w:rPr>
  </w:style>
  <w:style w:type="character" w:customStyle="1" w:styleId="Titolo5Carattere">
    <w:name w:val="Titolo 5 Carattere"/>
    <w:basedOn w:val="Carpredefinitoparagrafo"/>
    <w:link w:val="Titolo5"/>
    <w:uiPriority w:val="9"/>
    <w:rsid w:val="00EE4D49"/>
    <w:rPr>
      <w:rFonts w:ascii="Calibri" w:hAnsi="Calibri"/>
      <w:b/>
      <w:sz w:val="22"/>
      <w:szCs w:val="22"/>
    </w:rPr>
  </w:style>
  <w:style w:type="character" w:customStyle="1" w:styleId="Titolo6Carattere">
    <w:name w:val="Titolo 6 Carattere"/>
    <w:basedOn w:val="Carpredefinitoparagrafo"/>
    <w:link w:val="Titolo6"/>
    <w:uiPriority w:val="9"/>
    <w:rsid w:val="00EE4D49"/>
    <w:rPr>
      <w:rFonts w:ascii="Calibri" w:hAnsi="Calibri"/>
      <w:b/>
    </w:rPr>
  </w:style>
  <w:style w:type="character" w:customStyle="1" w:styleId="Titolo7Carattere">
    <w:name w:val="Titolo 7 Carattere"/>
    <w:basedOn w:val="Carpredefinitoparagrafo"/>
    <w:link w:val="Titolo7"/>
    <w:uiPriority w:val="9"/>
    <w:semiHidden/>
    <w:rsid w:val="00EE4D49"/>
    <w:rPr>
      <w:rFonts w:ascii="Calibri Light" w:eastAsia="Times New Roman" w:hAnsi="Calibri Light" w:cs="Times New Roman"/>
      <w:i/>
      <w:iCs/>
      <w:color w:val="C45911"/>
    </w:rPr>
  </w:style>
  <w:style w:type="character" w:customStyle="1" w:styleId="Titolo8Carattere">
    <w:name w:val="Titolo 8 Carattere"/>
    <w:basedOn w:val="Carpredefinitoparagrafo"/>
    <w:link w:val="Titolo8"/>
    <w:uiPriority w:val="9"/>
    <w:semiHidden/>
    <w:rsid w:val="00EE4D49"/>
    <w:rPr>
      <w:rFonts w:ascii="Calibri Light" w:eastAsia="Times New Roman" w:hAnsi="Calibri Light" w:cs="Times New Roman"/>
      <w:i/>
      <w:iCs/>
      <w:color w:val="ED7D31"/>
    </w:rPr>
  </w:style>
  <w:style w:type="character" w:customStyle="1" w:styleId="Titolo9Carattere">
    <w:name w:val="Titolo 9 Carattere"/>
    <w:basedOn w:val="Carpredefinitoparagrafo"/>
    <w:link w:val="Titolo9"/>
    <w:uiPriority w:val="9"/>
    <w:semiHidden/>
    <w:rsid w:val="00EE4D49"/>
    <w:rPr>
      <w:rFonts w:ascii="Calibri Light" w:eastAsia="Times New Roman" w:hAnsi="Calibri Light" w:cs="Times New Roman"/>
      <w:i/>
      <w:iCs/>
      <w:color w:val="ED7D31"/>
      <w:sz w:val="20"/>
      <w:szCs w:val="20"/>
    </w:rPr>
  </w:style>
  <w:style w:type="paragraph" w:customStyle="1" w:styleId="Didascalia1">
    <w:name w:val="Didascalia1"/>
    <w:basedOn w:val="Normale"/>
    <w:next w:val="Normale"/>
    <w:uiPriority w:val="35"/>
    <w:semiHidden/>
    <w:unhideWhenUsed/>
    <w:qFormat/>
    <w:rsid w:val="00EE4D49"/>
    <w:pPr>
      <w:spacing w:line="288" w:lineRule="auto"/>
    </w:pPr>
    <w:rPr>
      <w:rFonts w:cs="Times New Roman"/>
      <w:b/>
      <w:bCs/>
      <w:i/>
      <w:iCs/>
      <w:color w:val="C45911"/>
      <w:sz w:val="18"/>
      <w:szCs w:val="18"/>
      <w:lang w:eastAsia="en-US"/>
    </w:rPr>
  </w:style>
  <w:style w:type="character" w:customStyle="1" w:styleId="TitoloCarattere">
    <w:name w:val="Titolo Carattere"/>
    <w:basedOn w:val="Carpredefinitoparagrafo"/>
    <w:link w:val="Titolo"/>
    <w:uiPriority w:val="10"/>
    <w:rsid w:val="00EE4D49"/>
    <w:rPr>
      <w:rFonts w:ascii="Calibri" w:hAnsi="Calibri"/>
      <w:b/>
      <w:sz w:val="72"/>
      <w:szCs w:val="72"/>
    </w:rPr>
  </w:style>
  <w:style w:type="character" w:customStyle="1" w:styleId="SottotitoloCarattere">
    <w:name w:val="Sottotitolo Carattere"/>
    <w:basedOn w:val="Carpredefinitoparagrafo"/>
    <w:link w:val="Sottotitolo"/>
    <w:uiPriority w:val="11"/>
    <w:rsid w:val="00EE4D49"/>
    <w:rPr>
      <w:rFonts w:ascii="Calibri" w:eastAsia="Georgia" w:hAnsi="Calibri" w:cs="Georgia"/>
      <w:i/>
      <w:color w:val="666666"/>
      <w:sz w:val="48"/>
      <w:szCs w:val="48"/>
    </w:rPr>
  </w:style>
  <w:style w:type="paragraph" w:styleId="Nessunaspaziatura">
    <w:name w:val="No Spacing"/>
    <w:basedOn w:val="Normale"/>
    <w:uiPriority w:val="1"/>
    <w:qFormat/>
    <w:rsid w:val="00EE4D49"/>
    <w:pPr>
      <w:spacing w:after="0" w:line="240" w:lineRule="auto"/>
    </w:pPr>
    <w:rPr>
      <w:rFonts w:cs="Times New Roman"/>
      <w:i/>
      <w:iCs/>
      <w:color w:val="auto"/>
      <w:lang w:eastAsia="en-US"/>
    </w:rPr>
  </w:style>
  <w:style w:type="paragraph" w:customStyle="1" w:styleId="Citazione1">
    <w:name w:val="Citazione1"/>
    <w:basedOn w:val="Normale"/>
    <w:next w:val="Normale"/>
    <w:uiPriority w:val="29"/>
    <w:qFormat/>
    <w:rsid w:val="00EE4D49"/>
    <w:pPr>
      <w:spacing w:line="288" w:lineRule="auto"/>
    </w:pPr>
    <w:rPr>
      <w:rFonts w:cs="Times New Roman"/>
      <w:color w:val="C45911"/>
      <w:lang w:eastAsia="en-US"/>
    </w:rPr>
  </w:style>
  <w:style w:type="character" w:customStyle="1" w:styleId="CitazioneCarattere">
    <w:name w:val="Citazione Carattere"/>
    <w:basedOn w:val="Carpredefinitoparagrafo"/>
    <w:link w:val="Citazione"/>
    <w:uiPriority w:val="29"/>
    <w:rsid w:val="00EE4D49"/>
    <w:rPr>
      <w:color w:val="C45911"/>
      <w:sz w:val="20"/>
      <w:szCs w:val="20"/>
    </w:rPr>
  </w:style>
  <w:style w:type="paragraph" w:customStyle="1" w:styleId="Citazioneintensa1">
    <w:name w:val="Citazione intensa1"/>
    <w:basedOn w:val="Normale"/>
    <w:next w:val="Normale"/>
    <w:uiPriority w:val="30"/>
    <w:qFormat/>
    <w:rsid w:val="00EE4D49"/>
    <w:pPr>
      <w:pBdr>
        <w:top w:val="dotted" w:sz="8" w:space="10" w:color="ED7D31"/>
        <w:bottom w:val="dotted" w:sz="8" w:space="10" w:color="ED7D31"/>
      </w:pBdr>
      <w:spacing w:line="300" w:lineRule="auto"/>
      <w:ind w:left="2160" w:right="2160"/>
      <w:jc w:val="center"/>
    </w:pPr>
    <w:rPr>
      <w:rFonts w:ascii="Calibri Light" w:eastAsia="Times New Roman" w:hAnsi="Calibri Light" w:cs="Times New Roman"/>
      <w:b/>
      <w:bCs/>
      <w:i/>
      <w:iCs/>
      <w:color w:val="ED7D31"/>
      <w:lang w:eastAsia="en-US"/>
    </w:rPr>
  </w:style>
  <w:style w:type="character" w:customStyle="1" w:styleId="CitazioneintensaCarattere">
    <w:name w:val="Citazione intensa Carattere"/>
    <w:basedOn w:val="Carpredefinitoparagrafo"/>
    <w:link w:val="Citazioneintensa"/>
    <w:uiPriority w:val="30"/>
    <w:rsid w:val="00EE4D49"/>
    <w:rPr>
      <w:rFonts w:ascii="Calibri Light" w:eastAsia="Times New Roman" w:hAnsi="Calibri Light" w:cs="Times New Roman"/>
      <w:b/>
      <w:bCs/>
      <w:i/>
      <w:iCs/>
      <w:color w:val="ED7D31"/>
      <w:sz w:val="20"/>
      <w:szCs w:val="20"/>
    </w:rPr>
  </w:style>
  <w:style w:type="character" w:customStyle="1" w:styleId="Enfasidelicata1">
    <w:name w:val="Enfasi delicata1"/>
    <w:uiPriority w:val="19"/>
    <w:qFormat/>
    <w:rsid w:val="00EE4D49"/>
    <w:rPr>
      <w:rFonts w:ascii="Calibri Light" w:eastAsia="Times New Roman" w:hAnsi="Calibri Light" w:cs="Times New Roman"/>
      <w:i/>
      <w:iCs/>
      <w:color w:val="ED7D31"/>
    </w:rPr>
  </w:style>
  <w:style w:type="character" w:customStyle="1" w:styleId="Enfasiintensa1">
    <w:name w:val="Enfasi intensa1"/>
    <w:uiPriority w:val="21"/>
    <w:qFormat/>
    <w:rsid w:val="00EE4D49"/>
    <w:rPr>
      <w:rFonts w:ascii="Calibri Light" w:eastAsia="Times New Roman" w:hAnsi="Calibri Light" w:cs="Times New Roman"/>
      <w:b/>
      <w:bCs/>
      <w:i/>
      <w:iCs/>
      <w:dstrike w:val="0"/>
      <w:color w:val="FFFFFF"/>
      <w:bdr w:val="single" w:sz="18" w:space="0" w:color="ED7D31"/>
      <w:shd w:val="clear" w:color="auto" w:fill="ED7D31"/>
      <w:vertAlign w:val="baseline"/>
    </w:rPr>
  </w:style>
  <w:style w:type="character" w:customStyle="1" w:styleId="Riferimentodelicato1">
    <w:name w:val="Riferimento delicato1"/>
    <w:uiPriority w:val="31"/>
    <w:qFormat/>
    <w:rsid w:val="00EE4D49"/>
    <w:rPr>
      <w:i/>
      <w:iCs/>
      <w:smallCaps/>
      <w:color w:val="ED7D31"/>
      <w:u w:color="ED7D31"/>
    </w:rPr>
  </w:style>
  <w:style w:type="character" w:customStyle="1" w:styleId="Riferimentointenso1">
    <w:name w:val="Riferimento intenso1"/>
    <w:uiPriority w:val="32"/>
    <w:qFormat/>
    <w:rsid w:val="00EE4D49"/>
    <w:rPr>
      <w:b/>
      <w:bCs/>
      <w:i/>
      <w:iCs/>
      <w:smallCaps/>
      <w:color w:val="ED7D31"/>
      <w:u w:color="ED7D31"/>
    </w:rPr>
  </w:style>
  <w:style w:type="character" w:customStyle="1" w:styleId="Titolodellibro1">
    <w:name w:val="Titolo del libro1"/>
    <w:uiPriority w:val="33"/>
    <w:qFormat/>
    <w:rsid w:val="00EE4D49"/>
    <w:rPr>
      <w:rFonts w:ascii="Calibri Light" w:eastAsia="Times New Roman" w:hAnsi="Calibri Light" w:cs="Times New Roman"/>
      <w:b/>
      <w:bCs/>
      <w:i/>
      <w:iCs/>
      <w:smallCaps/>
      <w:color w:val="C45911"/>
      <w:u w:val="single"/>
    </w:rPr>
  </w:style>
  <w:style w:type="paragraph" w:styleId="Titolosommario">
    <w:name w:val="TOC Heading"/>
    <w:basedOn w:val="Titolo1"/>
    <w:next w:val="Normale"/>
    <w:uiPriority w:val="39"/>
    <w:semiHidden/>
    <w:unhideWhenUsed/>
    <w:qFormat/>
    <w:rsid w:val="00EE4D49"/>
    <w:pPr>
      <w:keepNext w:val="0"/>
      <w:keepLines w:val="0"/>
      <w:pBdr>
        <w:top w:val="single" w:sz="8" w:space="0" w:color="ED7D31"/>
        <w:left w:val="single" w:sz="8" w:space="0" w:color="ED7D31"/>
        <w:bottom w:val="single" w:sz="8" w:space="0" w:color="ED7D31"/>
        <w:right w:val="single" w:sz="8" w:space="0" w:color="ED7D31"/>
      </w:pBdr>
      <w:shd w:val="clear" w:color="auto" w:fill="FBE4D5"/>
      <w:spacing w:after="100" w:line="269" w:lineRule="auto"/>
      <w:outlineLvl w:val="9"/>
    </w:pPr>
    <w:rPr>
      <w:rFonts w:ascii="Calibri Light" w:eastAsia="Times New Roman" w:hAnsi="Calibri Light" w:cs="Times New Roman"/>
      <w:bCs/>
      <w:i/>
      <w:iCs/>
      <w:color w:val="823B0B"/>
      <w:sz w:val="22"/>
      <w:szCs w:val="22"/>
      <w:lang w:eastAsia="en-US" w:bidi="en-US"/>
    </w:rPr>
  </w:style>
  <w:style w:type="character" w:customStyle="1" w:styleId="apple-converted-space">
    <w:name w:val="apple-converted-space"/>
    <w:basedOn w:val="Carpredefinitoparagrafo"/>
    <w:rsid w:val="00EE4D49"/>
  </w:style>
  <w:style w:type="paragraph" w:customStyle="1" w:styleId="num">
    <w:name w:val="num"/>
    <w:next w:val="Normale"/>
    <w:autoRedefine/>
    <w:rsid w:val="00EE4D49"/>
    <w:pPr>
      <w:keepNext/>
      <w:widowControl w:val="0"/>
      <w:spacing w:before="720" w:after="0" w:line="240" w:lineRule="auto"/>
      <w:outlineLvl w:val="4"/>
    </w:pPr>
    <w:rPr>
      <w:rFonts w:ascii="Calibri" w:eastAsia="Times New Roman" w:hAnsi="Calibri" w:cs="Times New Roman"/>
      <w:noProof/>
      <w:color w:val="000000"/>
    </w:rPr>
  </w:style>
  <w:style w:type="numbering" w:customStyle="1" w:styleId="Nessunelenco11">
    <w:name w:val="Nessun elenco11"/>
    <w:next w:val="Nessunelenco"/>
    <w:uiPriority w:val="99"/>
    <w:semiHidden/>
    <w:unhideWhenUsed/>
    <w:rsid w:val="00EE4D49"/>
  </w:style>
  <w:style w:type="character" w:customStyle="1" w:styleId="Titolo7Carattere1">
    <w:name w:val="Titolo 7 Carattere1"/>
    <w:basedOn w:val="Carpredefinitoparagrafo"/>
    <w:uiPriority w:val="9"/>
    <w:semiHidden/>
    <w:rsid w:val="00EE4D49"/>
    <w:rPr>
      <w:rFonts w:asciiTheme="majorHAnsi" w:eastAsiaTheme="majorEastAsia" w:hAnsiTheme="majorHAnsi" w:cstheme="majorBidi"/>
      <w:i/>
      <w:iCs/>
      <w:color w:val="1F4D78" w:themeColor="accent1" w:themeShade="7F"/>
    </w:rPr>
  </w:style>
  <w:style w:type="character" w:customStyle="1" w:styleId="Titolo8Carattere1">
    <w:name w:val="Titolo 8 Carattere1"/>
    <w:basedOn w:val="Carpredefinitoparagrafo"/>
    <w:uiPriority w:val="9"/>
    <w:semiHidden/>
    <w:rsid w:val="00EE4D49"/>
    <w:rPr>
      <w:rFonts w:asciiTheme="majorHAnsi" w:eastAsiaTheme="majorEastAsia" w:hAnsiTheme="majorHAnsi" w:cstheme="majorBidi"/>
      <w:color w:val="272727" w:themeColor="text1" w:themeTint="D8"/>
      <w:sz w:val="21"/>
      <w:szCs w:val="21"/>
    </w:rPr>
  </w:style>
  <w:style w:type="character" w:customStyle="1" w:styleId="Titolo9Carattere1">
    <w:name w:val="Titolo 9 Carattere1"/>
    <w:basedOn w:val="Carpredefinitoparagrafo"/>
    <w:uiPriority w:val="9"/>
    <w:semiHidden/>
    <w:rsid w:val="00EE4D49"/>
    <w:rPr>
      <w:rFonts w:asciiTheme="majorHAnsi" w:eastAsiaTheme="majorEastAsia" w:hAnsiTheme="majorHAnsi" w:cstheme="majorBidi"/>
      <w:i/>
      <w:iCs/>
      <w:color w:val="272727" w:themeColor="text1" w:themeTint="D8"/>
      <w:sz w:val="21"/>
      <w:szCs w:val="21"/>
    </w:rPr>
  </w:style>
  <w:style w:type="paragraph" w:styleId="Citazione">
    <w:name w:val="Quote"/>
    <w:basedOn w:val="Normale"/>
    <w:next w:val="Normale"/>
    <w:link w:val="CitazioneCarattere"/>
    <w:uiPriority w:val="29"/>
    <w:qFormat/>
    <w:rsid w:val="00EE4D49"/>
    <w:pPr>
      <w:spacing w:before="200" w:after="160"/>
      <w:ind w:left="864" w:right="864"/>
      <w:jc w:val="center"/>
    </w:pPr>
    <w:rPr>
      <w:rFonts w:ascii="Raleway" w:hAnsi="Raleway"/>
      <w:color w:val="C45911"/>
    </w:rPr>
  </w:style>
  <w:style w:type="character" w:customStyle="1" w:styleId="CitazioneCarattere1">
    <w:name w:val="Citazione Carattere1"/>
    <w:basedOn w:val="Carpredefinitoparagrafo"/>
    <w:uiPriority w:val="29"/>
    <w:rsid w:val="00EE4D49"/>
    <w:rPr>
      <w:rFonts w:ascii="Calibri" w:hAnsi="Calibri"/>
      <w:i/>
      <w:iCs/>
      <w:color w:val="404040" w:themeColor="text1" w:themeTint="BF"/>
    </w:rPr>
  </w:style>
  <w:style w:type="paragraph" w:styleId="Citazioneintensa">
    <w:name w:val="Intense Quote"/>
    <w:basedOn w:val="Normale"/>
    <w:next w:val="Normale"/>
    <w:link w:val="CitazioneintensaCarattere"/>
    <w:uiPriority w:val="30"/>
    <w:qFormat/>
    <w:rsid w:val="00EE4D49"/>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s="Times New Roman"/>
      <w:b/>
      <w:bCs/>
      <w:i/>
      <w:iCs/>
      <w:color w:val="ED7D31"/>
    </w:rPr>
  </w:style>
  <w:style w:type="character" w:customStyle="1" w:styleId="CitazioneintensaCarattere1">
    <w:name w:val="Citazione intensa Carattere1"/>
    <w:basedOn w:val="Carpredefinitoparagrafo"/>
    <w:uiPriority w:val="30"/>
    <w:rsid w:val="00EE4D49"/>
    <w:rPr>
      <w:rFonts w:ascii="Calibri" w:hAnsi="Calibri"/>
      <w:i/>
      <w:iCs/>
      <w:color w:val="5B9BD5" w:themeColor="accent1"/>
    </w:rPr>
  </w:style>
  <w:style w:type="character" w:styleId="Enfasidelicata">
    <w:name w:val="Subtle Emphasis"/>
    <w:basedOn w:val="Carpredefinitoparagrafo"/>
    <w:uiPriority w:val="19"/>
    <w:qFormat/>
    <w:rsid w:val="00EE4D49"/>
    <w:rPr>
      <w:i/>
      <w:iCs/>
      <w:color w:val="404040" w:themeColor="text1" w:themeTint="BF"/>
    </w:rPr>
  </w:style>
  <w:style w:type="character" w:styleId="Enfasiintensa">
    <w:name w:val="Intense Emphasis"/>
    <w:basedOn w:val="Carpredefinitoparagrafo"/>
    <w:uiPriority w:val="21"/>
    <w:qFormat/>
    <w:rsid w:val="00EE4D49"/>
    <w:rPr>
      <w:i/>
      <w:iCs/>
      <w:color w:val="5B9BD5" w:themeColor="accent1"/>
    </w:rPr>
  </w:style>
  <w:style w:type="character" w:styleId="Riferimentodelicato">
    <w:name w:val="Subtle Reference"/>
    <w:basedOn w:val="Carpredefinitoparagrafo"/>
    <w:uiPriority w:val="31"/>
    <w:qFormat/>
    <w:rsid w:val="00EE4D49"/>
    <w:rPr>
      <w:smallCaps/>
      <w:color w:val="5A5A5A" w:themeColor="text1" w:themeTint="A5"/>
    </w:rPr>
  </w:style>
  <w:style w:type="character" w:styleId="Riferimentointenso">
    <w:name w:val="Intense Reference"/>
    <w:basedOn w:val="Carpredefinitoparagrafo"/>
    <w:uiPriority w:val="32"/>
    <w:qFormat/>
    <w:rsid w:val="00EE4D49"/>
    <w:rPr>
      <w:b/>
      <w:bCs/>
      <w:smallCaps/>
      <w:color w:val="5B9BD5" w:themeColor="accent1"/>
      <w:spacing w:val="5"/>
    </w:rPr>
  </w:style>
  <w:style w:type="character" w:styleId="Titolodellibro">
    <w:name w:val="Book Title"/>
    <w:basedOn w:val="Carpredefinitoparagrafo"/>
    <w:uiPriority w:val="33"/>
    <w:qFormat/>
    <w:rsid w:val="00EE4D49"/>
    <w:rPr>
      <w:b/>
      <w:bCs/>
      <w:i/>
      <w:iCs/>
      <w:spacing w:val="5"/>
    </w:rPr>
  </w:style>
  <w:style w:type="paragraph" w:styleId="Testonotadichiusura">
    <w:name w:val="endnote text"/>
    <w:basedOn w:val="Normale"/>
    <w:link w:val="TestonotadichiusuraCarattere"/>
    <w:uiPriority w:val="99"/>
    <w:semiHidden/>
    <w:unhideWhenUsed/>
    <w:rsid w:val="00656B6D"/>
    <w:pPr>
      <w:spacing w:after="0" w:line="240" w:lineRule="auto"/>
    </w:pPr>
  </w:style>
  <w:style w:type="character" w:customStyle="1" w:styleId="TestonotadichiusuraCarattere">
    <w:name w:val="Testo nota di chiusura Carattere"/>
    <w:basedOn w:val="Carpredefinitoparagrafo"/>
    <w:link w:val="Testonotadichiusura"/>
    <w:uiPriority w:val="99"/>
    <w:semiHidden/>
    <w:rsid w:val="00656B6D"/>
    <w:rPr>
      <w:rFonts w:ascii="Calibri" w:hAnsi="Calibri"/>
    </w:rPr>
  </w:style>
  <w:style w:type="character" w:styleId="Rimandonotadichiusura">
    <w:name w:val="endnote reference"/>
    <w:basedOn w:val="Carpredefinitoparagrafo"/>
    <w:uiPriority w:val="99"/>
    <w:semiHidden/>
    <w:unhideWhenUsed/>
    <w:rsid w:val="00656B6D"/>
    <w:rPr>
      <w:vertAlign w:val="superscript"/>
    </w:rPr>
  </w:style>
  <w:style w:type="paragraph" w:styleId="Corpotesto">
    <w:name w:val="Body Text"/>
    <w:basedOn w:val="Normale"/>
    <w:link w:val="CorpotestoCarattere"/>
    <w:uiPriority w:val="1"/>
    <w:qFormat/>
    <w:rsid w:val="00B26435"/>
    <w:pPr>
      <w:widowControl w:val="0"/>
      <w:autoSpaceDE w:val="0"/>
      <w:autoSpaceDN w:val="0"/>
      <w:spacing w:after="0" w:line="240" w:lineRule="auto"/>
    </w:pPr>
    <w:rPr>
      <w:rFonts w:ascii="Times New Roman" w:eastAsia="Times New Roman" w:hAnsi="Times New Roman" w:cs="Times New Roman"/>
      <w:color w:val="auto"/>
      <w:sz w:val="24"/>
      <w:szCs w:val="24"/>
      <w:lang w:eastAsia="en-US"/>
    </w:rPr>
  </w:style>
  <w:style w:type="character" w:customStyle="1" w:styleId="CorpotestoCarattere">
    <w:name w:val="Corpo testo Carattere"/>
    <w:basedOn w:val="Carpredefinitoparagrafo"/>
    <w:link w:val="Corpotesto"/>
    <w:uiPriority w:val="1"/>
    <w:rsid w:val="00B26435"/>
    <w:rPr>
      <w:rFonts w:ascii="Times New Roman" w:eastAsia="Times New Roman" w:hAnsi="Times New Roman" w:cs="Times New Roman"/>
      <w:color w:val="auto"/>
      <w:sz w:val="24"/>
      <w:szCs w:val="24"/>
      <w:lang w:eastAsia="en-US"/>
    </w:rPr>
  </w:style>
  <w:style w:type="paragraph" w:customStyle="1" w:styleId="Titolo21">
    <w:name w:val="Titolo 21"/>
    <w:basedOn w:val="Normale"/>
    <w:uiPriority w:val="1"/>
    <w:qFormat/>
    <w:rsid w:val="00B26435"/>
    <w:pPr>
      <w:widowControl w:val="0"/>
      <w:autoSpaceDE w:val="0"/>
      <w:autoSpaceDN w:val="0"/>
      <w:spacing w:before="90" w:after="0" w:line="240" w:lineRule="auto"/>
      <w:ind w:left="587"/>
      <w:outlineLvl w:val="2"/>
    </w:pPr>
    <w:rPr>
      <w:rFonts w:ascii="Times New Roman" w:eastAsia="Times New Roman" w:hAnsi="Times New Roman" w:cs="Times New Roman"/>
      <w:b/>
      <w:bCs/>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41004">
      <w:bodyDiv w:val="1"/>
      <w:marLeft w:val="0"/>
      <w:marRight w:val="0"/>
      <w:marTop w:val="0"/>
      <w:marBottom w:val="0"/>
      <w:divBdr>
        <w:top w:val="none" w:sz="0" w:space="0" w:color="auto"/>
        <w:left w:val="none" w:sz="0" w:space="0" w:color="auto"/>
        <w:bottom w:val="none" w:sz="0" w:space="0" w:color="auto"/>
        <w:right w:val="none" w:sz="0" w:space="0" w:color="auto"/>
      </w:divBdr>
    </w:div>
    <w:div w:id="36780593">
      <w:bodyDiv w:val="1"/>
      <w:marLeft w:val="0"/>
      <w:marRight w:val="0"/>
      <w:marTop w:val="0"/>
      <w:marBottom w:val="0"/>
      <w:divBdr>
        <w:top w:val="none" w:sz="0" w:space="0" w:color="auto"/>
        <w:left w:val="none" w:sz="0" w:space="0" w:color="auto"/>
        <w:bottom w:val="none" w:sz="0" w:space="0" w:color="auto"/>
        <w:right w:val="none" w:sz="0" w:space="0" w:color="auto"/>
      </w:divBdr>
      <w:divsChild>
        <w:div w:id="916865586">
          <w:marLeft w:val="0"/>
          <w:marRight w:val="0"/>
          <w:marTop w:val="0"/>
          <w:marBottom w:val="240"/>
          <w:divBdr>
            <w:top w:val="none" w:sz="0" w:space="0" w:color="auto"/>
            <w:left w:val="none" w:sz="0" w:space="0" w:color="auto"/>
            <w:bottom w:val="none" w:sz="0" w:space="0" w:color="auto"/>
            <w:right w:val="none" w:sz="0" w:space="0" w:color="auto"/>
          </w:divBdr>
        </w:div>
      </w:divsChild>
    </w:div>
    <w:div w:id="74399020">
      <w:bodyDiv w:val="1"/>
      <w:marLeft w:val="0"/>
      <w:marRight w:val="0"/>
      <w:marTop w:val="0"/>
      <w:marBottom w:val="0"/>
      <w:divBdr>
        <w:top w:val="none" w:sz="0" w:space="0" w:color="auto"/>
        <w:left w:val="none" w:sz="0" w:space="0" w:color="auto"/>
        <w:bottom w:val="none" w:sz="0" w:space="0" w:color="auto"/>
        <w:right w:val="none" w:sz="0" w:space="0" w:color="auto"/>
      </w:divBdr>
    </w:div>
    <w:div w:id="94988010">
      <w:bodyDiv w:val="1"/>
      <w:marLeft w:val="0"/>
      <w:marRight w:val="0"/>
      <w:marTop w:val="0"/>
      <w:marBottom w:val="0"/>
      <w:divBdr>
        <w:top w:val="none" w:sz="0" w:space="0" w:color="auto"/>
        <w:left w:val="none" w:sz="0" w:space="0" w:color="auto"/>
        <w:bottom w:val="none" w:sz="0" w:space="0" w:color="auto"/>
        <w:right w:val="none" w:sz="0" w:space="0" w:color="auto"/>
      </w:divBdr>
    </w:div>
    <w:div w:id="103770050">
      <w:bodyDiv w:val="1"/>
      <w:marLeft w:val="0"/>
      <w:marRight w:val="0"/>
      <w:marTop w:val="0"/>
      <w:marBottom w:val="0"/>
      <w:divBdr>
        <w:top w:val="none" w:sz="0" w:space="0" w:color="auto"/>
        <w:left w:val="none" w:sz="0" w:space="0" w:color="auto"/>
        <w:bottom w:val="none" w:sz="0" w:space="0" w:color="auto"/>
        <w:right w:val="none" w:sz="0" w:space="0" w:color="auto"/>
      </w:divBdr>
    </w:div>
    <w:div w:id="108669470">
      <w:bodyDiv w:val="1"/>
      <w:marLeft w:val="0"/>
      <w:marRight w:val="0"/>
      <w:marTop w:val="0"/>
      <w:marBottom w:val="0"/>
      <w:divBdr>
        <w:top w:val="none" w:sz="0" w:space="0" w:color="auto"/>
        <w:left w:val="none" w:sz="0" w:space="0" w:color="auto"/>
        <w:bottom w:val="none" w:sz="0" w:space="0" w:color="auto"/>
        <w:right w:val="none" w:sz="0" w:space="0" w:color="auto"/>
      </w:divBdr>
    </w:div>
    <w:div w:id="109906430">
      <w:bodyDiv w:val="1"/>
      <w:marLeft w:val="0"/>
      <w:marRight w:val="0"/>
      <w:marTop w:val="0"/>
      <w:marBottom w:val="0"/>
      <w:divBdr>
        <w:top w:val="none" w:sz="0" w:space="0" w:color="auto"/>
        <w:left w:val="none" w:sz="0" w:space="0" w:color="auto"/>
        <w:bottom w:val="none" w:sz="0" w:space="0" w:color="auto"/>
        <w:right w:val="none" w:sz="0" w:space="0" w:color="auto"/>
      </w:divBdr>
    </w:div>
    <w:div w:id="131868292">
      <w:bodyDiv w:val="1"/>
      <w:marLeft w:val="0"/>
      <w:marRight w:val="0"/>
      <w:marTop w:val="0"/>
      <w:marBottom w:val="0"/>
      <w:divBdr>
        <w:top w:val="none" w:sz="0" w:space="0" w:color="auto"/>
        <w:left w:val="none" w:sz="0" w:space="0" w:color="auto"/>
        <w:bottom w:val="none" w:sz="0" w:space="0" w:color="auto"/>
        <w:right w:val="none" w:sz="0" w:space="0" w:color="auto"/>
      </w:divBdr>
    </w:div>
    <w:div w:id="132599886">
      <w:bodyDiv w:val="1"/>
      <w:marLeft w:val="0"/>
      <w:marRight w:val="0"/>
      <w:marTop w:val="0"/>
      <w:marBottom w:val="0"/>
      <w:divBdr>
        <w:top w:val="none" w:sz="0" w:space="0" w:color="auto"/>
        <w:left w:val="none" w:sz="0" w:space="0" w:color="auto"/>
        <w:bottom w:val="none" w:sz="0" w:space="0" w:color="auto"/>
        <w:right w:val="none" w:sz="0" w:space="0" w:color="auto"/>
      </w:divBdr>
    </w:div>
    <w:div w:id="145711204">
      <w:bodyDiv w:val="1"/>
      <w:marLeft w:val="0"/>
      <w:marRight w:val="0"/>
      <w:marTop w:val="0"/>
      <w:marBottom w:val="0"/>
      <w:divBdr>
        <w:top w:val="none" w:sz="0" w:space="0" w:color="auto"/>
        <w:left w:val="none" w:sz="0" w:space="0" w:color="auto"/>
        <w:bottom w:val="none" w:sz="0" w:space="0" w:color="auto"/>
        <w:right w:val="none" w:sz="0" w:space="0" w:color="auto"/>
      </w:divBdr>
    </w:div>
    <w:div w:id="148402098">
      <w:bodyDiv w:val="1"/>
      <w:marLeft w:val="0"/>
      <w:marRight w:val="0"/>
      <w:marTop w:val="0"/>
      <w:marBottom w:val="0"/>
      <w:divBdr>
        <w:top w:val="none" w:sz="0" w:space="0" w:color="auto"/>
        <w:left w:val="none" w:sz="0" w:space="0" w:color="auto"/>
        <w:bottom w:val="none" w:sz="0" w:space="0" w:color="auto"/>
        <w:right w:val="none" w:sz="0" w:space="0" w:color="auto"/>
      </w:divBdr>
    </w:div>
    <w:div w:id="154803099">
      <w:bodyDiv w:val="1"/>
      <w:marLeft w:val="0"/>
      <w:marRight w:val="0"/>
      <w:marTop w:val="0"/>
      <w:marBottom w:val="0"/>
      <w:divBdr>
        <w:top w:val="none" w:sz="0" w:space="0" w:color="auto"/>
        <w:left w:val="none" w:sz="0" w:space="0" w:color="auto"/>
        <w:bottom w:val="none" w:sz="0" w:space="0" w:color="auto"/>
        <w:right w:val="none" w:sz="0" w:space="0" w:color="auto"/>
      </w:divBdr>
    </w:div>
    <w:div w:id="161359023">
      <w:bodyDiv w:val="1"/>
      <w:marLeft w:val="0"/>
      <w:marRight w:val="0"/>
      <w:marTop w:val="0"/>
      <w:marBottom w:val="0"/>
      <w:divBdr>
        <w:top w:val="none" w:sz="0" w:space="0" w:color="auto"/>
        <w:left w:val="none" w:sz="0" w:space="0" w:color="auto"/>
        <w:bottom w:val="none" w:sz="0" w:space="0" w:color="auto"/>
        <w:right w:val="none" w:sz="0" w:space="0" w:color="auto"/>
      </w:divBdr>
    </w:div>
    <w:div w:id="164711856">
      <w:bodyDiv w:val="1"/>
      <w:marLeft w:val="0"/>
      <w:marRight w:val="0"/>
      <w:marTop w:val="0"/>
      <w:marBottom w:val="0"/>
      <w:divBdr>
        <w:top w:val="none" w:sz="0" w:space="0" w:color="auto"/>
        <w:left w:val="none" w:sz="0" w:space="0" w:color="auto"/>
        <w:bottom w:val="none" w:sz="0" w:space="0" w:color="auto"/>
        <w:right w:val="none" w:sz="0" w:space="0" w:color="auto"/>
      </w:divBdr>
    </w:div>
    <w:div w:id="164899810">
      <w:bodyDiv w:val="1"/>
      <w:marLeft w:val="0"/>
      <w:marRight w:val="0"/>
      <w:marTop w:val="0"/>
      <w:marBottom w:val="0"/>
      <w:divBdr>
        <w:top w:val="none" w:sz="0" w:space="0" w:color="auto"/>
        <w:left w:val="none" w:sz="0" w:space="0" w:color="auto"/>
        <w:bottom w:val="none" w:sz="0" w:space="0" w:color="auto"/>
        <w:right w:val="none" w:sz="0" w:space="0" w:color="auto"/>
      </w:divBdr>
    </w:div>
    <w:div w:id="174156303">
      <w:bodyDiv w:val="1"/>
      <w:marLeft w:val="0"/>
      <w:marRight w:val="0"/>
      <w:marTop w:val="0"/>
      <w:marBottom w:val="0"/>
      <w:divBdr>
        <w:top w:val="none" w:sz="0" w:space="0" w:color="auto"/>
        <w:left w:val="none" w:sz="0" w:space="0" w:color="auto"/>
        <w:bottom w:val="none" w:sz="0" w:space="0" w:color="auto"/>
        <w:right w:val="none" w:sz="0" w:space="0" w:color="auto"/>
      </w:divBdr>
    </w:div>
    <w:div w:id="186647590">
      <w:bodyDiv w:val="1"/>
      <w:marLeft w:val="0"/>
      <w:marRight w:val="0"/>
      <w:marTop w:val="0"/>
      <w:marBottom w:val="0"/>
      <w:divBdr>
        <w:top w:val="none" w:sz="0" w:space="0" w:color="auto"/>
        <w:left w:val="none" w:sz="0" w:space="0" w:color="auto"/>
        <w:bottom w:val="none" w:sz="0" w:space="0" w:color="auto"/>
        <w:right w:val="none" w:sz="0" w:space="0" w:color="auto"/>
      </w:divBdr>
    </w:div>
    <w:div w:id="224339951">
      <w:bodyDiv w:val="1"/>
      <w:marLeft w:val="0"/>
      <w:marRight w:val="0"/>
      <w:marTop w:val="0"/>
      <w:marBottom w:val="0"/>
      <w:divBdr>
        <w:top w:val="none" w:sz="0" w:space="0" w:color="auto"/>
        <w:left w:val="none" w:sz="0" w:space="0" w:color="auto"/>
        <w:bottom w:val="none" w:sz="0" w:space="0" w:color="auto"/>
        <w:right w:val="none" w:sz="0" w:space="0" w:color="auto"/>
      </w:divBdr>
    </w:div>
    <w:div w:id="241451345">
      <w:bodyDiv w:val="1"/>
      <w:marLeft w:val="0"/>
      <w:marRight w:val="0"/>
      <w:marTop w:val="0"/>
      <w:marBottom w:val="0"/>
      <w:divBdr>
        <w:top w:val="none" w:sz="0" w:space="0" w:color="auto"/>
        <w:left w:val="none" w:sz="0" w:space="0" w:color="auto"/>
        <w:bottom w:val="none" w:sz="0" w:space="0" w:color="auto"/>
        <w:right w:val="none" w:sz="0" w:space="0" w:color="auto"/>
      </w:divBdr>
    </w:div>
    <w:div w:id="255020798">
      <w:bodyDiv w:val="1"/>
      <w:marLeft w:val="0"/>
      <w:marRight w:val="0"/>
      <w:marTop w:val="0"/>
      <w:marBottom w:val="0"/>
      <w:divBdr>
        <w:top w:val="none" w:sz="0" w:space="0" w:color="auto"/>
        <w:left w:val="none" w:sz="0" w:space="0" w:color="auto"/>
        <w:bottom w:val="none" w:sz="0" w:space="0" w:color="auto"/>
        <w:right w:val="none" w:sz="0" w:space="0" w:color="auto"/>
      </w:divBdr>
    </w:div>
    <w:div w:id="288900559">
      <w:bodyDiv w:val="1"/>
      <w:marLeft w:val="0"/>
      <w:marRight w:val="0"/>
      <w:marTop w:val="0"/>
      <w:marBottom w:val="0"/>
      <w:divBdr>
        <w:top w:val="none" w:sz="0" w:space="0" w:color="auto"/>
        <w:left w:val="none" w:sz="0" w:space="0" w:color="auto"/>
        <w:bottom w:val="none" w:sz="0" w:space="0" w:color="auto"/>
        <w:right w:val="none" w:sz="0" w:space="0" w:color="auto"/>
      </w:divBdr>
    </w:div>
    <w:div w:id="298388778">
      <w:bodyDiv w:val="1"/>
      <w:marLeft w:val="0"/>
      <w:marRight w:val="0"/>
      <w:marTop w:val="0"/>
      <w:marBottom w:val="0"/>
      <w:divBdr>
        <w:top w:val="none" w:sz="0" w:space="0" w:color="auto"/>
        <w:left w:val="none" w:sz="0" w:space="0" w:color="auto"/>
        <w:bottom w:val="none" w:sz="0" w:space="0" w:color="auto"/>
        <w:right w:val="none" w:sz="0" w:space="0" w:color="auto"/>
      </w:divBdr>
    </w:div>
    <w:div w:id="315187322">
      <w:bodyDiv w:val="1"/>
      <w:marLeft w:val="0"/>
      <w:marRight w:val="0"/>
      <w:marTop w:val="0"/>
      <w:marBottom w:val="0"/>
      <w:divBdr>
        <w:top w:val="none" w:sz="0" w:space="0" w:color="auto"/>
        <w:left w:val="none" w:sz="0" w:space="0" w:color="auto"/>
        <w:bottom w:val="none" w:sz="0" w:space="0" w:color="auto"/>
        <w:right w:val="none" w:sz="0" w:space="0" w:color="auto"/>
      </w:divBdr>
    </w:div>
    <w:div w:id="328678216">
      <w:bodyDiv w:val="1"/>
      <w:marLeft w:val="0"/>
      <w:marRight w:val="0"/>
      <w:marTop w:val="0"/>
      <w:marBottom w:val="0"/>
      <w:divBdr>
        <w:top w:val="none" w:sz="0" w:space="0" w:color="auto"/>
        <w:left w:val="none" w:sz="0" w:space="0" w:color="auto"/>
        <w:bottom w:val="none" w:sz="0" w:space="0" w:color="auto"/>
        <w:right w:val="none" w:sz="0" w:space="0" w:color="auto"/>
      </w:divBdr>
    </w:div>
    <w:div w:id="336074888">
      <w:bodyDiv w:val="1"/>
      <w:marLeft w:val="0"/>
      <w:marRight w:val="0"/>
      <w:marTop w:val="0"/>
      <w:marBottom w:val="0"/>
      <w:divBdr>
        <w:top w:val="none" w:sz="0" w:space="0" w:color="auto"/>
        <w:left w:val="none" w:sz="0" w:space="0" w:color="auto"/>
        <w:bottom w:val="none" w:sz="0" w:space="0" w:color="auto"/>
        <w:right w:val="none" w:sz="0" w:space="0" w:color="auto"/>
      </w:divBdr>
    </w:div>
    <w:div w:id="341904407">
      <w:bodyDiv w:val="1"/>
      <w:marLeft w:val="0"/>
      <w:marRight w:val="0"/>
      <w:marTop w:val="0"/>
      <w:marBottom w:val="0"/>
      <w:divBdr>
        <w:top w:val="none" w:sz="0" w:space="0" w:color="auto"/>
        <w:left w:val="none" w:sz="0" w:space="0" w:color="auto"/>
        <w:bottom w:val="none" w:sz="0" w:space="0" w:color="auto"/>
        <w:right w:val="none" w:sz="0" w:space="0" w:color="auto"/>
      </w:divBdr>
    </w:div>
    <w:div w:id="361130285">
      <w:bodyDiv w:val="1"/>
      <w:marLeft w:val="0"/>
      <w:marRight w:val="0"/>
      <w:marTop w:val="0"/>
      <w:marBottom w:val="0"/>
      <w:divBdr>
        <w:top w:val="none" w:sz="0" w:space="0" w:color="auto"/>
        <w:left w:val="none" w:sz="0" w:space="0" w:color="auto"/>
        <w:bottom w:val="none" w:sz="0" w:space="0" w:color="auto"/>
        <w:right w:val="none" w:sz="0" w:space="0" w:color="auto"/>
      </w:divBdr>
    </w:div>
    <w:div w:id="361635876">
      <w:bodyDiv w:val="1"/>
      <w:marLeft w:val="0"/>
      <w:marRight w:val="0"/>
      <w:marTop w:val="0"/>
      <w:marBottom w:val="0"/>
      <w:divBdr>
        <w:top w:val="none" w:sz="0" w:space="0" w:color="auto"/>
        <w:left w:val="none" w:sz="0" w:space="0" w:color="auto"/>
        <w:bottom w:val="none" w:sz="0" w:space="0" w:color="auto"/>
        <w:right w:val="none" w:sz="0" w:space="0" w:color="auto"/>
      </w:divBdr>
    </w:div>
    <w:div w:id="364647101">
      <w:bodyDiv w:val="1"/>
      <w:marLeft w:val="0"/>
      <w:marRight w:val="0"/>
      <w:marTop w:val="0"/>
      <w:marBottom w:val="0"/>
      <w:divBdr>
        <w:top w:val="none" w:sz="0" w:space="0" w:color="auto"/>
        <w:left w:val="none" w:sz="0" w:space="0" w:color="auto"/>
        <w:bottom w:val="none" w:sz="0" w:space="0" w:color="auto"/>
        <w:right w:val="none" w:sz="0" w:space="0" w:color="auto"/>
      </w:divBdr>
    </w:div>
    <w:div w:id="372120608">
      <w:bodyDiv w:val="1"/>
      <w:marLeft w:val="0"/>
      <w:marRight w:val="0"/>
      <w:marTop w:val="0"/>
      <w:marBottom w:val="0"/>
      <w:divBdr>
        <w:top w:val="none" w:sz="0" w:space="0" w:color="auto"/>
        <w:left w:val="none" w:sz="0" w:space="0" w:color="auto"/>
        <w:bottom w:val="none" w:sz="0" w:space="0" w:color="auto"/>
        <w:right w:val="none" w:sz="0" w:space="0" w:color="auto"/>
      </w:divBdr>
    </w:div>
    <w:div w:id="375156566">
      <w:bodyDiv w:val="1"/>
      <w:marLeft w:val="0"/>
      <w:marRight w:val="0"/>
      <w:marTop w:val="0"/>
      <w:marBottom w:val="0"/>
      <w:divBdr>
        <w:top w:val="none" w:sz="0" w:space="0" w:color="auto"/>
        <w:left w:val="none" w:sz="0" w:space="0" w:color="auto"/>
        <w:bottom w:val="none" w:sz="0" w:space="0" w:color="auto"/>
        <w:right w:val="none" w:sz="0" w:space="0" w:color="auto"/>
      </w:divBdr>
    </w:div>
    <w:div w:id="388765424">
      <w:bodyDiv w:val="1"/>
      <w:marLeft w:val="0"/>
      <w:marRight w:val="0"/>
      <w:marTop w:val="0"/>
      <w:marBottom w:val="0"/>
      <w:divBdr>
        <w:top w:val="none" w:sz="0" w:space="0" w:color="auto"/>
        <w:left w:val="none" w:sz="0" w:space="0" w:color="auto"/>
        <w:bottom w:val="none" w:sz="0" w:space="0" w:color="auto"/>
        <w:right w:val="none" w:sz="0" w:space="0" w:color="auto"/>
      </w:divBdr>
    </w:div>
    <w:div w:id="438911017">
      <w:bodyDiv w:val="1"/>
      <w:marLeft w:val="0"/>
      <w:marRight w:val="0"/>
      <w:marTop w:val="0"/>
      <w:marBottom w:val="0"/>
      <w:divBdr>
        <w:top w:val="none" w:sz="0" w:space="0" w:color="auto"/>
        <w:left w:val="none" w:sz="0" w:space="0" w:color="auto"/>
        <w:bottom w:val="none" w:sz="0" w:space="0" w:color="auto"/>
        <w:right w:val="none" w:sz="0" w:space="0" w:color="auto"/>
      </w:divBdr>
    </w:div>
    <w:div w:id="469135749">
      <w:bodyDiv w:val="1"/>
      <w:marLeft w:val="0"/>
      <w:marRight w:val="0"/>
      <w:marTop w:val="0"/>
      <w:marBottom w:val="0"/>
      <w:divBdr>
        <w:top w:val="none" w:sz="0" w:space="0" w:color="auto"/>
        <w:left w:val="none" w:sz="0" w:space="0" w:color="auto"/>
        <w:bottom w:val="none" w:sz="0" w:space="0" w:color="auto"/>
        <w:right w:val="none" w:sz="0" w:space="0" w:color="auto"/>
      </w:divBdr>
      <w:divsChild>
        <w:div w:id="1802380986">
          <w:marLeft w:val="0"/>
          <w:marRight w:val="0"/>
          <w:marTop w:val="47"/>
          <w:marBottom w:val="47"/>
          <w:divBdr>
            <w:top w:val="none" w:sz="0" w:space="0" w:color="auto"/>
            <w:left w:val="none" w:sz="0" w:space="0" w:color="auto"/>
            <w:bottom w:val="none" w:sz="0" w:space="0" w:color="auto"/>
            <w:right w:val="none" w:sz="0" w:space="0" w:color="auto"/>
          </w:divBdr>
        </w:div>
      </w:divsChild>
    </w:div>
    <w:div w:id="477259266">
      <w:bodyDiv w:val="1"/>
      <w:marLeft w:val="0"/>
      <w:marRight w:val="0"/>
      <w:marTop w:val="0"/>
      <w:marBottom w:val="0"/>
      <w:divBdr>
        <w:top w:val="none" w:sz="0" w:space="0" w:color="auto"/>
        <w:left w:val="none" w:sz="0" w:space="0" w:color="auto"/>
        <w:bottom w:val="none" w:sz="0" w:space="0" w:color="auto"/>
        <w:right w:val="none" w:sz="0" w:space="0" w:color="auto"/>
      </w:divBdr>
    </w:div>
    <w:div w:id="513157242">
      <w:bodyDiv w:val="1"/>
      <w:marLeft w:val="0"/>
      <w:marRight w:val="0"/>
      <w:marTop w:val="0"/>
      <w:marBottom w:val="0"/>
      <w:divBdr>
        <w:top w:val="none" w:sz="0" w:space="0" w:color="auto"/>
        <w:left w:val="none" w:sz="0" w:space="0" w:color="auto"/>
        <w:bottom w:val="none" w:sz="0" w:space="0" w:color="auto"/>
        <w:right w:val="none" w:sz="0" w:space="0" w:color="auto"/>
      </w:divBdr>
    </w:div>
    <w:div w:id="514811300">
      <w:bodyDiv w:val="1"/>
      <w:marLeft w:val="0"/>
      <w:marRight w:val="0"/>
      <w:marTop w:val="0"/>
      <w:marBottom w:val="0"/>
      <w:divBdr>
        <w:top w:val="none" w:sz="0" w:space="0" w:color="auto"/>
        <w:left w:val="none" w:sz="0" w:space="0" w:color="auto"/>
        <w:bottom w:val="none" w:sz="0" w:space="0" w:color="auto"/>
        <w:right w:val="none" w:sz="0" w:space="0" w:color="auto"/>
      </w:divBdr>
    </w:div>
    <w:div w:id="522519183">
      <w:bodyDiv w:val="1"/>
      <w:marLeft w:val="0"/>
      <w:marRight w:val="0"/>
      <w:marTop w:val="0"/>
      <w:marBottom w:val="0"/>
      <w:divBdr>
        <w:top w:val="none" w:sz="0" w:space="0" w:color="auto"/>
        <w:left w:val="none" w:sz="0" w:space="0" w:color="auto"/>
        <w:bottom w:val="none" w:sz="0" w:space="0" w:color="auto"/>
        <w:right w:val="none" w:sz="0" w:space="0" w:color="auto"/>
      </w:divBdr>
    </w:div>
    <w:div w:id="543175168">
      <w:bodyDiv w:val="1"/>
      <w:marLeft w:val="0"/>
      <w:marRight w:val="0"/>
      <w:marTop w:val="0"/>
      <w:marBottom w:val="0"/>
      <w:divBdr>
        <w:top w:val="none" w:sz="0" w:space="0" w:color="auto"/>
        <w:left w:val="none" w:sz="0" w:space="0" w:color="auto"/>
        <w:bottom w:val="none" w:sz="0" w:space="0" w:color="auto"/>
        <w:right w:val="none" w:sz="0" w:space="0" w:color="auto"/>
      </w:divBdr>
    </w:div>
    <w:div w:id="554053038">
      <w:bodyDiv w:val="1"/>
      <w:marLeft w:val="0"/>
      <w:marRight w:val="0"/>
      <w:marTop w:val="0"/>
      <w:marBottom w:val="0"/>
      <w:divBdr>
        <w:top w:val="none" w:sz="0" w:space="0" w:color="auto"/>
        <w:left w:val="none" w:sz="0" w:space="0" w:color="auto"/>
        <w:bottom w:val="none" w:sz="0" w:space="0" w:color="auto"/>
        <w:right w:val="none" w:sz="0" w:space="0" w:color="auto"/>
      </w:divBdr>
    </w:div>
    <w:div w:id="583029065">
      <w:bodyDiv w:val="1"/>
      <w:marLeft w:val="0"/>
      <w:marRight w:val="0"/>
      <w:marTop w:val="0"/>
      <w:marBottom w:val="0"/>
      <w:divBdr>
        <w:top w:val="none" w:sz="0" w:space="0" w:color="auto"/>
        <w:left w:val="none" w:sz="0" w:space="0" w:color="auto"/>
        <w:bottom w:val="none" w:sz="0" w:space="0" w:color="auto"/>
        <w:right w:val="none" w:sz="0" w:space="0" w:color="auto"/>
      </w:divBdr>
    </w:div>
    <w:div w:id="595867801">
      <w:bodyDiv w:val="1"/>
      <w:marLeft w:val="0"/>
      <w:marRight w:val="0"/>
      <w:marTop w:val="0"/>
      <w:marBottom w:val="0"/>
      <w:divBdr>
        <w:top w:val="none" w:sz="0" w:space="0" w:color="auto"/>
        <w:left w:val="none" w:sz="0" w:space="0" w:color="auto"/>
        <w:bottom w:val="none" w:sz="0" w:space="0" w:color="auto"/>
        <w:right w:val="none" w:sz="0" w:space="0" w:color="auto"/>
      </w:divBdr>
    </w:div>
    <w:div w:id="596208058">
      <w:bodyDiv w:val="1"/>
      <w:marLeft w:val="0"/>
      <w:marRight w:val="0"/>
      <w:marTop w:val="0"/>
      <w:marBottom w:val="0"/>
      <w:divBdr>
        <w:top w:val="none" w:sz="0" w:space="0" w:color="auto"/>
        <w:left w:val="none" w:sz="0" w:space="0" w:color="auto"/>
        <w:bottom w:val="none" w:sz="0" w:space="0" w:color="auto"/>
        <w:right w:val="none" w:sz="0" w:space="0" w:color="auto"/>
      </w:divBdr>
    </w:div>
    <w:div w:id="600920747">
      <w:bodyDiv w:val="1"/>
      <w:marLeft w:val="0"/>
      <w:marRight w:val="0"/>
      <w:marTop w:val="0"/>
      <w:marBottom w:val="0"/>
      <w:divBdr>
        <w:top w:val="none" w:sz="0" w:space="0" w:color="auto"/>
        <w:left w:val="none" w:sz="0" w:space="0" w:color="auto"/>
        <w:bottom w:val="none" w:sz="0" w:space="0" w:color="auto"/>
        <w:right w:val="none" w:sz="0" w:space="0" w:color="auto"/>
      </w:divBdr>
    </w:div>
    <w:div w:id="616251834">
      <w:bodyDiv w:val="1"/>
      <w:marLeft w:val="0"/>
      <w:marRight w:val="0"/>
      <w:marTop w:val="0"/>
      <w:marBottom w:val="0"/>
      <w:divBdr>
        <w:top w:val="none" w:sz="0" w:space="0" w:color="auto"/>
        <w:left w:val="none" w:sz="0" w:space="0" w:color="auto"/>
        <w:bottom w:val="none" w:sz="0" w:space="0" w:color="auto"/>
        <w:right w:val="none" w:sz="0" w:space="0" w:color="auto"/>
      </w:divBdr>
    </w:div>
    <w:div w:id="617295641">
      <w:bodyDiv w:val="1"/>
      <w:marLeft w:val="0"/>
      <w:marRight w:val="0"/>
      <w:marTop w:val="0"/>
      <w:marBottom w:val="0"/>
      <w:divBdr>
        <w:top w:val="none" w:sz="0" w:space="0" w:color="auto"/>
        <w:left w:val="none" w:sz="0" w:space="0" w:color="auto"/>
        <w:bottom w:val="none" w:sz="0" w:space="0" w:color="auto"/>
        <w:right w:val="none" w:sz="0" w:space="0" w:color="auto"/>
      </w:divBdr>
    </w:div>
    <w:div w:id="617687814">
      <w:bodyDiv w:val="1"/>
      <w:marLeft w:val="0"/>
      <w:marRight w:val="0"/>
      <w:marTop w:val="0"/>
      <w:marBottom w:val="0"/>
      <w:divBdr>
        <w:top w:val="none" w:sz="0" w:space="0" w:color="auto"/>
        <w:left w:val="none" w:sz="0" w:space="0" w:color="auto"/>
        <w:bottom w:val="none" w:sz="0" w:space="0" w:color="auto"/>
        <w:right w:val="none" w:sz="0" w:space="0" w:color="auto"/>
      </w:divBdr>
      <w:divsChild>
        <w:div w:id="325861708">
          <w:marLeft w:val="0"/>
          <w:marRight w:val="0"/>
          <w:marTop w:val="0"/>
          <w:marBottom w:val="240"/>
          <w:divBdr>
            <w:top w:val="none" w:sz="0" w:space="0" w:color="auto"/>
            <w:left w:val="none" w:sz="0" w:space="0" w:color="auto"/>
            <w:bottom w:val="none" w:sz="0" w:space="0" w:color="auto"/>
            <w:right w:val="none" w:sz="0" w:space="0" w:color="auto"/>
          </w:divBdr>
        </w:div>
      </w:divsChild>
    </w:div>
    <w:div w:id="652368432">
      <w:bodyDiv w:val="1"/>
      <w:marLeft w:val="0"/>
      <w:marRight w:val="0"/>
      <w:marTop w:val="0"/>
      <w:marBottom w:val="0"/>
      <w:divBdr>
        <w:top w:val="none" w:sz="0" w:space="0" w:color="auto"/>
        <w:left w:val="none" w:sz="0" w:space="0" w:color="auto"/>
        <w:bottom w:val="none" w:sz="0" w:space="0" w:color="auto"/>
        <w:right w:val="none" w:sz="0" w:space="0" w:color="auto"/>
      </w:divBdr>
    </w:div>
    <w:div w:id="660738713">
      <w:bodyDiv w:val="1"/>
      <w:marLeft w:val="0"/>
      <w:marRight w:val="0"/>
      <w:marTop w:val="0"/>
      <w:marBottom w:val="0"/>
      <w:divBdr>
        <w:top w:val="none" w:sz="0" w:space="0" w:color="auto"/>
        <w:left w:val="none" w:sz="0" w:space="0" w:color="auto"/>
        <w:bottom w:val="none" w:sz="0" w:space="0" w:color="auto"/>
        <w:right w:val="none" w:sz="0" w:space="0" w:color="auto"/>
      </w:divBdr>
    </w:div>
    <w:div w:id="695620044">
      <w:bodyDiv w:val="1"/>
      <w:marLeft w:val="0"/>
      <w:marRight w:val="0"/>
      <w:marTop w:val="0"/>
      <w:marBottom w:val="0"/>
      <w:divBdr>
        <w:top w:val="none" w:sz="0" w:space="0" w:color="auto"/>
        <w:left w:val="none" w:sz="0" w:space="0" w:color="auto"/>
        <w:bottom w:val="none" w:sz="0" w:space="0" w:color="auto"/>
        <w:right w:val="none" w:sz="0" w:space="0" w:color="auto"/>
      </w:divBdr>
    </w:div>
    <w:div w:id="713309962">
      <w:bodyDiv w:val="1"/>
      <w:marLeft w:val="0"/>
      <w:marRight w:val="0"/>
      <w:marTop w:val="0"/>
      <w:marBottom w:val="0"/>
      <w:divBdr>
        <w:top w:val="none" w:sz="0" w:space="0" w:color="auto"/>
        <w:left w:val="none" w:sz="0" w:space="0" w:color="auto"/>
        <w:bottom w:val="none" w:sz="0" w:space="0" w:color="auto"/>
        <w:right w:val="none" w:sz="0" w:space="0" w:color="auto"/>
      </w:divBdr>
    </w:div>
    <w:div w:id="742609441">
      <w:bodyDiv w:val="1"/>
      <w:marLeft w:val="0"/>
      <w:marRight w:val="0"/>
      <w:marTop w:val="0"/>
      <w:marBottom w:val="0"/>
      <w:divBdr>
        <w:top w:val="none" w:sz="0" w:space="0" w:color="auto"/>
        <w:left w:val="none" w:sz="0" w:space="0" w:color="auto"/>
        <w:bottom w:val="none" w:sz="0" w:space="0" w:color="auto"/>
        <w:right w:val="none" w:sz="0" w:space="0" w:color="auto"/>
      </w:divBdr>
      <w:divsChild>
        <w:div w:id="769814342">
          <w:marLeft w:val="0"/>
          <w:marRight w:val="0"/>
          <w:marTop w:val="0"/>
          <w:marBottom w:val="240"/>
          <w:divBdr>
            <w:top w:val="none" w:sz="0" w:space="0" w:color="auto"/>
            <w:left w:val="none" w:sz="0" w:space="0" w:color="auto"/>
            <w:bottom w:val="none" w:sz="0" w:space="0" w:color="auto"/>
            <w:right w:val="none" w:sz="0" w:space="0" w:color="auto"/>
          </w:divBdr>
        </w:div>
        <w:div w:id="2096631978">
          <w:marLeft w:val="0"/>
          <w:marRight w:val="0"/>
          <w:marTop w:val="0"/>
          <w:marBottom w:val="240"/>
          <w:divBdr>
            <w:top w:val="none" w:sz="0" w:space="0" w:color="auto"/>
            <w:left w:val="none" w:sz="0" w:space="0" w:color="auto"/>
            <w:bottom w:val="none" w:sz="0" w:space="0" w:color="auto"/>
            <w:right w:val="none" w:sz="0" w:space="0" w:color="auto"/>
          </w:divBdr>
        </w:div>
        <w:div w:id="1513839438">
          <w:marLeft w:val="0"/>
          <w:marRight w:val="0"/>
          <w:marTop w:val="0"/>
          <w:marBottom w:val="240"/>
          <w:divBdr>
            <w:top w:val="none" w:sz="0" w:space="0" w:color="auto"/>
            <w:left w:val="none" w:sz="0" w:space="0" w:color="auto"/>
            <w:bottom w:val="none" w:sz="0" w:space="0" w:color="auto"/>
            <w:right w:val="none" w:sz="0" w:space="0" w:color="auto"/>
          </w:divBdr>
        </w:div>
        <w:div w:id="1768499708">
          <w:marLeft w:val="0"/>
          <w:marRight w:val="0"/>
          <w:marTop w:val="0"/>
          <w:marBottom w:val="240"/>
          <w:divBdr>
            <w:top w:val="none" w:sz="0" w:space="0" w:color="auto"/>
            <w:left w:val="none" w:sz="0" w:space="0" w:color="auto"/>
            <w:bottom w:val="none" w:sz="0" w:space="0" w:color="auto"/>
            <w:right w:val="none" w:sz="0" w:space="0" w:color="auto"/>
          </w:divBdr>
        </w:div>
        <w:div w:id="731737884">
          <w:marLeft w:val="0"/>
          <w:marRight w:val="0"/>
          <w:marTop w:val="0"/>
          <w:marBottom w:val="240"/>
          <w:divBdr>
            <w:top w:val="none" w:sz="0" w:space="0" w:color="auto"/>
            <w:left w:val="none" w:sz="0" w:space="0" w:color="auto"/>
            <w:bottom w:val="none" w:sz="0" w:space="0" w:color="auto"/>
            <w:right w:val="none" w:sz="0" w:space="0" w:color="auto"/>
          </w:divBdr>
        </w:div>
        <w:div w:id="478496688">
          <w:marLeft w:val="0"/>
          <w:marRight w:val="0"/>
          <w:marTop w:val="0"/>
          <w:marBottom w:val="240"/>
          <w:divBdr>
            <w:top w:val="none" w:sz="0" w:space="0" w:color="auto"/>
            <w:left w:val="none" w:sz="0" w:space="0" w:color="auto"/>
            <w:bottom w:val="none" w:sz="0" w:space="0" w:color="auto"/>
            <w:right w:val="none" w:sz="0" w:space="0" w:color="auto"/>
          </w:divBdr>
        </w:div>
        <w:div w:id="1516840695">
          <w:marLeft w:val="0"/>
          <w:marRight w:val="0"/>
          <w:marTop w:val="0"/>
          <w:marBottom w:val="240"/>
          <w:divBdr>
            <w:top w:val="none" w:sz="0" w:space="0" w:color="auto"/>
            <w:left w:val="none" w:sz="0" w:space="0" w:color="auto"/>
            <w:bottom w:val="none" w:sz="0" w:space="0" w:color="auto"/>
            <w:right w:val="none" w:sz="0" w:space="0" w:color="auto"/>
          </w:divBdr>
        </w:div>
        <w:div w:id="1435638359">
          <w:marLeft w:val="0"/>
          <w:marRight w:val="0"/>
          <w:marTop w:val="0"/>
          <w:marBottom w:val="240"/>
          <w:divBdr>
            <w:top w:val="none" w:sz="0" w:space="0" w:color="auto"/>
            <w:left w:val="none" w:sz="0" w:space="0" w:color="auto"/>
            <w:bottom w:val="none" w:sz="0" w:space="0" w:color="auto"/>
            <w:right w:val="none" w:sz="0" w:space="0" w:color="auto"/>
          </w:divBdr>
        </w:div>
        <w:div w:id="442111691">
          <w:marLeft w:val="0"/>
          <w:marRight w:val="0"/>
          <w:marTop w:val="0"/>
          <w:marBottom w:val="240"/>
          <w:divBdr>
            <w:top w:val="none" w:sz="0" w:space="0" w:color="auto"/>
            <w:left w:val="none" w:sz="0" w:space="0" w:color="auto"/>
            <w:bottom w:val="none" w:sz="0" w:space="0" w:color="auto"/>
            <w:right w:val="none" w:sz="0" w:space="0" w:color="auto"/>
          </w:divBdr>
        </w:div>
        <w:div w:id="1815635785">
          <w:marLeft w:val="0"/>
          <w:marRight w:val="0"/>
          <w:marTop w:val="0"/>
          <w:marBottom w:val="240"/>
          <w:divBdr>
            <w:top w:val="none" w:sz="0" w:space="0" w:color="auto"/>
            <w:left w:val="none" w:sz="0" w:space="0" w:color="auto"/>
            <w:bottom w:val="none" w:sz="0" w:space="0" w:color="auto"/>
            <w:right w:val="none" w:sz="0" w:space="0" w:color="auto"/>
          </w:divBdr>
        </w:div>
        <w:div w:id="147941503">
          <w:marLeft w:val="0"/>
          <w:marRight w:val="0"/>
          <w:marTop w:val="0"/>
          <w:marBottom w:val="240"/>
          <w:divBdr>
            <w:top w:val="none" w:sz="0" w:space="0" w:color="auto"/>
            <w:left w:val="none" w:sz="0" w:space="0" w:color="auto"/>
            <w:bottom w:val="none" w:sz="0" w:space="0" w:color="auto"/>
            <w:right w:val="none" w:sz="0" w:space="0" w:color="auto"/>
          </w:divBdr>
        </w:div>
        <w:div w:id="1869373533">
          <w:marLeft w:val="0"/>
          <w:marRight w:val="0"/>
          <w:marTop w:val="0"/>
          <w:marBottom w:val="240"/>
          <w:divBdr>
            <w:top w:val="none" w:sz="0" w:space="0" w:color="auto"/>
            <w:left w:val="none" w:sz="0" w:space="0" w:color="auto"/>
            <w:bottom w:val="none" w:sz="0" w:space="0" w:color="auto"/>
            <w:right w:val="none" w:sz="0" w:space="0" w:color="auto"/>
          </w:divBdr>
        </w:div>
        <w:div w:id="1706171468">
          <w:marLeft w:val="0"/>
          <w:marRight w:val="0"/>
          <w:marTop w:val="0"/>
          <w:marBottom w:val="240"/>
          <w:divBdr>
            <w:top w:val="none" w:sz="0" w:space="0" w:color="auto"/>
            <w:left w:val="none" w:sz="0" w:space="0" w:color="auto"/>
            <w:bottom w:val="none" w:sz="0" w:space="0" w:color="auto"/>
            <w:right w:val="none" w:sz="0" w:space="0" w:color="auto"/>
          </w:divBdr>
        </w:div>
        <w:div w:id="343636385">
          <w:marLeft w:val="0"/>
          <w:marRight w:val="0"/>
          <w:marTop w:val="0"/>
          <w:marBottom w:val="240"/>
          <w:divBdr>
            <w:top w:val="none" w:sz="0" w:space="0" w:color="auto"/>
            <w:left w:val="none" w:sz="0" w:space="0" w:color="auto"/>
            <w:bottom w:val="none" w:sz="0" w:space="0" w:color="auto"/>
            <w:right w:val="none" w:sz="0" w:space="0" w:color="auto"/>
          </w:divBdr>
        </w:div>
        <w:div w:id="1193612895">
          <w:marLeft w:val="0"/>
          <w:marRight w:val="0"/>
          <w:marTop w:val="0"/>
          <w:marBottom w:val="240"/>
          <w:divBdr>
            <w:top w:val="none" w:sz="0" w:space="0" w:color="auto"/>
            <w:left w:val="none" w:sz="0" w:space="0" w:color="auto"/>
            <w:bottom w:val="none" w:sz="0" w:space="0" w:color="auto"/>
            <w:right w:val="none" w:sz="0" w:space="0" w:color="auto"/>
          </w:divBdr>
        </w:div>
        <w:div w:id="1512065535">
          <w:marLeft w:val="0"/>
          <w:marRight w:val="0"/>
          <w:marTop w:val="0"/>
          <w:marBottom w:val="240"/>
          <w:divBdr>
            <w:top w:val="none" w:sz="0" w:space="0" w:color="auto"/>
            <w:left w:val="none" w:sz="0" w:space="0" w:color="auto"/>
            <w:bottom w:val="none" w:sz="0" w:space="0" w:color="auto"/>
            <w:right w:val="none" w:sz="0" w:space="0" w:color="auto"/>
          </w:divBdr>
        </w:div>
        <w:div w:id="1490630769">
          <w:marLeft w:val="0"/>
          <w:marRight w:val="0"/>
          <w:marTop w:val="0"/>
          <w:marBottom w:val="240"/>
          <w:divBdr>
            <w:top w:val="none" w:sz="0" w:space="0" w:color="auto"/>
            <w:left w:val="none" w:sz="0" w:space="0" w:color="auto"/>
            <w:bottom w:val="none" w:sz="0" w:space="0" w:color="auto"/>
            <w:right w:val="none" w:sz="0" w:space="0" w:color="auto"/>
          </w:divBdr>
        </w:div>
        <w:div w:id="1676490529">
          <w:marLeft w:val="0"/>
          <w:marRight w:val="0"/>
          <w:marTop w:val="0"/>
          <w:marBottom w:val="240"/>
          <w:divBdr>
            <w:top w:val="none" w:sz="0" w:space="0" w:color="auto"/>
            <w:left w:val="none" w:sz="0" w:space="0" w:color="auto"/>
            <w:bottom w:val="none" w:sz="0" w:space="0" w:color="auto"/>
            <w:right w:val="none" w:sz="0" w:space="0" w:color="auto"/>
          </w:divBdr>
        </w:div>
        <w:div w:id="272714689">
          <w:marLeft w:val="0"/>
          <w:marRight w:val="0"/>
          <w:marTop w:val="0"/>
          <w:marBottom w:val="240"/>
          <w:divBdr>
            <w:top w:val="none" w:sz="0" w:space="0" w:color="auto"/>
            <w:left w:val="none" w:sz="0" w:space="0" w:color="auto"/>
            <w:bottom w:val="none" w:sz="0" w:space="0" w:color="auto"/>
            <w:right w:val="none" w:sz="0" w:space="0" w:color="auto"/>
          </w:divBdr>
        </w:div>
        <w:div w:id="1267881984">
          <w:marLeft w:val="0"/>
          <w:marRight w:val="0"/>
          <w:marTop w:val="0"/>
          <w:marBottom w:val="240"/>
          <w:divBdr>
            <w:top w:val="none" w:sz="0" w:space="0" w:color="auto"/>
            <w:left w:val="none" w:sz="0" w:space="0" w:color="auto"/>
            <w:bottom w:val="none" w:sz="0" w:space="0" w:color="auto"/>
            <w:right w:val="none" w:sz="0" w:space="0" w:color="auto"/>
          </w:divBdr>
        </w:div>
        <w:div w:id="422342206">
          <w:marLeft w:val="0"/>
          <w:marRight w:val="0"/>
          <w:marTop w:val="0"/>
          <w:marBottom w:val="240"/>
          <w:divBdr>
            <w:top w:val="none" w:sz="0" w:space="0" w:color="auto"/>
            <w:left w:val="none" w:sz="0" w:space="0" w:color="auto"/>
            <w:bottom w:val="none" w:sz="0" w:space="0" w:color="auto"/>
            <w:right w:val="none" w:sz="0" w:space="0" w:color="auto"/>
          </w:divBdr>
        </w:div>
        <w:div w:id="1944453684">
          <w:marLeft w:val="0"/>
          <w:marRight w:val="0"/>
          <w:marTop w:val="0"/>
          <w:marBottom w:val="240"/>
          <w:divBdr>
            <w:top w:val="none" w:sz="0" w:space="0" w:color="auto"/>
            <w:left w:val="none" w:sz="0" w:space="0" w:color="auto"/>
            <w:bottom w:val="none" w:sz="0" w:space="0" w:color="auto"/>
            <w:right w:val="none" w:sz="0" w:space="0" w:color="auto"/>
          </w:divBdr>
        </w:div>
        <w:div w:id="2129279038">
          <w:marLeft w:val="0"/>
          <w:marRight w:val="0"/>
          <w:marTop w:val="0"/>
          <w:marBottom w:val="240"/>
          <w:divBdr>
            <w:top w:val="none" w:sz="0" w:space="0" w:color="auto"/>
            <w:left w:val="none" w:sz="0" w:space="0" w:color="auto"/>
            <w:bottom w:val="none" w:sz="0" w:space="0" w:color="auto"/>
            <w:right w:val="none" w:sz="0" w:space="0" w:color="auto"/>
          </w:divBdr>
        </w:div>
        <w:div w:id="1191071950">
          <w:marLeft w:val="0"/>
          <w:marRight w:val="0"/>
          <w:marTop w:val="0"/>
          <w:marBottom w:val="240"/>
          <w:divBdr>
            <w:top w:val="none" w:sz="0" w:space="0" w:color="auto"/>
            <w:left w:val="none" w:sz="0" w:space="0" w:color="auto"/>
            <w:bottom w:val="none" w:sz="0" w:space="0" w:color="auto"/>
            <w:right w:val="none" w:sz="0" w:space="0" w:color="auto"/>
          </w:divBdr>
        </w:div>
        <w:div w:id="482507075">
          <w:marLeft w:val="0"/>
          <w:marRight w:val="0"/>
          <w:marTop w:val="0"/>
          <w:marBottom w:val="240"/>
          <w:divBdr>
            <w:top w:val="none" w:sz="0" w:space="0" w:color="auto"/>
            <w:left w:val="none" w:sz="0" w:space="0" w:color="auto"/>
            <w:bottom w:val="none" w:sz="0" w:space="0" w:color="auto"/>
            <w:right w:val="none" w:sz="0" w:space="0" w:color="auto"/>
          </w:divBdr>
        </w:div>
        <w:div w:id="701250246">
          <w:marLeft w:val="0"/>
          <w:marRight w:val="0"/>
          <w:marTop w:val="0"/>
          <w:marBottom w:val="240"/>
          <w:divBdr>
            <w:top w:val="none" w:sz="0" w:space="0" w:color="auto"/>
            <w:left w:val="none" w:sz="0" w:space="0" w:color="auto"/>
            <w:bottom w:val="none" w:sz="0" w:space="0" w:color="auto"/>
            <w:right w:val="none" w:sz="0" w:space="0" w:color="auto"/>
          </w:divBdr>
        </w:div>
        <w:div w:id="1306466690">
          <w:marLeft w:val="0"/>
          <w:marRight w:val="0"/>
          <w:marTop w:val="0"/>
          <w:marBottom w:val="240"/>
          <w:divBdr>
            <w:top w:val="none" w:sz="0" w:space="0" w:color="auto"/>
            <w:left w:val="none" w:sz="0" w:space="0" w:color="auto"/>
            <w:bottom w:val="none" w:sz="0" w:space="0" w:color="auto"/>
            <w:right w:val="none" w:sz="0" w:space="0" w:color="auto"/>
          </w:divBdr>
        </w:div>
        <w:div w:id="422803598">
          <w:marLeft w:val="0"/>
          <w:marRight w:val="0"/>
          <w:marTop w:val="0"/>
          <w:marBottom w:val="240"/>
          <w:divBdr>
            <w:top w:val="none" w:sz="0" w:space="0" w:color="auto"/>
            <w:left w:val="none" w:sz="0" w:space="0" w:color="auto"/>
            <w:bottom w:val="none" w:sz="0" w:space="0" w:color="auto"/>
            <w:right w:val="none" w:sz="0" w:space="0" w:color="auto"/>
          </w:divBdr>
        </w:div>
        <w:div w:id="2073888478">
          <w:marLeft w:val="0"/>
          <w:marRight w:val="0"/>
          <w:marTop w:val="0"/>
          <w:marBottom w:val="240"/>
          <w:divBdr>
            <w:top w:val="none" w:sz="0" w:space="0" w:color="auto"/>
            <w:left w:val="none" w:sz="0" w:space="0" w:color="auto"/>
            <w:bottom w:val="none" w:sz="0" w:space="0" w:color="auto"/>
            <w:right w:val="none" w:sz="0" w:space="0" w:color="auto"/>
          </w:divBdr>
        </w:div>
        <w:div w:id="2100103546">
          <w:marLeft w:val="0"/>
          <w:marRight w:val="0"/>
          <w:marTop w:val="0"/>
          <w:marBottom w:val="240"/>
          <w:divBdr>
            <w:top w:val="none" w:sz="0" w:space="0" w:color="auto"/>
            <w:left w:val="none" w:sz="0" w:space="0" w:color="auto"/>
            <w:bottom w:val="none" w:sz="0" w:space="0" w:color="auto"/>
            <w:right w:val="none" w:sz="0" w:space="0" w:color="auto"/>
          </w:divBdr>
        </w:div>
        <w:div w:id="596984495">
          <w:marLeft w:val="0"/>
          <w:marRight w:val="0"/>
          <w:marTop w:val="0"/>
          <w:marBottom w:val="240"/>
          <w:divBdr>
            <w:top w:val="none" w:sz="0" w:space="0" w:color="auto"/>
            <w:left w:val="none" w:sz="0" w:space="0" w:color="auto"/>
            <w:bottom w:val="none" w:sz="0" w:space="0" w:color="auto"/>
            <w:right w:val="none" w:sz="0" w:space="0" w:color="auto"/>
          </w:divBdr>
        </w:div>
        <w:div w:id="1576933657">
          <w:marLeft w:val="0"/>
          <w:marRight w:val="0"/>
          <w:marTop w:val="0"/>
          <w:marBottom w:val="240"/>
          <w:divBdr>
            <w:top w:val="none" w:sz="0" w:space="0" w:color="auto"/>
            <w:left w:val="none" w:sz="0" w:space="0" w:color="auto"/>
            <w:bottom w:val="none" w:sz="0" w:space="0" w:color="auto"/>
            <w:right w:val="none" w:sz="0" w:space="0" w:color="auto"/>
          </w:divBdr>
        </w:div>
        <w:div w:id="1634631068">
          <w:marLeft w:val="0"/>
          <w:marRight w:val="0"/>
          <w:marTop w:val="0"/>
          <w:marBottom w:val="240"/>
          <w:divBdr>
            <w:top w:val="none" w:sz="0" w:space="0" w:color="auto"/>
            <w:left w:val="none" w:sz="0" w:space="0" w:color="auto"/>
            <w:bottom w:val="none" w:sz="0" w:space="0" w:color="auto"/>
            <w:right w:val="none" w:sz="0" w:space="0" w:color="auto"/>
          </w:divBdr>
        </w:div>
        <w:div w:id="1710957815">
          <w:marLeft w:val="0"/>
          <w:marRight w:val="0"/>
          <w:marTop w:val="0"/>
          <w:marBottom w:val="240"/>
          <w:divBdr>
            <w:top w:val="none" w:sz="0" w:space="0" w:color="auto"/>
            <w:left w:val="none" w:sz="0" w:space="0" w:color="auto"/>
            <w:bottom w:val="none" w:sz="0" w:space="0" w:color="auto"/>
            <w:right w:val="none" w:sz="0" w:space="0" w:color="auto"/>
          </w:divBdr>
        </w:div>
        <w:div w:id="469254650">
          <w:marLeft w:val="0"/>
          <w:marRight w:val="0"/>
          <w:marTop w:val="0"/>
          <w:marBottom w:val="240"/>
          <w:divBdr>
            <w:top w:val="none" w:sz="0" w:space="0" w:color="auto"/>
            <w:left w:val="none" w:sz="0" w:space="0" w:color="auto"/>
            <w:bottom w:val="none" w:sz="0" w:space="0" w:color="auto"/>
            <w:right w:val="none" w:sz="0" w:space="0" w:color="auto"/>
          </w:divBdr>
        </w:div>
        <w:div w:id="618100952">
          <w:marLeft w:val="0"/>
          <w:marRight w:val="0"/>
          <w:marTop w:val="0"/>
          <w:marBottom w:val="240"/>
          <w:divBdr>
            <w:top w:val="none" w:sz="0" w:space="0" w:color="auto"/>
            <w:left w:val="none" w:sz="0" w:space="0" w:color="auto"/>
            <w:bottom w:val="none" w:sz="0" w:space="0" w:color="auto"/>
            <w:right w:val="none" w:sz="0" w:space="0" w:color="auto"/>
          </w:divBdr>
        </w:div>
        <w:div w:id="485710154">
          <w:marLeft w:val="0"/>
          <w:marRight w:val="0"/>
          <w:marTop w:val="0"/>
          <w:marBottom w:val="240"/>
          <w:divBdr>
            <w:top w:val="none" w:sz="0" w:space="0" w:color="auto"/>
            <w:left w:val="none" w:sz="0" w:space="0" w:color="auto"/>
            <w:bottom w:val="none" w:sz="0" w:space="0" w:color="auto"/>
            <w:right w:val="none" w:sz="0" w:space="0" w:color="auto"/>
          </w:divBdr>
        </w:div>
        <w:div w:id="391544181">
          <w:marLeft w:val="0"/>
          <w:marRight w:val="0"/>
          <w:marTop w:val="0"/>
          <w:marBottom w:val="240"/>
          <w:divBdr>
            <w:top w:val="none" w:sz="0" w:space="0" w:color="auto"/>
            <w:left w:val="none" w:sz="0" w:space="0" w:color="auto"/>
            <w:bottom w:val="none" w:sz="0" w:space="0" w:color="auto"/>
            <w:right w:val="none" w:sz="0" w:space="0" w:color="auto"/>
          </w:divBdr>
        </w:div>
        <w:div w:id="311299177">
          <w:marLeft w:val="0"/>
          <w:marRight w:val="0"/>
          <w:marTop w:val="0"/>
          <w:marBottom w:val="240"/>
          <w:divBdr>
            <w:top w:val="none" w:sz="0" w:space="0" w:color="auto"/>
            <w:left w:val="none" w:sz="0" w:space="0" w:color="auto"/>
            <w:bottom w:val="none" w:sz="0" w:space="0" w:color="auto"/>
            <w:right w:val="none" w:sz="0" w:space="0" w:color="auto"/>
          </w:divBdr>
        </w:div>
        <w:div w:id="491798982">
          <w:marLeft w:val="0"/>
          <w:marRight w:val="0"/>
          <w:marTop w:val="0"/>
          <w:marBottom w:val="240"/>
          <w:divBdr>
            <w:top w:val="none" w:sz="0" w:space="0" w:color="auto"/>
            <w:left w:val="none" w:sz="0" w:space="0" w:color="auto"/>
            <w:bottom w:val="none" w:sz="0" w:space="0" w:color="auto"/>
            <w:right w:val="none" w:sz="0" w:space="0" w:color="auto"/>
          </w:divBdr>
        </w:div>
        <w:div w:id="1866672789">
          <w:marLeft w:val="0"/>
          <w:marRight w:val="0"/>
          <w:marTop w:val="0"/>
          <w:marBottom w:val="240"/>
          <w:divBdr>
            <w:top w:val="none" w:sz="0" w:space="0" w:color="auto"/>
            <w:left w:val="none" w:sz="0" w:space="0" w:color="auto"/>
            <w:bottom w:val="none" w:sz="0" w:space="0" w:color="auto"/>
            <w:right w:val="none" w:sz="0" w:space="0" w:color="auto"/>
          </w:divBdr>
        </w:div>
        <w:div w:id="538862304">
          <w:marLeft w:val="0"/>
          <w:marRight w:val="0"/>
          <w:marTop w:val="0"/>
          <w:marBottom w:val="240"/>
          <w:divBdr>
            <w:top w:val="none" w:sz="0" w:space="0" w:color="auto"/>
            <w:left w:val="none" w:sz="0" w:space="0" w:color="auto"/>
            <w:bottom w:val="none" w:sz="0" w:space="0" w:color="auto"/>
            <w:right w:val="none" w:sz="0" w:space="0" w:color="auto"/>
          </w:divBdr>
        </w:div>
        <w:div w:id="1451238597">
          <w:marLeft w:val="0"/>
          <w:marRight w:val="0"/>
          <w:marTop w:val="0"/>
          <w:marBottom w:val="240"/>
          <w:divBdr>
            <w:top w:val="none" w:sz="0" w:space="0" w:color="auto"/>
            <w:left w:val="none" w:sz="0" w:space="0" w:color="auto"/>
            <w:bottom w:val="none" w:sz="0" w:space="0" w:color="auto"/>
            <w:right w:val="none" w:sz="0" w:space="0" w:color="auto"/>
          </w:divBdr>
        </w:div>
        <w:div w:id="932665799">
          <w:marLeft w:val="0"/>
          <w:marRight w:val="0"/>
          <w:marTop w:val="0"/>
          <w:marBottom w:val="240"/>
          <w:divBdr>
            <w:top w:val="none" w:sz="0" w:space="0" w:color="auto"/>
            <w:left w:val="none" w:sz="0" w:space="0" w:color="auto"/>
            <w:bottom w:val="none" w:sz="0" w:space="0" w:color="auto"/>
            <w:right w:val="none" w:sz="0" w:space="0" w:color="auto"/>
          </w:divBdr>
        </w:div>
        <w:div w:id="1474371582">
          <w:marLeft w:val="0"/>
          <w:marRight w:val="0"/>
          <w:marTop w:val="0"/>
          <w:marBottom w:val="240"/>
          <w:divBdr>
            <w:top w:val="none" w:sz="0" w:space="0" w:color="auto"/>
            <w:left w:val="none" w:sz="0" w:space="0" w:color="auto"/>
            <w:bottom w:val="none" w:sz="0" w:space="0" w:color="auto"/>
            <w:right w:val="none" w:sz="0" w:space="0" w:color="auto"/>
          </w:divBdr>
        </w:div>
        <w:div w:id="1652709298">
          <w:marLeft w:val="0"/>
          <w:marRight w:val="0"/>
          <w:marTop w:val="0"/>
          <w:marBottom w:val="240"/>
          <w:divBdr>
            <w:top w:val="none" w:sz="0" w:space="0" w:color="auto"/>
            <w:left w:val="none" w:sz="0" w:space="0" w:color="auto"/>
            <w:bottom w:val="none" w:sz="0" w:space="0" w:color="auto"/>
            <w:right w:val="none" w:sz="0" w:space="0" w:color="auto"/>
          </w:divBdr>
        </w:div>
        <w:div w:id="1961918230">
          <w:marLeft w:val="0"/>
          <w:marRight w:val="0"/>
          <w:marTop w:val="0"/>
          <w:marBottom w:val="240"/>
          <w:divBdr>
            <w:top w:val="none" w:sz="0" w:space="0" w:color="auto"/>
            <w:left w:val="none" w:sz="0" w:space="0" w:color="auto"/>
            <w:bottom w:val="none" w:sz="0" w:space="0" w:color="auto"/>
            <w:right w:val="none" w:sz="0" w:space="0" w:color="auto"/>
          </w:divBdr>
        </w:div>
        <w:div w:id="694385671">
          <w:marLeft w:val="0"/>
          <w:marRight w:val="0"/>
          <w:marTop w:val="0"/>
          <w:marBottom w:val="240"/>
          <w:divBdr>
            <w:top w:val="none" w:sz="0" w:space="0" w:color="auto"/>
            <w:left w:val="none" w:sz="0" w:space="0" w:color="auto"/>
            <w:bottom w:val="none" w:sz="0" w:space="0" w:color="auto"/>
            <w:right w:val="none" w:sz="0" w:space="0" w:color="auto"/>
          </w:divBdr>
        </w:div>
        <w:div w:id="1198002523">
          <w:marLeft w:val="0"/>
          <w:marRight w:val="0"/>
          <w:marTop w:val="0"/>
          <w:marBottom w:val="240"/>
          <w:divBdr>
            <w:top w:val="none" w:sz="0" w:space="0" w:color="auto"/>
            <w:left w:val="none" w:sz="0" w:space="0" w:color="auto"/>
            <w:bottom w:val="none" w:sz="0" w:space="0" w:color="auto"/>
            <w:right w:val="none" w:sz="0" w:space="0" w:color="auto"/>
          </w:divBdr>
        </w:div>
        <w:div w:id="1489248368">
          <w:marLeft w:val="0"/>
          <w:marRight w:val="0"/>
          <w:marTop w:val="0"/>
          <w:marBottom w:val="240"/>
          <w:divBdr>
            <w:top w:val="none" w:sz="0" w:space="0" w:color="auto"/>
            <w:left w:val="none" w:sz="0" w:space="0" w:color="auto"/>
            <w:bottom w:val="none" w:sz="0" w:space="0" w:color="auto"/>
            <w:right w:val="none" w:sz="0" w:space="0" w:color="auto"/>
          </w:divBdr>
        </w:div>
        <w:div w:id="1845968897">
          <w:marLeft w:val="0"/>
          <w:marRight w:val="0"/>
          <w:marTop w:val="0"/>
          <w:marBottom w:val="240"/>
          <w:divBdr>
            <w:top w:val="none" w:sz="0" w:space="0" w:color="auto"/>
            <w:left w:val="none" w:sz="0" w:space="0" w:color="auto"/>
            <w:bottom w:val="none" w:sz="0" w:space="0" w:color="auto"/>
            <w:right w:val="none" w:sz="0" w:space="0" w:color="auto"/>
          </w:divBdr>
        </w:div>
        <w:div w:id="1863324417">
          <w:marLeft w:val="0"/>
          <w:marRight w:val="0"/>
          <w:marTop w:val="0"/>
          <w:marBottom w:val="240"/>
          <w:divBdr>
            <w:top w:val="none" w:sz="0" w:space="0" w:color="auto"/>
            <w:left w:val="none" w:sz="0" w:space="0" w:color="auto"/>
            <w:bottom w:val="none" w:sz="0" w:space="0" w:color="auto"/>
            <w:right w:val="none" w:sz="0" w:space="0" w:color="auto"/>
          </w:divBdr>
        </w:div>
        <w:div w:id="355011525">
          <w:marLeft w:val="0"/>
          <w:marRight w:val="0"/>
          <w:marTop w:val="0"/>
          <w:marBottom w:val="240"/>
          <w:divBdr>
            <w:top w:val="none" w:sz="0" w:space="0" w:color="auto"/>
            <w:left w:val="none" w:sz="0" w:space="0" w:color="auto"/>
            <w:bottom w:val="none" w:sz="0" w:space="0" w:color="auto"/>
            <w:right w:val="none" w:sz="0" w:space="0" w:color="auto"/>
          </w:divBdr>
        </w:div>
        <w:div w:id="284041595">
          <w:marLeft w:val="0"/>
          <w:marRight w:val="0"/>
          <w:marTop w:val="0"/>
          <w:marBottom w:val="240"/>
          <w:divBdr>
            <w:top w:val="none" w:sz="0" w:space="0" w:color="auto"/>
            <w:left w:val="none" w:sz="0" w:space="0" w:color="auto"/>
            <w:bottom w:val="none" w:sz="0" w:space="0" w:color="auto"/>
            <w:right w:val="none" w:sz="0" w:space="0" w:color="auto"/>
          </w:divBdr>
        </w:div>
        <w:div w:id="155926708">
          <w:marLeft w:val="0"/>
          <w:marRight w:val="0"/>
          <w:marTop w:val="0"/>
          <w:marBottom w:val="240"/>
          <w:divBdr>
            <w:top w:val="none" w:sz="0" w:space="0" w:color="auto"/>
            <w:left w:val="none" w:sz="0" w:space="0" w:color="auto"/>
            <w:bottom w:val="none" w:sz="0" w:space="0" w:color="auto"/>
            <w:right w:val="none" w:sz="0" w:space="0" w:color="auto"/>
          </w:divBdr>
        </w:div>
        <w:div w:id="1733886317">
          <w:marLeft w:val="0"/>
          <w:marRight w:val="0"/>
          <w:marTop w:val="0"/>
          <w:marBottom w:val="240"/>
          <w:divBdr>
            <w:top w:val="none" w:sz="0" w:space="0" w:color="auto"/>
            <w:left w:val="none" w:sz="0" w:space="0" w:color="auto"/>
            <w:bottom w:val="none" w:sz="0" w:space="0" w:color="auto"/>
            <w:right w:val="none" w:sz="0" w:space="0" w:color="auto"/>
          </w:divBdr>
        </w:div>
        <w:div w:id="1224826057">
          <w:marLeft w:val="0"/>
          <w:marRight w:val="0"/>
          <w:marTop w:val="0"/>
          <w:marBottom w:val="240"/>
          <w:divBdr>
            <w:top w:val="none" w:sz="0" w:space="0" w:color="auto"/>
            <w:left w:val="none" w:sz="0" w:space="0" w:color="auto"/>
            <w:bottom w:val="none" w:sz="0" w:space="0" w:color="auto"/>
            <w:right w:val="none" w:sz="0" w:space="0" w:color="auto"/>
          </w:divBdr>
        </w:div>
        <w:div w:id="841310797">
          <w:marLeft w:val="0"/>
          <w:marRight w:val="0"/>
          <w:marTop w:val="0"/>
          <w:marBottom w:val="240"/>
          <w:divBdr>
            <w:top w:val="none" w:sz="0" w:space="0" w:color="auto"/>
            <w:left w:val="none" w:sz="0" w:space="0" w:color="auto"/>
            <w:bottom w:val="none" w:sz="0" w:space="0" w:color="auto"/>
            <w:right w:val="none" w:sz="0" w:space="0" w:color="auto"/>
          </w:divBdr>
        </w:div>
        <w:div w:id="983393275">
          <w:marLeft w:val="0"/>
          <w:marRight w:val="0"/>
          <w:marTop w:val="0"/>
          <w:marBottom w:val="240"/>
          <w:divBdr>
            <w:top w:val="none" w:sz="0" w:space="0" w:color="auto"/>
            <w:left w:val="none" w:sz="0" w:space="0" w:color="auto"/>
            <w:bottom w:val="none" w:sz="0" w:space="0" w:color="auto"/>
            <w:right w:val="none" w:sz="0" w:space="0" w:color="auto"/>
          </w:divBdr>
        </w:div>
        <w:div w:id="780689689">
          <w:marLeft w:val="0"/>
          <w:marRight w:val="0"/>
          <w:marTop w:val="0"/>
          <w:marBottom w:val="240"/>
          <w:divBdr>
            <w:top w:val="none" w:sz="0" w:space="0" w:color="auto"/>
            <w:left w:val="none" w:sz="0" w:space="0" w:color="auto"/>
            <w:bottom w:val="none" w:sz="0" w:space="0" w:color="auto"/>
            <w:right w:val="none" w:sz="0" w:space="0" w:color="auto"/>
          </w:divBdr>
        </w:div>
        <w:div w:id="271398040">
          <w:marLeft w:val="0"/>
          <w:marRight w:val="0"/>
          <w:marTop w:val="0"/>
          <w:marBottom w:val="240"/>
          <w:divBdr>
            <w:top w:val="none" w:sz="0" w:space="0" w:color="auto"/>
            <w:left w:val="none" w:sz="0" w:space="0" w:color="auto"/>
            <w:bottom w:val="none" w:sz="0" w:space="0" w:color="auto"/>
            <w:right w:val="none" w:sz="0" w:space="0" w:color="auto"/>
          </w:divBdr>
        </w:div>
        <w:div w:id="845443948">
          <w:marLeft w:val="0"/>
          <w:marRight w:val="0"/>
          <w:marTop w:val="0"/>
          <w:marBottom w:val="240"/>
          <w:divBdr>
            <w:top w:val="none" w:sz="0" w:space="0" w:color="auto"/>
            <w:left w:val="none" w:sz="0" w:space="0" w:color="auto"/>
            <w:bottom w:val="none" w:sz="0" w:space="0" w:color="auto"/>
            <w:right w:val="none" w:sz="0" w:space="0" w:color="auto"/>
          </w:divBdr>
        </w:div>
        <w:div w:id="339241456">
          <w:marLeft w:val="0"/>
          <w:marRight w:val="0"/>
          <w:marTop w:val="0"/>
          <w:marBottom w:val="240"/>
          <w:divBdr>
            <w:top w:val="none" w:sz="0" w:space="0" w:color="auto"/>
            <w:left w:val="none" w:sz="0" w:space="0" w:color="auto"/>
            <w:bottom w:val="none" w:sz="0" w:space="0" w:color="auto"/>
            <w:right w:val="none" w:sz="0" w:space="0" w:color="auto"/>
          </w:divBdr>
        </w:div>
        <w:div w:id="1268585208">
          <w:marLeft w:val="0"/>
          <w:marRight w:val="0"/>
          <w:marTop w:val="0"/>
          <w:marBottom w:val="240"/>
          <w:divBdr>
            <w:top w:val="none" w:sz="0" w:space="0" w:color="auto"/>
            <w:left w:val="none" w:sz="0" w:space="0" w:color="auto"/>
            <w:bottom w:val="none" w:sz="0" w:space="0" w:color="auto"/>
            <w:right w:val="none" w:sz="0" w:space="0" w:color="auto"/>
          </w:divBdr>
        </w:div>
        <w:div w:id="814297276">
          <w:marLeft w:val="0"/>
          <w:marRight w:val="0"/>
          <w:marTop w:val="0"/>
          <w:marBottom w:val="240"/>
          <w:divBdr>
            <w:top w:val="none" w:sz="0" w:space="0" w:color="auto"/>
            <w:left w:val="none" w:sz="0" w:space="0" w:color="auto"/>
            <w:bottom w:val="none" w:sz="0" w:space="0" w:color="auto"/>
            <w:right w:val="none" w:sz="0" w:space="0" w:color="auto"/>
          </w:divBdr>
        </w:div>
        <w:div w:id="633340180">
          <w:marLeft w:val="0"/>
          <w:marRight w:val="0"/>
          <w:marTop w:val="0"/>
          <w:marBottom w:val="240"/>
          <w:divBdr>
            <w:top w:val="none" w:sz="0" w:space="0" w:color="auto"/>
            <w:left w:val="none" w:sz="0" w:space="0" w:color="auto"/>
            <w:bottom w:val="none" w:sz="0" w:space="0" w:color="auto"/>
            <w:right w:val="none" w:sz="0" w:space="0" w:color="auto"/>
          </w:divBdr>
        </w:div>
        <w:div w:id="1499617469">
          <w:marLeft w:val="0"/>
          <w:marRight w:val="0"/>
          <w:marTop w:val="0"/>
          <w:marBottom w:val="240"/>
          <w:divBdr>
            <w:top w:val="none" w:sz="0" w:space="0" w:color="auto"/>
            <w:left w:val="none" w:sz="0" w:space="0" w:color="auto"/>
            <w:bottom w:val="none" w:sz="0" w:space="0" w:color="auto"/>
            <w:right w:val="none" w:sz="0" w:space="0" w:color="auto"/>
          </w:divBdr>
        </w:div>
        <w:div w:id="1848983271">
          <w:marLeft w:val="0"/>
          <w:marRight w:val="0"/>
          <w:marTop w:val="0"/>
          <w:marBottom w:val="240"/>
          <w:divBdr>
            <w:top w:val="none" w:sz="0" w:space="0" w:color="auto"/>
            <w:left w:val="none" w:sz="0" w:space="0" w:color="auto"/>
            <w:bottom w:val="none" w:sz="0" w:space="0" w:color="auto"/>
            <w:right w:val="none" w:sz="0" w:space="0" w:color="auto"/>
          </w:divBdr>
        </w:div>
        <w:div w:id="1279526266">
          <w:marLeft w:val="0"/>
          <w:marRight w:val="0"/>
          <w:marTop w:val="0"/>
          <w:marBottom w:val="240"/>
          <w:divBdr>
            <w:top w:val="none" w:sz="0" w:space="0" w:color="auto"/>
            <w:left w:val="none" w:sz="0" w:space="0" w:color="auto"/>
            <w:bottom w:val="none" w:sz="0" w:space="0" w:color="auto"/>
            <w:right w:val="none" w:sz="0" w:space="0" w:color="auto"/>
          </w:divBdr>
        </w:div>
        <w:div w:id="870611306">
          <w:marLeft w:val="0"/>
          <w:marRight w:val="0"/>
          <w:marTop w:val="0"/>
          <w:marBottom w:val="240"/>
          <w:divBdr>
            <w:top w:val="none" w:sz="0" w:space="0" w:color="auto"/>
            <w:left w:val="none" w:sz="0" w:space="0" w:color="auto"/>
            <w:bottom w:val="none" w:sz="0" w:space="0" w:color="auto"/>
            <w:right w:val="none" w:sz="0" w:space="0" w:color="auto"/>
          </w:divBdr>
        </w:div>
        <w:div w:id="197013780">
          <w:marLeft w:val="0"/>
          <w:marRight w:val="0"/>
          <w:marTop w:val="0"/>
          <w:marBottom w:val="240"/>
          <w:divBdr>
            <w:top w:val="none" w:sz="0" w:space="0" w:color="auto"/>
            <w:left w:val="none" w:sz="0" w:space="0" w:color="auto"/>
            <w:bottom w:val="none" w:sz="0" w:space="0" w:color="auto"/>
            <w:right w:val="none" w:sz="0" w:space="0" w:color="auto"/>
          </w:divBdr>
        </w:div>
        <w:div w:id="1907959124">
          <w:marLeft w:val="0"/>
          <w:marRight w:val="0"/>
          <w:marTop w:val="0"/>
          <w:marBottom w:val="240"/>
          <w:divBdr>
            <w:top w:val="none" w:sz="0" w:space="0" w:color="auto"/>
            <w:left w:val="none" w:sz="0" w:space="0" w:color="auto"/>
            <w:bottom w:val="none" w:sz="0" w:space="0" w:color="auto"/>
            <w:right w:val="none" w:sz="0" w:space="0" w:color="auto"/>
          </w:divBdr>
        </w:div>
        <w:div w:id="659580865">
          <w:marLeft w:val="0"/>
          <w:marRight w:val="0"/>
          <w:marTop w:val="0"/>
          <w:marBottom w:val="240"/>
          <w:divBdr>
            <w:top w:val="none" w:sz="0" w:space="0" w:color="auto"/>
            <w:left w:val="none" w:sz="0" w:space="0" w:color="auto"/>
            <w:bottom w:val="none" w:sz="0" w:space="0" w:color="auto"/>
            <w:right w:val="none" w:sz="0" w:space="0" w:color="auto"/>
          </w:divBdr>
        </w:div>
        <w:div w:id="1998995101">
          <w:marLeft w:val="0"/>
          <w:marRight w:val="0"/>
          <w:marTop w:val="0"/>
          <w:marBottom w:val="240"/>
          <w:divBdr>
            <w:top w:val="none" w:sz="0" w:space="0" w:color="auto"/>
            <w:left w:val="none" w:sz="0" w:space="0" w:color="auto"/>
            <w:bottom w:val="none" w:sz="0" w:space="0" w:color="auto"/>
            <w:right w:val="none" w:sz="0" w:space="0" w:color="auto"/>
          </w:divBdr>
        </w:div>
        <w:div w:id="530457375">
          <w:marLeft w:val="0"/>
          <w:marRight w:val="0"/>
          <w:marTop w:val="0"/>
          <w:marBottom w:val="240"/>
          <w:divBdr>
            <w:top w:val="none" w:sz="0" w:space="0" w:color="auto"/>
            <w:left w:val="none" w:sz="0" w:space="0" w:color="auto"/>
            <w:bottom w:val="none" w:sz="0" w:space="0" w:color="auto"/>
            <w:right w:val="none" w:sz="0" w:space="0" w:color="auto"/>
          </w:divBdr>
        </w:div>
        <w:div w:id="2005352190">
          <w:marLeft w:val="0"/>
          <w:marRight w:val="0"/>
          <w:marTop w:val="0"/>
          <w:marBottom w:val="240"/>
          <w:divBdr>
            <w:top w:val="none" w:sz="0" w:space="0" w:color="auto"/>
            <w:left w:val="none" w:sz="0" w:space="0" w:color="auto"/>
            <w:bottom w:val="none" w:sz="0" w:space="0" w:color="auto"/>
            <w:right w:val="none" w:sz="0" w:space="0" w:color="auto"/>
          </w:divBdr>
        </w:div>
      </w:divsChild>
    </w:div>
    <w:div w:id="747002054">
      <w:bodyDiv w:val="1"/>
      <w:marLeft w:val="0"/>
      <w:marRight w:val="0"/>
      <w:marTop w:val="0"/>
      <w:marBottom w:val="0"/>
      <w:divBdr>
        <w:top w:val="none" w:sz="0" w:space="0" w:color="auto"/>
        <w:left w:val="none" w:sz="0" w:space="0" w:color="auto"/>
        <w:bottom w:val="none" w:sz="0" w:space="0" w:color="auto"/>
        <w:right w:val="none" w:sz="0" w:space="0" w:color="auto"/>
      </w:divBdr>
    </w:div>
    <w:div w:id="767968890">
      <w:bodyDiv w:val="1"/>
      <w:marLeft w:val="0"/>
      <w:marRight w:val="0"/>
      <w:marTop w:val="0"/>
      <w:marBottom w:val="0"/>
      <w:divBdr>
        <w:top w:val="none" w:sz="0" w:space="0" w:color="auto"/>
        <w:left w:val="none" w:sz="0" w:space="0" w:color="auto"/>
        <w:bottom w:val="none" w:sz="0" w:space="0" w:color="auto"/>
        <w:right w:val="none" w:sz="0" w:space="0" w:color="auto"/>
      </w:divBdr>
      <w:divsChild>
        <w:div w:id="886144401">
          <w:marLeft w:val="0"/>
          <w:marRight w:val="0"/>
          <w:marTop w:val="0"/>
          <w:marBottom w:val="240"/>
          <w:divBdr>
            <w:top w:val="none" w:sz="0" w:space="0" w:color="auto"/>
            <w:left w:val="none" w:sz="0" w:space="0" w:color="auto"/>
            <w:bottom w:val="none" w:sz="0" w:space="0" w:color="auto"/>
            <w:right w:val="none" w:sz="0" w:space="0" w:color="auto"/>
          </w:divBdr>
        </w:div>
        <w:div w:id="1075661112">
          <w:marLeft w:val="0"/>
          <w:marRight w:val="0"/>
          <w:marTop w:val="0"/>
          <w:marBottom w:val="240"/>
          <w:divBdr>
            <w:top w:val="none" w:sz="0" w:space="0" w:color="auto"/>
            <w:left w:val="none" w:sz="0" w:space="0" w:color="auto"/>
            <w:bottom w:val="none" w:sz="0" w:space="0" w:color="auto"/>
            <w:right w:val="none" w:sz="0" w:space="0" w:color="auto"/>
          </w:divBdr>
        </w:div>
        <w:div w:id="2083599696">
          <w:marLeft w:val="0"/>
          <w:marRight w:val="0"/>
          <w:marTop w:val="0"/>
          <w:marBottom w:val="240"/>
          <w:divBdr>
            <w:top w:val="none" w:sz="0" w:space="0" w:color="auto"/>
            <w:left w:val="none" w:sz="0" w:space="0" w:color="auto"/>
            <w:bottom w:val="none" w:sz="0" w:space="0" w:color="auto"/>
            <w:right w:val="none" w:sz="0" w:space="0" w:color="auto"/>
          </w:divBdr>
        </w:div>
        <w:div w:id="1738161134">
          <w:marLeft w:val="0"/>
          <w:marRight w:val="0"/>
          <w:marTop w:val="0"/>
          <w:marBottom w:val="240"/>
          <w:divBdr>
            <w:top w:val="none" w:sz="0" w:space="0" w:color="auto"/>
            <w:left w:val="none" w:sz="0" w:space="0" w:color="auto"/>
            <w:bottom w:val="none" w:sz="0" w:space="0" w:color="auto"/>
            <w:right w:val="none" w:sz="0" w:space="0" w:color="auto"/>
          </w:divBdr>
        </w:div>
        <w:div w:id="636179367">
          <w:marLeft w:val="0"/>
          <w:marRight w:val="0"/>
          <w:marTop w:val="0"/>
          <w:marBottom w:val="240"/>
          <w:divBdr>
            <w:top w:val="none" w:sz="0" w:space="0" w:color="auto"/>
            <w:left w:val="none" w:sz="0" w:space="0" w:color="auto"/>
            <w:bottom w:val="none" w:sz="0" w:space="0" w:color="auto"/>
            <w:right w:val="none" w:sz="0" w:space="0" w:color="auto"/>
          </w:divBdr>
        </w:div>
        <w:div w:id="1349409782">
          <w:marLeft w:val="0"/>
          <w:marRight w:val="0"/>
          <w:marTop w:val="0"/>
          <w:marBottom w:val="240"/>
          <w:divBdr>
            <w:top w:val="none" w:sz="0" w:space="0" w:color="auto"/>
            <w:left w:val="none" w:sz="0" w:space="0" w:color="auto"/>
            <w:bottom w:val="none" w:sz="0" w:space="0" w:color="auto"/>
            <w:right w:val="none" w:sz="0" w:space="0" w:color="auto"/>
          </w:divBdr>
        </w:div>
        <w:div w:id="38166531">
          <w:marLeft w:val="0"/>
          <w:marRight w:val="0"/>
          <w:marTop w:val="0"/>
          <w:marBottom w:val="240"/>
          <w:divBdr>
            <w:top w:val="none" w:sz="0" w:space="0" w:color="auto"/>
            <w:left w:val="none" w:sz="0" w:space="0" w:color="auto"/>
            <w:bottom w:val="none" w:sz="0" w:space="0" w:color="auto"/>
            <w:right w:val="none" w:sz="0" w:space="0" w:color="auto"/>
          </w:divBdr>
        </w:div>
        <w:div w:id="112140485">
          <w:marLeft w:val="0"/>
          <w:marRight w:val="0"/>
          <w:marTop w:val="0"/>
          <w:marBottom w:val="240"/>
          <w:divBdr>
            <w:top w:val="none" w:sz="0" w:space="0" w:color="auto"/>
            <w:left w:val="none" w:sz="0" w:space="0" w:color="auto"/>
            <w:bottom w:val="none" w:sz="0" w:space="0" w:color="auto"/>
            <w:right w:val="none" w:sz="0" w:space="0" w:color="auto"/>
          </w:divBdr>
        </w:div>
        <w:div w:id="1503011135">
          <w:marLeft w:val="0"/>
          <w:marRight w:val="0"/>
          <w:marTop w:val="0"/>
          <w:marBottom w:val="240"/>
          <w:divBdr>
            <w:top w:val="none" w:sz="0" w:space="0" w:color="auto"/>
            <w:left w:val="none" w:sz="0" w:space="0" w:color="auto"/>
            <w:bottom w:val="none" w:sz="0" w:space="0" w:color="auto"/>
            <w:right w:val="none" w:sz="0" w:space="0" w:color="auto"/>
          </w:divBdr>
        </w:div>
        <w:div w:id="1951740827">
          <w:marLeft w:val="0"/>
          <w:marRight w:val="0"/>
          <w:marTop w:val="0"/>
          <w:marBottom w:val="240"/>
          <w:divBdr>
            <w:top w:val="none" w:sz="0" w:space="0" w:color="auto"/>
            <w:left w:val="none" w:sz="0" w:space="0" w:color="auto"/>
            <w:bottom w:val="none" w:sz="0" w:space="0" w:color="auto"/>
            <w:right w:val="none" w:sz="0" w:space="0" w:color="auto"/>
          </w:divBdr>
        </w:div>
        <w:div w:id="1619142843">
          <w:marLeft w:val="0"/>
          <w:marRight w:val="0"/>
          <w:marTop w:val="0"/>
          <w:marBottom w:val="240"/>
          <w:divBdr>
            <w:top w:val="none" w:sz="0" w:space="0" w:color="auto"/>
            <w:left w:val="none" w:sz="0" w:space="0" w:color="auto"/>
            <w:bottom w:val="none" w:sz="0" w:space="0" w:color="auto"/>
            <w:right w:val="none" w:sz="0" w:space="0" w:color="auto"/>
          </w:divBdr>
        </w:div>
        <w:div w:id="260259859">
          <w:marLeft w:val="0"/>
          <w:marRight w:val="0"/>
          <w:marTop w:val="0"/>
          <w:marBottom w:val="240"/>
          <w:divBdr>
            <w:top w:val="none" w:sz="0" w:space="0" w:color="auto"/>
            <w:left w:val="none" w:sz="0" w:space="0" w:color="auto"/>
            <w:bottom w:val="none" w:sz="0" w:space="0" w:color="auto"/>
            <w:right w:val="none" w:sz="0" w:space="0" w:color="auto"/>
          </w:divBdr>
        </w:div>
      </w:divsChild>
    </w:div>
    <w:div w:id="778909946">
      <w:bodyDiv w:val="1"/>
      <w:marLeft w:val="0"/>
      <w:marRight w:val="0"/>
      <w:marTop w:val="0"/>
      <w:marBottom w:val="0"/>
      <w:divBdr>
        <w:top w:val="none" w:sz="0" w:space="0" w:color="auto"/>
        <w:left w:val="none" w:sz="0" w:space="0" w:color="auto"/>
        <w:bottom w:val="none" w:sz="0" w:space="0" w:color="auto"/>
        <w:right w:val="none" w:sz="0" w:space="0" w:color="auto"/>
      </w:divBdr>
    </w:div>
    <w:div w:id="783966221">
      <w:bodyDiv w:val="1"/>
      <w:marLeft w:val="0"/>
      <w:marRight w:val="0"/>
      <w:marTop w:val="0"/>
      <w:marBottom w:val="0"/>
      <w:divBdr>
        <w:top w:val="none" w:sz="0" w:space="0" w:color="auto"/>
        <w:left w:val="none" w:sz="0" w:space="0" w:color="auto"/>
        <w:bottom w:val="none" w:sz="0" w:space="0" w:color="auto"/>
        <w:right w:val="none" w:sz="0" w:space="0" w:color="auto"/>
      </w:divBdr>
    </w:div>
    <w:div w:id="785584066">
      <w:bodyDiv w:val="1"/>
      <w:marLeft w:val="0"/>
      <w:marRight w:val="0"/>
      <w:marTop w:val="0"/>
      <w:marBottom w:val="0"/>
      <w:divBdr>
        <w:top w:val="none" w:sz="0" w:space="0" w:color="auto"/>
        <w:left w:val="none" w:sz="0" w:space="0" w:color="auto"/>
        <w:bottom w:val="none" w:sz="0" w:space="0" w:color="auto"/>
        <w:right w:val="none" w:sz="0" w:space="0" w:color="auto"/>
      </w:divBdr>
    </w:div>
    <w:div w:id="787167207">
      <w:bodyDiv w:val="1"/>
      <w:marLeft w:val="0"/>
      <w:marRight w:val="0"/>
      <w:marTop w:val="0"/>
      <w:marBottom w:val="0"/>
      <w:divBdr>
        <w:top w:val="none" w:sz="0" w:space="0" w:color="auto"/>
        <w:left w:val="none" w:sz="0" w:space="0" w:color="auto"/>
        <w:bottom w:val="none" w:sz="0" w:space="0" w:color="auto"/>
        <w:right w:val="none" w:sz="0" w:space="0" w:color="auto"/>
      </w:divBdr>
    </w:div>
    <w:div w:id="822086644">
      <w:bodyDiv w:val="1"/>
      <w:marLeft w:val="0"/>
      <w:marRight w:val="0"/>
      <w:marTop w:val="0"/>
      <w:marBottom w:val="0"/>
      <w:divBdr>
        <w:top w:val="none" w:sz="0" w:space="0" w:color="auto"/>
        <w:left w:val="none" w:sz="0" w:space="0" w:color="auto"/>
        <w:bottom w:val="none" w:sz="0" w:space="0" w:color="auto"/>
        <w:right w:val="none" w:sz="0" w:space="0" w:color="auto"/>
      </w:divBdr>
    </w:div>
    <w:div w:id="831531257">
      <w:bodyDiv w:val="1"/>
      <w:marLeft w:val="0"/>
      <w:marRight w:val="0"/>
      <w:marTop w:val="0"/>
      <w:marBottom w:val="0"/>
      <w:divBdr>
        <w:top w:val="none" w:sz="0" w:space="0" w:color="auto"/>
        <w:left w:val="none" w:sz="0" w:space="0" w:color="auto"/>
        <w:bottom w:val="none" w:sz="0" w:space="0" w:color="auto"/>
        <w:right w:val="none" w:sz="0" w:space="0" w:color="auto"/>
      </w:divBdr>
    </w:div>
    <w:div w:id="848563127">
      <w:bodyDiv w:val="1"/>
      <w:marLeft w:val="0"/>
      <w:marRight w:val="0"/>
      <w:marTop w:val="0"/>
      <w:marBottom w:val="0"/>
      <w:divBdr>
        <w:top w:val="none" w:sz="0" w:space="0" w:color="auto"/>
        <w:left w:val="none" w:sz="0" w:space="0" w:color="auto"/>
        <w:bottom w:val="none" w:sz="0" w:space="0" w:color="auto"/>
        <w:right w:val="none" w:sz="0" w:space="0" w:color="auto"/>
      </w:divBdr>
    </w:div>
    <w:div w:id="851384182">
      <w:bodyDiv w:val="1"/>
      <w:marLeft w:val="0"/>
      <w:marRight w:val="0"/>
      <w:marTop w:val="0"/>
      <w:marBottom w:val="0"/>
      <w:divBdr>
        <w:top w:val="none" w:sz="0" w:space="0" w:color="auto"/>
        <w:left w:val="none" w:sz="0" w:space="0" w:color="auto"/>
        <w:bottom w:val="none" w:sz="0" w:space="0" w:color="auto"/>
        <w:right w:val="none" w:sz="0" w:space="0" w:color="auto"/>
      </w:divBdr>
    </w:div>
    <w:div w:id="858277393">
      <w:bodyDiv w:val="1"/>
      <w:marLeft w:val="0"/>
      <w:marRight w:val="0"/>
      <w:marTop w:val="0"/>
      <w:marBottom w:val="0"/>
      <w:divBdr>
        <w:top w:val="none" w:sz="0" w:space="0" w:color="auto"/>
        <w:left w:val="none" w:sz="0" w:space="0" w:color="auto"/>
        <w:bottom w:val="none" w:sz="0" w:space="0" w:color="auto"/>
        <w:right w:val="none" w:sz="0" w:space="0" w:color="auto"/>
      </w:divBdr>
    </w:div>
    <w:div w:id="860633437">
      <w:bodyDiv w:val="1"/>
      <w:marLeft w:val="0"/>
      <w:marRight w:val="0"/>
      <w:marTop w:val="0"/>
      <w:marBottom w:val="0"/>
      <w:divBdr>
        <w:top w:val="none" w:sz="0" w:space="0" w:color="auto"/>
        <w:left w:val="none" w:sz="0" w:space="0" w:color="auto"/>
        <w:bottom w:val="none" w:sz="0" w:space="0" w:color="auto"/>
        <w:right w:val="none" w:sz="0" w:space="0" w:color="auto"/>
      </w:divBdr>
    </w:div>
    <w:div w:id="867253494">
      <w:bodyDiv w:val="1"/>
      <w:marLeft w:val="0"/>
      <w:marRight w:val="0"/>
      <w:marTop w:val="0"/>
      <w:marBottom w:val="0"/>
      <w:divBdr>
        <w:top w:val="none" w:sz="0" w:space="0" w:color="auto"/>
        <w:left w:val="none" w:sz="0" w:space="0" w:color="auto"/>
        <w:bottom w:val="none" w:sz="0" w:space="0" w:color="auto"/>
        <w:right w:val="none" w:sz="0" w:space="0" w:color="auto"/>
      </w:divBdr>
    </w:div>
    <w:div w:id="871379005">
      <w:bodyDiv w:val="1"/>
      <w:marLeft w:val="0"/>
      <w:marRight w:val="0"/>
      <w:marTop w:val="0"/>
      <w:marBottom w:val="0"/>
      <w:divBdr>
        <w:top w:val="none" w:sz="0" w:space="0" w:color="auto"/>
        <w:left w:val="none" w:sz="0" w:space="0" w:color="auto"/>
        <w:bottom w:val="none" w:sz="0" w:space="0" w:color="auto"/>
        <w:right w:val="none" w:sz="0" w:space="0" w:color="auto"/>
      </w:divBdr>
    </w:div>
    <w:div w:id="871382247">
      <w:bodyDiv w:val="1"/>
      <w:marLeft w:val="0"/>
      <w:marRight w:val="0"/>
      <w:marTop w:val="0"/>
      <w:marBottom w:val="0"/>
      <w:divBdr>
        <w:top w:val="none" w:sz="0" w:space="0" w:color="auto"/>
        <w:left w:val="none" w:sz="0" w:space="0" w:color="auto"/>
        <w:bottom w:val="none" w:sz="0" w:space="0" w:color="auto"/>
        <w:right w:val="none" w:sz="0" w:space="0" w:color="auto"/>
      </w:divBdr>
    </w:div>
    <w:div w:id="890338909">
      <w:bodyDiv w:val="1"/>
      <w:marLeft w:val="0"/>
      <w:marRight w:val="0"/>
      <w:marTop w:val="0"/>
      <w:marBottom w:val="0"/>
      <w:divBdr>
        <w:top w:val="none" w:sz="0" w:space="0" w:color="auto"/>
        <w:left w:val="none" w:sz="0" w:space="0" w:color="auto"/>
        <w:bottom w:val="none" w:sz="0" w:space="0" w:color="auto"/>
        <w:right w:val="none" w:sz="0" w:space="0" w:color="auto"/>
      </w:divBdr>
    </w:div>
    <w:div w:id="891231524">
      <w:bodyDiv w:val="1"/>
      <w:marLeft w:val="0"/>
      <w:marRight w:val="0"/>
      <w:marTop w:val="0"/>
      <w:marBottom w:val="0"/>
      <w:divBdr>
        <w:top w:val="none" w:sz="0" w:space="0" w:color="auto"/>
        <w:left w:val="none" w:sz="0" w:space="0" w:color="auto"/>
        <w:bottom w:val="none" w:sz="0" w:space="0" w:color="auto"/>
        <w:right w:val="none" w:sz="0" w:space="0" w:color="auto"/>
      </w:divBdr>
    </w:div>
    <w:div w:id="892347885">
      <w:bodyDiv w:val="1"/>
      <w:marLeft w:val="0"/>
      <w:marRight w:val="0"/>
      <w:marTop w:val="0"/>
      <w:marBottom w:val="0"/>
      <w:divBdr>
        <w:top w:val="none" w:sz="0" w:space="0" w:color="auto"/>
        <w:left w:val="none" w:sz="0" w:space="0" w:color="auto"/>
        <w:bottom w:val="none" w:sz="0" w:space="0" w:color="auto"/>
        <w:right w:val="none" w:sz="0" w:space="0" w:color="auto"/>
      </w:divBdr>
    </w:div>
    <w:div w:id="914047883">
      <w:bodyDiv w:val="1"/>
      <w:marLeft w:val="0"/>
      <w:marRight w:val="0"/>
      <w:marTop w:val="0"/>
      <w:marBottom w:val="0"/>
      <w:divBdr>
        <w:top w:val="none" w:sz="0" w:space="0" w:color="auto"/>
        <w:left w:val="none" w:sz="0" w:space="0" w:color="auto"/>
        <w:bottom w:val="none" w:sz="0" w:space="0" w:color="auto"/>
        <w:right w:val="none" w:sz="0" w:space="0" w:color="auto"/>
      </w:divBdr>
    </w:div>
    <w:div w:id="917523172">
      <w:bodyDiv w:val="1"/>
      <w:marLeft w:val="0"/>
      <w:marRight w:val="0"/>
      <w:marTop w:val="0"/>
      <w:marBottom w:val="0"/>
      <w:divBdr>
        <w:top w:val="none" w:sz="0" w:space="0" w:color="auto"/>
        <w:left w:val="none" w:sz="0" w:space="0" w:color="auto"/>
        <w:bottom w:val="none" w:sz="0" w:space="0" w:color="auto"/>
        <w:right w:val="none" w:sz="0" w:space="0" w:color="auto"/>
      </w:divBdr>
    </w:div>
    <w:div w:id="936404547">
      <w:bodyDiv w:val="1"/>
      <w:marLeft w:val="0"/>
      <w:marRight w:val="0"/>
      <w:marTop w:val="0"/>
      <w:marBottom w:val="0"/>
      <w:divBdr>
        <w:top w:val="none" w:sz="0" w:space="0" w:color="auto"/>
        <w:left w:val="none" w:sz="0" w:space="0" w:color="auto"/>
        <w:bottom w:val="none" w:sz="0" w:space="0" w:color="auto"/>
        <w:right w:val="none" w:sz="0" w:space="0" w:color="auto"/>
      </w:divBdr>
    </w:div>
    <w:div w:id="936913426">
      <w:bodyDiv w:val="1"/>
      <w:marLeft w:val="0"/>
      <w:marRight w:val="0"/>
      <w:marTop w:val="0"/>
      <w:marBottom w:val="0"/>
      <w:divBdr>
        <w:top w:val="none" w:sz="0" w:space="0" w:color="auto"/>
        <w:left w:val="none" w:sz="0" w:space="0" w:color="auto"/>
        <w:bottom w:val="none" w:sz="0" w:space="0" w:color="auto"/>
        <w:right w:val="none" w:sz="0" w:space="0" w:color="auto"/>
      </w:divBdr>
    </w:div>
    <w:div w:id="954167607">
      <w:bodyDiv w:val="1"/>
      <w:marLeft w:val="0"/>
      <w:marRight w:val="0"/>
      <w:marTop w:val="0"/>
      <w:marBottom w:val="0"/>
      <w:divBdr>
        <w:top w:val="none" w:sz="0" w:space="0" w:color="auto"/>
        <w:left w:val="none" w:sz="0" w:space="0" w:color="auto"/>
        <w:bottom w:val="none" w:sz="0" w:space="0" w:color="auto"/>
        <w:right w:val="none" w:sz="0" w:space="0" w:color="auto"/>
      </w:divBdr>
    </w:div>
    <w:div w:id="959920823">
      <w:bodyDiv w:val="1"/>
      <w:marLeft w:val="0"/>
      <w:marRight w:val="0"/>
      <w:marTop w:val="0"/>
      <w:marBottom w:val="0"/>
      <w:divBdr>
        <w:top w:val="none" w:sz="0" w:space="0" w:color="auto"/>
        <w:left w:val="none" w:sz="0" w:space="0" w:color="auto"/>
        <w:bottom w:val="none" w:sz="0" w:space="0" w:color="auto"/>
        <w:right w:val="none" w:sz="0" w:space="0" w:color="auto"/>
      </w:divBdr>
    </w:div>
    <w:div w:id="959922869">
      <w:bodyDiv w:val="1"/>
      <w:marLeft w:val="0"/>
      <w:marRight w:val="0"/>
      <w:marTop w:val="0"/>
      <w:marBottom w:val="0"/>
      <w:divBdr>
        <w:top w:val="none" w:sz="0" w:space="0" w:color="auto"/>
        <w:left w:val="none" w:sz="0" w:space="0" w:color="auto"/>
        <w:bottom w:val="none" w:sz="0" w:space="0" w:color="auto"/>
        <w:right w:val="none" w:sz="0" w:space="0" w:color="auto"/>
      </w:divBdr>
    </w:div>
    <w:div w:id="968585771">
      <w:bodyDiv w:val="1"/>
      <w:marLeft w:val="0"/>
      <w:marRight w:val="0"/>
      <w:marTop w:val="0"/>
      <w:marBottom w:val="0"/>
      <w:divBdr>
        <w:top w:val="none" w:sz="0" w:space="0" w:color="auto"/>
        <w:left w:val="none" w:sz="0" w:space="0" w:color="auto"/>
        <w:bottom w:val="none" w:sz="0" w:space="0" w:color="auto"/>
        <w:right w:val="none" w:sz="0" w:space="0" w:color="auto"/>
      </w:divBdr>
    </w:div>
    <w:div w:id="978538201">
      <w:bodyDiv w:val="1"/>
      <w:marLeft w:val="0"/>
      <w:marRight w:val="0"/>
      <w:marTop w:val="0"/>
      <w:marBottom w:val="0"/>
      <w:divBdr>
        <w:top w:val="none" w:sz="0" w:space="0" w:color="auto"/>
        <w:left w:val="none" w:sz="0" w:space="0" w:color="auto"/>
        <w:bottom w:val="none" w:sz="0" w:space="0" w:color="auto"/>
        <w:right w:val="none" w:sz="0" w:space="0" w:color="auto"/>
      </w:divBdr>
    </w:div>
    <w:div w:id="979069094">
      <w:bodyDiv w:val="1"/>
      <w:marLeft w:val="0"/>
      <w:marRight w:val="0"/>
      <w:marTop w:val="0"/>
      <w:marBottom w:val="0"/>
      <w:divBdr>
        <w:top w:val="none" w:sz="0" w:space="0" w:color="auto"/>
        <w:left w:val="none" w:sz="0" w:space="0" w:color="auto"/>
        <w:bottom w:val="none" w:sz="0" w:space="0" w:color="auto"/>
        <w:right w:val="none" w:sz="0" w:space="0" w:color="auto"/>
      </w:divBdr>
    </w:div>
    <w:div w:id="981277195">
      <w:bodyDiv w:val="1"/>
      <w:marLeft w:val="0"/>
      <w:marRight w:val="0"/>
      <w:marTop w:val="0"/>
      <w:marBottom w:val="0"/>
      <w:divBdr>
        <w:top w:val="none" w:sz="0" w:space="0" w:color="auto"/>
        <w:left w:val="none" w:sz="0" w:space="0" w:color="auto"/>
        <w:bottom w:val="none" w:sz="0" w:space="0" w:color="auto"/>
        <w:right w:val="none" w:sz="0" w:space="0" w:color="auto"/>
      </w:divBdr>
      <w:divsChild>
        <w:div w:id="264461304">
          <w:marLeft w:val="0"/>
          <w:marRight w:val="0"/>
          <w:marTop w:val="0"/>
          <w:marBottom w:val="240"/>
          <w:divBdr>
            <w:top w:val="none" w:sz="0" w:space="0" w:color="auto"/>
            <w:left w:val="none" w:sz="0" w:space="0" w:color="auto"/>
            <w:bottom w:val="none" w:sz="0" w:space="0" w:color="auto"/>
            <w:right w:val="none" w:sz="0" w:space="0" w:color="auto"/>
          </w:divBdr>
        </w:div>
        <w:div w:id="1873574082">
          <w:marLeft w:val="0"/>
          <w:marRight w:val="0"/>
          <w:marTop w:val="0"/>
          <w:marBottom w:val="240"/>
          <w:divBdr>
            <w:top w:val="none" w:sz="0" w:space="0" w:color="auto"/>
            <w:left w:val="none" w:sz="0" w:space="0" w:color="auto"/>
            <w:bottom w:val="none" w:sz="0" w:space="0" w:color="auto"/>
            <w:right w:val="none" w:sz="0" w:space="0" w:color="auto"/>
          </w:divBdr>
        </w:div>
        <w:div w:id="1458910296">
          <w:marLeft w:val="0"/>
          <w:marRight w:val="0"/>
          <w:marTop w:val="0"/>
          <w:marBottom w:val="240"/>
          <w:divBdr>
            <w:top w:val="none" w:sz="0" w:space="0" w:color="auto"/>
            <w:left w:val="none" w:sz="0" w:space="0" w:color="auto"/>
            <w:bottom w:val="none" w:sz="0" w:space="0" w:color="auto"/>
            <w:right w:val="none" w:sz="0" w:space="0" w:color="auto"/>
          </w:divBdr>
        </w:div>
        <w:div w:id="846364511">
          <w:marLeft w:val="0"/>
          <w:marRight w:val="0"/>
          <w:marTop w:val="0"/>
          <w:marBottom w:val="240"/>
          <w:divBdr>
            <w:top w:val="none" w:sz="0" w:space="0" w:color="auto"/>
            <w:left w:val="none" w:sz="0" w:space="0" w:color="auto"/>
            <w:bottom w:val="none" w:sz="0" w:space="0" w:color="auto"/>
            <w:right w:val="none" w:sz="0" w:space="0" w:color="auto"/>
          </w:divBdr>
        </w:div>
        <w:div w:id="474760003">
          <w:marLeft w:val="0"/>
          <w:marRight w:val="0"/>
          <w:marTop w:val="0"/>
          <w:marBottom w:val="240"/>
          <w:divBdr>
            <w:top w:val="none" w:sz="0" w:space="0" w:color="auto"/>
            <w:left w:val="none" w:sz="0" w:space="0" w:color="auto"/>
            <w:bottom w:val="none" w:sz="0" w:space="0" w:color="auto"/>
            <w:right w:val="none" w:sz="0" w:space="0" w:color="auto"/>
          </w:divBdr>
        </w:div>
        <w:div w:id="58792220">
          <w:marLeft w:val="0"/>
          <w:marRight w:val="0"/>
          <w:marTop w:val="0"/>
          <w:marBottom w:val="240"/>
          <w:divBdr>
            <w:top w:val="none" w:sz="0" w:space="0" w:color="auto"/>
            <w:left w:val="none" w:sz="0" w:space="0" w:color="auto"/>
            <w:bottom w:val="none" w:sz="0" w:space="0" w:color="auto"/>
            <w:right w:val="none" w:sz="0" w:space="0" w:color="auto"/>
          </w:divBdr>
        </w:div>
        <w:div w:id="1571771032">
          <w:marLeft w:val="0"/>
          <w:marRight w:val="0"/>
          <w:marTop w:val="0"/>
          <w:marBottom w:val="240"/>
          <w:divBdr>
            <w:top w:val="none" w:sz="0" w:space="0" w:color="auto"/>
            <w:left w:val="none" w:sz="0" w:space="0" w:color="auto"/>
            <w:bottom w:val="none" w:sz="0" w:space="0" w:color="auto"/>
            <w:right w:val="none" w:sz="0" w:space="0" w:color="auto"/>
          </w:divBdr>
        </w:div>
        <w:div w:id="556936651">
          <w:marLeft w:val="0"/>
          <w:marRight w:val="0"/>
          <w:marTop w:val="0"/>
          <w:marBottom w:val="240"/>
          <w:divBdr>
            <w:top w:val="none" w:sz="0" w:space="0" w:color="auto"/>
            <w:left w:val="none" w:sz="0" w:space="0" w:color="auto"/>
            <w:bottom w:val="none" w:sz="0" w:space="0" w:color="auto"/>
            <w:right w:val="none" w:sz="0" w:space="0" w:color="auto"/>
          </w:divBdr>
        </w:div>
        <w:div w:id="1204176186">
          <w:marLeft w:val="0"/>
          <w:marRight w:val="0"/>
          <w:marTop w:val="0"/>
          <w:marBottom w:val="240"/>
          <w:divBdr>
            <w:top w:val="none" w:sz="0" w:space="0" w:color="auto"/>
            <w:left w:val="none" w:sz="0" w:space="0" w:color="auto"/>
            <w:bottom w:val="none" w:sz="0" w:space="0" w:color="auto"/>
            <w:right w:val="none" w:sz="0" w:space="0" w:color="auto"/>
          </w:divBdr>
        </w:div>
        <w:div w:id="1274904437">
          <w:marLeft w:val="0"/>
          <w:marRight w:val="0"/>
          <w:marTop w:val="0"/>
          <w:marBottom w:val="240"/>
          <w:divBdr>
            <w:top w:val="none" w:sz="0" w:space="0" w:color="auto"/>
            <w:left w:val="none" w:sz="0" w:space="0" w:color="auto"/>
            <w:bottom w:val="none" w:sz="0" w:space="0" w:color="auto"/>
            <w:right w:val="none" w:sz="0" w:space="0" w:color="auto"/>
          </w:divBdr>
        </w:div>
        <w:div w:id="1361660353">
          <w:marLeft w:val="0"/>
          <w:marRight w:val="0"/>
          <w:marTop w:val="0"/>
          <w:marBottom w:val="240"/>
          <w:divBdr>
            <w:top w:val="none" w:sz="0" w:space="0" w:color="auto"/>
            <w:left w:val="none" w:sz="0" w:space="0" w:color="auto"/>
            <w:bottom w:val="none" w:sz="0" w:space="0" w:color="auto"/>
            <w:right w:val="none" w:sz="0" w:space="0" w:color="auto"/>
          </w:divBdr>
        </w:div>
        <w:div w:id="277756494">
          <w:marLeft w:val="0"/>
          <w:marRight w:val="0"/>
          <w:marTop w:val="0"/>
          <w:marBottom w:val="240"/>
          <w:divBdr>
            <w:top w:val="none" w:sz="0" w:space="0" w:color="auto"/>
            <w:left w:val="none" w:sz="0" w:space="0" w:color="auto"/>
            <w:bottom w:val="none" w:sz="0" w:space="0" w:color="auto"/>
            <w:right w:val="none" w:sz="0" w:space="0" w:color="auto"/>
          </w:divBdr>
        </w:div>
        <w:div w:id="1485705808">
          <w:marLeft w:val="0"/>
          <w:marRight w:val="0"/>
          <w:marTop w:val="0"/>
          <w:marBottom w:val="240"/>
          <w:divBdr>
            <w:top w:val="none" w:sz="0" w:space="0" w:color="auto"/>
            <w:left w:val="none" w:sz="0" w:space="0" w:color="auto"/>
            <w:bottom w:val="none" w:sz="0" w:space="0" w:color="auto"/>
            <w:right w:val="none" w:sz="0" w:space="0" w:color="auto"/>
          </w:divBdr>
        </w:div>
        <w:div w:id="275791648">
          <w:marLeft w:val="0"/>
          <w:marRight w:val="0"/>
          <w:marTop w:val="0"/>
          <w:marBottom w:val="240"/>
          <w:divBdr>
            <w:top w:val="none" w:sz="0" w:space="0" w:color="auto"/>
            <w:left w:val="none" w:sz="0" w:space="0" w:color="auto"/>
            <w:bottom w:val="none" w:sz="0" w:space="0" w:color="auto"/>
            <w:right w:val="none" w:sz="0" w:space="0" w:color="auto"/>
          </w:divBdr>
        </w:div>
        <w:div w:id="1464077352">
          <w:marLeft w:val="0"/>
          <w:marRight w:val="0"/>
          <w:marTop w:val="0"/>
          <w:marBottom w:val="240"/>
          <w:divBdr>
            <w:top w:val="none" w:sz="0" w:space="0" w:color="auto"/>
            <w:left w:val="none" w:sz="0" w:space="0" w:color="auto"/>
            <w:bottom w:val="none" w:sz="0" w:space="0" w:color="auto"/>
            <w:right w:val="none" w:sz="0" w:space="0" w:color="auto"/>
          </w:divBdr>
        </w:div>
        <w:div w:id="2016028718">
          <w:marLeft w:val="0"/>
          <w:marRight w:val="0"/>
          <w:marTop w:val="0"/>
          <w:marBottom w:val="240"/>
          <w:divBdr>
            <w:top w:val="none" w:sz="0" w:space="0" w:color="auto"/>
            <w:left w:val="none" w:sz="0" w:space="0" w:color="auto"/>
            <w:bottom w:val="none" w:sz="0" w:space="0" w:color="auto"/>
            <w:right w:val="none" w:sz="0" w:space="0" w:color="auto"/>
          </w:divBdr>
        </w:div>
        <w:div w:id="1937323803">
          <w:marLeft w:val="0"/>
          <w:marRight w:val="0"/>
          <w:marTop w:val="0"/>
          <w:marBottom w:val="240"/>
          <w:divBdr>
            <w:top w:val="none" w:sz="0" w:space="0" w:color="auto"/>
            <w:left w:val="none" w:sz="0" w:space="0" w:color="auto"/>
            <w:bottom w:val="none" w:sz="0" w:space="0" w:color="auto"/>
            <w:right w:val="none" w:sz="0" w:space="0" w:color="auto"/>
          </w:divBdr>
        </w:div>
        <w:div w:id="814880145">
          <w:marLeft w:val="0"/>
          <w:marRight w:val="0"/>
          <w:marTop w:val="0"/>
          <w:marBottom w:val="240"/>
          <w:divBdr>
            <w:top w:val="none" w:sz="0" w:space="0" w:color="auto"/>
            <w:left w:val="none" w:sz="0" w:space="0" w:color="auto"/>
            <w:bottom w:val="none" w:sz="0" w:space="0" w:color="auto"/>
            <w:right w:val="none" w:sz="0" w:space="0" w:color="auto"/>
          </w:divBdr>
        </w:div>
        <w:div w:id="1765610305">
          <w:marLeft w:val="0"/>
          <w:marRight w:val="0"/>
          <w:marTop w:val="0"/>
          <w:marBottom w:val="240"/>
          <w:divBdr>
            <w:top w:val="none" w:sz="0" w:space="0" w:color="auto"/>
            <w:left w:val="none" w:sz="0" w:space="0" w:color="auto"/>
            <w:bottom w:val="none" w:sz="0" w:space="0" w:color="auto"/>
            <w:right w:val="none" w:sz="0" w:space="0" w:color="auto"/>
          </w:divBdr>
        </w:div>
        <w:div w:id="1137718822">
          <w:marLeft w:val="0"/>
          <w:marRight w:val="0"/>
          <w:marTop w:val="0"/>
          <w:marBottom w:val="240"/>
          <w:divBdr>
            <w:top w:val="none" w:sz="0" w:space="0" w:color="auto"/>
            <w:left w:val="none" w:sz="0" w:space="0" w:color="auto"/>
            <w:bottom w:val="none" w:sz="0" w:space="0" w:color="auto"/>
            <w:right w:val="none" w:sz="0" w:space="0" w:color="auto"/>
          </w:divBdr>
        </w:div>
        <w:div w:id="1793942677">
          <w:marLeft w:val="0"/>
          <w:marRight w:val="0"/>
          <w:marTop w:val="0"/>
          <w:marBottom w:val="240"/>
          <w:divBdr>
            <w:top w:val="none" w:sz="0" w:space="0" w:color="auto"/>
            <w:left w:val="none" w:sz="0" w:space="0" w:color="auto"/>
            <w:bottom w:val="none" w:sz="0" w:space="0" w:color="auto"/>
            <w:right w:val="none" w:sz="0" w:space="0" w:color="auto"/>
          </w:divBdr>
        </w:div>
        <w:div w:id="1616790461">
          <w:marLeft w:val="0"/>
          <w:marRight w:val="0"/>
          <w:marTop w:val="0"/>
          <w:marBottom w:val="240"/>
          <w:divBdr>
            <w:top w:val="none" w:sz="0" w:space="0" w:color="auto"/>
            <w:left w:val="none" w:sz="0" w:space="0" w:color="auto"/>
            <w:bottom w:val="none" w:sz="0" w:space="0" w:color="auto"/>
            <w:right w:val="none" w:sz="0" w:space="0" w:color="auto"/>
          </w:divBdr>
        </w:div>
        <w:div w:id="961034711">
          <w:marLeft w:val="0"/>
          <w:marRight w:val="0"/>
          <w:marTop w:val="0"/>
          <w:marBottom w:val="240"/>
          <w:divBdr>
            <w:top w:val="none" w:sz="0" w:space="0" w:color="auto"/>
            <w:left w:val="none" w:sz="0" w:space="0" w:color="auto"/>
            <w:bottom w:val="none" w:sz="0" w:space="0" w:color="auto"/>
            <w:right w:val="none" w:sz="0" w:space="0" w:color="auto"/>
          </w:divBdr>
        </w:div>
        <w:div w:id="266813510">
          <w:marLeft w:val="0"/>
          <w:marRight w:val="0"/>
          <w:marTop w:val="0"/>
          <w:marBottom w:val="240"/>
          <w:divBdr>
            <w:top w:val="none" w:sz="0" w:space="0" w:color="auto"/>
            <w:left w:val="none" w:sz="0" w:space="0" w:color="auto"/>
            <w:bottom w:val="none" w:sz="0" w:space="0" w:color="auto"/>
            <w:right w:val="none" w:sz="0" w:space="0" w:color="auto"/>
          </w:divBdr>
        </w:div>
        <w:div w:id="1195265758">
          <w:marLeft w:val="0"/>
          <w:marRight w:val="0"/>
          <w:marTop w:val="0"/>
          <w:marBottom w:val="240"/>
          <w:divBdr>
            <w:top w:val="none" w:sz="0" w:space="0" w:color="auto"/>
            <w:left w:val="none" w:sz="0" w:space="0" w:color="auto"/>
            <w:bottom w:val="none" w:sz="0" w:space="0" w:color="auto"/>
            <w:right w:val="none" w:sz="0" w:space="0" w:color="auto"/>
          </w:divBdr>
        </w:div>
        <w:div w:id="1105075502">
          <w:marLeft w:val="0"/>
          <w:marRight w:val="0"/>
          <w:marTop w:val="0"/>
          <w:marBottom w:val="240"/>
          <w:divBdr>
            <w:top w:val="none" w:sz="0" w:space="0" w:color="auto"/>
            <w:left w:val="none" w:sz="0" w:space="0" w:color="auto"/>
            <w:bottom w:val="none" w:sz="0" w:space="0" w:color="auto"/>
            <w:right w:val="none" w:sz="0" w:space="0" w:color="auto"/>
          </w:divBdr>
        </w:div>
        <w:div w:id="2086024767">
          <w:marLeft w:val="0"/>
          <w:marRight w:val="0"/>
          <w:marTop w:val="0"/>
          <w:marBottom w:val="240"/>
          <w:divBdr>
            <w:top w:val="none" w:sz="0" w:space="0" w:color="auto"/>
            <w:left w:val="none" w:sz="0" w:space="0" w:color="auto"/>
            <w:bottom w:val="none" w:sz="0" w:space="0" w:color="auto"/>
            <w:right w:val="none" w:sz="0" w:space="0" w:color="auto"/>
          </w:divBdr>
        </w:div>
        <w:div w:id="559749640">
          <w:marLeft w:val="0"/>
          <w:marRight w:val="0"/>
          <w:marTop w:val="0"/>
          <w:marBottom w:val="240"/>
          <w:divBdr>
            <w:top w:val="none" w:sz="0" w:space="0" w:color="auto"/>
            <w:left w:val="none" w:sz="0" w:space="0" w:color="auto"/>
            <w:bottom w:val="none" w:sz="0" w:space="0" w:color="auto"/>
            <w:right w:val="none" w:sz="0" w:space="0" w:color="auto"/>
          </w:divBdr>
        </w:div>
        <w:div w:id="979000258">
          <w:marLeft w:val="0"/>
          <w:marRight w:val="0"/>
          <w:marTop w:val="0"/>
          <w:marBottom w:val="240"/>
          <w:divBdr>
            <w:top w:val="none" w:sz="0" w:space="0" w:color="auto"/>
            <w:left w:val="none" w:sz="0" w:space="0" w:color="auto"/>
            <w:bottom w:val="none" w:sz="0" w:space="0" w:color="auto"/>
            <w:right w:val="none" w:sz="0" w:space="0" w:color="auto"/>
          </w:divBdr>
        </w:div>
        <w:div w:id="1283222726">
          <w:marLeft w:val="0"/>
          <w:marRight w:val="0"/>
          <w:marTop w:val="0"/>
          <w:marBottom w:val="240"/>
          <w:divBdr>
            <w:top w:val="none" w:sz="0" w:space="0" w:color="auto"/>
            <w:left w:val="none" w:sz="0" w:space="0" w:color="auto"/>
            <w:bottom w:val="none" w:sz="0" w:space="0" w:color="auto"/>
            <w:right w:val="none" w:sz="0" w:space="0" w:color="auto"/>
          </w:divBdr>
        </w:div>
        <w:div w:id="340815762">
          <w:marLeft w:val="0"/>
          <w:marRight w:val="0"/>
          <w:marTop w:val="0"/>
          <w:marBottom w:val="240"/>
          <w:divBdr>
            <w:top w:val="none" w:sz="0" w:space="0" w:color="auto"/>
            <w:left w:val="none" w:sz="0" w:space="0" w:color="auto"/>
            <w:bottom w:val="none" w:sz="0" w:space="0" w:color="auto"/>
            <w:right w:val="none" w:sz="0" w:space="0" w:color="auto"/>
          </w:divBdr>
        </w:div>
        <w:div w:id="1485510575">
          <w:marLeft w:val="0"/>
          <w:marRight w:val="0"/>
          <w:marTop w:val="0"/>
          <w:marBottom w:val="240"/>
          <w:divBdr>
            <w:top w:val="none" w:sz="0" w:space="0" w:color="auto"/>
            <w:left w:val="none" w:sz="0" w:space="0" w:color="auto"/>
            <w:bottom w:val="none" w:sz="0" w:space="0" w:color="auto"/>
            <w:right w:val="none" w:sz="0" w:space="0" w:color="auto"/>
          </w:divBdr>
        </w:div>
        <w:div w:id="421538080">
          <w:marLeft w:val="0"/>
          <w:marRight w:val="0"/>
          <w:marTop w:val="0"/>
          <w:marBottom w:val="240"/>
          <w:divBdr>
            <w:top w:val="none" w:sz="0" w:space="0" w:color="auto"/>
            <w:left w:val="none" w:sz="0" w:space="0" w:color="auto"/>
            <w:bottom w:val="none" w:sz="0" w:space="0" w:color="auto"/>
            <w:right w:val="none" w:sz="0" w:space="0" w:color="auto"/>
          </w:divBdr>
        </w:div>
        <w:div w:id="1221988270">
          <w:marLeft w:val="0"/>
          <w:marRight w:val="0"/>
          <w:marTop w:val="0"/>
          <w:marBottom w:val="240"/>
          <w:divBdr>
            <w:top w:val="none" w:sz="0" w:space="0" w:color="auto"/>
            <w:left w:val="none" w:sz="0" w:space="0" w:color="auto"/>
            <w:bottom w:val="none" w:sz="0" w:space="0" w:color="auto"/>
            <w:right w:val="none" w:sz="0" w:space="0" w:color="auto"/>
          </w:divBdr>
        </w:div>
        <w:div w:id="2780888">
          <w:marLeft w:val="0"/>
          <w:marRight w:val="0"/>
          <w:marTop w:val="0"/>
          <w:marBottom w:val="240"/>
          <w:divBdr>
            <w:top w:val="none" w:sz="0" w:space="0" w:color="auto"/>
            <w:left w:val="none" w:sz="0" w:space="0" w:color="auto"/>
            <w:bottom w:val="none" w:sz="0" w:space="0" w:color="auto"/>
            <w:right w:val="none" w:sz="0" w:space="0" w:color="auto"/>
          </w:divBdr>
        </w:div>
        <w:div w:id="181820316">
          <w:marLeft w:val="0"/>
          <w:marRight w:val="0"/>
          <w:marTop w:val="0"/>
          <w:marBottom w:val="240"/>
          <w:divBdr>
            <w:top w:val="none" w:sz="0" w:space="0" w:color="auto"/>
            <w:left w:val="none" w:sz="0" w:space="0" w:color="auto"/>
            <w:bottom w:val="none" w:sz="0" w:space="0" w:color="auto"/>
            <w:right w:val="none" w:sz="0" w:space="0" w:color="auto"/>
          </w:divBdr>
        </w:div>
        <w:div w:id="232814554">
          <w:marLeft w:val="0"/>
          <w:marRight w:val="0"/>
          <w:marTop w:val="0"/>
          <w:marBottom w:val="240"/>
          <w:divBdr>
            <w:top w:val="none" w:sz="0" w:space="0" w:color="auto"/>
            <w:left w:val="none" w:sz="0" w:space="0" w:color="auto"/>
            <w:bottom w:val="none" w:sz="0" w:space="0" w:color="auto"/>
            <w:right w:val="none" w:sz="0" w:space="0" w:color="auto"/>
          </w:divBdr>
        </w:div>
        <w:div w:id="362368308">
          <w:marLeft w:val="0"/>
          <w:marRight w:val="0"/>
          <w:marTop w:val="0"/>
          <w:marBottom w:val="240"/>
          <w:divBdr>
            <w:top w:val="none" w:sz="0" w:space="0" w:color="auto"/>
            <w:left w:val="none" w:sz="0" w:space="0" w:color="auto"/>
            <w:bottom w:val="none" w:sz="0" w:space="0" w:color="auto"/>
            <w:right w:val="none" w:sz="0" w:space="0" w:color="auto"/>
          </w:divBdr>
        </w:div>
        <w:div w:id="1561865720">
          <w:marLeft w:val="0"/>
          <w:marRight w:val="0"/>
          <w:marTop w:val="0"/>
          <w:marBottom w:val="240"/>
          <w:divBdr>
            <w:top w:val="none" w:sz="0" w:space="0" w:color="auto"/>
            <w:left w:val="none" w:sz="0" w:space="0" w:color="auto"/>
            <w:bottom w:val="none" w:sz="0" w:space="0" w:color="auto"/>
            <w:right w:val="none" w:sz="0" w:space="0" w:color="auto"/>
          </w:divBdr>
        </w:div>
        <w:div w:id="454300447">
          <w:marLeft w:val="0"/>
          <w:marRight w:val="0"/>
          <w:marTop w:val="0"/>
          <w:marBottom w:val="240"/>
          <w:divBdr>
            <w:top w:val="none" w:sz="0" w:space="0" w:color="auto"/>
            <w:left w:val="none" w:sz="0" w:space="0" w:color="auto"/>
            <w:bottom w:val="none" w:sz="0" w:space="0" w:color="auto"/>
            <w:right w:val="none" w:sz="0" w:space="0" w:color="auto"/>
          </w:divBdr>
        </w:div>
        <w:div w:id="346372513">
          <w:marLeft w:val="0"/>
          <w:marRight w:val="0"/>
          <w:marTop w:val="0"/>
          <w:marBottom w:val="240"/>
          <w:divBdr>
            <w:top w:val="none" w:sz="0" w:space="0" w:color="auto"/>
            <w:left w:val="none" w:sz="0" w:space="0" w:color="auto"/>
            <w:bottom w:val="none" w:sz="0" w:space="0" w:color="auto"/>
            <w:right w:val="none" w:sz="0" w:space="0" w:color="auto"/>
          </w:divBdr>
        </w:div>
        <w:div w:id="2081824576">
          <w:marLeft w:val="0"/>
          <w:marRight w:val="0"/>
          <w:marTop w:val="0"/>
          <w:marBottom w:val="240"/>
          <w:divBdr>
            <w:top w:val="none" w:sz="0" w:space="0" w:color="auto"/>
            <w:left w:val="none" w:sz="0" w:space="0" w:color="auto"/>
            <w:bottom w:val="none" w:sz="0" w:space="0" w:color="auto"/>
            <w:right w:val="none" w:sz="0" w:space="0" w:color="auto"/>
          </w:divBdr>
        </w:div>
        <w:div w:id="1940135880">
          <w:marLeft w:val="0"/>
          <w:marRight w:val="0"/>
          <w:marTop w:val="0"/>
          <w:marBottom w:val="240"/>
          <w:divBdr>
            <w:top w:val="none" w:sz="0" w:space="0" w:color="auto"/>
            <w:left w:val="none" w:sz="0" w:space="0" w:color="auto"/>
            <w:bottom w:val="none" w:sz="0" w:space="0" w:color="auto"/>
            <w:right w:val="none" w:sz="0" w:space="0" w:color="auto"/>
          </w:divBdr>
        </w:div>
      </w:divsChild>
    </w:div>
    <w:div w:id="1003242967">
      <w:bodyDiv w:val="1"/>
      <w:marLeft w:val="0"/>
      <w:marRight w:val="0"/>
      <w:marTop w:val="0"/>
      <w:marBottom w:val="0"/>
      <w:divBdr>
        <w:top w:val="none" w:sz="0" w:space="0" w:color="auto"/>
        <w:left w:val="none" w:sz="0" w:space="0" w:color="auto"/>
        <w:bottom w:val="none" w:sz="0" w:space="0" w:color="auto"/>
        <w:right w:val="none" w:sz="0" w:space="0" w:color="auto"/>
      </w:divBdr>
    </w:div>
    <w:div w:id="1028262875">
      <w:bodyDiv w:val="1"/>
      <w:marLeft w:val="0"/>
      <w:marRight w:val="0"/>
      <w:marTop w:val="0"/>
      <w:marBottom w:val="0"/>
      <w:divBdr>
        <w:top w:val="none" w:sz="0" w:space="0" w:color="auto"/>
        <w:left w:val="none" w:sz="0" w:space="0" w:color="auto"/>
        <w:bottom w:val="none" w:sz="0" w:space="0" w:color="auto"/>
        <w:right w:val="none" w:sz="0" w:space="0" w:color="auto"/>
      </w:divBdr>
    </w:div>
    <w:div w:id="1093434038">
      <w:bodyDiv w:val="1"/>
      <w:marLeft w:val="0"/>
      <w:marRight w:val="0"/>
      <w:marTop w:val="0"/>
      <w:marBottom w:val="0"/>
      <w:divBdr>
        <w:top w:val="none" w:sz="0" w:space="0" w:color="auto"/>
        <w:left w:val="none" w:sz="0" w:space="0" w:color="auto"/>
        <w:bottom w:val="none" w:sz="0" w:space="0" w:color="auto"/>
        <w:right w:val="none" w:sz="0" w:space="0" w:color="auto"/>
      </w:divBdr>
    </w:div>
    <w:div w:id="1102453782">
      <w:bodyDiv w:val="1"/>
      <w:marLeft w:val="0"/>
      <w:marRight w:val="0"/>
      <w:marTop w:val="0"/>
      <w:marBottom w:val="0"/>
      <w:divBdr>
        <w:top w:val="none" w:sz="0" w:space="0" w:color="auto"/>
        <w:left w:val="none" w:sz="0" w:space="0" w:color="auto"/>
        <w:bottom w:val="none" w:sz="0" w:space="0" w:color="auto"/>
        <w:right w:val="none" w:sz="0" w:space="0" w:color="auto"/>
      </w:divBdr>
      <w:divsChild>
        <w:div w:id="29496780">
          <w:marLeft w:val="0"/>
          <w:marRight w:val="0"/>
          <w:marTop w:val="0"/>
          <w:marBottom w:val="240"/>
          <w:divBdr>
            <w:top w:val="none" w:sz="0" w:space="0" w:color="auto"/>
            <w:left w:val="none" w:sz="0" w:space="0" w:color="auto"/>
            <w:bottom w:val="none" w:sz="0" w:space="0" w:color="auto"/>
            <w:right w:val="none" w:sz="0" w:space="0" w:color="auto"/>
          </w:divBdr>
        </w:div>
        <w:div w:id="1382368059">
          <w:marLeft w:val="0"/>
          <w:marRight w:val="0"/>
          <w:marTop w:val="0"/>
          <w:marBottom w:val="240"/>
          <w:divBdr>
            <w:top w:val="none" w:sz="0" w:space="0" w:color="auto"/>
            <w:left w:val="none" w:sz="0" w:space="0" w:color="auto"/>
            <w:bottom w:val="none" w:sz="0" w:space="0" w:color="auto"/>
            <w:right w:val="none" w:sz="0" w:space="0" w:color="auto"/>
          </w:divBdr>
        </w:div>
      </w:divsChild>
    </w:div>
    <w:div w:id="1103771409">
      <w:bodyDiv w:val="1"/>
      <w:marLeft w:val="0"/>
      <w:marRight w:val="0"/>
      <w:marTop w:val="0"/>
      <w:marBottom w:val="0"/>
      <w:divBdr>
        <w:top w:val="none" w:sz="0" w:space="0" w:color="auto"/>
        <w:left w:val="none" w:sz="0" w:space="0" w:color="auto"/>
        <w:bottom w:val="none" w:sz="0" w:space="0" w:color="auto"/>
        <w:right w:val="none" w:sz="0" w:space="0" w:color="auto"/>
      </w:divBdr>
    </w:div>
    <w:div w:id="1112632744">
      <w:bodyDiv w:val="1"/>
      <w:marLeft w:val="0"/>
      <w:marRight w:val="0"/>
      <w:marTop w:val="0"/>
      <w:marBottom w:val="0"/>
      <w:divBdr>
        <w:top w:val="none" w:sz="0" w:space="0" w:color="auto"/>
        <w:left w:val="none" w:sz="0" w:space="0" w:color="auto"/>
        <w:bottom w:val="none" w:sz="0" w:space="0" w:color="auto"/>
        <w:right w:val="none" w:sz="0" w:space="0" w:color="auto"/>
      </w:divBdr>
    </w:div>
    <w:div w:id="1120302561">
      <w:bodyDiv w:val="1"/>
      <w:marLeft w:val="0"/>
      <w:marRight w:val="0"/>
      <w:marTop w:val="0"/>
      <w:marBottom w:val="0"/>
      <w:divBdr>
        <w:top w:val="none" w:sz="0" w:space="0" w:color="auto"/>
        <w:left w:val="none" w:sz="0" w:space="0" w:color="auto"/>
        <w:bottom w:val="none" w:sz="0" w:space="0" w:color="auto"/>
        <w:right w:val="none" w:sz="0" w:space="0" w:color="auto"/>
      </w:divBdr>
    </w:div>
    <w:div w:id="1123306592">
      <w:bodyDiv w:val="1"/>
      <w:marLeft w:val="0"/>
      <w:marRight w:val="0"/>
      <w:marTop w:val="0"/>
      <w:marBottom w:val="0"/>
      <w:divBdr>
        <w:top w:val="none" w:sz="0" w:space="0" w:color="auto"/>
        <w:left w:val="none" w:sz="0" w:space="0" w:color="auto"/>
        <w:bottom w:val="none" w:sz="0" w:space="0" w:color="auto"/>
        <w:right w:val="none" w:sz="0" w:space="0" w:color="auto"/>
      </w:divBdr>
    </w:div>
    <w:div w:id="1126508525">
      <w:bodyDiv w:val="1"/>
      <w:marLeft w:val="0"/>
      <w:marRight w:val="0"/>
      <w:marTop w:val="0"/>
      <w:marBottom w:val="0"/>
      <w:divBdr>
        <w:top w:val="none" w:sz="0" w:space="0" w:color="auto"/>
        <w:left w:val="none" w:sz="0" w:space="0" w:color="auto"/>
        <w:bottom w:val="none" w:sz="0" w:space="0" w:color="auto"/>
        <w:right w:val="none" w:sz="0" w:space="0" w:color="auto"/>
      </w:divBdr>
    </w:div>
    <w:div w:id="1141268004">
      <w:bodyDiv w:val="1"/>
      <w:marLeft w:val="0"/>
      <w:marRight w:val="0"/>
      <w:marTop w:val="0"/>
      <w:marBottom w:val="0"/>
      <w:divBdr>
        <w:top w:val="none" w:sz="0" w:space="0" w:color="auto"/>
        <w:left w:val="none" w:sz="0" w:space="0" w:color="auto"/>
        <w:bottom w:val="none" w:sz="0" w:space="0" w:color="auto"/>
        <w:right w:val="none" w:sz="0" w:space="0" w:color="auto"/>
      </w:divBdr>
    </w:div>
    <w:div w:id="1163813094">
      <w:bodyDiv w:val="1"/>
      <w:marLeft w:val="0"/>
      <w:marRight w:val="0"/>
      <w:marTop w:val="0"/>
      <w:marBottom w:val="0"/>
      <w:divBdr>
        <w:top w:val="none" w:sz="0" w:space="0" w:color="auto"/>
        <w:left w:val="none" w:sz="0" w:space="0" w:color="auto"/>
        <w:bottom w:val="none" w:sz="0" w:space="0" w:color="auto"/>
        <w:right w:val="none" w:sz="0" w:space="0" w:color="auto"/>
      </w:divBdr>
    </w:div>
    <w:div w:id="1182822043">
      <w:bodyDiv w:val="1"/>
      <w:marLeft w:val="0"/>
      <w:marRight w:val="0"/>
      <w:marTop w:val="0"/>
      <w:marBottom w:val="0"/>
      <w:divBdr>
        <w:top w:val="none" w:sz="0" w:space="0" w:color="auto"/>
        <w:left w:val="none" w:sz="0" w:space="0" w:color="auto"/>
        <w:bottom w:val="none" w:sz="0" w:space="0" w:color="auto"/>
        <w:right w:val="none" w:sz="0" w:space="0" w:color="auto"/>
      </w:divBdr>
    </w:div>
    <w:div w:id="1204244498">
      <w:bodyDiv w:val="1"/>
      <w:marLeft w:val="0"/>
      <w:marRight w:val="0"/>
      <w:marTop w:val="0"/>
      <w:marBottom w:val="0"/>
      <w:divBdr>
        <w:top w:val="none" w:sz="0" w:space="0" w:color="auto"/>
        <w:left w:val="none" w:sz="0" w:space="0" w:color="auto"/>
        <w:bottom w:val="none" w:sz="0" w:space="0" w:color="auto"/>
        <w:right w:val="none" w:sz="0" w:space="0" w:color="auto"/>
      </w:divBdr>
      <w:divsChild>
        <w:div w:id="1764495764">
          <w:marLeft w:val="0"/>
          <w:marRight w:val="0"/>
          <w:marTop w:val="0"/>
          <w:marBottom w:val="0"/>
          <w:divBdr>
            <w:top w:val="none" w:sz="0" w:space="0" w:color="auto"/>
            <w:left w:val="none" w:sz="0" w:space="0" w:color="auto"/>
            <w:bottom w:val="none" w:sz="0" w:space="0" w:color="auto"/>
            <w:right w:val="none" w:sz="0" w:space="0" w:color="auto"/>
          </w:divBdr>
        </w:div>
        <w:div w:id="1735620214">
          <w:marLeft w:val="0"/>
          <w:marRight w:val="0"/>
          <w:marTop w:val="0"/>
          <w:marBottom w:val="0"/>
          <w:divBdr>
            <w:top w:val="none" w:sz="0" w:space="0" w:color="auto"/>
            <w:left w:val="none" w:sz="0" w:space="0" w:color="auto"/>
            <w:bottom w:val="none" w:sz="0" w:space="0" w:color="auto"/>
            <w:right w:val="none" w:sz="0" w:space="0" w:color="auto"/>
          </w:divBdr>
        </w:div>
      </w:divsChild>
    </w:div>
    <w:div w:id="1219127080">
      <w:bodyDiv w:val="1"/>
      <w:marLeft w:val="0"/>
      <w:marRight w:val="0"/>
      <w:marTop w:val="0"/>
      <w:marBottom w:val="0"/>
      <w:divBdr>
        <w:top w:val="none" w:sz="0" w:space="0" w:color="auto"/>
        <w:left w:val="none" w:sz="0" w:space="0" w:color="auto"/>
        <w:bottom w:val="none" w:sz="0" w:space="0" w:color="auto"/>
        <w:right w:val="none" w:sz="0" w:space="0" w:color="auto"/>
      </w:divBdr>
    </w:div>
    <w:div w:id="1237979544">
      <w:bodyDiv w:val="1"/>
      <w:marLeft w:val="0"/>
      <w:marRight w:val="0"/>
      <w:marTop w:val="0"/>
      <w:marBottom w:val="0"/>
      <w:divBdr>
        <w:top w:val="none" w:sz="0" w:space="0" w:color="auto"/>
        <w:left w:val="none" w:sz="0" w:space="0" w:color="auto"/>
        <w:bottom w:val="none" w:sz="0" w:space="0" w:color="auto"/>
        <w:right w:val="none" w:sz="0" w:space="0" w:color="auto"/>
      </w:divBdr>
    </w:div>
    <w:div w:id="1259218445">
      <w:bodyDiv w:val="1"/>
      <w:marLeft w:val="0"/>
      <w:marRight w:val="0"/>
      <w:marTop w:val="0"/>
      <w:marBottom w:val="0"/>
      <w:divBdr>
        <w:top w:val="none" w:sz="0" w:space="0" w:color="auto"/>
        <w:left w:val="none" w:sz="0" w:space="0" w:color="auto"/>
        <w:bottom w:val="none" w:sz="0" w:space="0" w:color="auto"/>
        <w:right w:val="none" w:sz="0" w:space="0" w:color="auto"/>
      </w:divBdr>
    </w:div>
    <w:div w:id="1272321773">
      <w:bodyDiv w:val="1"/>
      <w:marLeft w:val="0"/>
      <w:marRight w:val="0"/>
      <w:marTop w:val="0"/>
      <w:marBottom w:val="0"/>
      <w:divBdr>
        <w:top w:val="none" w:sz="0" w:space="0" w:color="auto"/>
        <w:left w:val="none" w:sz="0" w:space="0" w:color="auto"/>
        <w:bottom w:val="none" w:sz="0" w:space="0" w:color="auto"/>
        <w:right w:val="none" w:sz="0" w:space="0" w:color="auto"/>
      </w:divBdr>
      <w:divsChild>
        <w:div w:id="506986517">
          <w:marLeft w:val="0"/>
          <w:marRight w:val="0"/>
          <w:marTop w:val="0"/>
          <w:marBottom w:val="240"/>
          <w:divBdr>
            <w:top w:val="none" w:sz="0" w:space="0" w:color="auto"/>
            <w:left w:val="none" w:sz="0" w:space="0" w:color="auto"/>
            <w:bottom w:val="none" w:sz="0" w:space="0" w:color="auto"/>
            <w:right w:val="none" w:sz="0" w:space="0" w:color="auto"/>
          </w:divBdr>
        </w:div>
        <w:div w:id="562563172">
          <w:marLeft w:val="0"/>
          <w:marRight w:val="0"/>
          <w:marTop w:val="0"/>
          <w:marBottom w:val="240"/>
          <w:divBdr>
            <w:top w:val="none" w:sz="0" w:space="0" w:color="auto"/>
            <w:left w:val="none" w:sz="0" w:space="0" w:color="auto"/>
            <w:bottom w:val="none" w:sz="0" w:space="0" w:color="auto"/>
            <w:right w:val="none" w:sz="0" w:space="0" w:color="auto"/>
          </w:divBdr>
        </w:div>
        <w:div w:id="1833059131">
          <w:marLeft w:val="0"/>
          <w:marRight w:val="0"/>
          <w:marTop w:val="0"/>
          <w:marBottom w:val="240"/>
          <w:divBdr>
            <w:top w:val="none" w:sz="0" w:space="0" w:color="auto"/>
            <w:left w:val="none" w:sz="0" w:space="0" w:color="auto"/>
            <w:bottom w:val="none" w:sz="0" w:space="0" w:color="auto"/>
            <w:right w:val="none" w:sz="0" w:space="0" w:color="auto"/>
          </w:divBdr>
        </w:div>
      </w:divsChild>
    </w:div>
    <w:div w:id="1282496459">
      <w:bodyDiv w:val="1"/>
      <w:marLeft w:val="0"/>
      <w:marRight w:val="0"/>
      <w:marTop w:val="0"/>
      <w:marBottom w:val="0"/>
      <w:divBdr>
        <w:top w:val="none" w:sz="0" w:space="0" w:color="auto"/>
        <w:left w:val="none" w:sz="0" w:space="0" w:color="auto"/>
        <w:bottom w:val="none" w:sz="0" w:space="0" w:color="auto"/>
        <w:right w:val="none" w:sz="0" w:space="0" w:color="auto"/>
      </w:divBdr>
    </w:div>
    <w:div w:id="1283148613">
      <w:bodyDiv w:val="1"/>
      <w:marLeft w:val="0"/>
      <w:marRight w:val="0"/>
      <w:marTop w:val="0"/>
      <w:marBottom w:val="0"/>
      <w:divBdr>
        <w:top w:val="none" w:sz="0" w:space="0" w:color="auto"/>
        <w:left w:val="none" w:sz="0" w:space="0" w:color="auto"/>
        <w:bottom w:val="none" w:sz="0" w:space="0" w:color="auto"/>
        <w:right w:val="none" w:sz="0" w:space="0" w:color="auto"/>
      </w:divBdr>
    </w:div>
    <w:div w:id="1287155975">
      <w:bodyDiv w:val="1"/>
      <w:marLeft w:val="0"/>
      <w:marRight w:val="0"/>
      <w:marTop w:val="0"/>
      <w:marBottom w:val="0"/>
      <w:divBdr>
        <w:top w:val="none" w:sz="0" w:space="0" w:color="auto"/>
        <w:left w:val="none" w:sz="0" w:space="0" w:color="auto"/>
        <w:bottom w:val="none" w:sz="0" w:space="0" w:color="auto"/>
        <w:right w:val="none" w:sz="0" w:space="0" w:color="auto"/>
      </w:divBdr>
    </w:div>
    <w:div w:id="1288052629">
      <w:bodyDiv w:val="1"/>
      <w:marLeft w:val="0"/>
      <w:marRight w:val="0"/>
      <w:marTop w:val="0"/>
      <w:marBottom w:val="0"/>
      <w:divBdr>
        <w:top w:val="none" w:sz="0" w:space="0" w:color="auto"/>
        <w:left w:val="none" w:sz="0" w:space="0" w:color="auto"/>
        <w:bottom w:val="none" w:sz="0" w:space="0" w:color="auto"/>
        <w:right w:val="none" w:sz="0" w:space="0" w:color="auto"/>
      </w:divBdr>
    </w:div>
    <w:div w:id="1291284095">
      <w:bodyDiv w:val="1"/>
      <w:marLeft w:val="0"/>
      <w:marRight w:val="0"/>
      <w:marTop w:val="0"/>
      <w:marBottom w:val="0"/>
      <w:divBdr>
        <w:top w:val="none" w:sz="0" w:space="0" w:color="auto"/>
        <w:left w:val="none" w:sz="0" w:space="0" w:color="auto"/>
        <w:bottom w:val="none" w:sz="0" w:space="0" w:color="auto"/>
        <w:right w:val="none" w:sz="0" w:space="0" w:color="auto"/>
      </w:divBdr>
    </w:div>
    <w:div w:id="1344745795">
      <w:bodyDiv w:val="1"/>
      <w:marLeft w:val="0"/>
      <w:marRight w:val="0"/>
      <w:marTop w:val="0"/>
      <w:marBottom w:val="0"/>
      <w:divBdr>
        <w:top w:val="none" w:sz="0" w:space="0" w:color="auto"/>
        <w:left w:val="none" w:sz="0" w:space="0" w:color="auto"/>
        <w:bottom w:val="none" w:sz="0" w:space="0" w:color="auto"/>
        <w:right w:val="none" w:sz="0" w:space="0" w:color="auto"/>
      </w:divBdr>
    </w:div>
    <w:div w:id="1357578863">
      <w:bodyDiv w:val="1"/>
      <w:marLeft w:val="0"/>
      <w:marRight w:val="0"/>
      <w:marTop w:val="0"/>
      <w:marBottom w:val="0"/>
      <w:divBdr>
        <w:top w:val="none" w:sz="0" w:space="0" w:color="auto"/>
        <w:left w:val="none" w:sz="0" w:space="0" w:color="auto"/>
        <w:bottom w:val="none" w:sz="0" w:space="0" w:color="auto"/>
        <w:right w:val="none" w:sz="0" w:space="0" w:color="auto"/>
      </w:divBdr>
    </w:div>
    <w:div w:id="1360159462">
      <w:bodyDiv w:val="1"/>
      <w:marLeft w:val="0"/>
      <w:marRight w:val="0"/>
      <w:marTop w:val="0"/>
      <w:marBottom w:val="0"/>
      <w:divBdr>
        <w:top w:val="none" w:sz="0" w:space="0" w:color="auto"/>
        <w:left w:val="none" w:sz="0" w:space="0" w:color="auto"/>
        <w:bottom w:val="none" w:sz="0" w:space="0" w:color="auto"/>
        <w:right w:val="none" w:sz="0" w:space="0" w:color="auto"/>
      </w:divBdr>
    </w:div>
    <w:div w:id="1366977682">
      <w:bodyDiv w:val="1"/>
      <w:marLeft w:val="0"/>
      <w:marRight w:val="0"/>
      <w:marTop w:val="0"/>
      <w:marBottom w:val="0"/>
      <w:divBdr>
        <w:top w:val="none" w:sz="0" w:space="0" w:color="auto"/>
        <w:left w:val="none" w:sz="0" w:space="0" w:color="auto"/>
        <w:bottom w:val="none" w:sz="0" w:space="0" w:color="auto"/>
        <w:right w:val="none" w:sz="0" w:space="0" w:color="auto"/>
      </w:divBdr>
    </w:div>
    <w:div w:id="1368603283">
      <w:bodyDiv w:val="1"/>
      <w:marLeft w:val="0"/>
      <w:marRight w:val="0"/>
      <w:marTop w:val="0"/>
      <w:marBottom w:val="0"/>
      <w:divBdr>
        <w:top w:val="none" w:sz="0" w:space="0" w:color="auto"/>
        <w:left w:val="none" w:sz="0" w:space="0" w:color="auto"/>
        <w:bottom w:val="none" w:sz="0" w:space="0" w:color="auto"/>
        <w:right w:val="none" w:sz="0" w:space="0" w:color="auto"/>
      </w:divBdr>
    </w:div>
    <w:div w:id="1385256867">
      <w:bodyDiv w:val="1"/>
      <w:marLeft w:val="0"/>
      <w:marRight w:val="0"/>
      <w:marTop w:val="0"/>
      <w:marBottom w:val="0"/>
      <w:divBdr>
        <w:top w:val="none" w:sz="0" w:space="0" w:color="auto"/>
        <w:left w:val="none" w:sz="0" w:space="0" w:color="auto"/>
        <w:bottom w:val="none" w:sz="0" w:space="0" w:color="auto"/>
        <w:right w:val="none" w:sz="0" w:space="0" w:color="auto"/>
      </w:divBdr>
    </w:div>
    <w:div w:id="1395472578">
      <w:bodyDiv w:val="1"/>
      <w:marLeft w:val="0"/>
      <w:marRight w:val="0"/>
      <w:marTop w:val="0"/>
      <w:marBottom w:val="0"/>
      <w:divBdr>
        <w:top w:val="none" w:sz="0" w:space="0" w:color="auto"/>
        <w:left w:val="none" w:sz="0" w:space="0" w:color="auto"/>
        <w:bottom w:val="none" w:sz="0" w:space="0" w:color="auto"/>
        <w:right w:val="none" w:sz="0" w:space="0" w:color="auto"/>
      </w:divBdr>
    </w:div>
    <w:div w:id="1401755675">
      <w:bodyDiv w:val="1"/>
      <w:marLeft w:val="0"/>
      <w:marRight w:val="0"/>
      <w:marTop w:val="0"/>
      <w:marBottom w:val="0"/>
      <w:divBdr>
        <w:top w:val="none" w:sz="0" w:space="0" w:color="auto"/>
        <w:left w:val="none" w:sz="0" w:space="0" w:color="auto"/>
        <w:bottom w:val="none" w:sz="0" w:space="0" w:color="auto"/>
        <w:right w:val="none" w:sz="0" w:space="0" w:color="auto"/>
      </w:divBdr>
      <w:divsChild>
        <w:div w:id="535510676">
          <w:marLeft w:val="0"/>
          <w:marRight w:val="0"/>
          <w:marTop w:val="0"/>
          <w:marBottom w:val="240"/>
          <w:divBdr>
            <w:top w:val="none" w:sz="0" w:space="0" w:color="auto"/>
            <w:left w:val="none" w:sz="0" w:space="0" w:color="auto"/>
            <w:bottom w:val="none" w:sz="0" w:space="0" w:color="auto"/>
            <w:right w:val="none" w:sz="0" w:space="0" w:color="auto"/>
          </w:divBdr>
        </w:div>
        <w:div w:id="1164473507">
          <w:marLeft w:val="0"/>
          <w:marRight w:val="0"/>
          <w:marTop w:val="0"/>
          <w:marBottom w:val="240"/>
          <w:divBdr>
            <w:top w:val="none" w:sz="0" w:space="0" w:color="auto"/>
            <w:left w:val="none" w:sz="0" w:space="0" w:color="auto"/>
            <w:bottom w:val="none" w:sz="0" w:space="0" w:color="auto"/>
            <w:right w:val="none" w:sz="0" w:space="0" w:color="auto"/>
          </w:divBdr>
        </w:div>
        <w:div w:id="1225142861">
          <w:marLeft w:val="0"/>
          <w:marRight w:val="0"/>
          <w:marTop w:val="0"/>
          <w:marBottom w:val="240"/>
          <w:divBdr>
            <w:top w:val="none" w:sz="0" w:space="0" w:color="auto"/>
            <w:left w:val="none" w:sz="0" w:space="0" w:color="auto"/>
            <w:bottom w:val="none" w:sz="0" w:space="0" w:color="auto"/>
            <w:right w:val="none" w:sz="0" w:space="0" w:color="auto"/>
          </w:divBdr>
        </w:div>
        <w:div w:id="1391927952">
          <w:marLeft w:val="0"/>
          <w:marRight w:val="0"/>
          <w:marTop w:val="0"/>
          <w:marBottom w:val="240"/>
          <w:divBdr>
            <w:top w:val="none" w:sz="0" w:space="0" w:color="auto"/>
            <w:left w:val="none" w:sz="0" w:space="0" w:color="auto"/>
            <w:bottom w:val="none" w:sz="0" w:space="0" w:color="auto"/>
            <w:right w:val="none" w:sz="0" w:space="0" w:color="auto"/>
          </w:divBdr>
        </w:div>
        <w:div w:id="66343762">
          <w:marLeft w:val="0"/>
          <w:marRight w:val="0"/>
          <w:marTop w:val="0"/>
          <w:marBottom w:val="240"/>
          <w:divBdr>
            <w:top w:val="none" w:sz="0" w:space="0" w:color="auto"/>
            <w:left w:val="none" w:sz="0" w:space="0" w:color="auto"/>
            <w:bottom w:val="none" w:sz="0" w:space="0" w:color="auto"/>
            <w:right w:val="none" w:sz="0" w:space="0" w:color="auto"/>
          </w:divBdr>
        </w:div>
        <w:div w:id="516039879">
          <w:marLeft w:val="0"/>
          <w:marRight w:val="0"/>
          <w:marTop w:val="0"/>
          <w:marBottom w:val="240"/>
          <w:divBdr>
            <w:top w:val="none" w:sz="0" w:space="0" w:color="auto"/>
            <w:left w:val="none" w:sz="0" w:space="0" w:color="auto"/>
            <w:bottom w:val="none" w:sz="0" w:space="0" w:color="auto"/>
            <w:right w:val="none" w:sz="0" w:space="0" w:color="auto"/>
          </w:divBdr>
        </w:div>
        <w:div w:id="1987541182">
          <w:marLeft w:val="0"/>
          <w:marRight w:val="0"/>
          <w:marTop w:val="0"/>
          <w:marBottom w:val="240"/>
          <w:divBdr>
            <w:top w:val="none" w:sz="0" w:space="0" w:color="auto"/>
            <w:left w:val="none" w:sz="0" w:space="0" w:color="auto"/>
            <w:bottom w:val="none" w:sz="0" w:space="0" w:color="auto"/>
            <w:right w:val="none" w:sz="0" w:space="0" w:color="auto"/>
          </w:divBdr>
        </w:div>
        <w:div w:id="883836986">
          <w:marLeft w:val="0"/>
          <w:marRight w:val="0"/>
          <w:marTop w:val="0"/>
          <w:marBottom w:val="240"/>
          <w:divBdr>
            <w:top w:val="none" w:sz="0" w:space="0" w:color="auto"/>
            <w:left w:val="none" w:sz="0" w:space="0" w:color="auto"/>
            <w:bottom w:val="none" w:sz="0" w:space="0" w:color="auto"/>
            <w:right w:val="none" w:sz="0" w:space="0" w:color="auto"/>
          </w:divBdr>
        </w:div>
        <w:div w:id="1991595773">
          <w:marLeft w:val="0"/>
          <w:marRight w:val="0"/>
          <w:marTop w:val="0"/>
          <w:marBottom w:val="240"/>
          <w:divBdr>
            <w:top w:val="none" w:sz="0" w:space="0" w:color="auto"/>
            <w:left w:val="none" w:sz="0" w:space="0" w:color="auto"/>
            <w:bottom w:val="none" w:sz="0" w:space="0" w:color="auto"/>
            <w:right w:val="none" w:sz="0" w:space="0" w:color="auto"/>
          </w:divBdr>
        </w:div>
        <w:div w:id="1497453482">
          <w:marLeft w:val="0"/>
          <w:marRight w:val="0"/>
          <w:marTop w:val="0"/>
          <w:marBottom w:val="240"/>
          <w:divBdr>
            <w:top w:val="none" w:sz="0" w:space="0" w:color="auto"/>
            <w:left w:val="none" w:sz="0" w:space="0" w:color="auto"/>
            <w:bottom w:val="none" w:sz="0" w:space="0" w:color="auto"/>
            <w:right w:val="none" w:sz="0" w:space="0" w:color="auto"/>
          </w:divBdr>
        </w:div>
        <w:div w:id="1420298981">
          <w:marLeft w:val="0"/>
          <w:marRight w:val="0"/>
          <w:marTop w:val="0"/>
          <w:marBottom w:val="240"/>
          <w:divBdr>
            <w:top w:val="none" w:sz="0" w:space="0" w:color="auto"/>
            <w:left w:val="none" w:sz="0" w:space="0" w:color="auto"/>
            <w:bottom w:val="none" w:sz="0" w:space="0" w:color="auto"/>
            <w:right w:val="none" w:sz="0" w:space="0" w:color="auto"/>
          </w:divBdr>
        </w:div>
        <w:div w:id="2052151443">
          <w:marLeft w:val="0"/>
          <w:marRight w:val="0"/>
          <w:marTop w:val="0"/>
          <w:marBottom w:val="240"/>
          <w:divBdr>
            <w:top w:val="none" w:sz="0" w:space="0" w:color="auto"/>
            <w:left w:val="none" w:sz="0" w:space="0" w:color="auto"/>
            <w:bottom w:val="none" w:sz="0" w:space="0" w:color="auto"/>
            <w:right w:val="none" w:sz="0" w:space="0" w:color="auto"/>
          </w:divBdr>
        </w:div>
        <w:div w:id="554005642">
          <w:marLeft w:val="0"/>
          <w:marRight w:val="0"/>
          <w:marTop w:val="0"/>
          <w:marBottom w:val="240"/>
          <w:divBdr>
            <w:top w:val="none" w:sz="0" w:space="0" w:color="auto"/>
            <w:left w:val="none" w:sz="0" w:space="0" w:color="auto"/>
            <w:bottom w:val="none" w:sz="0" w:space="0" w:color="auto"/>
            <w:right w:val="none" w:sz="0" w:space="0" w:color="auto"/>
          </w:divBdr>
        </w:div>
        <w:div w:id="1783305785">
          <w:marLeft w:val="0"/>
          <w:marRight w:val="0"/>
          <w:marTop w:val="0"/>
          <w:marBottom w:val="240"/>
          <w:divBdr>
            <w:top w:val="none" w:sz="0" w:space="0" w:color="auto"/>
            <w:left w:val="none" w:sz="0" w:space="0" w:color="auto"/>
            <w:bottom w:val="none" w:sz="0" w:space="0" w:color="auto"/>
            <w:right w:val="none" w:sz="0" w:space="0" w:color="auto"/>
          </w:divBdr>
        </w:div>
        <w:div w:id="537857799">
          <w:marLeft w:val="0"/>
          <w:marRight w:val="0"/>
          <w:marTop w:val="0"/>
          <w:marBottom w:val="240"/>
          <w:divBdr>
            <w:top w:val="none" w:sz="0" w:space="0" w:color="auto"/>
            <w:left w:val="none" w:sz="0" w:space="0" w:color="auto"/>
            <w:bottom w:val="none" w:sz="0" w:space="0" w:color="auto"/>
            <w:right w:val="none" w:sz="0" w:space="0" w:color="auto"/>
          </w:divBdr>
        </w:div>
        <w:div w:id="498884197">
          <w:marLeft w:val="0"/>
          <w:marRight w:val="0"/>
          <w:marTop w:val="0"/>
          <w:marBottom w:val="240"/>
          <w:divBdr>
            <w:top w:val="none" w:sz="0" w:space="0" w:color="auto"/>
            <w:left w:val="none" w:sz="0" w:space="0" w:color="auto"/>
            <w:bottom w:val="none" w:sz="0" w:space="0" w:color="auto"/>
            <w:right w:val="none" w:sz="0" w:space="0" w:color="auto"/>
          </w:divBdr>
        </w:div>
        <w:div w:id="1612660938">
          <w:marLeft w:val="0"/>
          <w:marRight w:val="0"/>
          <w:marTop w:val="0"/>
          <w:marBottom w:val="240"/>
          <w:divBdr>
            <w:top w:val="none" w:sz="0" w:space="0" w:color="auto"/>
            <w:left w:val="none" w:sz="0" w:space="0" w:color="auto"/>
            <w:bottom w:val="none" w:sz="0" w:space="0" w:color="auto"/>
            <w:right w:val="none" w:sz="0" w:space="0" w:color="auto"/>
          </w:divBdr>
        </w:div>
        <w:div w:id="238029103">
          <w:marLeft w:val="0"/>
          <w:marRight w:val="0"/>
          <w:marTop w:val="0"/>
          <w:marBottom w:val="240"/>
          <w:divBdr>
            <w:top w:val="none" w:sz="0" w:space="0" w:color="auto"/>
            <w:left w:val="none" w:sz="0" w:space="0" w:color="auto"/>
            <w:bottom w:val="none" w:sz="0" w:space="0" w:color="auto"/>
            <w:right w:val="none" w:sz="0" w:space="0" w:color="auto"/>
          </w:divBdr>
        </w:div>
        <w:div w:id="1231648230">
          <w:marLeft w:val="0"/>
          <w:marRight w:val="0"/>
          <w:marTop w:val="0"/>
          <w:marBottom w:val="240"/>
          <w:divBdr>
            <w:top w:val="none" w:sz="0" w:space="0" w:color="auto"/>
            <w:left w:val="none" w:sz="0" w:space="0" w:color="auto"/>
            <w:bottom w:val="none" w:sz="0" w:space="0" w:color="auto"/>
            <w:right w:val="none" w:sz="0" w:space="0" w:color="auto"/>
          </w:divBdr>
        </w:div>
        <w:div w:id="584385058">
          <w:marLeft w:val="0"/>
          <w:marRight w:val="0"/>
          <w:marTop w:val="0"/>
          <w:marBottom w:val="240"/>
          <w:divBdr>
            <w:top w:val="none" w:sz="0" w:space="0" w:color="auto"/>
            <w:left w:val="none" w:sz="0" w:space="0" w:color="auto"/>
            <w:bottom w:val="none" w:sz="0" w:space="0" w:color="auto"/>
            <w:right w:val="none" w:sz="0" w:space="0" w:color="auto"/>
          </w:divBdr>
        </w:div>
        <w:div w:id="1701784352">
          <w:marLeft w:val="0"/>
          <w:marRight w:val="0"/>
          <w:marTop w:val="0"/>
          <w:marBottom w:val="240"/>
          <w:divBdr>
            <w:top w:val="none" w:sz="0" w:space="0" w:color="auto"/>
            <w:left w:val="none" w:sz="0" w:space="0" w:color="auto"/>
            <w:bottom w:val="none" w:sz="0" w:space="0" w:color="auto"/>
            <w:right w:val="none" w:sz="0" w:space="0" w:color="auto"/>
          </w:divBdr>
        </w:div>
        <w:div w:id="117838951">
          <w:marLeft w:val="0"/>
          <w:marRight w:val="0"/>
          <w:marTop w:val="0"/>
          <w:marBottom w:val="240"/>
          <w:divBdr>
            <w:top w:val="none" w:sz="0" w:space="0" w:color="auto"/>
            <w:left w:val="none" w:sz="0" w:space="0" w:color="auto"/>
            <w:bottom w:val="none" w:sz="0" w:space="0" w:color="auto"/>
            <w:right w:val="none" w:sz="0" w:space="0" w:color="auto"/>
          </w:divBdr>
        </w:div>
        <w:div w:id="851071692">
          <w:marLeft w:val="0"/>
          <w:marRight w:val="0"/>
          <w:marTop w:val="0"/>
          <w:marBottom w:val="240"/>
          <w:divBdr>
            <w:top w:val="none" w:sz="0" w:space="0" w:color="auto"/>
            <w:left w:val="none" w:sz="0" w:space="0" w:color="auto"/>
            <w:bottom w:val="none" w:sz="0" w:space="0" w:color="auto"/>
            <w:right w:val="none" w:sz="0" w:space="0" w:color="auto"/>
          </w:divBdr>
        </w:div>
        <w:div w:id="1873037321">
          <w:marLeft w:val="0"/>
          <w:marRight w:val="0"/>
          <w:marTop w:val="0"/>
          <w:marBottom w:val="240"/>
          <w:divBdr>
            <w:top w:val="none" w:sz="0" w:space="0" w:color="auto"/>
            <w:left w:val="none" w:sz="0" w:space="0" w:color="auto"/>
            <w:bottom w:val="none" w:sz="0" w:space="0" w:color="auto"/>
            <w:right w:val="none" w:sz="0" w:space="0" w:color="auto"/>
          </w:divBdr>
        </w:div>
        <w:div w:id="466244308">
          <w:marLeft w:val="0"/>
          <w:marRight w:val="0"/>
          <w:marTop w:val="0"/>
          <w:marBottom w:val="240"/>
          <w:divBdr>
            <w:top w:val="none" w:sz="0" w:space="0" w:color="auto"/>
            <w:left w:val="none" w:sz="0" w:space="0" w:color="auto"/>
            <w:bottom w:val="none" w:sz="0" w:space="0" w:color="auto"/>
            <w:right w:val="none" w:sz="0" w:space="0" w:color="auto"/>
          </w:divBdr>
        </w:div>
        <w:div w:id="870341585">
          <w:marLeft w:val="0"/>
          <w:marRight w:val="0"/>
          <w:marTop w:val="0"/>
          <w:marBottom w:val="240"/>
          <w:divBdr>
            <w:top w:val="none" w:sz="0" w:space="0" w:color="auto"/>
            <w:left w:val="none" w:sz="0" w:space="0" w:color="auto"/>
            <w:bottom w:val="none" w:sz="0" w:space="0" w:color="auto"/>
            <w:right w:val="none" w:sz="0" w:space="0" w:color="auto"/>
          </w:divBdr>
        </w:div>
        <w:div w:id="2125882243">
          <w:marLeft w:val="0"/>
          <w:marRight w:val="0"/>
          <w:marTop w:val="0"/>
          <w:marBottom w:val="240"/>
          <w:divBdr>
            <w:top w:val="none" w:sz="0" w:space="0" w:color="auto"/>
            <w:left w:val="none" w:sz="0" w:space="0" w:color="auto"/>
            <w:bottom w:val="none" w:sz="0" w:space="0" w:color="auto"/>
            <w:right w:val="none" w:sz="0" w:space="0" w:color="auto"/>
          </w:divBdr>
        </w:div>
        <w:div w:id="1317607816">
          <w:marLeft w:val="0"/>
          <w:marRight w:val="0"/>
          <w:marTop w:val="0"/>
          <w:marBottom w:val="240"/>
          <w:divBdr>
            <w:top w:val="none" w:sz="0" w:space="0" w:color="auto"/>
            <w:left w:val="none" w:sz="0" w:space="0" w:color="auto"/>
            <w:bottom w:val="none" w:sz="0" w:space="0" w:color="auto"/>
            <w:right w:val="none" w:sz="0" w:space="0" w:color="auto"/>
          </w:divBdr>
        </w:div>
        <w:div w:id="398021763">
          <w:marLeft w:val="0"/>
          <w:marRight w:val="0"/>
          <w:marTop w:val="0"/>
          <w:marBottom w:val="240"/>
          <w:divBdr>
            <w:top w:val="none" w:sz="0" w:space="0" w:color="auto"/>
            <w:left w:val="none" w:sz="0" w:space="0" w:color="auto"/>
            <w:bottom w:val="none" w:sz="0" w:space="0" w:color="auto"/>
            <w:right w:val="none" w:sz="0" w:space="0" w:color="auto"/>
          </w:divBdr>
        </w:div>
        <w:div w:id="885145537">
          <w:marLeft w:val="0"/>
          <w:marRight w:val="0"/>
          <w:marTop w:val="0"/>
          <w:marBottom w:val="240"/>
          <w:divBdr>
            <w:top w:val="none" w:sz="0" w:space="0" w:color="auto"/>
            <w:left w:val="none" w:sz="0" w:space="0" w:color="auto"/>
            <w:bottom w:val="none" w:sz="0" w:space="0" w:color="auto"/>
            <w:right w:val="none" w:sz="0" w:space="0" w:color="auto"/>
          </w:divBdr>
        </w:div>
        <w:div w:id="1788045605">
          <w:marLeft w:val="0"/>
          <w:marRight w:val="0"/>
          <w:marTop w:val="0"/>
          <w:marBottom w:val="240"/>
          <w:divBdr>
            <w:top w:val="none" w:sz="0" w:space="0" w:color="auto"/>
            <w:left w:val="none" w:sz="0" w:space="0" w:color="auto"/>
            <w:bottom w:val="none" w:sz="0" w:space="0" w:color="auto"/>
            <w:right w:val="none" w:sz="0" w:space="0" w:color="auto"/>
          </w:divBdr>
        </w:div>
        <w:div w:id="1294097855">
          <w:marLeft w:val="0"/>
          <w:marRight w:val="0"/>
          <w:marTop w:val="0"/>
          <w:marBottom w:val="240"/>
          <w:divBdr>
            <w:top w:val="none" w:sz="0" w:space="0" w:color="auto"/>
            <w:left w:val="none" w:sz="0" w:space="0" w:color="auto"/>
            <w:bottom w:val="none" w:sz="0" w:space="0" w:color="auto"/>
            <w:right w:val="none" w:sz="0" w:space="0" w:color="auto"/>
          </w:divBdr>
        </w:div>
        <w:div w:id="41449301">
          <w:marLeft w:val="0"/>
          <w:marRight w:val="0"/>
          <w:marTop w:val="0"/>
          <w:marBottom w:val="240"/>
          <w:divBdr>
            <w:top w:val="none" w:sz="0" w:space="0" w:color="auto"/>
            <w:left w:val="none" w:sz="0" w:space="0" w:color="auto"/>
            <w:bottom w:val="none" w:sz="0" w:space="0" w:color="auto"/>
            <w:right w:val="none" w:sz="0" w:space="0" w:color="auto"/>
          </w:divBdr>
        </w:div>
        <w:div w:id="426391183">
          <w:marLeft w:val="0"/>
          <w:marRight w:val="0"/>
          <w:marTop w:val="0"/>
          <w:marBottom w:val="240"/>
          <w:divBdr>
            <w:top w:val="none" w:sz="0" w:space="0" w:color="auto"/>
            <w:left w:val="none" w:sz="0" w:space="0" w:color="auto"/>
            <w:bottom w:val="none" w:sz="0" w:space="0" w:color="auto"/>
            <w:right w:val="none" w:sz="0" w:space="0" w:color="auto"/>
          </w:divBdr>
        </w:div>
        <w:div w:id="609750378">
          <w:marLeft w:val="0"/>
          <w:marRight w:val="0"/>
          <w:marTop w:val="0"/>
          <w:marBottom w:val="240"/>
          <w:divBdr>
            <w:top w:val="none" w:sz="0" w:space="0" w:color="auto"/>
            <w:left w:val="none" w:sz="0" w:space="0" w:color="auto"/>
            <w:bottom w:val="none" w:sz="0" w:space="0" w:color="auto"/>
            <w:right w:val="none" w:sz="0" w:space="0" w:color="auto"/>
          </w:divBdr>
        </w:div>
        <w:div w:id="965084336">
          <w:marLeft w:val="0"/>
          <w:marRight w:val="0"/>
          <w:marTop w:val="0"/>
          <w:marBottom w:val="240"/>
          <w:divBdr>
            <w:top w:val="none" w:sz="0" w:space="0" w:color="auto"/>
            <w:left w:val="none" w:sz="0" w:space="0" w:color="auto"/>
            <w:bottom w:val="none" w:sz="0" w:space="0" w:color="auto"/>
            <w:right w:val="none" w:sz="0" w:space="0" w:color="auto"/>
          </w:divBdr>
        </w:div>
        <w:div w:id="1713770569">
          <w:marLeft w:val="0"/>
          <w:marRight w:val="0"/>
          <w:marTop w:val="0"/>
          <w:marBottom w:val="240"/>
          <w:divBdr>
            <w:top w:val="none" w:sz="0" w:space="0" w:color="auto"/>
            <w:left w:val="none" w:sz="0" w:space="0" w:color="auto"/>
            <w:bottom w:val="none" w:sz="0" w:space="0" w:color="auto"/>
            <w:right w:val="none" w:sz="0" w:space="0" w:color="auto"/>
          </w:divBdr>
        </w:div>
        <w:div w:id="1221863028">
          <w:marLeft w:val="0"/>
          <w:marRight w:val="0"/>
          <w:marTop w:val="0"/>
          <w:marBottom w:val="240"/>
          <w:divBdr>
            <w:top w:val="none" w:sz="0" w:space="0" w:color="auto"/>
            <w:left w:val="none" w:sz="0" w:space="0" w:color="auto"/>
            <w:bottom w:val="none" w:sz="0" w:space="0" w:color="auto"/>
            <w:right w:val="none" w:sz="0" w:space="0" w:color="auto"/>
          </w:divBdr>
        </w:div>
        <w:div w:id="1066028426">
          <w:marLeft w:val="0"/>
          <w:marRight w:val="0"/>
          <w:marTop w:val="0"/>
          <w:marBottom w:val="240"/>
          <w:divBdr>
            <w:top w:val="none" w:sz="0" w:space="0" w:color="auto"/>
            <w:left w:val="none" w:sz="0" w:space="0" w:color="auto"/>
            <w:bottom w:val="none" w:sz="0" w:space="0" w:color="auto"/>
            <w:right w:val="none" w:sz="0" w:space="0" w:color="auto"/>
          </w:divBdr>
        </w:div>
        <w:div w:id="873037244">
          <w:marLeft w:val="0"/>
          <w:marRight w:val="0"/>
          <w:marTop w:val="0"/>
          <w:marBottom w:val="240"/>
          <w:divBdr>
            <w:top w:val="none" w:sz="0" w:space="0" w:color="auto"/>
            <w:left w:val="none" w:sz="0" w:space="0" w:color="auto"/>
            <w:bottom w:val="none" w:sz="0" w:space="0" w:color="auto"/>
            <w:right w:val="none" w:sz="0" w:space="0" w:color="auto"/>
          </w:divBdr>
        </w:div>
        <w:div w:id="881669870">
          <w:marLeft w:val="0"/>
          <w:marRight w:val="0"/>
          <w:marTop w:val="0"/>
          <w:marBottom w:val="240"/>
          <w:divBdr>
            <w:top w:val="none" w:sz="0" w:space="0" w:color="auto"/>
            <w:left w:val="none" w:sz="0" w:space="0" w:color="auto"/>
            <w:bottom w:val="none" w:sz="0" w:space="0" w:color="auto"/>
            <w:right w:val="none" w:sz="0" w:space="0" w:color="auto"/>
          </w:divBdr>
        </w:div>
        <w:div w:id="1539204066">
          <w:marLeft w:val="0"/>
          <w:marRight w:val="0"/>
          <w:marTop w:val="0"/>
          <w:marBottom w:val="240"/>
          <w:divBdr>
            <w:top w:val="none" w:sz="0" w:space="0" w:color="auto"/>
            <w:left w:val="none" w:sz="0" w:space="0" w:color="auto"/>
            <w:bottom w:val="none" w:sz="0" w:space="0" w:color="auto"/>
            <w:right w:val="none" w:sz="0" w:space="0" w:color="auto"/>
          </w:divBdr>
        </w:div>
        <w:div w:id="1770078703">
          <w:marLeft w:val="0"/>
          <w:marRight w:val="0"/>
          <w:marTop w:val="0"/>
          <w:marBottom w:val="240"/>
          <w:divBdr>
            <w:top w:val="none" w:sz="0" w:space="0" w:color="auto"/>
            <w:left w:val="none" w:sz="0" w:space="0" w:color="auto"/>
            <w:bottom w:val="none" w:sz="0" w:space="0" w:color="auto"/>
            <w:right w:val="none" w:sz="0" w:space="0" w:color="auto"/>
          </w:divBdr>
        </w:div>
        <w:div w:id="217397974">
          <w:marLeft w:val="0"/>
          <w:marRight w:val="0"/>
          <w:marTop w:val="0"/>
          <w:marBottom w:val="240"/>
          <w:divBdr>
            <w:top w:val="none" w:sz="0" w:space="0" w:color="auto"/>
            <w:left w:val="none" w:sz="0" w:space="0" w:color="auto"/>
            <w:bottom w:val="none" w:sz="0" w:space="0" w:color="auto"/>
            <w:right w:val="none" w:sz="0" w:space="0" w:color="auto"/>
          </w:divBdr>
        </w:div>
        <w:div w:id="1051999579">
          <w:marLeft w:val="0"/>
          <w:marRight w:val="0"/>
          <w:marTop w:val="0"/>
          <w:marBottom w:val="240"/>
          <w:divBdr>
            <w:top w:val="none" w:sz="0" w:space="0" w:color="auto"/>
            <w:left w:val="none" w:sz="0" w:space="0" w:color="auto"/>
            <w:bottom w:val="none" w:sz="0" w:space="0" w:color="auto"/>
            <w:right w:val="none" w:sz="0" w:space="0" w:color="auto"/>
          </w:divBdr>
        </w:div>
        <w:div w:id="1803839271">
          <w:marLeft w:val="0"/>
          <w:marRight w:val="0"/>
          <w:marTop w:val="0"/>
          <w:marBottom w:val="240"/>
          <w:divBdr>
            <w:top w:val="none" w:sz="0" w:space="0" w:color="auto"/>
            <w:left w:val="none" w:sz="0" w:space="0" w:color="auto"/>
            <w:bottom w:val="none" w:sz="0" w:space="0" w:color="auto"/>
            <w:right w:val="none" w:sz="0" w:space="0" w:color="auto"/>
          </w:divBdr>
        </w:div>
        <w:div w:id="1673219500">
          <w:marLeft w:val="0"/>
          <w:marRight w:val="0"/>
          <w:marTop w:val="0"/>
          <w:marBottom w:val="240"/>
          <w:divBdr>
            <w:top w:val="none" w:sz="0" w:space="0" w:color="auto"/>
            <w:left w:val="none" w:sz="0" w:space="0" w:color="auto"/>
            <w:bottom w:val="none" w:sz="0" w:space="0" w:color="auto"/>
            <w:right w:val="none" w:sz="0" w:space="0" w:color="auto"/>
          </w:divBdr>
        </w:div>
        <w:div w:id="1884436593">
          <w:marLeft w:val="0"/>
          <w:marRight w:val="0"/>
          <w:marTop w:val="0"/>
          <w:marBottom w:val="240"/>
          <w:divBdr>
            <w:top w:val="none" w:sz="0" w:space="0" w:color="auto"/>
            <w:left w:val="none" w:sz="0" w:space="0" w:color="auto"/>
            <w:bottom w:val="none" w:sz="0" w:space="0" w:color="auto"/>
            <w:right w:val="none" w:sz="0" w:space="0" w:color="auto"/>
          </w:divBdr>
        </w:div>
        <w:div w:id="1411082759">
          <w:marLeft w:val="0"/>
          <w:marRight w:val="0"/>
          <w:marTop w:val="0"/>
          <w:marBottom w:val="240"/>
          <w:divBdr>
            <w:top w:val="none" w:sz="0" w:space="0" w:color="auto"/>
            <w:left w:val="none" w:sz="0" w:space="0" w:color="auto"/>
            <w:bottom w:val="none" w:sz="0" w:space="0" w:color="auto"/>
            <w:right w:val="none" w:sz="0" w:space="0" w:color="auto"/>
          </w:divBdr>
        </w:div>
        <w:div w:id="705569313">
          <w:marLeft w:val="0"/>
          <w:marRight w:val="0"/>
          <w:marTop w:val="0"/>
          <w:marBottom w:val="240"/>
          <w:divBdr>
            <w:top w:val="none" w:sz="0" w:space="0" w:color="auto"/>
            <w:left w:val="none" w:sz="0" w:space="0" w:color="auto"/>
            <w:bottom w:val="none" w:sz="0" w:space="0" w:color="auto"/>
            <w:right w:val="none" w:sz="0" w:space="0" w:color="auto"/>
          </w:divBdr>
        </w:div>
        <w:div w:id="1546021743">
          <w:marLeft w:val="0"/>
          <w:marRight w:val="0"/>
          <w:marTop w:val="0"/>
          <w:marBottom w:val="240"/>
          <w:divBdr>
            <w:top w:val="none" w:sz="0" w:space="0" w:color="auto"/>
            <w:left w:val="none" w:sz="0" w:space="0" w:color="auto"/>
            <w:bottom w:val="none" w:sz="0" w:space="0" w:color="auto"/>
            <w:right w:val="none" w:sz="0" w:space="0" w:color="auto"/>
          </w:divBdr>
        </w:div>
        <w:div w:id="419567541">
          <w:marLeft w:val="0"/>
          <w:marRight w:val="0"/>
          <w:marTop w:val="0"/>
          <w:marBottom w:val="240"/>
          <w:divBdr>
            <w:top w:val="none" w:sz="0" w:space="0" w:color="auto"/>
            <w:left w:val="none" w:sz="0" w:space="0" w:color="auto"/>
            <w:bottom w:val="none" w:sz="0" w:space="0" w:color="auto"/>
            <w:right w:val="none" w:sz="0" w:space="0" w:color="auto"/>
          </w:divBdr>
        </w:div>
        <w:div w:id="18045911">
          <w:marLeft w:val="0"/>
          <w:marRight w:val="0"/>
          <w:marTop w:val="0"/>
          <w:marBottom w:val="240"/>
          <w:divBdr>
            <w:top w:val="none" w:sz="0" w:space="0" w:color="auto"/>
            <w:left w:val="none" w:sz="0" w:space="0" w:color="auto"/>
            <w:bottom w:val="none" w:sz="0" w:space="0" w:color="auto"/>
            <w:right w:val="none" w:sz="0" w:space="0" w:color="auto"/>
          </w:divBdr>
        </w:div>
        <w:div w:id="1875340415">
          <w:marLeft w:val="0"/>
          <w:marRight w:val="0"/>
          <w:marTop w:val="0"/>
          <w:marBottom w:val="240"/>
          <w:divBdr>
            <w:top w:val="none" w:sz="0" w:space="0" w:color="auto"/>
            <w:left w:val="none" w:sz="0" w:space="0" w:color="auto"/>
            <w:bottom w:val="none" w:sz="0" w:space="0" w:color="auto"/>
            <w:right w:val="none" w:sz="0" w:space="0" w:color="auto"/>
          </w:divBdr>
        </w:div>
        <w:div w:id="1758135239">
          <w:marLeft w:val="0"/>
          <w:marRight w:val="0"/>
          <w:marTop w:val="0"/>
          <w:marBottom w:val="240"/>
          <w:divBdr>
            <w:top w:val="none" w:sz="0" w:space="0" w:color="auto"/>
            <w:left w:val="none" w:sz="0" w:space="0" w:color="auto"/>
            <w:bottom w:val="none" w:sz="0" w:space="0" w:color="auto"/>
            <w:right w:val="none" w:sz="0" w:space="0" w:color="auto"/>
          </w:divBdr>
        </w:div>
        <w:div w:id="77407856">
          <w:marLeft w:val="0"/>
          <w:marRight w:val="0"/>
          <w:marTop w:val="0"/>
          <w:marBottom w:val="240"/>
          <w:divBdr>
            <w:top w:val="none" w:sz="0" w:space="0" w:color="auto"/>
            <w:left w:val="none" w:sz="0" w:space="0" w:color="auto"/>
            <w:bottom w:val="none" w:sz="0" w:space="0" w:color="auto"/>
            <w:right w:val="none" w:sz="0" w:space="0" w:color="auto"/>
          </w:divBdr>
        </w:div>
        <w:div w:id="775563431">
          <w:marLeft w:val="0"/>
          <w:marRight w:val="0"/>
          <w:marTop w:val="0"/>
          <w:marBottom w:val="240"/>
          <w:divBdr>
            <w:top w:val="none" w:sz="0" w:space="0" w:color="auto"/>
            <w:left w:val="none" w:sz="0" w:space="0" w:color="auto"/>
            <w:bottom w:val="none" w:sz="0" w:space="0" w:color="auto"/>
            <w:right w:val="none" w:sz="0" w:space="0" w:color="auto"/>
          </w:divBdr>
        </w:div>
        <w:div w:id="329331061">
          <w:marLeft w:val="0"/>
          <w:marRight w:val="0"/>
          <w:marTop w:val="0"/>
          <w:marBottom w:val="240"/>
          <w:divBdr>
            <w:top w:val="none" w:sz="0" w:space="0" w:color="auto"/>
            <w:left w:val="none" w:sz="0" w:space="0" w:color="auto"/>
            <w:bottom w:val="none" w:sz="0" w:space="0" w:color="auto"/>
            <w:right w:val="none" w:sz="0" w:space="0" w:color="auto"/>
          </w:divBdr>
        </w:div>
        <w:div w:id="1933470840">
          <w:marLeft w:val="0"/>
          <w:marRight w:val="0"/>
          <w:marTop w:val="0"/>
          <w:marBottom w:val="240"/>
          <w:divBdr>
            <w:top w:val="none" w:sz="0" w:space="0" w:color="auto"/>
            <w:left w:val="none" w:sz="0" w:space="0" w:color="auto"/>
            <w:bottom w:val="none" w:sz="0" w:space="0" w:color="auto"/>
            <w:right w:val="none" w:sz="0" w:space="0" w:color="auto"/>
          </w:divBdr>
        </w:div>
        <w:div w:id="1790926811">
          <w:marLeft w:val="0"/>
          <w:marRight w:val="0"/>
          <w:marTop w:val="0"/>
          <w:marBottom w:val="240"/>
          <w:divBdr>
            <w:top w:val="none" w:sz="0" w:space="0" w:color="auto"/>
            <w:left w:val="none" w:sz="0" w:space="0" w:color="auto"/>
            <w:bottom w:val="none" w:sz="0" w:space="0" w:color="auto"/>
            <w:right w:val="none" w:sz="0" w:space="0" w:color="auto"/>
          </w:divBdr>
        </w:div>
        <w:div w:id="129517910">
          <w:marLeft w:val="0"/>
          <w:marRight w:val="0"/>
          <w:marTop w:val="0"/>
          <w:marBottom w:val="240"/>
          <w:divBdr>
            <w:top w:val="none" w:sz="0" w:space="0" w:color="auto"/>
            <w:left w:val="none" w:sz="0" w:space="0" w:color="auto"/>
            <w:bottom w:val="none" w:sz="0" w:space="0" w:color="auto"/>
            <w:right w:val="none" w:sz="0" w:space="0" w:color="auto"/>
          </w:divBdr>
        </w:div>
        <w:div w:id="155002370">
          <w:marLeft w:val="0"/>
          <w:marRight w:val="0"/>
          <w:marTop w:val="0"/>
          <w:marBottom w:val="240"/>
          <w:divBdr>
            <w:top w:val="none" w:sz="0" w:space="0" w:color="auto"/>
            <w:left w:val="none" w:sz="0" w:space="0" w:color="auto"/>
            <w:bottom w:val="none" w:sz="0" w:space="0" w:color="auto"/>
            <w:right w:val="none" w:sz="0" w:space="0" w:color="auto"/>
          </w:divBdr>
        </w:div>
        <w:div w:id="903762550">
          <w:marLeft w:val="0"/>
          <w:marRight w:val="0"/>
          <w:marTop w:val="0"/>
          <w:marBottom w:val="240"/>
          <w:divBdr>
            <w:top w:val="none" w:sz="0" w:space="0" w:color="auto"/>
            <w:left w:val="none" w:sz="0" w:space="0" w:color="auto"/>
            <w:bottom w:val="none" w:sz="0" w:space="0" w:color="auto"/>
            <w:right w:val="none" w:sz="0" w:space="0" w:color="auto"/>
          </w:divBdr>
        </w:div>
        <w:div w:id="527984783">
          <w:marLeft w:val="0"/>
          <w:marRight w:val="0"/>
          <w:marTop w:val="0"/>
          <w:marBottom w:val="240"/>
          <w:divBdr>
            <w:top w:val="none" w:sz="0" w:space="0" w:color="auto"/>
            <w:left w:val="none" w:sz="0" w:space="0" w:color="auto"/>
            <w:bottom w:val="none" w:sz="0" w:space="0" w:color="auto"/>
            <w:right w:val="none" w:sz="0" w:space="0" w:color="auto"/>
          </w:divBdr>
        </w:div>
        <w:div w:id="1711997319">
          <w:marLeft w:val="0"/>
          <w:marRight w:val="0"/>
          <w:marTop w:val="0"/>
          <w:marBottom w:val="240"/>
          <w:divBdr>
            <w:top w:val="none" w:sz="0" w:space="0" w:color="auto"/>
            <w:left w:val="none" w:sz="0" w:space="0" w:color="auto"/>
            <w:bottom w:val="none" w:sz="0" w:space="0" w:color="auto"/>
            <w:right w:val="none" w:sz="0" w:space="0" w:color="auto"/>
          </w:divBdr>
        </w:div>
        <w:div w:id="554702409">
          <w:marLeft w:val="0"/>
          <w:marRight w:val="0"/>
          <w:marTop w:val="0"/>
          <w:marBottom w:val="240"/>
          <w:divBdr>
            <w:top w:val="none" w:sz="0" w:space="0" w:color="auto"/>
            <w:left w:val="none" w:sz="0" w:space="0" w:color="auto"/>
            <w:bottom w:val="none" w:sz="0" w:space="0" w:color="auto"/>
            <w:right w:val="none" w:sz="0" w:space="0" w:color="auto"/>
          </w:divBdr>
        </w:div>
        <w:div w:id="2039965870">
          <w:marLeft w:val="0"/>
          <w:marRight w:val="0"/>
          <w:marTop w:val="0"/>
          <w:marBottom w:val="240"/>
          <w:divBdr>
            <w:top w:val="none" w:sz="0" w:space="0" w:color="auto"/>
            <w:left w:val="none" w:sz="0" w:space="0" w:color="auto"/>
            <w:bottom w:val="none" w:sz="0" w:space="0" w:color="auto"/>
            <w:right w:val="none" w:sz="0" w:space="0" w:color="auto"/>
          </w:divBdr>
        </w:div>
        <w:div w:id="2040621716">
          <w:marLeft w:val="0"/>
          <w:marRight w:val="0"/>
          <w:marTop w:val="0"/>
          <w:marBottom w:val="240"/>
          <w:divBdr>
            <w:top w:val="none" w:sz="0" w:space="0" w:color="auto"/>
            <w:left w:val="none" w:sz="0" w:space="0" w:color="auto"/>
            <w:bottom w:val="none" w:sz="0" w:space="0" w:color="auto"/>
            <w:right w:val="none" w:sz="0" w:space="0" w:color="auto"/>
          </w:divBdr>
        </w:div>
        <w:div w:id="1701516865">
          <w:marLeft w:val="0"/>
          <w:marRight w:val="0"/>
          <w:marTop w:val="0"/>
          <w:marBottom w:val="240"/>
          <w:divBdr>
            <w:top w:val="none" w:sz="0" w:space="0" w:color="auto"/>
            <w:left w:val="none" w:sz="0" w:space="0" w:color="auto"/>
            <w:bottom w:val="none" w:sz="0" w:space="0" w:color="auto"/>
            <w:right w:val="none" w:sz="0" w:space="0" w:color="auto"/>
          </w:divBdr>
        </w:div>
        <w:div w:id="1225792523">
          <w:marLeft w:val="0"/>
          <w:marRight w:val="0"/>
          <w:marTop w:val="0"/>
          <w:marBottom w:val="240"/>
          <w:divBdr>
            <w:top w:val="none" w:sz="0" w:space="0" w:color="auto"/>
            <w:left w:val="none" w:sz="0" w:space="0" w:color="auto"/>
            <w:bottom w:val="none" w:sz="0" w:space="0" w:color="auto"/>
            <w:right w:val="none" w:sz="0" w:space="0" w:color="auto"/>
          </w:divBdr>
        </w:div>
        <w:div w:id="1366561183">
          <w:marLeft w:val="0"/>
          <w:marRight w:val="0"/>
          <w:marTop w:val="0"/>
          <w:marBottom w:val="240"/>
          <w:divBdr>
            <w:top w:val="none" w:sz="0" w:space="0" w:color="auto"/>
            <w:left w:val="none" w:sz="0" w:space="0" w:color="auto"/>
            <w:bottom w:val="none" w:sz="0" w:space="0" w:color="auto"/>
            <w:right w:val="none" w:sz="0" w:space="0" w:color="auto"/>
          </w:divBdr>
        </w:div>
        <w:div w:id="318465595">
          <w:marLeft w:val="0"/>
          <w:marRight w:val="0"/>
          <w:marTop w:val="0"/>
          <w:marBottom w:val="240"/>
          <w:divBdr>
            <w:top w:val="none" w:sz="0" w:space="0" w:color="auto"/>
            <w:left w:val="none" w:sz="0" w:space="0" w:color="auto"/>
            <w:bottom w:val="none" w:sz="0" w:space="0" w:color="auto"/>
            <w:right w:val="none" w:sz="0" w:space="0" w:color="auto"/>
          </w:divBdr>
        </w:div>
        <w:div w:id="470640597">
          <w:marLeft w:val="0"/>
          <w:marRight w:val="0"/>
          <w:marTop w:val="0"/>
          <w:marBottom w:val="240"/>
          <w:divBdr>
            <w:top w:val="none" w:sz="0" w:space="0" w:color="auto"/>
            <w:left w:val="none" w:sz="0" w:space="0" w:color="auto"/>
            <w:bottom w:val="none" w:sz="0" w:space="0" w:color="auto"/>
            <w:right w:val="none" w:sz="0" w:space="0" w:color="auto"/>
          </w:divBdr>
        </w:div>
        <w:div w:id="2026325611">
          <w:marLeft w:val="0"/>
          <w:marRight w:val="0"/>
          <w:marTop w:val="0"/>
          <w:marBottom w:val="240"/>
          <w:divBdr>
            <w:top w:val="none" w:sz="0" w:space="0" w:color="auto"/>
            <w:left w:val="none" w:sz="0" w:space="0" w:color="auto"/>
            <w:bottom w:val="none" w:sz="0" w:space="0" w:color="auto"/>
            <w:right w:val="none" w:sz="0" w:space="0" w:color="auto"/>
          </w:divBdr>
        </w:div>
        <w:div w:id="196359785">
          <w:marLeft w:val="0"/>
          <w:marRight w:val="0"/>
          <w:marTop w:val="0"/>
          <w:marBottom w:val="240"/>
          <w:divBdr>
            <w:top w:val="none" w:sz="0" w:space="0" w:color="auto"/>
            <w:left w:val="none" w:sz="0" w:space="0" w:color="auto"/>
            <w:bottom w:val="none" w:sz="0" w:space="0" w:color="auto"/>
            <w:right w:val="none" w:sz="0" w:space="0" w:color="auto"/>
          </w:divBdr>
        </w:div>
        <w:div w:id="27335466">
          <w:marLeft w:val="0"/>
          <w:marRight w:val="0"/>
          <w:marTop w:val="0"/>
          <w:marBottom w:val="240"/>
          <w:divBdr>
            <w:top w:val="none" w:sz="0" w:space="0" w:color="auto"/>
            <w:left w:val="none" w:sz="0" w:space="0" w:color="auto"/>
            <w:bottom w:val="none" w:sz="0" w:space="0" w:color="auto"/>
            <w:right w:val="none" w:sz="0" w:space="0" w:color="auto"/>
          </w:divBdr>
        </w:div>
        <w:div w:id="831065620">
          <w:marLeft w:val="0"/>
          <w:marRight w:val="0"/>
          <w:marTop w:val="0"/>
          <w:marBottom w:val="240"/>
          <w:divBdr>
            <w:top w:val="none" w:sz="0" w:space="0" w:color="auto"/>
            <w:left w:val="none" w:sz="0" w:space="0" w:color="auto"/>
            <w:bottom w:val="none" w:sz="0" w:space="0" w:color="auto"/>
            <w:right w:val="none" w:sz="0" w:space="0" w:color="auto"/>
          </w:divBdr>
        </w:div>
        <w:div w:id="558323056">
          <w:marLeft w:val="0"/>
          <w:marRight w:val="0"/>
          <w:marTop w:val="0"/>
          <w:marBottom w:val="240"/>
          <w:divBdr>
            <w:top w:val="none" w:sz="0" w:space="0" w:color="auto"/>
            <w:left w:val="none" w:sz="0" w:space="0" w:color="auto"/>
            <w:bottom w:val="none" w:sz="0" w:space="0" w:color="auto"/>
            <w:right w:val="none" w:sz="0" w:space="0" w:color="auto"/>
          </w:divBdr>
        </w:div>
        <w:div w:id="1382173914">
          <w:marLeft w:val="0"/>
          <w:marRight w:val="0"/>
          <w:marTop w:val="0"/>
          <w:marBottom w:val="240"/>
          <w:divBdr>
            <w:top w:val="none" w:sz="0" w:space="0" w:color="auto"/>
            <w:left w:val="none" w:sz="0" w:space="0" w:color="auto"/>
            <w:bottom w:val="none" w:sz="0" w:space="0" w:color="auto"/>
            <w:right w:val="none" w:sz="0" w:space="0" w:color="auto"/>
          </w:divBdr>
        </w:div>
        <w:div w:id="1806193653">
          <w:marLeft w:val="0"/>
          <w:marRight w:val="0"/>
          <w:marTop w:val="0"/>
          <w:marBottom w:val="240"/>
          <w:divBdr>
            <w:top w:val="none" w:sz="0" w:space="0" w:color="auto"/>
            <w:left w:val="none" w:sz="0" w:space="0" w:color="auto"/>
            <w:bottom w:val="none" w:sz="0" w:space="0" w:color="auto"/>
            <w:right w:val="none" w:sz="0" w:space="0" w:color="auto"/>
          </w:divBdr>
        </w:div>
        <w:div w:id="1819302920">
          <w:marLeft w:val="0"/>
          <w:marRight w:val="0"/>
          <w:marTop w:val="0"/>
          <w:marBottom w:val="240"/>
          <w:divBdr>
            <w:top w:val="none" w:sz="0" w:space="0" w:color="auto"/>
            <w:left w:val="none" w:sz="0" w:space="0" w:color="auto"/>
            <w:bottom w:val="none" w:sz="0" w:space="0" w:color="auto"/>
            <w:right w:val="none" w:sz="0" w:space="0" w:color="auto"/>
          </w:divBdr>
        </w:div>
        <w:div w:id="1207259555">
          <w:marLeft w:val="0"/>
          <w:marRight w:val="0"/>
          <w:marTop w:val="0"/>
          <w:marBottom w:val="240"/>
          <w:divBdr>
            <w:top w:val="none" w:sz="0" w:space="0" w:color="auto"/>
            <w:left w:val="none" w:sz="0" w:space="0" w:color="auto"/>
            <w:bottom w:val="none" w:sz="0" w:space="0" w:color="auto"/>
            <w:right w:val="none" w:sz="0" w:space="0" w:color="auto"/>
          </w:divBdr>
        </w:div>
        <w:div w:id="83576">
          <w:marLeft w:val="0"/>
          <w:marRight w:val="0"/>
          <w:marTop w:val="0"/>
          <w:marBottom w:val="240"/>
          <w:divBdr>
            <w:top w:val="none" w:sz="0" w:space="0" w:color="auto"/>
            <w:left w:val="none" w:sz="0" w:space="0" w:color="auto"/>
            <w:bottom w:val="none" w:sz="0" w:space="0" w:color="auto"/>
            <w:right w:val="none" w:sz="0" w:space="0" w:color="auto"/>
          </w:divBdr>
        </w:div>
        <w:div w:id="318776507">
          <w:marLeft w:val="0"/>
          <w:marRight w:val="0"/>
          <w:marTop w:val="0"/>
          <w:marBottom w:val="240"/>
          <w:divBdr>
            <w:top w:val="none" w:sz="0" w:space="0" w:color="auto"/>
            <w:left w:val="none" w:sz="0" w:space="0" w:color="auto"/>
            <w:bottom w:val="none" w:sz="0" w:space="0" w:color="auto"/>
            <w:right w:val="none" w:sz="0" w:space="0" w:color="auto"/>
          </w:divBdr>
        </w:div>
        <w:div w:id="614754181">
          <w:marLeft w:val="0"/>
          <w:marRight w:val="0"/>
          <w:marTop w:val="0"/>
          <w:marBottom w:val="240"/>
          <w:divBdr>
            <w:top w:val="none" w:sz="0" w:space="0" w:color="auto"/>
            <w:left w:val="none" w:sz="0" w:space="0" w:color="auto"/>
            <w:bottom w:val="none" w:sz="0" w:space="0" w:color="auto"/>
            <w:right w:val="none" w:sz="0" w:space="0" w:color="auto"/>
          </w:divBdr>
        </w:div>
        <w:div w:id="2043943623">
          <w:marLeft w:val="0"/>
          <w:marRight w:val="0"/>
          <w:marTop w:val="0"/>
          <w:marBottom w:val="240"/>
          <w:divBdr>
            <w:top w:val="none" w:sz="0" w:space="0" w:color="auto"/>
            <w:left w:val="none" w:sz="0" w:space="0" w:color="auto"/>
            <w:bottom w:val="none" w:sz="0" w:space="0" w:color="auto"/>
            <w:right w:val="none" w:sz="0" w:space="0" w:color="auto"/>
          </w:divBdr>
        </w:div>
        <w:div w:id="1541669178">
          <w:marLeft w:val="0"/>
          <w:marRight w:val="0"/>
          <w:marTop w:val="0"/>
          <w:marBottom w:val="240"/>
          <w:divBdr>
            <w:top w:val="none" w:sz="0" w:space="0" w:color="auto"/>
            <w:left w:val="none" w:sz="0" w:space="0" w:color="auto"/>
            <w:bottom w:val="none" w:sz="0" w:space="0" w:color="auto"/>
            <w:right w:val="none" w:sz="0" w:space="0" w:color="auto"/>
          </w:divBdr>
        </w:div>
        <w:div w:id="302127659">
          <w:marLeft w:val="0"/>
          <w:marRight w:val="0"/>
          <w:marTop w:val="0"/>
          <w:marBottom w:val="240"/>
          <w:divBdr>
            <w:top w:val="none" w:sz="0" w:space="0" w:color="auto"/>
            <w:left w:val="none" w:sz="0" w:space="0" w:color="auto"/>
            <w:bottom w:val="none" w:sz="0" w:space="0" w:color="auto"/>
            <w:right w:val="none" w:sz="0" w:space="0" w:color="auto"/>
          </w:divBdr>
        </w:div>
        <w:div w:id="1648900468">
          <w:marLeft w:val="0"/>
          <w:marRight w:val="0"/>
          <w:marTop w:val="0"/>
          <w:marBottom w:val="240"/>
          <w:divBdr>
            <w:top w:val="none" w:sz="0" w:space="0" w:color="auto"/>
            <w:left w:val="none" w:sz="0" w:space="0" w:color="auto"/>
            <w:bottom w:val="none" w:sz="0" w:space="0" w:color="auto"/>
            <w:right w:val="none" w:sz="0" w:space="0" w:color="auto"/>
          </w:divBdr>
        </w:div>
        <w:div w:id="1060055969">
          <w:marLeft w:val="0"/>
          <w:marRight w:val="0"/>
          <w:marTop w:val="0"/>
          <w:marBottom w:val="240"/>
          <w:divBdr>
            <w:top w:val="none" w:sz="0" w:space="0" w:color="auto"/>
            <w:left w:val="none" w:sz="0" w:space="0" w:color="auto"/>
            <w:bottom w:val="none" w:sz="0" w:space="0" w:color="auto"/>
            <w:right w:val="none" w:sz="0" w:space="0" w:color="auto"/>
          </w:divBdr>
        </w:div>
        <w:div w:id="1535078318">
          <w:marLeft w:val="0"/>
          <w:marRight w:val="0"/>
          <w:marTop w:val="0"/>
          <w:marBottom w:val="240"/>
          <w:divBdr>
            <w:top w:val="none" w:sz="0" w:space="0" w:color="auto"/>
            <w:left w:val="none" w:sz="0" w:space="0" w:color="auto"/>
            <w:bottom w:val="none" w:sz="0" w:space="0" w:color="auto"/>
            <w:right w:val="none" w:sz="0" w:space="0" w:color="auto"/>
          </w:divBdr>
        </w:div>
        <w:div w:id="247932249">
          <w:marLeft w:val="0"/>
          <w:marRight w:val="0"/>
          <w:marTop w:val="0"/>
          <w:marBottom w:val="240"/>
          <w:divBdr>
            <w:top w:val="none" w:sz="0" w:space="0" w:color="auto"/>
            <w:left w:val="none" w:sz="0" w:space="0" w:color="auto"/>
            <w:bottom w:val="none" w:sz="0" w:space="0" w:color="auto"/>
            <w:right w:val="none" w:sz="0" w:space="0" w:color="auto"/>
          </w:divBdr>
        </w:div>
        <w:div w:id="1820922688">
          <w:marLeft w:val="0"/>
          <w:marRight w:val="0"/>
          <w:marTop w:val="0"/>
          <w:marBottom w:val="240"/>
          <w:divBdr>
            <w:top w:val="none" w:sz="0" w:space="0" w:color="auto"/>
            <w:left w:val="none" w:sz="0" w:space="0" w:color="auto"/>
            <w:bottom w:val="none" w:sz="0" w:space="0" w:color="auto"/>
            <w:right w:val="none" w:sz="0" w:space="0" w:color="auto"/>
          </w:divBdr>
        </w:div>
        <w:div w:id="435490395">
          <w:marLeft w:val="0"/>
          <w:marRight w:val="0"/>
          <w:marTop w:val="0"/>
          <w:marBottom w:val="240"/>
          <w:divBdr>
            <w:top w:val="none" w:sz="0" w:space="0" w:color="auto"/>
            <w:left w:val="none" w:sz="0" w:space="0" w:color="auto"/>
            <w:bottom w:val="none" w:sz="0" w:space="0" w:color="auto"/>
            <w:right w:val="none" w:sz="0" w:space="0" w:color="auto"/>
          </w:divBdr>
        </w:div>
        <w:div w:id="849638804">
          <w:marLeft w:val="0"/>
          <w:marRight w:val="0"/>
          <w:marTop w:val="0"/>
          <w:marBottom w:val="240"/>
          <w:divBdr>
            <w:top w:val="none" w:sz="0" w:space="0" w:color="auto"/>
            <w:left w:val="none" w:sz="0" w:space="0" w:color="auto"/>
            <w:bottom w:val="none" w:sz="0" w:space="0" w:color="auto"/>
            <w:right w:val="none" w:sz="0" w:space="0" w:color="auto"/>
          </w:divBdr>
        </w:div>
        <w:div w:id="1649161927">
          <w:marLeft w:val="0"/>
          <w:marRight w:val="0"/>
          <w:marTop w:val="0"/>
          <w:marBottom w:val="240"/>
          <w:divBdr>
            <w:top w:val="none" w:sz="0" w:space="0" w:color="auto"/>
            <w:left w:val="none" w:sz="0" w:space="0" w:color="auto"/>
            <w:bottom w:val="none" w:sz="0" w:space="0" w:color="auto"/>
            <w:right w:val="none" w:sz="0" w:space="0" w:color="auto"/>
          </w:divBdr>
        </w:div>
        <w:div w:id="316082027">
          <w:marLeft w:val="0"/>
          <w:marRight w:val="0"/>
          <w:marTop w:val="0"/>
          <w:marBottom w:val="240"/>
          <w:divBdr>
            <w:top w:val="none" w:sz="0" w:space="0" w:color="auto"/>
            <w:left w:val="none" w:sz="0" w:space="0" w:color="auto"/>
            <w:bottom w:val="none" w:sz="0" w:space="0" w:color="auto"/>
            <w:right w:val="none" w:sz="0" w:space="0" w:color="auto"/>
          </w:divBdr>
        </w:div>
        <w:div w:id="402030005">
          <w:marLeft w:val="0"/>
          <w:marRight w:val="0"/>
          <w:marTop w:val="0"/>
          <w:marBottom w:val="240"/>
          <w:divBdr>
            <w:top w:val="none" w:sz="0" w:space="0" w:color="auto"/>
            <w:left w:val="none" w:sz="0" w:space="0" w:color="auto"/>
            <w:bottom w:val="none" w:sz="0" w:space="0" w:color="auto"/>
            <w:right w:val="none" w:sz="0" w:space="0" w:color="auto"/>
          </w:divBdr>
        </w:div>
        <w:div w:id="1074090798">
          <w:marLeft w:val="0"/>
          <w:marRight w:val="0"/>
          <w:marTop w:val="0"/>
          <w:marBottom w:val="240"/>
          <w:divBdr>
            <w:top w:val="none" w:sz="0" w:space="0" w:color="auto"/>
            <w:left w:val="none" w:sz="0" w:space="0" w:color="auto"/>
            <w:bottom w:val="none" w:sz="0" w:space="0" w:color="auto"/>
            <w:right w:val="none" w:sz="0" w:space="0" w:color="auto"/>
          </w:divBdr>
        </w:div>
        <w:div w:id="1030034101">
          <w:marLeft w:val="0"/>
          <w:marRight w:val="0"/>
          <w:marTop w:val="0"/>
          <w:marBottom w:val="240"/>
          <w:divBdr>
            <w:top w:val="none" w:sz="0" w:space="0" w:color="auto"/>
            <w:left w:val="none" w:sz="0" w:space="0" w:color="auto"/>
            <w:bottom w:val="none" w:sz="0" w:space="0" w:color="auto"/>
            <w:right w:val="none" w:sz="0" w:space="0" w:color="auto"/>
          </w:divBdr>
        </w:div>
        <w:div w:id="731541828">
          <w:marLeft w:val="0"/>
          <w:marRight w:val="0"/>
          <w:marTop w:val="0"/>
          <w:marBottom w:val="240"/>
          <w:divBdr>
            <w:top w:val="none" w:sz="0" w:space="0" w:color="auto"/>
            <w:left w:val="none" w:sz="0" w:space="0" w:color="auto"/>
            <w:bottom w:val="none" w:sz="0" w:space="0" w:color="auto"/>
            <w:right w:val="none" w:sz="0" w:space="0" w:color="auto"/>
          </w:divBdr>
        </w:div>
        <w:div w:id="1503667735">
          <w:marLeft w:val="0"/>
          <w:marRight w:val="0"/>
          <w:marTop w:val="0"/>
          <w:marBottom w:val="240"/>
          <w:divBdr>
            <w:top w:val="none" w:sz="0" w:space="0" w:color="auto"/>
            <w:left w:val="none" w:sz="0" w:space="0" w:color="auto"/>
            <w:bottom w:val="none" w:sz="0" w:space="0" w:color="auto"/>
            <w:right w:val="none" w:sz="0" w:space="0" w:color="auto"/>
          </w:divBdr>
        </w:div>
        <w:div w:id="1305625176">
          <w:marLeft w:val="0"/>
          <w:marRight w:val="0"/>
          <w:marTop w:val="0"/>
          <w:marBottom w:val="240"/>
          <w:divBdr>
            <w:top w:val="none" w:sz="0" w:space="0" w:color="auto"/>
            <w:left w:val="none" w:sz="0" w:space="0" w:color="auto"/>
            <w:bottom w:val="none" w:sz="0" w:space="0" w:color="auto"/>
            <w:right w:val="none" w:sz="0" w:space="0" w:color="auto"/>
          </w:divBdr>
        </w:div>
        <w:div w:id="1363750723">
          <w:marLeft w:val="0"/>
          <w:marRight w:val="0"/>
          <w:marTop w:val="0"/>
          <w:marBottom w:val="240"/>
          <w:divBdr>
            <w:top w:val="none" w:sz="0" w:space="0" w:color="auto"/>
            <w:left w:val="none" w:sz="0" w:space="0" w:color="auto"/>
            <w:bottom w:val="none" w:sz="0" w:space="0" w:color="auto"/>
            <w:right w:val="none" w:sz="0" w:space="0" w:color="auto"/>
          </w:divBdr>
        </w:div>
        <w:div w:id="561215896">
          <w:marLeft w:val="0"/>
          <w:marRight w:val="0"/>
          <w:marTop w:val="0"/>
          <w:marBottom w:val="240"/>
          <w:divBdr>
            <w:top w:val="none" w:sz="0" w:space="0" w:color="auto"/>
            <w:left w:val="none" w:sz="0" w:space="0" w:color="auto"/>
            <w:bottom w:val="none" w:sz="0" w:space="0" w:color="auto"/>
            <w:right w:val="none" w:sz="0" w:space="0" w:color="auto"/>
          </w:divBdr>
        </w:div>
        <w:div w:id="1663117008">
          <w:marLeft w:val="0"/>
          <w:marRight w:val="0"/>
          <w:marTop w:val="0"/>
          <w:marBottom w:val="240"/>
          <w:divBdr>
            <w:top w:val="none" w:sz="0" w:space="0" w:color="auto"/>
            <w:left w:val="none" w:sz="0" w:space="0" w:color="auto"/>
            <w:bottom w:val="none" w:sz="0" w:space="0" w:color="auto"/>
            <w:right w:val="none" w:sz="0" w:space="0" w:color="auto"/>
          </w:divBdr>
        </w:div>
        <w:div w:id="539901380">
          <w:marLeft w:val="0"/>
          <w:marRight w:val="0"/>
          <w:marTop w:val="0"/>
          <w:marBottom w:val="240"/>
          <w:divBdr>
            <w:top w:val="none" w:sz="0" w:space="0" w:color="auto"/>
            <w:left w:val="none" w:sz="0" w:space="0" w:color="auto"/>
            <w:bottom w:val="none" w:sz="0" w:space="0" w:color="auto"/>
            <w:right w:val="none" w:sz="0" w:space="0" w:color="auto"/>
          </w:divBdr>
        </w:div>
        <w:div w:id="408581495">
          <w:marLeft w:val="0"/>
          <w:marRight w:val="0"/>
          <w:marTop w:val="0"/>
          <w:marBottom w:val="240"/>
          <w:divBdr>
            <w:top w:val="none" w:sz="0" w:space="0" w:color="auto"/>
            <w:left w:val="none" w:sz="0" w:space="0" w:color="auto"/>
            <w:bottom w:val="none" w:sz="0" w:space="0" w:color="auto"/>
            <w:right w:val="none" w:sz="0" w:space="0" w:color="auto"/>
          </w:divBdr>
        </w:div>
        <w:div w:id="1928687345">
          <w:marLeft w:val="0"/>
          <w:marRight w:val="0"/>
          <w:marTop w:val="0"/>
          <w:marBottom w:val="240"/>
          <w:divBdr>
            <w:top w:val="none" w:sz="0" w:space="0" w:color="auto"/>
            <w:left w:val="none" w:sz="0" w:space="0" w:color="auto"/>
            <w:bottom w:val="none" w:sz="0" w:space="0" w:color="auto"/>
            <w:right w:val="none" w:sz="0" w:space="0" w:color="auto"/>
          </w:divBdr>
        </w:div>
        <w:div w:id="1101679927">
          <w:marLeft w:val="0"/>
          <w:marRight w:val="0"/>
          <w:marTop w:val="0"/>
          <w:marBottom w:val="240"/>
          <w:divBdr>
            <w:top w:val="none" w:sz="0" w:space="0" w:color="auto"/>
            <w:left w:val="none" w:sz="0" w:space="0" w:color="auto"/>
            <w:bottom w:val="none" w:sz="0" w:space="0" w:color="auto"/>
            <w:right w:val="none" w:sz="0" w:space="0" w:color="auto"/>
          </w:divBdr>
        </w:div>
        <w:div w:id="1712731000">
          <w:marLeft w:val="0"/>
          <w:marRight w:val="0"/>
          <w:marTop w:val="0"/>
          <w:marBottom w:val="240"/>
          <w:divBdr>
            <w:top w:val="none" w:sz="0" w:space="0" w:color="auto"/>
            <w:left w:val="none" w:sz="0" w:space="0" w:color="auto"/>
            <w:bottom w:val="none" w:sz="0" w:space="0" w:color="auto"/>
            <w:right w:val="none" w:sz="0" w:space="0" w:color="auto"/>
          </w:divBdr>
        </w:div>
        <w:div w:id="284578820">
          <w:marLeft w:val="0"/>
          <w:marRight w:val="0"/>
          <w:marTop w:val="0"/>
          <w:marBottom w:val="240"/>
          <w:divBdr>
            <w:top w:val="none" w:sz="0" w:space="0" w:color="auto"/>
            <w:left w:val="none" w:sz="0" w:space="0" w:color="auto"/>
            <w:bottom w:val="none" w:sz="0" w:space="0" w:color="auto"/>
            <w:right w:val="none" w:sz="0" w:space="0" w:color="auto"/>
          </w:divBdr>
        </w:div>
        <w:div w:id="1123571849">
          <w:marLeft w:val="0"/>
          <w:marRight w:val="0"/>
          <w:marTop w:val="0"/>
          <w:marBottom w:val="240"/>
          <w:divBdr>
            <w:top w:val="none" w:sz="0" w:space="0" w:color="auto"/>
            <w:left w:val="none" w:sz="0" w:space="0" w:color="auto"/>
            <w:bottom w:val="none" w:sz="0" w:space="0" w:color="auto"/>
            <w:right w:val="none" w:sz="0" w:space="0" w:color="auto"/>
          </w:divBdr>
        </w:div>
        <w:div w:id="549078495">
          <w:marLeft w:val="0"/>
          <w:marRight w:val="0"/>
          <w:marTop w:val="0"/>
          <w:marBottom w:val="240"/>
          <w:divBdr>
            <w:top w:val="none" w:sz="0" w:space="0" w:color="auto"/>
            <w:left w:val="none" w:sz="0" w:space="0" w:color="auto"/>
            <w:bottom w:val="none" w:sz="0" w:space="0" w:color="auto"/>
            <w:right w:val="none" w:sz="0" w:space="0" w:color="auto"/>
          </w:divBdr>
        </w:div>
        <w:div w:id="603876929">
          <w:marLeft w:val="0"/>
          <w:marRight w:val="0"/>
          <w:marTop w:val="0"/>
          <w:marBottom w:val="240"/>
          <w:divBdr>
            <w:top w:val="none" w:sz="0" w:space="0" w:color="auto"/>
            <w:left w:val="none" w:sz="0" w:space="0" w:color="auto"/>
            <w:bottom w:val="none" w:sz="0" w:space="0" w:color="auto"/>
            <w:right w:val="none" w:sz="0" w:space="0" w:color="auto"/>
          </w:divBdr>
        </w:div>
        <w:div w:id="1420522749">
          <w:marLeft w:val="0"/>
          <w:marRight w:val="0"/>
          <w:marTop w:val="0"/>
          <w:marBottom w:val="240"/>
          <w:divBdr>
            <w:top w:val="none" w:sz="0" w:space="0" w:color="auto"/>
            <w:left w:val="none" w:sz="0" w:space="0" w:color="auto"/>
            <w:bottom w:val="none" w:sz="0" w:space="0" w:color="auto"/>
            <w:right w:val="none" w:sz="0" w:space="0" w:color="auto"/>
          </w:divBdr>
        </w:div>
        <w:div w:id="823475224">
          <w:marLeft w:val="0"/>
          <w:marRight w:val="0"/>
          <w:marTop w:val="0"/>
          <w:marBottom w:val="240"/>
          <w:divBdr>
            <w:top w:val="none" w:sz="0" w:space="0" w:color="auto"/>
            <w:left w:val="none" w:sz="0" w:space="0" w:color="auto"/>
            <w:bottom w:val="none" w:sz="0" w:space="0" w:color="auto"/>
            <w:right w:val="none" w:sz="0" w:space="0" w:color="auto"/>
          </w:divBdr>
        </w:div>
        <w:div w:id="2018725923">
          <w:marLeft w:val="0"/>
          <w:marRight w:val="0"/>
          <w:marTop w:val="0"/>
          <w:marBottom w:val="240"/>
          <w:divBdr>
            <w:top w:val="none" w:sz="0" w:space="0" w:color="auto"/>
            <w:left w:val="none" w:sz="0" w:space="0" w:color="auto"/>
            <w:bottom w:val="none" w:sz="0" w:space="0" w:color="auto"/>
            <w:right w:val="none" w:sz="0" w:space="0" w:color="auto"/>
          </w:divBdr>
        </w:div>
        <w:div w:id="2072540636">
          <w:marLeft w:val="0"/>
          <w:marRight w:val="0"/>
          <w:marTop w:val="0"/>
          <w:marBottom w:val="240"/>
          <w:divBdr>
            <w:top w:val="none" w:sz="0" w:space="0" w:color="auto"/>
            <w:left w:val="none" w:sz="0" w:space="0" w:color="auto"/>
            <w:bottom w:val="none" w:sz="0" w:space="0" w:color="auto"/>
            <w:right w:val="none" w:sz="0" w:space="0" w:color="auto"/>
          </w:divBdr>
        </w:div>
        <w:div w:id="456530384">
          <w:marLeft w:val="0"/>
          <w:marRight w:val="0"/>
          <w:marTop w:val="0"/>
          <w:marBottom w:val="240"/>
          <w:divBdr>
            <w:top w:val="none" w:sz="0" w:space="0" w:color="auto"/>
            <w:left w:val="none" w:sz="0" w:space="0" w:color="auto"/>
            <w:bottom w:val="none" w:sz="0" w:space="0" w:color="auto"/>
            <w:right w:val="none" w:sz="0" w:space="0" w:color="auto"/>
          </w:divBdr>
        </w:div>
        <w:div w:id="1381006133">
          <w:marLeft w:val="0"/>
          <w:marRight w:val="0"/>
          <w:marTop w:val="0"/>
          <w:marBottom w:val="240"/>
          <w:divBdr>
            <w:top w:val="none" w:sz="0" w:space="0" w:color="auto"/>
            <w:left w:val="none" w:sz="0" w:space="0" w:color="auto"/>
            <w:bottom w:val="none" w:sz="0" w:space="0" w:color="auto"/>
            <w:right w:val="none" w:sz="0" w:space="0" w:color="auto"/>
          </w:divBdr>
        </w:div>
        <w:div w:id="1447774787">
          <w:marLeft w:val="0"/>
          <w:marRight w:val="0"/>
          <w:marTop w:val="0"/>
          <w:marBottom w:val="240"/>
          <w:divBdr>
            <w:top w:val="none" w:sz="0" w:space="0" w:color="auto"/>
            <w:left w:val="none" w:sz="0" w:space="0" w:color="auto"/>
            <w:bottom w:val="none" w:sz="0" w:space="0" w:color="auto"/>
            <w:right w:val="none" w:sz="0" w:space="0" w:color="auto"/>
          </w:divBdr>
        </w:div>
        <w:div w:id="2109425811">
          <w:marLeft w:val="0"/>
          <w:marRight w:val="0"/>
          <w:marTop w:val="0"/>
          <w:marBottom w:val="240"/>
          <w:divBdr>
            <w:top w:val="none" w:sz="0" w:space="0" w:color="auto"/>
            <w:left w:val="none" w:sz="0" w:space="0" w:color="auto"/>
            <w:bottom w:val="none" w:sz="0" w:space="0" w:color="auto"/>
            <w:right w:val="none" w:sz="0" w:space="0" w:color="auto"/>
          </w:divBdr>
        </w:div>
        <w:div w:id="1447499779">
          <w:marLeft w:val="0"/>
          <w:marRight w:val="0"/>
          <w:marTop w:val="0"/>
          <w:marBottom w:val="240"/>
          <w:divBdr>
            <w:top w:val="none" w:sz="0" w:space="0" w:color="auto"/>
            <w:left w:val="none" w:sz="0" w:space="0" w:color="auto"/>
            <w:bottom w:val="none" w:sz="0" w:space="0" w:color="auto"/>
            <w:right w:val="none" w:sz="0" w:space="0" w:color="auto"/>
          </w:divBdr>
        </w:div>
        <w:div w:id="888951893">
          <w:marLeft w:val="0"/>
          <w:marRight w:val="0"/>
          <w:marTop w:val="0"/>
          <w:marBottom w:val="240"/>
          <w:divBdr>
            <w:top w:val="none" w:sz="0" w:space="0" w:color="auto"/>
            <w:left w:val="none" w:sz="0" w:space="0" w:color="auto"/>
            <w:bottom w:val="none" w:sz="0" w:space="0" w:color="auto"/>
            <w:right w:val="none" w:sz="0" w:space="0" w:color="auto"/>
          </w:divBdr>
        </w:div>
        <w:div w:id="1469200947">
          <w:marLeft w:val="0"/>
          <w:marRight w:val="0"/>
          <w:marTop w:val="0"/>
          <w:marBottom w:val="240"/>
          <w:divBdr>
            <w:top w:val="none" w:sz="0" w:space="0" w:color="auto"/>
            <w:left w:val="none" w:sz="0" w:space="0" w:color="auto"/>
            <w:bottom w:val="none" w:sz="0" w:space="0" w:color="auto"/>
            <w:right w:val="none" w:sz="0" w:space="0" w:color="auto"/>
          </w:divBdr>
        </w:div>
        <w:div w:id="1043021171">
          <w:marLeft w:val="0"/>
          <w:marRight w:val="0"/>
          <w:marTop w:val="0"/>
          <w:marBottom w:val="240"/>
          <w:divBdr>
            <w:top w:val="none" w:sz="0" w:space="0" w:color="auto"/>
            <w:left w:val="none" w:sz="0" w:space="0" w:color="auto"/>
            <w:bottom w:val="none" w:sz="0" w:space="0" w:color="auto"/>
            <w:right w:val="none" w:sz="0" w:space="0" w:color="auto"/>
          </w:divBdr>
        </w:div>
        <w:div w:id="99419837">
          <w:marLeft w:val="0"/>
          <w:marRight w:val="0"/>
          <w:marTop w:val="0"/>
          <w:marBottom w:val="240"/>
          <w:divBdr>
            <w:top w:val="none" w:sz="0" w:space="0" w:color="auto"/>
            <w:left w:val="none" w:sz="0" w:space="0" w:color="auto"/>
            <w:bottom w:val="none" w:sz="0" w:space="0" w:color="auto"/>
            <w:right w:val="none" w:sz="0" w:space="0" w:color="auto"/>
          </w:divBdr>
        </w:div>
        <w:div w:id="2012484456">
          <w:marLeft w:val="0"/>
          <w:marRight w:val="0"/>
          <w:marTop w:val="0"/>
          <w:marBottom w:val="240"/>
          <w:divBdr>
            <w:top w:val="none" w:sz="0" w:space="0" w:color="auto"/>
            <w:left w:val="none" w:sz="0" w:space="0" w:color="auto"/>
            <w:bottom w:val="none" w:sz="0" w:space="0" w:color="auto"/>
            <w:right w:val="none" w:sz="0" w:space="0" w:color="auto"/>
          </w:divBdr>
        </w:div>
        <w:div w:id="311178084">
          <w:marLeft w:val="0"/>
          <w:marRight w:val="0"/>
          <w:marTop w:val="0"/>
          <w:marBottom w:val="240"/>
          <w:divBdr>
            <w:top w:val="none" w:sz="0" w:space="0" w:color="auto"/>
            <w:left w:val="none" w:sz="0" w:space="0" w:color="auto"/>
            <w:bottom w:val="none" w:sz="0" w:space="0" w:color="auto"/>
            <w:right w:val="none" w:sz="0" w:space="0" w:color="auto"/>
          </w:divBdr>
        </w:div>
        <w:div w:id="514882374">
          <w:marLeft w:val="0"/>
          <w:marRight w:val="0"/>
          <w:marTop w:val="0"/>
          <w:marBottom w:val="240"/>
          <w:divBdr>
            <w:top w:val="none" w:sz="0" w:space="0" w:color="auto"/>
            <w:left w:val="none" w:sz="0" w:space="0" w:color="auto"/>
            <w:bottom w:val="none" w:sz="0" w:space="0" w:color="auto"/>
            <w:right w:val="none" w:sz="0" w:space="0" w:color="auto"/>
          </w:divBdr>
        </w:div>
        <w:div w:id="1731150973">
          <w:marLeft w:val="0"/>
          <w:marRight w:val="0"/>
          <w:marTop w:val="0"/>
          <w:marBottom w:val="240"/>
          <w:divBdr>
            <w:top w:val="none" w:sz="0" w:space="0" w:color="auto"/>
            <w:left w:val="none" w:sz="0" w:space="0" w:color="auto"/>
            <w:bottom w:val="none" w:sz="0" w:space="0" w:color="auto"/>
            <w:right w:val="none" w:sz="0" w:space="0" w:color="auto"/>
          </w:divBdr>
        </w:div>
        <w:div w:id="2081169275">
          <w:marLeft w:val="0"/>
          <w:marRight w:val="0"/>
          <w:marTop w:val="0"/>
          <w:marBottom w:val="240"/>
          <w:divBdr>
            <w:top w:val="none" w:sz="0" w:space="0" w:color="auto"/>
            <w:left w:val="none" w:sz="0" w:space="0" w:color="auto"/>
            <w:bottom w:val="none" w:sz="0" w:space="0" w:color="auto"/>
            <w:right w:val="none" w:sz="0" w:space="0" w:color="auto"/>
          </w:divBdr>
        </w:div>
      </w:divsChild>
    </w:div>
    <w:div w:id="1406099694">
      <w:bodyDiv w:val="1"/>
      <w:marLeft w:val="0"/>
      <w:marRight w:val="0"/>
      <w:marTop w:val="0"/>
      <w:marBottom w:val="0"/>
      <w:divBdr>
        <w:top w:val="none" w:sz="0" w:space="0" w:color="auto"/>
        <w:left w:val="none" w:sz="0" w:space="0" w:color="auto"/>
        <w:bottom w:val="none" w:sz="0" w:space="0" w:color="auto"/>
        <w:right w:val="none" w:sz="0" w:space="0" w:color="auto"/>
      </w:divBdr>
    </w:div>
    <w:div w:id="1410157134">
      <w:bodyDiv w:val="1"/>
      <w:marLeft w:val="0"/>
      <w:marRight w:val="0"/>
      <w:marTop w:val="0"/>
      <w:marBottom w:val="0"/>
      <w:divBdr>
        <w:top w:val="none" w:sz="0" w:space="0" w:color="auto"/>
        <w:left w:val="none" w:sz="0" w:space="0" w:color="auto"/>
        <w:bottom w:val="none" w:sz="0" w:space="0" w:color="auto"/>
        <w:right w:val="none" w:sz="0" w:space="0" w:color="auto"/>
      </w:divBdr>
      <w:divsChild>
        <w:div w:id="1609660847">
          <w:marLeft w:val="0"/>
          <w:marRight w:val="0"/>
          <w:marTop w:val="0"/>
          <w:marBottom w:val="240"/>
          <w:divBdr>
            <w:top w:val="none" w:sz="0" w:space="0" w:color="auto"/>
            <w:left w:val="none" w:sz="0" w:space="0" w:color="auto"/>
            <w:bottom w:val="none" w:sz="0" w:space="0" w:color="auto"/>
            <w:right w:val="none" w:sz="0" w:space="0" w:color="auto"/>
          </w:divBdr>
        </w:div>
        <w:div w:id="1204362037">
          <w:marLeft w:val="0"/>
          <w:marRight w:val="0"/>
          <w:marTop w:val="0"/>
          <w:marBottom w:val="240"/>
          <w:divBdr>
            <w:top w:val="none" w:sz="0" w:space="0" w:color="auto"/>
            <w:left w:val="none" w:sz="0" w:space="0" w:color="auto"/>
            <w:bottom w:val="none" w:sz="0" w:space="0" w:color="auto"/>
            <w:right w:val="none" w:sz="0" w:space="0" w:color="auto"/>
          </w:divBdr>
        </w:div>
      </w:divsChild>
    </w:div>
    <w:div w:id="1414468664">
      <w:bodyDiv w:val="1"/>
      <w:marLeft w:val="0"/>
      <w:marRight w:val="0"/>
      <w:marTop w:val="0"/>
      <w:marBottom w:val="0"/>
      <w:divBdr>
        <w:top w:val="none" w:sz="0" w:space="0" w:color="auto"/>
        <w:left w:val="none" w:sz="0" w:space="0" w:color="auto"/>
        <w:bottom w:val="none" w:sz="0" w:space="0" w:color="auto"/>
        <w:right w:val="none" w:sz="0" w:space="0" w:color="auto"/>
      </w:divBdr>
    </w:div>
    <w:div w:id="1419255580">
      <w:bodyDiv w:val="1"/>
      <w:marLeft w:val="0"/>
      <w:marRight w:val="0"/>
      <w:marTop w:val="0"/>
      <w:marBottom w:val="0"/>
      <w:divBdr>
        <w:top w:val="none" w:sz="0" w:space="0" w:color="auto"/>
        <w:left w:val="none" w:sz="0" w:space="0" w:color="auto"/>
        <w:bottom w:val="none" w:sz="0" w:space="0" w:color="auto"/>
        <w:right w:val="none" w:sz="0" w:space="0" w:color="auto"/>
      </w:divBdr>
      <w:divsChild>
        <w:div w:id="1199047445">
          <w:marLeft w:val="0"/>
          <w:marRight w:val="0"/>
          <w:marTop w:val="0"/>
          <w:marBottom w:val="240"/>
          <w:divBdr>
            <w:top w:val="none" w:sz="0" w:space="0" w:color="auto"/>
            <w:left w:val="none" w:sz="0" w:space="0" w:color="auto"/>
            <w:bottom w:val="none" w:sz="0" w:space="0" w:color="auto"/>
            <w:right w:val="none" w:sz="0" w:space="0" w:color="auto"/>
          </w:divBdr>
        </w:div>
      </w:divsChild>
    </w:div>
    <w:div w:id="1420323420">
      <w:bodyDiv w:val="1"/>
      <w:marLeft w:val="0"/>
      <w:marRight w:val="0"/>
      <w:marTop w:val="0"/>
      <w:marBottom w:val="0"/>
      <w:divBdr>
        <w:top w:val="none" w:sz="0" w:space="0" w:color="auto"/>
        <w:left w:val="none" w:sz="0" w:space="0" w:color="auto"/>
        <w:bottom w:val="none" w:sz="0" w:space="0" w:color="auto"/>
        <w:right w:val="none" w:sz="0" w:space="0" w:color="auto"/>
      </w:divBdr>
    </w:div>
    <w:div w:id="1431392970">
      <w:bodyDiv w:val="1"/>
      <w:marLeft w:val="0"/>
      <w:marRight w:val="0"/>
      <w:marTop w:val="0"/>
      <w:marBottom w:val="0"/>
      <w:divBdr>
        <w:top w:val="none" w:sz="0" w:space="0" w:color="auto"/>
        <w:left w:val="none" w:sz="0" w:space="0" w:color="auto"/>
        <w:bottom w:val="none" w:sz="0" w:space="0" w:color="auto"/>
        <w:right w:val="none" w:sz="0" w:space="0" w:color="auto"/>
      </w:divBdr>
    </w:div>
    <w:div w:id="1444616959">
      <w:bodyDiv w:val="1"/>
      <w:marLeft w:val="0"/>
      <w:marRight w:val="0"/>
      <w:marTop w:val="0"/>
      <w:marBottom w:val="0"/>
      <w:divBdr>
        <w:top w:val="none" w:sz="0" w:space="0" w:color="auto"/>
        <w:left w:val="none" w:sz="0" w:space="0" w:color="auto"/>
        <w:bottom w:val="none" w:sz="0" w:space="0" w:color="auto"/>
        <w:right w:val="none" w:sz="0" w:space="0" w:color="auto"/>
      </w:divBdr>
    </w:div>
    <w:div w:id="1449349235">
      <w:bodyDiv w:val="1"/>
      <w:marLeft w:val="0"/>
      <w:marRight w:val="0"/>
      <w:marTop w:val="0"/>
      <w:marBottom w:val="0"/>
      <w:divBdr>
        <w:top w:val="none" w:sz="0" w:space="0" w:color="auto"/>
        <w:left w:val="none" w:sz="0" w:space="0" w:color="auto"/>
        <w:bottom w:val="none" w:sz="0" w:space="0" w:color="auto"/>
        <w:right w:val="none" w:sz="0" w:space="0" w:color="auto"/>
      </w:divBdr>
    </w:div>
    <w:div w:id="1457524696">
      <w:bodyDiv w:val="1"/>
      <w:marLeft w:val="0"/>
      <w:marRight w:val="0"/>
      <w:marTop w:val="0"/>
      <w:marBottom w:val="0"/>
      <w:divBdr>
        <w:top w:val="none" w:sz="0" w:space="0" w:color="auto"/>
        <w:left w:val="none" w:sz="0" w:space="0" w:color="auto"/>
        <w:bottom w:val="none" w:sz="0" w:space="0" w:color="auto"/>
        <w:right w:val="none" w:sz="0" w:space="0" w:color="auto"/>
      </w:divBdr>
    </w:div>
    <w:div w:id="1458141799">
      <w:bodyDiv w:val="1"/>
      <w:marLeft w:val="0"/>
      <w:marRight w:val="0"/>
      <w:marTop w:val="0"/>
      <w:marBottom w:val="0"/>
      <w:divBdr>
        <w:top w:val="none" w:sz="0" w:space="0" w:color="auto"/>
        <w:left w:val="none" w:sz="0" w:space="0" w:color="auto"/>
        <w:bottom w:val="none" w:sz="0" w:space="0" w:color="auto"/>
        <w:right w:val="none" w:sz="0" w:space="0" w:color="auto"/>
      </w:divBdr>
    </w:div>
    <w:div w:id="1466387290">
      <w:bodyDiv w:val="1"/>
      <w:marLeft w:val="0"/>
      <w:marRight w:val="0"/>
      <w:marTop w:val="0"/>
      <w:marBottom w:val="0"/>
      <w:divBdr>
        <w:top w:val="none" w:sz="0" w:space="0" w:color="auto"/>
        <w:left w:val="none" w:sz="0" w:space="0" w:color="auto"/>
        <w:bottom w:val="none" w:sz="0" w:space="0" w:color="auto"/>
        <w:right w:val="none" w:sz="0" w:space="0" w:color="auto"/>
      </w:divBdr>
    </w:div>
    <w:div w:id="1467972679">
      <w:bodyDiv w:val="1"/>
      <w:marLeft w:val="0"/>
      <w:marRight w:val="0"/>
      <w:marTop w:val="0"/>
      <w:marBottom w:val="0"/>
      <w:divBdr>
        <w:top w:val="none" w:sz="0" w:space="0" w:color="auto"/>
        <w:left w:val="none" w:sz="0" w:space="0" w:color="auto"/>
        <w:bottom w:val="none" w:sz="0" w:space="0" w:color="auto"/>
        <w:right w:val="none" w:sz="0" w:space="0" w:color="auto"/>
      </w:divBdr>
    </w:div>
    <w:div w:id="1470979385">
      <w:bodyDiv w:val="1"/>
      <w:marLeft w:val="0"/>
      <w:marRight w:val="0"/>
      <w:marTop w:val="0"/>
      <w:marBottom w:val="0"/>
      <w:divBdr>
        <w:top w:val="none" w:sz="0" w:space="0" w:color="auto"/>
        <w:left w:val="none" w:sz="0" w:space="0" w:color="auto"/>
        <w:bottom w:val="none" w:sz="0" w:space="0" w:color="auto"/>
        <w:right w:val="none" w:sz="0" w:space="0" w:color="auto"/>
      </w:divBdr>
    </w:div>
    <w:div w:id="1499688902">
      <w:bodyDiv w:val="1"/>
      <w:marLeft w:val="0"/>
      <w:marRight w:val="0"/>
      <w:marTop w:val="0"/>
      <w:marBottom w:val="0"/>
      <w:divBdr>
        <w:top w:val="none" w:sz="0" w:space="0" w:color="auto"/>
        <w:left w:val="none" w:sz="0" w:space="0" w:color="auto"/>
        <w:bottom w:val="none" w:sz="0" w:space="0" w:color="auto"/>
        <w:right w:val="none" w:sz="0" w:space="0" w:color="auto"/>
      </w:divBdr>
    </w:div>
    <w:div w:id="1521551100">
      <w:bodyDiv w:val="1"/>
      <w:marLeft w:val="0"/>
      <w:marRight w:val="0"/>
      <w:marTop w:val="0"/>
      <w:marBottom w:val="0"/>
      <w:divBdr>
        <w:top w:val="none" w:sz="0" w:space="0" w:color="auto"/>
        <w:left w:val="none" w:sz="0" w:space="0" w:color="auto"/>
        <w:bottom w:val="none" w:sz="0" w:space="0" w:color="auto"/>
        <w:right w:val="none" w:sz="0" w:space="0" w:color="auto"/>
      </w:divBdr>
    </w:div>
    <w:div w:id="1539976298">
      <w:bodyDiv w:val="1"/>
      <w:marLeft w:val="0"/>
      <w:marRight w:val="0"/>
      <w:marTop w:val="0"/>
      <w:marBottom w:val="0"/>
      <w:divBdr>
        <w:top w:val="none" w:sz="0" w:space="0" w:color="auto"/>
        <w:left w:val="none" w:sz="0" w:space="0" w:color="auto"/>
        <w:bottom w:val="none" w:sz="0" w:space="0" w:color="auto"/>
        <w:right w:val="none" w:sz="0" w:space="0" w:color="auto"/>
      </w:divBdr>
    </w:div>
    <w:div w:id="1557401092">
      <w:bodyDiv w:val="1"/>
      <w:marLeft w:val="0"/>
      <w:marRight w:val="0"/>
      <w:marTop w:val="0"/>
      <w:marBottom w:val="0"/>
      <w:divBdr>
        <w:top w:val="none" w:sz="0" w:space="0" w:color="auto"/>
        <w:left w:val="none" w:sz="0" w:space="0" w:color="auto"/>
        <w:bottom w:val="none" w:sz="0" w:space="0" w:color="auto"/>
        <w:right w:val="none" w:sz="0" w:space="0" w:color="auto"/>
      </w:divBdr>
      <w:divsChild>
        <w:div w:id="816844412">
          <w:marLeft w:val="0"/>
          <w:marRight w:val="0"/>
          <w:marTop w:val="0"/>
          <w:marBottom w:val="0"/>
          <w:divBdr>
            <w:top w:val="none" w:sz="0" w:space="0" w:color="auto"/>
            <w:left w:val="none" w:sz="0" w:space="0" w:color="auto"/>
            <w:bottom w:val="none" w:sz="0" w:space="0" w:color="auto"/>
            <w:right w:val="none" w:sz="0" w:space="0" w:color="auto"/>
          </w:divBdr>
        </w:div>
        <w:div w:id="757674125">
          <w:marLeft w:val="0"/>
          <w:marRight w:val="0"/>
          <w:marTop w:val="0"/>
          <w:marBottom w:val="0"/>
          <w:divBdr>
            <w:top w:val="none" w:sz="0" w:space="0" w:color="auto"/>
            <w:left w:val="none" w:sz="0" w:space="0" w:color="auto"/>
            <w:bottom w:val="none" w:sz="0" w:space="0" w:color="auto"/>
            <w:right w:val="none" w:sz="0" w:space="0" w:color="auto"/>
          </w:divBdr>
        </w:div>
        <w:div w:id="697632211">
          <w:marLeft w:val="0"/>
          <w:marRight w:val="0"/>
          <w:marTop w:val="0"/>
          <w:marBottom w:val="0"/>
          <w:divBdr>
            <w:top w:val="none" w:sz="0" w:space="0" w:color="auto"/>
            <w:left w:val="none" w:sz="0" w:space="0" w:color="auto"/>
            <w:bottom w:val="none" w:sz="0" w:space="0" w:color="auto"/>
            <w:right w:val="none" w:sz="0" w:space="0" w:color="auto"/>
          </w:divBdr>
        </w:div>
        <w:div w:id="157115127">
          <w:marLeft w:val="0"/>
          <w:marRight w:val="0"/>
          <w:marTop w:val="0"/>
          <w:marBottom w:val="0"/>
          <w:divBdr>
            <w:top w:val="none" w:sz="0" w:space="0" w:color="auto"/>
            <w:left w:val="none" w:sz="0" w:space="0" w:color="auto"/>
            <w:bottom w:val="none" w:sz="0" w:space="0" w:color="auto"/>
            <w:right w:val="none" w:sz="0" w:space="0" w:color="auto"/>
          </w:divBdr>
        </w:div>
        <w:div w:id="884175509">
          <w:marLeft w:val="0"/>
          <w:marRight w:val="0"/>
          <w:marTop w:val="0"/>
          <w:marBottom w:val="0"/>
          <w:divBdr>
            <w:top w:val="none" w:sz="0" w:space="0" w:color="auto"/>
            <w:left w:val="none" w:sz="0" w:space="0" w:color="auto"/>
            <w:bottom w:val="none" w:sz="0" w:space="0" w:color="auto"/>
            <w:right w:val="none" w:sz="0" w:space="0" w:color="auto"/>
          </w:divBdr>
        </w:div>
        <w:div w:id="1940525583">
          <w:marLeft w:val="0"/>
          <w:marRight w:val="0"/>
          <w:marTop w:val="0"/>
          <w:marBottom w:val="0"/>
          <w:divBdr>
            <w:top w:val="none" w:sz="0" w:space="0" w:color="auto"/>
            <w:left w:val="none" w:sz="0" w:space="0" w:color="auto"/>
            <w:bottom w:val="none" w:sz="0" w:space="0" w:color="auto"/>
            <w:right w:val="none" w:sz="0" w:space="0" w:color="auto"/>
          </w:divBdr>
        </w:div>
        <w:div w:id="1396125866">
          <w:marLeft w:val="0"/>
          <w:marRight w:val="0"/>
          <w:marTop w:val="0"/>
          <w:marBottom w:val="0"/>
          <w:divBdr>
            <w:top w:val="none" w:sz="0" w:space="0" w:color="auto"/>
            <w:left w:val="none" w:sz="0" w:space="0" w:color="auto"/>
            <w:bottom w:val="none" w:sz="0" w:space="0" w:color="auto"/>
            <w:right w:val="none" w:sz="0" w:space="0" w:color="auto"/>
          </w:divBdr>
        </w:div>
        <w:div w:id="51124306">
          <w:marLeft w:val="0"/>
          <w:marRight w:val="0"/>
          <w:marTop w:val="0"/>
          <w:marBottom w:val="0"/>
          <w:divBdr>
            <w:top w:val="none" w:sz="0" w:space="0" w:color="auto"/>
            <w:left w:val="none" w:sz="0" w:space="0" w:color="auto"/>
            <w:bottom w:val="none" w:sz="0" w:space="0" w:color="auto"/>
            <w:right w:val="none" w:sz="0" w:space="0" w:color="auto"/>
          </w:divBdr>
        </w:div>
        <w:div w:id="240018891">
          <w:marLeft w:val="0"/>
          <w:marRight w:val="0"/>
          <w:marTop w:val="0"/>
          <w:marBottom w:val="0"/>
          <w:divBdr>
            <w:top w:val="none" w:sz="0" w:space="0" w:color="auto"/>
            <w:left w:val="none" w:sz="0" w:space="0" w:color="auto"/>
            <w:bottom w:val="none" w:sz="0" w:space="0" w:color="auto"/>
            <w:right w:val="none" w:sz="0" w:space="0" w:color="auto"/>
          </w:divBdr>
        </w:div>
        <w:div w:id="1214804840">
          <w:marLeft w:val="0"/>
          <w:marRight w:val="0"/>
          <w:marTop w:val="0"/>
          <w:marBottom w:val="0"/>
          <w:divBdr>
            <w:top w:val="none" w:sz="0" w:space="0" w:color="auto"/>
            <w:left w:val="none" w:sz="0" w:space="0" w:color="auto"/>
            <w:bottom w:val="none" w:sz="0" w:space="0" w:color="auto"/>
            <w:right w:val="none" w:sz="0" w:space="0" w:color="auto"/>
          </w:divBdr>
        </w:div>
        <w:div w:id="416484321">
          <w:marLeft w:val="0"/>
          <w:marRight w:val="0"/>
          <w:marTop w:val="0"/>
          <w:marBottom w:val="0"/>
          <w:divBdr>
            <w:top w:val="none" w:sz="0" w:space="0" w:color="auto"/>
            <w:left w:val="none" w:sz="0" w:space="0" w:color="auto"/>
            <w:bottom w:val="none" w:sz="0" w:space="0" w:color="auto"/>
            <w:right w:val="none" w:sz="0" w:space="0" w:color="auto"/>
          </w:divBdr>
        </w:div>
        <w:div w:id="1246261174">
          <w:marLeft w:val="0"/>
          <w:marRight w:val="0"/>
          <w:marTop w:val="0"/>
          <w:marBottom w:val="0"/>
          <w:divBdr>
            <w:top w:val="none" w:sz="0" w:space="0" w:color="auto"/>
            <w:left w:val="none" w:sz="0" w:space="0" w:color="auto"/>
            <w:bottom w:val="none" w:sz="0" w:space="0" w:color="auto"/>
            <w:right w:val="none" w:sz="0" w:space="0" w:color="auto"/>
          </w:divBdr>
        </w:div>
        <w:div w:id="1376198305">
          <w:marLeft w:val="0"/>
          <w:marRight w:val="0"/>
          <w:marTop w:val="0"/>
          <w:marBottom w:val="0"/>
          <w:divBdr>
            <w:top w:val="none" w:sz="0" w:space="0" w:color="auto"/>
            <w:left w:val="none" w:sz="0" w:space="0" w:color="auto"/>
            <w:bottom w:val="none" w:sz="0" w:space="0" w:color="auto"/>
            <w:right w:val="none" w:sz="0" w:space="0" w:color="auto"/>
          </w:divBdr>
        </w:div>
        <w:div w:id="210970359">
          <w:marLeft w:val="0"/>
          <w:marRight w:val="0"/>
          <w:marTop w:val="0"/>
          <w:marBottom w:val="0"/>
          <w:divBdr>
            <w:top w:val="none" w:sz="0" w:space="0" w:color="auto"/>
            <w:left w:val="none" w:sz="0" w:space="0" w:color="auto"/>
            <w:bottom w:val="none" w:sz="0" w:space="0" w:color="auto"/>
            <w:right w:val="none" w:sz="0" w:space="0" w:color="auto"/>
          </w:divBdr>
        </w:div>
        <w:div w:id="1395196543">
          <w:marLeft w:val="0"/>
          <w:marRight w:val="0"/>
          <w:marTop w:val="0"/>
          <w:marBottom w:val="0"/>
          <w:divBdr>
            <w:top w:val="none" w:sz="0" w:space="0" w:color="auto"/>
            <w:left w:val="none" w:sz="0" w:space="0" w:color="auto"/>
            <w:bottom w:val="none" w:sz="0" w:space="0" w:color="auto"/>
            <w:right w:val="none" w:sz="0" w:space="0" w:color="auto"/>
          </w:divBdr>
        </w:div>
        <w:div w:id="953095965">
          <w:marLeft w:val="0"/>
          <w:marRight w:val="0"/>
          <w:marTop w:val="0"/>
          <w:marBottom w:val="0"/>
          <w:divBdr>
            <w:top w:val="none" w:sz="0" w:space="0" w:color="auto"/>
            <w:left w:val="none" w:sz="0" w:space="0" w:color="auto"/>
            <w:bottom w:val="none" w:sz="0" w:space="0" w:color="auto"/>
            <w:right w:val="none" w:sz="0" w:space="0" w:color="auto"/>
          </w:divBdr>
        </w:div>
        <w:div w:id="1346519156">
          <w:marLeft w:val="0"/>
          <w:marRight w:val="0"/>
          <w:marTop w:val="0"/>
          <w:marBottom w:val="0"/>
          <w:divBdr>
            <w:top w:val="none" w:sz="0" w:space="0" w:color="auto"/>
            <w:left w:val="none" w:sz="0" w:space="0" w:color="auto"/>
            <w:bottom w:val="none" w:sz="0" w:space="0" w:color="auto"/>
            <w:right w:val="none" w:sz="0" w:space="0" w:color="auto"/>
          </w:divBdr>
        </w:div>
        <w:div w:id="809828563">
          <w:marLeft w:val="0"/>
          <w:marRight w:val="0"/>
          <w:marTop w:val="0"/>
          <w:marBottom w:val="0"/>
          <w:divBdr>
            <w:top w:val="none" w:sz="0" w:space="0" w:color="auto"/>
            <w:left w:val="none" w:sz="0" w:space="0" w:color="auto"/>
            <w:bottom w:val="none" w:sz="0" w:space="0" w:color="auto"/>
            <w:right w:val="none" w:sz="0" w:space="0" w:color="auto"/>
          </w:divBdr>
        </w:div>
        <w:div w:id="693845240">
          <w:marLeft w:val="0"/>
          <w:marRight w:val="0"/>
          <w:marTop w:val="0"/>
          <w:marBottom w:val="0"/>
          <w:divBdr>
            <w:top w:val="none" w:sz="0" w:space="0" w:color="auto"/>
            <w:left w:val="none" w:sz="0" w:space="0" w:color="auto"/>
            <w:bottom w:val="none" w:sz="0" w:space="0" w:color="auto"/>
            <w:right w:val="none" w:sz="0" w:space="0" w:color="auto"/>
          </w:divBdr>
        </w:div>
        <w:div w:id="441993154">
          <w:marLeft w:val="0"/>
          <w:marRight w:val="0"/>
          <w:marTop w:val="0"/>
          <w:marBottom w:val="0"/>
          <w:divBdr>
            <w:top w:val="none" w:sz="0" w:space="0" w:color="auto"/>
            <w:left w:val="none" w:sz="0" w:space="0" w:color="auto"/>
            <w:bottom w:val="none" w:sz="0" w:space="0" w:color="auto"/>
            <w:right w:val="none" w:sz="0" w:space="0" w:color="auto"/>
          </w:divBdr>
        </w:div>
        <w:div w:id="2004966332">
          <w:marLeft w:val="0"/>
          <w:marRight w:val="0"/>
          <w:marTop w:val="0"/>
          <w:marBottom w:val="0"/>
          <w:divBdr>
            <w:top w:val="none" w:sz="0" w:space="0" w:color="auto"/>
            <w:left w:val="none" w:sz="0" w:space="0" w:color="auto"/>
            <w:bottom w:val="none" w:sz="0" w:space="0" w:color="auto"/>
            <w:right w:val="none" w:sz="0" w:space="0" w:color="auto"/>
          </w:divBdr>
        </w:div>
        <w:div w:id="1530485825">
          <w:marLeft w:val="0"/>
          <w:marRight w:val="0"/>
          <w:marTop w:val="0"/>
          <w:marBottom w:val="0"/>
          <w:divBdr>
            <w:top w:val="none" w:sz="0" w:space="0" w:color="auto"/>
            <w:left w:val="none" w:sz="0" w:space="0" w:color="auto"/>
            <w:bottom w:val="none" w:sz="0" w:space="0" w:color="auto"/>
            <w:right w:val="none" w:sz="0" w:space="0" w:color="auto"/>
          </w:divBdr>
        </w:div>
        <w:div w:id="1019237703">
          <w:marLeft w:val="0"/>
          <w:marRight w:val="0"/>
          <w:marTop w:val="0"/>
          <w:marBottom w:val="0"/>
          <w:divBdr>
            <w:top w:val="none" w:sz="0" w:space="0" w:color="auto"/>
            <w:left w:val="none" w:sz="0" w:space="0" w:color="auto"/>
            <w:bottom w:val="none" w:sz="0" w:space="0" w:color="auto"/>
            <w:right w:val="none" w:sz="0" w:space="0" w:color="auto"/>
          </w:divBdr>
        </w:div>
        <w:div w:id="796989147">
          <w:marLeft w:val="0"/>
          <w:marRight w:val="0"/>
          <w:marTop w:val="0"/>
          <w:marBottom w:val="0"/>
          <w:divBdr>
            <w:top w:val="none" w:sz="0" w:space="0" w:color="auto"/>
            <w:left w:val="none" w:sz="0" w:space="0" w:color="auto"/>
            <w:bottom w:val="none" w:sz="0" w:space="0" w:color="auto"/>
            <w:right w:val="none" w:sz="0" w:space="0" w:color="auto"/>
          </w:divBdr>
        </w:div>
        <w:div w:id="1595819310">
          <w:marLeft w:val="0"/>
          <w:marRight w:val="0"/>
          <w:marTop w:val="0"/>
          <w:marBottom w:val="0"/>
          <w:divBdr>
            <w:top w:val="none" w:sz="0" w:space="0" w:color="auto"/>
            <w:left w:val="none" w:sz="0" w:space="0" w:color="auto"/>
            <w:bottom w:val="none" w:sz="0" w:space="0" w:color="auto"/>
            <w:right w:val="none" w:sz="0" w:space="0" w:color="auto"/>
          </w:divBdr>
        </w:div>
        <w:div w:id="236865085">
          <w:marLeft w:val="0"/>
          <w:marRight w:val="0"/>
          <w:marTop w:val="0"/>
          <w:marBottom w:val="0"/>
          <w:divBdr>
            <w:top w:val="none" w:sz="0" w:space="0" w:color="auto"/>
            <w:left w:val="none" w:sz="0" w:space="0" w:color="auto"/>
            <w:bottom w:val="none" w:sz="0" w:space="0" w:color="auto"/>
            <w:right w:val="none" w:sz="0" w:space="0" w:color="auto"/>
          </w:divBdr>
        </w:div>
        <w:div w:id="828592637">
          <w:marLeft w:val="0"/>
          <w:marRight w:val="0"/>
          <w:marTop w:val="0"/>
          <w:marBottom w:val="0"/>
          <w:divBdr>
            <w:top w:val="none" w:sz="0" w:space="0" w:color="auto"/>
            <w:left w:val="none" w:sz="0" w:space="0" w:color="auto"/>
            <w:bottom w:val="none" w:sz="0" w:space="0" w:color="auto"/>
            <w:right w:val="none" w:sz="0" w:space="0" w:color="auto"/>
          </w:divBdr>
        </w:div>
        <w:div w:id="5982879">
          <w:marLeft w:val="0"/>
          <w:marRight w:val="0"/>
          <w:marTop w:val="0"/>
          <w:marBottom w:val="0"/>
          <w:divBdr>
            <w:top w:val="none" w:sz="0" w:space="0" w:color="auto"/>
            <w:left w:val="none" w:sz="0" w:space="0" w:color="auto"/>
            <w:bottom w:val="none" w:sz="0" w:space="0" w:color="auto"/>
            <w:right w:val="none" w:sz="0" w:space="0" w:color="auto"/>
          </w:divBdr>
        </w:div>
        <w:div w:id="1521311133">
          <w:marLeft w:val="0"/>
          <w:marRight w:val="0"/>
          <w:marTop w:val="0"/>
          <w:marBottom w:val="0"/>
          <w:divBdr>
            <w:top w:val="none" w:sz="0" w:space="0" w:color="auto"/>
            <w:left w:val="none" w:sz="0" w:space="0" w:color="auto"/>
            <w:bottom w:val="none" w:sz="0" w:space="0" w:color="auto"/>
            <w:right w:val="none" w:sz="0" w:space="0" w:color="auto"/>
          </w:divBdr>
        </w:div>
        <w:div w:id="1908568245">
          <w:marLeft w:val="0"/>
          <w:marRight w:val="0"/>
          <w:marTop w:val="0"/>
          <w:marBottom w:val="0"/>
          <w:divBdr>
            <w:top w:val="none" w:sz="0" w:space="0" w:color="auto"/>
            <w:left w:val="none" w:sz="0" w:space="0" w:color="auto"/>
            <w:bottom w:val="none" w:sz="0" w:space="0" w:color="auto"/>
            <w:right w:val="none" w:sz="0" w:space="0" w:color="auto"/>
          </w:divBdr>
        </w:div>
        <w:div w:id="1904636341">
          <w:marLeft w:val="0"/>
          <w:marRight w:val="0"/>
          <w:marTop w:val="0"/>
          <w:marBottom w:val="0"/>
          <w:divBdr>
            <w:top w:val="none" w:sz="0" w:space="0" w:color="auto"/>
            <w:left w:val="none" w:sz="0" w:space="0" w:color="auto"/>
            <w:bottom w:val="none" w:sz="0" w:space="0" w:color="auto"/>
            <w:right w:val="none" w:sz="0" w:space="0" w:color="auto"/>
          </w:divBdr>
        </w:div>
        <w:div w:id="1216114795">
          <w:marLeft w:val="0"/>
          <w:marRight w:val="0"/>
          <w:marTop w:val="0"/>
          <w:marBottom w:val="0"/>
          <w:divBdr>
            <w:top w:val="none" w:sz="0" w:space="0" w:color="auto"/>
            <w:left w:val="none" w:sz="0" w:space="0" w:color="auto"/>
            <w:bottom w:val="none" w:sz="0" w:space="0" w:color="auto"/>
            <w:right w:val="none" w:sz="0" w:space="0" w:color="auto"/>
          </w:divBdr>
        </w:div>
        <w:div w:id="1855684540">
          <w:marLeft w:val="0"/>
          <w:marRight w:val="0"/>
          <w:marTop w:val="0"/>
          <w:marBottom w:val="0"/>
          <w:divBdr>
            <w:top w:val="none" w:sz="0" w:space="0" w:color="auto"/>
            <w:left w:val="none" w:sz="0" w:space="0" w:color="auto"/>
            <w:bottom w:val="none" w:sz="0" w:space="0" w:color="auto"/>
            <w:right w:val="none" w:sz="0" w:space="0" w:color="auto"/>
          </w:divBdr>
        </w:div>
        <w:div w:id="27999082">
          <w:marLeft w:val="0"/>
          <w:marRight w:val="0"/>
          <w:marTop w:val="0"/>
          <w:marBottom w:val="0"/>
          <w:divBdr>
            <w:top w:val="none" w:sz="0" w:space="0" w:color="auto"/>
            <w:left w:val="none" w:sz="0" w:space="0" w:color="auto"/>
            <w:bottom w:val="none" w:sz="0" w:space="0" w:color="auto"/>
            <w:right w:val="none" w:sz="0" w:space="0" w:color="auto"/>
          </w:divBdr>
        </w:div>
        <w:div w:id="1715425846">
          <w:marLeft w:val="0"/>
          <w:marRight w:val="0"/>
          <w:marTop w:val="0"/>
          <w:marBottom w:val="0"/>
          <w:divBdr>
            <w:top w:val="none" w:sz="0" w:space="0" w:color="auto"/>
            <w:left w:val="none" w:sz="0" w:space="0" w:color="auto"/>
            <w:bottom w:val="none" w:sz="0" w:space="0" w:color="auto"/>
            <w:right w:val="none" w:sz="0" w:space="0" w:color="auto"/>
          </w:divBdr>
        </w:div>
        <w:div w:id="268632519">
          <w:marLeft w:val="0"/>
          <w:marRight w:val="0"/>
          <w:marTop w:val="0"/>
          <w:marBottom w:val="0"/>
          <w:divBdr>
            <w:top w:val="none" w:sz="0" w:space="0" w:color="auto"/>
            <w:left w:val="none" w:sz="0" w:space="0" w:color="auto"/>
            <w:bottom w:val="none" w:sz="0" w:space="0" w:color="auto"/>
            <w:right w:val="none" w:sz="0" w:space="0" w:color="auto"/>
          </w:divBdr>
        </w:div>
        <w:div w:id="1170487512">
          <w:marLeft w:val="0"/>
          <w:marRight w:val="0"/>
          <w:marTop w:val="0"/>
          <w:marBottom w:val="0"/>
          <w:divBdr>
            <w:top w:val="none" w:sz="0" w:space="0" w:color="auto"/>
            <w:left w:val="none" w:sz="0" w:space="0" w:color="auto"/>
            <w:bottom w:val="none" w:sz="0" w:space="0" w:color="auto"/>
            <w:right w:val="none" w:sz="0" w:space="0" w:color="auto"/>
          </w:divBdr>
        </w:div>
        <w:div w:id="1482313766">
          <w:marLeft w:val="0"/>
          <w:marRight w:val="0"/>
          <w:marTop w:val="0"/>
          <w:marBottom w:val="0"/>
          <w:divBdr>
            <w:top w:val="none" w:sz="0" w:space="0" w:color="auto"/>
            <w:left w:val="none" w:sz="0" w:space="0" w:color="auto"/>
            <w:bottom w:val="none" w:sz="0" w:space="0" w:color="auto"/>
            <w:right w:val="none" w:sz="0" w:space="0" w:color="auto"/>
          </w:divBdr>
        </w:div>
        <w:div w:id="1605768218">
          <w:marLeft w:val="0"/>
          <w:marRight w:val="0"/>
          <w:marTop w:val="0"/>
          <w:marBottom w:val="0"/>
          <w:divBdr>
            <w:top w:val="none" w:sz="0" w:space="0" w:color="auto"/>
            <w:left w:val="none" w:sz="0" w:space="0" w:color="auto"/>
            <w:bottom w:val="none" w:sz="0" w:space="0" w:color="auto"/>
            <w:right w:val="none" w:sz="0" w:space="0" w:color="auto"/>
          </w:divBdr>
        </w:div>
        <w:div w:id="910232664">
          <w:marLeft w:val="0"/>
          <w:marRight w:val="0"/>
          <w:marTop w:val="0"/>
          <w:marBottom w:val="0"/>
          <w:divBdr>
            <w:top w:val="none" w:sz="0" w:space="0" w:color="auto"/>
            <w:left w:val="none" w:sz="0" w:space="0" w:color="auto"/>
            <w:bottom w:val="none" w:sz="0" w:space="0" w:color="auto"/>
            <w:right w:val="none" w:sz="0" w:space="0" w:color="auto"/>
          </w:divBdr>
        </w:div>
        <w:div w:id="166481165">
          <w:marLeft w:val="0"/>
          <w:marRight w:val="0"/>
          <w:marTop w:val="0"/>
          <w:marBottom w:val="0"/>
          <w:divBdr>
            <w:top w:val="none" w:sz="0" w:space="0" w:color="auto"/>
            <w:left w:val="none" w:sz="0" w:space="0" w:color="auto"/>
            <w:bottom w:val="none" w:sz="0" w:space="0" w:color="auto"/>
            <w:right w:val="none" w:sz="0" w:space="0" w:color="auto"/>
          </w:divBdr>
        </w:div>
        <w:div w:id="268199197">
          <w:marLeft w:val="0"/>
          <w:marRight w:val="0"/>
          <w:marTop w:val="0"/>
          <w:marBottom w:val="0"/>
          <w:divBdr>
            <w:top w:val="none" w:sz="0" w:space="0" w:color="auto"/>
            <w:left w:val="none" w:sz="0" w:space="0" w:color="auto"/>
            <w:bottom w:val="none" w:sz="0" w:space="0" w:color="auto"/>
            <w:right w:val="none" w:sz="0" w:space="0" w:color="auto"/>
          </w:divBdr>
        </w:div>
        <w:div w:id="589895608">
          <w:marLeft w:val="0"/>
          <w:marRight w:val="0"/>
          <w:marTop w:val="0"/>
          <w:marBottom w:val="0"/>
          <w:divBdr>
            <w:top w:val="none" w:sz="0" w:space="0" w:color="auto"/>
            <w:left w:val="none" w:sz="0" w:space="0" w:color="auto"/>
            <w:bottom w:val="none" w:sz="0" w:space="0" w:color="auto"/>
            <w:right w:val="none" w:sz="0" w:space="0" w:color="auto"/>
          </w:divBdr>
        </w:div>
        <w:div w:id="150293912">
          <w:marLeft w:val="0"/>
          <w:marRight w:val="0"/>
          <w:marTop w:val="0"/>
          <w:marBottom w:val="0"/>
          <w:divBdr>
            <w:top w:val="none" w:sz="0" w:space="0" w:color="auto"/>
            <w:left w:val="none" w:sz="0" w:space="0" w:color="auto"/>
            <w:bottom w:val="none" w:sz="0" w:space="0" w:color="auto"/>
            <w:right w:val="none" w:sz="0" w:space="0" w:color="auto"/>
          </w:divBdr>
        </w:div>
        <w:div w:id="1365716054">
          <w:marLeft w:val="0"/>
          <w:marRight w:val="0"/>
          <w:marTop w:val="0"/>
          <w:marBottom w:val="0"/>
          <w:divBdr>
            <w:top w:val="none" w:sz="0" w:space="0" w:color="auto"/>
            <w:left w:val="none" w:sz="0" w:space="0" w:color="auto"/>
            <w:bottom w:val="none" w:sz="0" w:space="0" w:color="auto"/>
            <w:right w:val="none" w:sz="0" w:space="0" w:color="auto"/>
          </w:divBdr>
        </w:div>
        <w:div w:id="1712879490">
          <w:marLeft w:val="0"/>
          <w:marRight w:val="0"/>
          <w:marTop w:val="0"/>
          <w:marBottom w:val="0"/>
          <w:divBdr>
            <w:top w:val="none" w:sz="0" w:space="0" w:color="auto"/>
            <w:left w:val="none" w:sz="0" w:space="0" w:color="auto"/>
            <w:bottom w:val="none" w:sz="0" w:space="0" w:color="auto"/>
            <w:right w:val="none" w:sz="0" w:space="0" w:color="auto"/>
          </w:divBdr>
        </w:div>
        <w:div w:id="1647934585">
          <w:marLeft w:val="0"/>
          <w:marRight w:val="0"/>
          <w:marTop w:val="0"/>
          <w:marBottom w:val="0"/>
          <w:divBdr>
            <w:top w:val="none" w:sz="0" w:space="0" w:color="auto"/>
            <w:left w:val="none" w:sz="0" w:space="0" w:color="auto"/>
            <w:bottom w:val="none" w:sz="0" w:space="0" w:color="auto"/>
            <w:right w:val="none" w:sz="0" w:space="0" w:color="auto"/>
          </w:divBdr>
        </w:div>
        <w:div w:id="1474903878">
          <w:marLeft w:val="0"/>
          <w:marRight w:val="0"/>
          <w:marTop w:val="0"/>
          <w:marBottom w:val="0"/>
          <w:divBdr>
            <w:top w:val="none" w:sz="0" w:space="0" w:color="auto"/>
            <w:left w:val="none" w:sz="0" w:space="0" w:color="auto"/>
            <w:bottom w:val="none" w:sz="0" w:space="0" w:color="auto"/>
            <w:right w:val="none" w:sz="0" w:space="0" w:color="auto"/>
          </w:divBdr>
        </w:div>
        <w:div w:id="46806273">
          <w:marLeft w:val="0"/>
          <w:marRight w:val="0"/>
          <w:marTop w:val="0"/>
          <w:marBottom w:val="0"/>
          <w:divBdr>
            <w:top w:val="none" w:sz="0" w:space="0" w:color="auto"/>
            <w:left w:val="none" w:sz="0" w:space="0" w:color="auto"/>
            <w:bottom w:val="none" w:sz="0" w:space="0" w:color="auto"/>
            <w:right w:val="none" w:sz="0" w:space="0" w:color="auto"/>
          </w:divBdr>
        </w:div>
        <w:div w:id="172570788">
          <w:marLeft w:val="0"/>
          <w:marRight w:val="0"/>
          <w:marTop w:val="0"/>
          <w:marBottom w:val="0"/>
          <w:divBdr>
            <w:top w:val="none" w:sz="0" w:space="0" w:color="auto"/>
            <w:left w:val="none" w:sz="0" w:space="0" w:color="auto"/>
            <w:bottom w:val="none" w:sz="0" w:space="0" w:color="auto"/>
            <w:right w:val="none" w:sz="0" w:space="0" w:color="auto"/>
          </w:divBdr>
        </w:div>
        <w:div w:id="239366656">
          <w:marLeft w:val="0"/>
          <w:marRight w:val="0"/>
          <w:marTop w:val="0"/>
          <w:marBottom w:val="0"/>
          <w:divBdr>
            <w:top w:val="none" w:sz="0" w:space="0" w:color="auto"/>
            <w:left w:val="none" w:sz="0" w:space="0" w:color="auto"/>
            <w:bottom w:val="none" w:sz="0" w:space="0" w:color="auto"/>
            <w:right w:val="none" w:sz="0" w:space="0" w:color="auto"/>
          </w:divBdr>
        </w:div>
        <w:div w:id="284897279">
          <w:marLeft w:val="0"/>
          <w:marRight w:val="0"/>
          <w:marTop w:val="0"/>
          <w:marBottom w:val="0"/>
          <w:divBdr>
            <w:top w:val="none" w:sz="0" w:space="0" w:color="auto"/>
            <w:left w:val="none" w:sz="0" w:space="0" w:color="auto"/>
            <w:bottom w:val="none" w:sz="0" w:space="0" w:color="auto"/>
            <w:right w:val="none" w:sz="0" w:space="0" w:color="auto"/>
          </w:divBdr>
        </w:div>
        <w:div w:id="1775785748">
          <w:marLeft w:val="0"/>
          <w:marRight w:val="0"/>
          <w:marTop w:val="0"/>
          <w:marBottom w:val="0"/>
          <w:divBdr>
            <w:top w:val="none" w:sz="0" w:space="0" w:color="auto"/>
            <w:left w:val="none" w:sz="0" w:space="0" w:color="auto"/>
            <w:bottom w:val="none" w:sz="0" w:space="0" w:color="auto"/>
            <w:right w:val="none" w:sz="0" w:space="0" w:color="auto"/>
          </w:divBdr>
        </w:div>
        <w:div w:id="1138646503">
          <w:marLeft w:val="0"/>
          <w:marRight w:val="0"/>
          <w:marTop w:val="0"/>
          <w:marBottom w:val="0"/>
          <w:divBdr>
            <w:top w:val="none" w:sz="0" w:space="0" w:color="auto"/>
            <w:left w:val="none" w:sz="0" w:space="0" w:color="auto"/>
            <w:bottom w:val="none" w:sz="0" w:space="0" w:color="auto"/>
            <w:right w:val="none" w:sz="0" w:space="0" w:color="auto"/>
          </w:divBdr>
        </w:div>
        <w:div w:id="2110656857">
          <w:marLeft w:val="0"/>
          <w:marRight w:val="0"/>
          <w:marTop w:val="0"/>
          <w:marBottom w:val="0"/>
          <w:divBdr>
            <w:top w:val="none" w:sz="0" w:space="0" w:color="auto"/>
            <w:left w:val="none" w:sz="0" w:space="0" w:color="auto"/>
            <w:bottom w:val="none" w:sz="0" w:space="0" w:color="auto"/>
            <w:right w:val="none" w:sz="0" w:space="0" w:color="auto"/>
          </w:divBdr>
        </w:div>
        <w:div w:id="225650753">
          <w:marLeft w:val="0"/>
          <w:marRight w:val="0"/>
          <w:marTop w:val="0"/>
          <w:marBottom w:val="0"/>
          <w:divBdr>
            <w:top w:val="none" w:sz="0" w:space="0" w:color="auto"/>
            <w:left w:val="none" w:sz="0" w:space="0" w:color="auto"/>
            <w:bottom w:val="none" w:sz="0" w:space="0" w:color="auto"/>
            <w:right w:val="none" w:sz="0" w:space="0" w:color="auto"/>
          </w:divBdr>
        </w:div>
        <w:div w:id="1270088864">
          <w:marLeft w:val="0"/>
          <w:marRight w:val="0"/>
          <w:marTop w:val="0"/>
          <w:marBottom w:val="0"/>
          <w:divBdr>
            <w:top w:val="none" w:sz="0" w:space="0" w:color="auto"/>
            <w:left w:val="none" w:sz="0" w:space="0" w:color="auto"/>
            <w:bottom w:val="none" w:sz="0" w:space="0" w:color="auto"/>
            <w:right w:val="none" w:sz="0" w:space="0" w:color="auto"/>
          </w:divBdr>
        </w:div>
        <w:div w:id="2038117851">
          <w:marLeft w:val="0"/>
          <w:marRight w:val="0"/>
          <w:marTop w:val="0"/>
          <w:marBottom w:val="0"/>
          <w:divBdr>
            <w:top w:val="none" w:sz="0" w:space="0" w:color="auto"/>
            <w:left w:val="none" w:sz="0" w:space="0" w:color="auto"/>
            <w:bottom w:val="none" w:sz="0" w:space="0" w:color="auto"/>
            <w:right w:val="none" w:sz="0" w:space="0" w:color="auto"/>
          </w:divBdr>
        </w:div>
        <w:div w:id="399718674">
          <w:marLeft w:val="0"/>
          <w:marRight w:val="0"/>
          <w:marTop w:val="0"/>
          <w:marBottom w:val="0"/>
          <w:divBdr>
            <w:top w:val="none" w:sz="0" w:space="0" w:color="auto"/>
            <w:left w:val="none" w:sz="0" w:space="0" w:color="auto"/>
            <w:bottom w:val="none" w:sz="0" w:space="0" w:color="auto"/>
            <w:right w:val="none" w:sz="0" w:space="0" w:color="auto"/>
          </w:divBdr>
        </w:div>
        <w:div w:id="2095974946">
          <w:marLeft w:val="0"/>
          <w:marRight w:val="0"/>
          <w:marTop w:val="0"/>
          <w:marBottom w:val="0"/>
          <w:divBdr>
            <w:top w:val="none" w:sz="0" w:space="0" w:color="auto"/>
            <w:left w:val="none" w:sz="0" w:space="0" w:color="auto"/>
            <w:bottom w:val="none" w:sz="0" w:space="0" w:color="auto"/>
            <w:right w:val="none" w:sz="0" w:space="0" w:color="auto"/>
          </w:divBdr>
        </w:div>
        <w:div w:id="1292903056">
          <w:marLeft w:val="0"/>
          <w:marRight w:val="0"/>
          <w:marTop w:val="0"/>
          <w:marBottom w:val="0"/>
          <w:divBdr>
            <w:top w:val="none" w:sz="0" w:space="0" w:color="auto"/>
            <w:left w:val="none" w:sz="0" w:space="0" w:color="auto"/>
            <w:bottom w:val="none" w:sz="0" w:space="0" w:color="auto"/>
            <w:right w:val="none" w:sz="0" w:space="0" w:color="auto"/>
          </w:divBdr>
        </w:div>
        <w:div w:id="1842315144">
          <w:marLeft w:val="0"/>
          <w:marRight w:val="0"/>
          <w:marTop w:val="0"/>
          <w:marBottom w:val="0"/>
          <w:divBdr>
            <w:top w:val="none" w:sz="0" w:space="0" w:color="auto"/>
            <w:left w:val="none" w:sz="0" w:space="0" w:color="auto"/>
            <w:bottom w:val="none" w:sz="0" w:space="0" w:color="auto"/>
            <w:right w:val="none" w:sz="0" w:space="0" w:color="auto"/>
          </w:divBdr>
        </w:div>
        <w:div w:id="1088769493">
          <w:marLeft w:val="0"/>
          <w:marRight w:val="0"/>
          <w:marTop w:val="0"/>
          <w:marBottom w:val="0"/>
          <w:divBdr>
            <w:top w:val="none" w:sz="0" w:space="0" w:color="auto"/>
            <w:left w:val="none" w:sz="0" w:space="0" w:color="auto"/>
            <w:bottom w:val="none" w:sz="0" w:space="0" w:color="auto"/>
            <w:right w:val="none" w:sz="0" w:space="0" w:color="auto"/>
          </w:divBdr>
        </w:div>
        <w:div w:id="364982964">
          <w:marLeft w:val="0"/>
          <w:marRight w:val="0"/>
          <w:marTop w:val="0"/>
          <w:marBottom w:val="0"/>
          <w:divBdr>
            <w:top w:val="none" w:sz="0" w:space="0" w:color="auto"/>
            <w:left w:val="none" w:sz="0" w:space="0" w:color="auto"/>
            <w:bottom w:val="none" w:sz="0" w:space="0" w:color="auto"/>
            <w:right w:val="none" w:sz="0" w:space="0" w:color="auto"/>
          </w:divBdr>
        </w:div>
        <w:div w:id="1176574214">
          <w:marLeft w:val="0"/>
          <w:marRight w:val="0"/>
          <w:marTop w:val="0"/>
          <w:marBottom w:val="0"/>
          <w:divBdr>
            <w:top w:val="none" w:sz="0" w:space="0" w:color="auto"/>
            <w:left w:val="none" w:sz="0" w:space="0" w:color="auto"/>
            <w:bottom w:val="none" w:sz="0" w:space="0" w:color="auto"/>
            <w:right w:val="none" w:sz="0" w:space="0" w:color="auto"/>
          </w:divBdr>
        </w:div>
        <w:div w:id="2121416957">
          <w:marLeft w:val="0"/>
          <w:marRight w:val="0"/>
          <w:marTop w:val="0"/>
          <w:marBottom w:val="0"/>
          <w:divBdr>
            <w:top w:val="none" w:sz="0" w:space="0" w:color="auto"/>
            <w:left w:val="none" w:sz="0" w:space="0" w:color="auto"/>
            <w:bottom w:val="none" w:sz="0" w:space="0" w:color="auto"/>
            <w:right w:val="none" w:sz="0" w:space="0" w:color="auto"/>
          </w:divBdr>
        </w:div>
        <w:div w:id="1459684163">
          <w:marLeft w:val="0"/>
          <w:marRight w:val="0"/>
          <w:marTop w:val="0"/>
          <w:marBottom w:val="0"/>
          <w:divBdr>
            <w:top w:val="none" w:sz="0" w:space="0" w:color="auto"/>
            <w:left w:val="none" w:sz="0" w:space="0" w:color="auto"/>
            <w:bottom w:val="none" w:sz="0" w:space="0" w:color="auto"/>
            <w:right w:val="none" w:sz="0" w:space="0" w:color="auto"/>
          </w:divBdr>
        </w:div>
        <w:div w:id="847599159">
          <w:marLeft w:val="0"/>
          <w:marRight w:val="0"/>
          <w:marTop w:val="0"/>
          <w:marBottom w:val="0"/>
          <w:divBdr>
            <w:top w:val="none" w:sz="0" w:space="0" w:color="auto"/>
            <w:left w:val="none" w:sz="0" w:space="0" w:color="auto"/>
            <w:bottom w:val="none" w:sz="0" w:space="0" w:color="auto"/>
            <w:right w:val="none" w:sz="0" w:space="0" w:color="auto"/>
          </w:divBdr>
        </w:div>
        <w:div w:id="795175119">
          <w:marLeft w:val="0"/>
          <w:marRight w:val="0"/>
          <w:marTop w:val="0"/>
          <w:marBottom w:val="0"/>
          <w:divBdr>
            <w:top w:val="none" w:sz="0" w:space="0" w:color="auto"/>
            <w:left w:val="none" w:sz="0" w:space="0" w:color="auto"/>
            <w:bottom w:val="none" w:sz="0" w:space="0" w:color="auto"/>
            <w:right w:val="none" w:sz="0" w:space="0" w:color="auto"/>
          </w:divBdr>
        </w:div>
        <w:div w:id="1666785539">
          <w:marLeft w:val="0"/>
          <w:marRight w:val="0"/>
          <w:marTop w:val="0"/>
          <w:marBottom w:val="0"/>
          <w:divBdr>
            <w:top w:val="none" w:sz="0" w:space="0" w:color="auto"/>
            <w:left w:val="none" w:sz="0" w:space="0" w:color="auto"/>
            <w:bottom w:val="none" w:sz="0" w:space="0" w:color="auto"/>
            <w:right w:val="none" w:sz="0" w:space="0" w:color="auto"/>
          </w:divBdr>
        </w:div>
        <w:div w:id="1893033985">
          <w:marLeft w:val="0"/>
          <w:marRight w:val="0"/>
          <w:marTop w:val="0"/>
          <w:marBottom w:val="0"/>
          <w:divBdr>
            <w:top w:val="none" w:sz="0" w:space="0" w:color="auto"/>
            <w:left w:val="none" w:sz="0" w:space="0" w:color="auto"/>
            <w:bottom w:val="none" w:sz="0" w:space="0" w:color="auto"/>
            <w:right w:val="none" w:sz="0" w:space="0" w:color="auto"/>
          </w:divBdr>
        </w:div>
        <w:div w:id="52388461">
          <w:marLeft w:val="0"/>
          <w:marRight w:val="0"/>
          <w:marTop w:val="0"/>
          <w:marBottom w:val="0"/>
          <w:divBdr>
            <w:top w:val="none" w:sz="0" w:space="0" w:color="auto"/>
            <w:left w:val="none" w:sz="0" w:space="0" w:color="auto"/>
            <w:bottom w:val="none" w:sz="0" w:space="0" w:color="auto"/>
            <w:right w:val="none" w:sz="0" w:space="0" w:color="auto"/>
          </w:divBdr>
        </w:div>
        <w:div w:id="301740053">
          <w:marLeft w:val="0"/>
          <w:marRight w:val="0"/>
          <w:marTop w:val="0"/>
          <w:marBottom w:val="0"/>
          <w:divBdr>
            <w:top w:val="none" w:sz="0" w:space="0" w:color="auto"/>
            <w:left w:val="none" w:sz="0" w:space="0" w:color="auto"/>
            <w:bottom w:val="none" w:sz="0" w:space="0" w:color="auto"/>
            <w:right w:val="none" w:sz="0" w:space="0" w:color="auto"/>
          </w:divBdr>
        </w:div>
        <w:div w:id="747264121">
          <w:marLeft w:val="0"/>
          <w:marRight w:val="0"/>
          <w:marTop w:val="0"/>
          <w:marBottom w:val="0"/>
          <w:divBdr>
            <w:top w:val="none" w:sz="0" w:space="0" w:color="auto"/>
            <w:left w:val="none" w:sz="0" w:space="0" w:color="auto"/>
            <w:bottom w:val="none" w:sz="0" w:space="0" w:color="auto"/>
            <w:right w:val="none" w:sz="0" w:space="0" w:color="auto"/>
          </w:divBdr>
        </w:div>
        <w:div w:id="1162817388">
          <w:marLeft w:val="0"/>
          <w:marRight w:val="0"/>
          <w:marTop w:val="0"/>
          <w:marBottom w:val="0"/>
          <w:divBdr>
            <w:top w:val="none" w:sz="0" w:space="0" w:color="auto"/>
            <w:left w:val="none" w:sz="0" w:space="0" w:color="auto"/>
            <w:bottom w:val="none" w:sz="0" w:space="0" w:color="auto"/>
            <w:right w:val="none" w:sz="0" w:space="0" w:color="auto"/>
          </w:divBdr>
        </w:div>
        <w:div w:id="1500388871">
          <w:marLeft w:val="0"/>
          <w:marRight w:val="0"/>
          <w:marTop w:val="0"/>
          <w:marBottom w:val="0"/>
          <w:divBdr>
            <w:top w:val="none" w:sz="0" w:space="0" w:color="auto"/>
            <w:left w:val="none" w:sz="0" w:space="0" w:color="auto"/>
            <w:bottom w:val="none" w:sz="0" w:space="0" w:color="auto"/>
            <w:right w:val="none" w:sz="0" w:space="0" w:color="auto"/>
          </w:divBdr>
        </w:div>
        <w:div w:id="2082676599">
          <w:marLeft w:val="0"/>
          <w:marRight w:val="0"/>
          <w:marTop w:val="0"/>
          <w:marBottom w:val="0"/>
          <w:divBdr>
            <w:top w:val="none" w:sz="0" w:space="0" w:color="auto"/>
            <w:left w:val="none" w:sz="0" w:space="0" w:color="auto"/>
            <w:bottom w:val="none" w:sz="0" w:space="0" w:color="auto"/>
            <w:right w:val="none" w:sz="0" w:space="0" w:color="auto"/>
          </w:divBdr>
        </w:div>
        <w:div w:id="773476396">
          <w:marLeft w:val="0"/>
          <w:marRight w:val="0"/>
          <w:marTop w:val="0"/>
          <w:marBottom w:val="0"/>
          <w:divBdr>
            <w:top w:val="none" w:sz="0" w:space="0" w:color="auto"/>
            <w:left w:val="none" w:sz="0" w:space="0" w:color="auto"/>
            <w:bottom w:val="none" w:sz="0" w:space="0" w:color="auto"/>
            <w:right w:val="none" w:sz="0" w:space="0" w:color="auto"/>
          </w:divBdr>
        </w:div>
        <w:div w:id="1206676503">
          <w:marLeft w:val="0"/>
          <w:marRight w:val="0"/>
          <w:marTop w:val="0"/>
          <w:marBottom w:val="0"/>
          <w:divBdr>
            <w:top w:val="none" w:sz="0" w:space="0" w:color="auto"/>
            <w:left w:val="none" w:sz="0" w:space="0" w:color="auto"/>
            <w:bottom w:val="none" w:sz="0" w:space="0" w:color="auto"/>
            <w:right w:val="none" w:sz="0" w:space="0" w:color="auto"/>
          </w:divBdr>
        </w:div>
        <w:div w:id="1443458993">
          <w:marLeft w:val="0"/>
          <w:marRight w:val="0"/>
          <w:marTop w:val="0"/>
          <w:marBottom w:val="0"/>
          <w:divBdr>
            <w:top w:val="none" w:sz="0" w:space="0" w:color="auto"/>
            <w:left w:val="none" w:sz="0" w:space="0" w:color="auto"/>
            <w:bottom w:val="none" w:sz="0" w:space="0" w:color="auto"/>
            <w:right w:val="none" w:sz="0" w:space="0" w:color="auto"/>
          </w:divBdr>
        </w:div>
        <w:div w:id="2086604615">
          <w:marLeft w:val="0"/>
          <w:marRight w:val="0"/>
          <w:marTop w:val="0"/>
          <w:marBottom w:val="0"/>
          <w:divBdr>
            <w:top w:val="none" w:sz="0" w:space="0" w:color="auto"/>
            <w:left w:val="none" w:sz="0" w:space="0" w:color="auto"/>
            <w:bottom w:val="none" w:sz="0" w:space="0" w:color="auto"/>
            <w:right w:val="none" w:sz="0" w:space="0" w:color="auto"/>
          </w:divBdr>
        </w:div>
        <w:div w:id="709648601">
          <w:marLeft w:val="0"/>
          <w:marRight w:val="0"/>
          <w:marTop w:val="0"/>
          <w:marBottom w:val="0"/>
          <w:divBdr>
            <w:top w:val="none" w:sz="0" w:space="0" w:color="auto"/>
            <w:left w:val="none" w:sz="0" w:space="0" w:color="auto"/>
            <w:bottom w:val="none" w:sz="0" w:space="0" w:color="auto"/>
            <w:right w:val="none" w:sz="0" w:space="0" w:color="auto"/>
          </w:divBdr>
        </w:div>
        <w:div w:id="2008823850">
          <w:marLeft w:val="0"/>
          <w:marRight w:val="0"/>
          <w:marTop w:val="0"/>
          <w:marBottom w:val="0"/>
          <w:divBdr>
            <w:top w:val="none" w:sz="0" w:space="0" w:color="auto"/>
            <w:left w:val="none" w:sz="0" w:space="0" w:color="auto"/>
            <w:bottom w:val="none" w:sz="0" w:space="0" w:color="auto"/>
            <w:right w:val="none" w:sz="0" w:space="0" w:color="auto"/>
          </w:divBdr>
        </w:div>
        <w:div w:id="1282034695">
          <w:marLeft w:val="0"/>
          <w:marRight w:val="0"/>
          <w:marTop w:val="0"/>
          <w:marBottom w:val="0"/>
          <w:divBdr>
            <w:top w:val="none" w:sz="0" w:space="0" w:color="auto"/>
            <w:left w:val="none" w:sz="0" w:space="0" w:color="auto"/>
            <w:bottom w:val="none" w:sz="0" w:space="0" w:color="auto"/>
            <w:right w:val="none" w:sz="0" w:space="0" w:color="auto"/>
          </w:divBdr>
        </w:div>
        <w:div w:id="1309750068">
          <w:marLeft w:val="0"/>
          <w:marRight w:val="0"/>
          <w:marTop w:val="0"/>
          <w:marBottom w:val="0"/>
          <w:divBdr>
            <w:top w:val="none" w:sz="0" w:space="0" w:color="auto"/>
            <w:left w:val="none" w:sz="0" w:space="0" w:color="auto"/>
            <w:bottom w:val="none" w:sz="0" w:space="0" w:color="auto"/>
            <w:right w:val="none" w:sz="0" w:space="0" w:color="auto"/>
          </w:divBdr>
        </w:div>
        <w:div w:id="1854032433">
          <w:marLeft w:val="0"/>
          <w:marRight w:val="0"/>
          <w:marTop w:val="0"/>
          <w:marBottom w:val="0"/>
          <w:divBdr>
            <w:top w:val="none" w:sz="0" w:space="0" w:color="auto"/>
            <w:left w:val="none" w:sz="0" w:space="0" w:color="auto"/>
            <w:bottom w:val="none" w:sz="0" w:space="0" w:color="auto"/>
            <w:right w:val="none" w:sz="0" w:space="0" w:color="auto"/>
          </w:divBdr>
        </w:div>
        <w:div w:id="1232539928">
          <w:marLeft w:val="0"/>
          <w:marRight w:val="0"/>
          <w:marTop w:val="0"/>
          <w:marBottom w:val="0"/>
          <w:divBdr>
            <w:top w:val="none" w:sz="0" w:space="0" w:color="auto"/>
            <w:left w:val="none" w:sz="0" w:space="0" w:color="auto"/>
            <w:bottom w:val="none" w:sz="0" w:space="0" w:color="auto"/>
            <w:right w:val="none" w:sz="0" w:space="0" w:color="auto"/>
          </w:divBdr>
        </w:div>
        <w:div w:id="1068727493">
          <w:marLeft w:val="0"/>
          <w:marRight w:val="0"/>
          <w:marTop w:val="0"/>
          <w:marBottom w:val="0"/>
          <w:divBdr>
            <w:top w:val="none" w:sz="0" w:space="0" w:color="auto"/>
            <w:left w:val="none" w:sz="0" w:space="0" w:color="auto"/>
            <w:bottom w:val="none" w:sz="0" w:space="0" w:color="auto"/>
            <w:right w:val="none" w:sz="0" w:space="0" w:color="auto"/>
          </w:divBdr>
        </w:div>
        <w:div w:id="860167380">
          <w:marLeft w:val="0"/>
          <w:marRight w:val="0"/>
          <w:marTop w:val="0"/>
          <w:marBottom w:val="0"/>
          <w:divBdr>
            <w:top w:val="none" w:sz="0" w:space="0" w:color="auto"/>
            <w:left w:val="none" w:sz="0" w:space="0" w:color="auto"/>
            <w:bottom w:val="none" w:sz="0" w:space="0" w:color="auto"/>
            <w:right w:val="none" w:sz="0" w:space="0" w:color="auto"/>
          </w:divBdr>
        </w:div>
        <w:div w:id="2115903699">
          <w:marLeft w:val="0"/>
          <w:marRight w:val="0"/>
          <w:marTop w:val="0"/>
          <w:marBottom w:val="0"/>
          <w:divBdr>
            <w:top w:val="none" w:sz="0" w:space="0" w:color="auto"/>
            <w:left w:val="none" w:sz="0" w:space="0" w:color="auto"/>
            <w:bottom w:val="none" w:sz="0" w:space="0" w:color="auto"/>
            <w:right w:val="none" w:sz="0" w:space="0" w:color="auto"/>
          </w:divBdr>
        </w:div>
        <w:div w:id="1085608967">
          <w:marLeft w:val="0"/>
          <w:marRight w:val="0"/>
          <w:marTop w:val="0"/>
          <w:marBottom w:val="0"/>
          <w:divBdr>
            <w:top w:val="none" w:sz="0" w:space="0" w:color="auto"/>
            <w:left w:val="none" w:sz="0" w:space="0" w:color="auto"/>
            <w:bottom w:val="none" w:sz="0" w:space="0" w:color="auto"/>
            <w:right w:val="none" w:sz="0" w:space="0" w:color="auto"/>
          </w:divBdr>
        </w:div>
        <w:div w:id="1722751619">
          <w:marLeft w:val="0"/>
          <w:marRight w:val="0"/>
          <w:marTop w:val="0"/>
          <w:marBottom w:val="0"/>
          <w:divBdr>
            <w:top w:val="none" w:sz="0" w:space="0" w:color="auto"/>
            <w:left w:val="none" w:sz="0" w:space="0" w:color="auto"/>
            <w:bottom w:val="none" w:sz="0" w:space="0" w:color="auto"/>
            <w:right w:val="none" w:sz="0" w:space="0" w:color="auto"/>
          </w:divBdr>
        </w:div>
        <w:div w:id="894850851">
          <w:marLeft w:val="0"/>
          <w:marRight w:val="0"/>
          <w:marTop w:val="0"/>
          <w:marBottom w:val="0"/>
          <w:divBdr>
            <w:top w:val="none" w:sz="0" w:space="0" w:color="auto"/>
            <w:left w:val="none" w:sz="0" w:space="0" w:color="auto"/>
            <w:bottom w:val="none" w:sz="0" w:space="0" w:color="auto"/>
            <w:right w:val="none" w:sz="0" w:space="0" w:color="auto"/>
          </w:divBdr>
        </w:div>
        <w:div w:id="90930949">
          <w:marLeft w:val="0"/>
          <w:marRight w:val="0"/>
          <w:marTop w:val="0"/>
          <w:marBottom w:val="0"/>
          <w:divBdr>
            <w:top w:val="none" w:sz="0" w:space="0" w:color="auto"/>
            <w:left w:val="none" w:sz="0" w:space="0" w:color="auto"/>
            <w:bottom w:val="none" w:sz="0" w:space="0" w:color="auto"/>
            <w:right w:val="none" w:sz="0" w:space="0" w:color="auto"/>
          </w:divBdr>
        </w:div>
        <w:div w:id="119030671">
          <w:marLeft w:val="0"/>
          <w:marRight w:val="0"/>
          <w:marTop w:val="0"/>
          <w:marBottom w:val="0"/>
          <w:divBdr>
            <w:top w:val="none" w:sz="0" w:space="0" w:color="auto"/>
            <w:left w:val="none" w:sz="0" w:space="0" w:color="auto"/>
            <w:bottom w:val="none" w:sz="0" w:space="0" w:color="auto"/>
            <w:right w:val="none" w:sz="0" w:space="0" w:color="auto"/>
          </w:divBdr>
        </w:div>
        <w:div w:id="1833715065">
          <w:marLeft w:val="0"/>
          <w:marRight w:val="0"/>
          <w:marTop w:val="0"/>
          <w:marBottom w:val="0"/>
          <w:divBdr>
            <w:top w:val="none" w:sz="0" w:space="0" w:color="auto"/>
            <w:left w:val="none" w:sz="0" w:space="0" w:color="auto"/>
            <w:bottom w:val="none" w:sz="0" w:space="0" w:color="auto"/>
            <w:right w:val="none" w:sz="0" w:space="0" w:color="auto"/>
          </w:divBdr>
        </w:div>
        <w:div w:id="1397970114">
          <w:marLeft w:val="0"/>
          <w:marRight w:val="0"/>
          <w:marTop w:val="0"/>
          <w:marBottom w:val="0"/>
          <w:divBdr>
            <w:top w:val="none" w:sz="0" w:space="0" w:color="auto"/>
            <w:left w:val="none" w:sz="0" w:space="0" w:color="auto"/>
            <w:bottom w:val="none" w:sz="0" w:space="0" w:color="auto"/>
            <w:right w:val="none" w:sz="0" w:space="0" w:color="auto"/>
          </w:divBdr>
        </w:div>
        <w:div w:id="1138912565">
          <w:marLeft w:val="0"/>
          <w:marRight w:val="0"/>
          <w:marTop w:val="0"/>
          <w:marBottom w:val="0"/>
          <w:divBdr>
            <w:top w:val="none" w:sz="0" w:space="0" w:color="auto"/>
            <w:left w:val="none" w:sz="0" w:space="0" w:color="auto"/>
            <w:bottom w:val="none" w:sz="0" w:space="0" w:color="auto"/>
            <w:right w:val="none" w:sz="0" w:space="0" w:color="auto"/>
          </w:divBdr>
        </w:div>
        <w:div w:id="692606939">
          <w:marLeft w:val="0"/>
          <w:marRight w:val="0"/>
          <w:marTop w:val="0"/>
          <w:marBottom w:val="0"/>
          <w:divBdr>
            <w:top w:val="none" w:sz="0" w:space="0" w:color="auto"/>
            <w:left w:val="none" w:sz="0" w:space="0" w:color="auto"/>
            <w:bottom w:val="none" w:sz="0" w:space="0" w:color="auto"/>
            <w:right w:val="none" w:sz="0" w:space="0" w:color="auto"/>
          </w:divBdr>
        </w:div>
        <w:div w:id="86389943">
          <w:marLeft w:val="0"/>
          <w:marRight w:val="0"/>
          <w:marTop w:val="0"/>
          <w:marBottom w:val="0"/>
          <w:divBdr>
            <w:top w:val="none" w:sz="0" w:space="0" w:color="auto"/>
            <w:left w:val="none" w:sz="0" w:space="0" w:color="auto"/>
            <w:bottom w:val="none" w:sz="0" w:space="0" w:color="auto"/>
            <w:right w:val="none" w:sz="0" w:space="0" w:color="auto"/>
          </w:divBdr>
        </w:div>
        <w:div w:id="1859656995">
          <w:marLeft w:val="0"/>
          <w:marRight w:val="0"/>
          <w:marTop w:val="0"/>
          <w:marBottom w:val="0"/>
          <w:divBdr>
            <w:top w:val="none" w:sz="0" w:space="0" w:color="auto"/>
            <w:left w:val="none" w:sz="0" w:space="0" w:color="auto"/>
            <w:bottom w:val="none" w:sz="0" w:space="0" w:color="auto"/>
            <w:right w:val="none" w:sz="0" w:space="0" w:color="auto"/>
          </w:divBdr>
        </w:div>
        <w:div w:id="1522813678">
          <w:marLeft w:val="0"/>
          <w:marRight w:val="0"/>
          <w:marTop w:val="0"/>
          <w:marBottom w:val="0"/>
          <w:divBdr>
            <w:top w:val="none" w:sz="0" w:space="0" w:color="auto"/>
            <w:left w:val="none" w:sz="0" w:space="0" w:color="auto"/>
            <w:bottom w:val="none" w:sz="0" w:space="0" w:color="auto"/>
            <w:right w:val="none" w:sz="0" w:space="0" w:color="auto"/>
          </w:divBdr>
        </w:div>
        <w:div w:id="1030447238">
          <w:marLeft w:val="0"/>
          <w:marRight w:val="0"/>
          <w:marTop w:val="0"/>
          <w:marBottom w:val="0"/>
          <w:divBdr>
            <w:top w:val="none" w:sz="0" w:space="0" w:color="auto"/>
            <w:left w:val="none" w:sz="0" w:space="0" w:color="auto"/>
            <w:bottom w:val="none" w:sz="0" w:space="0" w:color="auto"/>
            <w:right w:val="none" w:sz="0" w:space="0" w:color="auto"/>
          </w:divBdr>
        </w:div>
        <w:div w:id="649553211">
          <w:marLeft w:val="0"/>
          <w:marRight w:val="0"/>
          <w:marTop w:val="0"/>
          <w:marBottom w:val="0"/>
          <w:divBdr>
            <w:top w:val="none" w:sz="0" w:space="0" w:color="auto"/>
            <w:left w:val="none" w:sz="0" w:space="0" w:color="auto"/>
            <w:bottom w:val="none" w:sz="0" w:space="0" w:color="auto"/>
            <w:right w:val="none" w:sz="0" w:space="0" w:color="auto"/>
          </w:divBdr>
        </w:div>
        <w:div w:id="691884643">
          <w:marLeft w:val="0"/>
          <w:marRight w:val="0"/>
          <w:marTop w:val="0"/>
          <w:marBottom w:val="0"/>
          <w:divBdr>
            <w:top w:val="none" w:sz="0" w:space="0" w:color="auto"/>
            <w:left w:val="none" w:sz="0" w:space="0" w:color="auto"/>
            <w:bottom w:val="none" w:sz="0" w:space="0" w:color="auto"/>
            <w:right w:val="none" w:sz="0" w:space="0" w:color="auto"/>
          </w:divBdr>
        </w:div>
        <w:div w:id="922033488">
          <w:marLeft w:val="0"/>
          <w:marRight w:val="0"/>
          <w:marTop w:val="0"/>
          <w:marBottom w:val="0"/>
          <w:divBdr>
            <w:top w:val="none" w:sz="0" w:space="0" w:color="auto"/>
            <w:left w:val="none" w:sz="0" w:space="0" w:color="auto"/>
            <w:bottom w:val="none" w:sz="0" w:space="0" w:color="auto"/>
            <w:right w:val="none" w:sz="0" w:space="0" w:color="auto"/>
          </w:divBdr>
        </w:div>
        <w:div w:id="160315289">
          <w:marLeft w:val="0"/>
          <w:marRight w:val="0"/>
          <w:marTop w:val="0"/>
          <w:marBottom w:val="0"/>
          <w:divBdr>
            <w:top w:val="none" w:sz="0" w:space="0" w:color="auto"/>
            <w:left w:val="none" w:sz="0" w:space="0" w:color="auto"/>
            <w:bottom w:val="none" w:sz="0" w:space="0" w:color="auto"/>
            <w:right w:val="none" w:sz="0" w:space="0" w:color="auto"/>
          </w:divBdr>
        </w:div>
        <w:div w:id="1965428719">
          <w:marLeft w:val="0"/>
          <w:marRight w:val="0"/>
          <w:marTop w:val="0"/>
          <w:marBottom w:val="0"/>
          <w:divBdr>
            <w:top w:val="none" w:sz="0" w:space="0" w:color="auto"/>
            <w:left w:val="none" w:sz="0" w:space="0" w:color="auto"/>
            <w:bottom w:val="none" w:sz="0" w:space="0" w:color="auto"/>
            <w:right w:val="none" w:sz="0" w:space="0" w:color="auto"/>
          </w:divBdr>
        </w:div>
        <w:div w:id="1353992312">
          <w:marLeft w:val="0"/>
          <w:marRight w:val="0"/>
          <w:marTop w:val="0"/>
          <w:marBottom w:val="0"/>
          <w:divBdr>
            <w:top w:val="none" w:sz="0" w:space="0" w:color="auto"/>
            <w:left w:val="none" w:sz="0" w:space="0" w:color="auto"/>
            <w:bottom w:val="none" w:sz="0" w:space="0" w:color="auto"/>
            <w:right w:val="none" w:sz="0" w:space="0" w:color="auto"/>
          </w:divBdr>
        </w:div>
        <w:div w:id="1310285234">
          <w:marLeft w:val="0"/>
          <w:marRight w:val="0"/>
          <w:marTop w:val="0"/>
          <w:marBottom w:val="0"/>
          <w:divBdr>
            <w:top w:val="none" w:sz="0" w:space="0" w:color="auto"/>
            <w:left w:val="none" w:sz="0" w:space="0" w:color="auto"/>
            <w:bottom w:val="none" w:sz="0" w:space="0" w:color="auto"/>
            <w:right w:val="none" w:sz="0" w:space="0" w:color="auto"/>
          </w:divBdr>
        </w:div>
        <w:div w:id="135924151">
          <w:marLeft w:val="0"/>
          <w:marRight w:val="0"/>
          <w:marTop w:val="0"/>
          <w:marBottom w:val="0"/>
          <w:divBdr>
            <w:top w:val="none" w:sz="0" w:space="0" w:color="auto"/>
            <w:left w:val="none" w:sz="0" w:space="0" w:color="auto"/>
            <w:bottom w:val="none" w:sz="0" w:space="0" w:color="auto"/>
            <w:right w:val="none" w:sz="0" w:space="0" w:color="auto"/>
          </w:divBdr>
        </w:div>
        <w:div w:id="1244030888">
          <w:marLeft w:val="0"/>
          <w:marRight w:val="0"/>
          <w:marTop w:val="0"/>
          <w:marBottom w:val="0"/>
          <w:divBdr>
            <w:top w:val="none" w:sz="0" w:space="0" w:color="auto"/>
            <w:left w:val="none" w:sz="0" w:space="0" w:color="auto"/>
            <w:bottom w:val="none" w:sz="0" w:space="0" w:color="auto"/>
            <w:right w:val="none" w:sz="0" w:space="0" w:color="auto"/>
          </w:divBdr>
        </w:div>
        <w:div w:id="1284578710">
          <w:marLeft w:val="0"/>
          <w:marRight w:val="0"/>
          <w:marTop w:val="0"/>
          <w:marBottom w:val="0"/>
          <w:divBdr>
            <w:top w:val="none" w:sz="0" w:space="0" w:color="auto"/>
            <w:left w:val="none" w:sz="0" w:space="0" w:color="auto"/>
            <w:bottom w:val="none" w:sz="0" w:space="0" w:color="auto"/>
            <w:right w:val="none" w:sz="0" w:space="0" w:color="auto"/>
          </w:divBdr>
        </w:div>
        <w:div w:id="349067458">
          <w:marLeft w:val="0"/>
          <w:marRight w:val="0"/>
          <w:marTop w:val="0"/>
          <w:marBottom w:val="0"/>
          <w:divBdr>
            <w:top w:val="none" w:sz="0" w:space="0" w:color="auto"/>
            <w:left w:val="none" w:sz="0" w:space="0" w:color="auto"/>
            <w:bottom w:val="none" w:sz="0" w:space="0" w:color="auto"/>
            <w:right w:val="none" w:sz="0" w:space="0" w:color="auto"/>
          </w:divBdr>
        </w:div>
        <w:div w:id="990065362">
          <w:marLeft w:val="0"/>
          <w:marRight w:val="0"/>
          <w:marTop w:val="0"/>
          <w:marBottom w:val="0"/>
          <w:divBdr>
            <w:top w:val="none" w:sz="0" w:space="0" w:color="auto"/>
            <w:left w:val="none" w:sz="0" w:space="0" w:color="auto"/>
            <w:bottom w:val="none" w:sz="0" w:space="0" w:color="auto"/>
            <w:right w:val="none" w:sz="0" w:space="0" w:color="auto"/>
          </w:divBdr>
        </w:div>
        <w:div w:id="1172915627">
          <w:marLeft w:val="0"/>
          <w:marRight w:val="0"/>
          <w:marTop w:val="0"/>
          <w:marBottom w:val="0"/>
          <w:divBdr>
            <w:top w:val="none" w:sz="0" w:space="0" w:color="auto"/>
            <w:left w:val="none" w:sz="0" w:space="0" w:color="auto"/>
            <w:bottom w:val="none" w:sz="0" w:space="0" w:color="auto"/>
            <w:right w:val="none" w:sz="0" w:space="0" w:color="auto"/>
          </w:divBdr>
        </w:div>
        <w:div w:id="1545483031">
          <w:marLeft w:val="0"/>
          <w:marRight w:val="0"/>
          <w:marTop w:val="0"/>
          <w:marBottom w:val="0"/>
          <w:divBdr>
            <w:top w:val="none" w:sz="0" w:space="0" w:color="auto"/>
            <w:left w:val="none" w:sz="0" w:space="0" w:color="auto"/>
            <w:bottom w:val="none" w:sz="0" w:space="0" w:color="auto"/>
            <w:right w:val="none" w:sz="0" w:space="0" w:color="auto"/>
          </w:divBdr>
        </w:div>
        <w:div w:id="65037611">
          <w:marLeft w:val="0"/>
          <w:marRight w:val="0"/>
          <w:marTop w:val="0"/>
          <w:marBottom w:val="0"/>
          <w:divBdr>
            <w:top w:val="none" w:sz="0" w:space="0" w:color="auto"/>
            <w:left w:val="none" w:sz="0" w:space="0" w:color="auto"/>
            <w:bottom w:val="none" w:sz="0" w:space="0" w:color="auto"/>
            <w:right w:val="none" w:sz="0" w:space="0" w:color="auto"/>
          </w:divBdr>
        </w:div>
        <w:div w:id="1521774108">
          <w:marLeft w:val="0"/>
          <w:marRight w:val="0"/>
          <w:marTop w:val="0"/>
          <w:marBottom w:val="0"/>
          <w:divBdr>
            <w:top w:val="none" w:sz="0" w:space="0" w:color="auto"/>
            <w:left w:val="none" w:sz="0" w:space="0" w:color="auto"/>
            <w:bottom w:val="none" w:sz="0" w:space="0" w:color="auto"/>
            <w:right w:val="none" w:sz="0" w:space="0" w:color="auto"/>
          </w:divBdr>
        </w:div>
        <w:div w:id="1276406366">
          <w:marLeft w:val="0"/>
          <w:marRight w:val="0"/>
          <w:marTop w:val="0"/>
          <w:marBottom w:val="0"/>
          <w:divBdr>
            <w:top w:val="none" w:sz="0" w:space="0" w:color="auto"/>
            <w:left w:val="none" w:sz="0" w:space="0" w:color="auto"/>
            <w:bottom w:val="none" w:sz="0" w:space="0" w:color="auto"/>
            <w:right w:val="none" w:sz="0" w:space="0" w:color="auto"/>
          </w:divBdr>
        </w:div>
        <w:div w:id="981228271">
          <w:marLeft w:val="0"/>
          <w:marRight w:val="0"/>
          <w:marTop w:val="0"/>
          <w:marBottom w:val="0"/>
          <w:divBdr>
            <w:top w:val="none" w:sz="0" w:space="0" w:color="auto"/>
            <w:left w:val="none" w:sz="0" w:space="0" w:color="auto"/>
            <w:bottom w:val="none" w:sz="0" w:space="0" w:color="auto"/>
            <w:right w:val="none" w:sz="0" w:space="0" w:color="auto"/>
          </w:divBdr>
        </w:div>
        <w:div w:id="751663181">
          <w:marLeft w:val="0"/>
          <w:marRight w:val="0"/>
          <w:marTop w:val="0"/>
          <w:marBottom w:val="0"/>
          <w:divBdr>
            <w:top w:val="none" w:sz="0" w:space="0" w:color="auto"/>
            <w:left w:val="none" w:sz="0" w:space="0" w:color="auto"/>
            <w:bottom w:val="none" w:sz="0" w:space="0" w:color="auto"/>
            <w:right w:val="none" w:sz="0" w:space="0" w:color="auto"/>
          </w:divBdr>
        </w:div>
        <w:div w:id="1265188477">
          <w:marLeft w:val="0"/>
          <w:marRight w:val="0"/>
          <w:marTop w:val="0"/>
          <w:marBottom w:val="0"/>
          <w:divBdr>
            <w:top w:val="none" w:sz="0" w:space="0" w:color="auto"/>
            <w:left w:val="none" w:sz="0" w:space="0" w:color="auto"/>
            <w:bottom w:val="none" w:sz="0" w:space="0" w:color="auto"/>
            <w:right w:val="none" w:sz="0" w:space="0" w:color="auto"/>
          </w:divBdr>
        </w:div>
        <w:div w:id="1766337668">
          <w:marLeft w:val="0"/>
          <w:marRight w:val="0"/>
          <w:marTop w:val="0"/>
          <w:marBottom w:val="0"/>
          <w:divBdr>
            <w:top w:val="none" w:sz="0" w:space="0" w:color="auto"/>
            <w:left w:val="none" w:sz="0" w:space="0" w:color="auto"/>
            <w:bottom w:val="none" w:sz="0" w:space="0" w:color="auto"/>
            <w:right w:val="none" w:sz="0" w:space="0" w:color="auto"/>
          </w:divBdr>
        </w:div>
        <w:div w:id="1257714809">
          <w:marLeft w:val="0"/>
          <w:marRight w:val="0"/>
          <w:marTop w:val="0"/>
          <w:marBottom w:val="0"/>
          <w:divBdr>
            <w:top w:val="none" w:sz="0" w:space="0" w:color="auto"/>
            <w:left w:val="none" w:sz="0" w:space="0" w:color="auto"/>
            <w:bottom w:val="none" w:sz="0" w:space="0" w:color="auto"/>
            <w:right w:val="none" w:sz="0" w:space="0" w:color="auto"/>
          </w:divBdr>
        </w:div>
        <w:div w:id="243759476">
          <w:marLeft w:val="0"/>
          <w:marRight w:val="0"/>
          <w:marTop w:val="0"/>
          <w:marBottom w:val="0"/>
          <w:divBdr>
            <w:top w:val="none" w:sz="0" w:space="0" w:color="auto"/>
            <w:left w:val="none" w:sz="0" w:space="0" w:color="auto"/>
            <w:bottom w:val="none" w:sz="0" w:space="0" w:color="auto"/>
            <w:right w:val="none" w:sz="0" w:space="0" w:color="auto"/>
          </w:divBdr>
        </w:div>
        <w:div w:id="2122071859">
          <w:marLeft w:val="0"/>
          <w:marRight w:val="0"/>
          <w:marTop w:val="0"/>
          <w:marBottom w:val="0"/>
          <w:divBdr>
            <w:top w:val="none" w:sz="0" w:space="0" w:color="auto"/>
            <w:left w:val="none" w:sz="0" w:space="0" w:color="auto"/>
            <w:bottom w:val="none" w:sz="0" w:space="0" w:color="auto"/>
            <w:right w:val="none" w:sz="0" w:space="0" w:color="auto"/>
          </w:divBdr>
        </w:div>
        <w:div w:id="574781869">
          <w:marLeft w:val="0"/>
          <w:marRight w:val="0"/>
          <w:marTop w:val="0"/>
          <w:marBottom w:val="0"/>
          <w:divBdr>
            <w:top w:val="none" w:sz="0" w:space="0" w:color="auto"/>
            <w:left w:val="none" w:sz="0" w:space="0" w:color="auto"/>
            <w:bottom w:val="none" w:sz="0" w:space="0" w:color="auto"/>
            <w:right w:val="none" w:sz="0" w:space="0" w:color="auto"/>
          </w:divBdr>
        </w:div>
        <w:div w:id="382749800">
          <w:marLeft w:val="0"/>
          <w:marRight w:val="0"/>
          <w:marTop w:val="0"/>
          <w:marBottom w:val="0"/>
          <w:divBdr>
            <w:top w:val="none" w:sz="0" w:space="0" w:color="auto"/>
            <w:left w:val="none" w:sz="0" w:space="0" w:color="auto"/>
            <w:bottom w:val="none" w:sz="0" w:space="0" w:color="auto"/>
            <w:right w:val="none" w:sz="0" w:space="0" w:color="auto"/>
          </w:divBdr>
        </w:div>
        <w:div w:id="1134327271">
          <w:marLeft w:val="0"/>
          <w:marRight w:val="0"/>
          <w:marTop w:val="0"/>
          <w:marBottom w:val="0"/>
          <w:divBdr>
            <w:top w:val="none" w:sz="0" w:space="0" w:color="auto"/>
            <w:left w:val="none" w:sz="0" w:space="0" w:color="auto"/>
            <w:bottom w:val="none" w:sz="0" w:space="0" w:color="auto"/>
            <w:right w:val="none" w:sz="0" w:space="0" w:color="auto"/>
          </w:divBdr>
        </w:div>
        <w:div w:id="959653820">
          <w:marLeft w:val="0"/>
          <w:marRight w:val="0"/>
          <w:marTop w:val="0"/>
          <w:marBottom w:val="0"/>
          <w:divBdr>
            <w:top w:val="none" w:sz="0" w:space="0" w:color="auto"/>
            <w:left w:val="none" w:sz="0" w:space="0" w:color="auto"/>
            <w:bottom w:val="none" w:sz="0" w:space="0" w:color="auto"/>
            <w:right w:val="none" w:sz="0" w:space="0" w:color="auto"/>
          </w:divBdr>
        </w:div>
        <w:div w:id="1891306618">
          <w:marLeft w:val="0"/>
          <w:marRight w:val="0"/>
          <w:marTop w:val="0"/>
          <w:marBottom w:val="0"/>
          <w:divBdr>
            <w:top w:val="none" w:sz="0" w:space="0" w:color="auto"/>
            <w:left w:val="none" w:sz="0" w:space="0" w:color="auto"/>
            <w:bottom w:val="none" w:sz="0" w:space="0" w:color="auto"/>
            <w:right w:val="none" w:sz="0" w:space="0" w:color="auto"/>
          </w:divBdr>
        </w:div>
        <w:div w:id="820805625">
          <w:marLeft w:val="0"/>
          <w:marRight w:val="0"/>
          <w:marTop w:val="0"/>
          <w:marBottom w:val="0"/>
          <w:divBdr>
            <w:top w:val="none" w:sz="0" w:space="0" w:color="auto"/>
            <w:left w:val="none" w:sz="0" w:space="0" w:color="auto"/>
            <w:bottom w:val="none" w:sz="0" w:space="0" w:color="auto"/>
            <w:right w:val="none" w:sz="0" w:space="0" w:color="auto"/>
          </w:divBdr>
        </w:div>
        <w:div w:id="742919409">
          <w:marLeft w:val="0"/>
          <w:marRight w:val="0"/>
          <w:marTop w:val="0"/>
          <w:marBottom w:val="0"/>
          <w:divBdr>
            <w:top w:val="none" w:sz="0" w:space="0" w:color="auto"/>
            <w:left w:val="none" w:sz="0" w:space="0" w:color="auto"/>
            <w:bottom w:val="none" w:sz="0" w:space="0" w:color="auto"/>
            <w:right w:val="none" w:sz="0" w:space="0" w:color="auto"/>
          </w:divBdr>
        </w:div>
        <w:div w:id="94139586">
          <w:marLeft w:val="0"/>
          <w:marRight w:val="0"/>
          <w:marTop w:val="0"/>
          <w:marBottom w:val="0"/>
          <w:divBdr>
            <w:top w:val="none" w:sz="0" w:space="0" w:color="auto"/>
            <w:left w:val="none" w:sz="0" w:space="0" w:color="auto"/>
            <w:bottom w:val="none" w:sz="0" w:space="0" w:color="auto"/>
            <w:right w:val="none" w:sz="0" w:space="0" w:color="auto"/>
          </w:divBdr>
        </w:div>
        <w:div w:id="1886867465">
          <w:marLeft w:val="0"/>
          <w:marRight w:val="0"/>
          <w:marTop w:val="0"/>
          <w:marBottom w:val="0"/>
          <w:divBdr>
            <w:top w:val="none" w:sz="0" w:space="0" w:color="auto"/>
            <w:left w:val="none" w:sz="0" w:space="0" w:color="auto"/>
            <w:bottom w:val="none" w:sz="0" w:space="0" w:color="auto"/>
            <w:right w:val="none" w:sz="0" w:space="0" w:color="auto"/>
          </w:divBdr>
        </w:div>
        <w:div w:id="44455862">
          <w:marLeft w:val="0"/>
          <w:marRight w:val="0"/>
          <w:marTop w:val="0"/>
          <w:marBottom w:val="0"/>
          <w:divBdr>
            <w:top w:val="none" w:sz="0" w:space="0" w:color="auto"/>
            <w:left w:val="none" w:sz="0" w:space="0" w:color="auto"/>
            <w:bottom w:val="none" w:sz="0" w:space="0" w:color="auto"/>
            <w:right w:val="none" w:sz="0" w:space="0" w:color="auto"/>
          </w:divBdr>
        </w:div>
        <w:div w:id="1950043833">
          <w:marLeft w:val="0"/>
          <w:marRight w:val="0"/>
          <w:marTop w:val="0"/>
          <w:marBottom w:val="0"/>
          <w:divBdr>
            <w:top w:val="none" w:sz="0" w:space="0" w:color="auto"/>
            <w:left w:val="none" w:sz="0" w:space="0" w:color="auto"/>
            <w:bottom w:val="none" w:sz="0" w:space="0" w:color="auto"/>
            <w:right w:val="none" w:sz="0" w:space="0" w:color="auto"/>
          </w:divBdr>
        </w:div>
        <w:div w:id="802238037">
          <w:marLeft w:val="0"/>
          <w:marRight w:val="0"/>
          <w:marTop w:val="0"/>
          <w:marBottom w:val="0"/>
          <w:divBdr>
            <w:top w:val="none" w:sz="0" w:space="0" w:color="auto"/>
            <w:left w:val="none" w:sz="0" w:space="0" w:color="auto"/>
            <w:bottom w:val="none" w:sz="0" w:space="0" w:color="auto"/>
            <w:right w:val="none" w:sz="0" w:space="0" w:color="auto"/>
          </w:divBdr>
        </w:div>
        <w:div w:id="192499131">
          <w:marLeft w:val="0"/>
          <w:marRight w:val="0"/>
          <w:marTop w:val="0"/>
          <w:marBottom w:val="0"/>
          <w:divBdr>
            <w:top w:val="none" w:sz="0" w:space="0" w:color="auto"/>
            <w:left w:val="none" w:sz="0" w:space="0" w:color="auto"/>
            <w:bottom w:val="none" w:sz="0" w:space="0" w:color="auto"/>
            <w:right w:val="none" w:sz="0" w:space="0" w:color="auto"/>
          </w:divBdr>
        </w:div>
        <w:div w:id="253586383">
          <w:marLeft w:val="0"/>
          <w:marRight w:val="0"/>
          <w:marTop w:val="0"/>
          <w:marBottom w:val="0"/>
          <w:divBdr>
            <w:top w:val="none" w:sz="0" w:space="0" w:color="auto"/>
            <w:left w:val="none" w:sz="0" w:space="0" w:color="auto"/>
            <w:bottom w:val="none" w:sz="0" w:space="0" w:color="auto"/>
            <w:right w:val="none" w:sz="0" w:space="0" w:color="auto"/>
          </w:divBdr>
        </w:div>
        <w:div w:id="516895445">
          <w:marLeft w:val="0"/>
          <w:marRight w:val="0"/>
          <w:marTop w:val="0"/>
          <w:marBottom w:val="0"/>
          <w:divBdr>
            <w:top w:val="none" w:sz="0" w:space="0" w:color="auto"/>
            <w:left w:val="none" w:sz="0" w:space="0" w:color="auto"/>
            <w:bottom w:val="none" w:sz="0" w:space="0" w:color="auto"/>
            <w:right w:val="none" w:sz="0" w:space="0" w:color="auto"/>
          </w:divBdr>
        </w:div>
        <w:div w:id="839006315">
          <w:marLeft w:val="0"/>
          <w:marRight w:val="0"/>
          <w:marTop w:val="0"/>
          <w:marBottom w:val="0"/>
          <w:divBdr>
            <w:top w:val="none" w:sz="0" w:space="0" w:color="auto"/>
            <w:left w:val="none" w:sz="0" w:space="0" w:color="auto"/>
            <w:bottom w:val="none" w:sz="0" w:space="0" w:color="auto"/>
            <w:right w:val="none" w:sz="0" w:space="0" w:color="auto"/>
          </w:divBdr>
        </w:div>
        <w:div w:id="1723360016">
          <w:marLeft w:val="0"/>
          <w:marRight w:val="0"/>
          <w:marTop w:val="0"/>
          <w:marBottom w:val="0"/>
          <w:divBdr>
            <w:top w:val="none" w:sz="0" w:space="0" w:color="auto"/>
            <w:left w:val="none" w:sz="0" w:space="0" w:color="auto"/>
            <w:bottom w:val="none" w:sz="0" w:space="0" w:color="auto"/>
            <w:right w:val="none" w:sz="0" w:space="0" w:color="auto"/>
          </w:divBdr>
        </w:div>
        <w:div w:id="2125612869">
          <w:marLeft w:val="0"/>
          <w:marRight w:val="0"/>
          <w:marTop w:val="0"/>
          <w:marBottom w:val="0"/>
          <w:divBdr>
            <w:top w:val="none" w:sz="0" w:space="0" w:color="auto"/>
            <w:left w:val="none" w:sz="0" w:space="0" w:color="auto"/>
            <w:bottom w:val="none" w:sz="0" w:space="0" w:color="auto"/>
            <w:right w:val="none" w:sz="0" w:space="0" w:color="auto"/>
          </w:divBdr>
        </w:div>
        <w:div w:id="788936701">
          <w:marLeft w:val="0"/>
          <w:marRight w:val="0"/>
          <w:marTop w:val="0"/>
          <w:marBottom w:val="0"/>
          <w:divBdr>
            <w:top w:val="none" w:sz="0" w:space="0" w:color="auto"/>
            <w:left w:val="none" w:sz="0" w:space="0" w:color="auto"/>
            <w:bottom w:val="none" w:sz="0" w:space="0" w:color="auto"/>
            <w:right w:val="none" w:sz="0" w:space="0" w:color="auto"/>
          </w:divBdr>
        </w:div>
        <w:div w:id="253635440">
          <w:marLeft w:val="0"/>
          <w:marRight w:val="0"/>
          <w:marTop w:val="0"/>
          <w:marBottom w:val="0"/>
          <w:divBdr>
            <w:top w:val="none" w:sz="0" w:space="0" w:color="auto"/>
            <w:left w:val="none" w:sz="0" w:space="0" w:color="auto"/>
            <w:bottom w:val="none" w:sz="0" w:space="0" w:color="auto"/>
            <w:right w:val="none" w:sz="0" w:space="0" w:color="auto"/>
          </w:divBdr>
        </w:div>
        <w:div w:id="129173330">
          <w:marLeft w:val="0"/>
          <w:marRight w:val="0"/>
          <w:marTop w:val="0"/>
          <w:marBottom w:val="0"/>
          <w:divBdr>
            <w:top w:val="none" w:sz="0" w:space="0" w:color="auto"/>
            <w:left w:val="none" w:sz="0" w:space="0" w:color="auto"/>
            <w:bottom w:val="none" w:sz="0" w:space="0" w:color="auto"/>
            <w:right w:val="none" w:sz="0" w:space="0" w:color="auto"/>
          </w:divBdr>
        </w:div>
        <w:div w:id="1527527271">
          <w:marLeft w:val="0"/>
          <w:marRight w:val="0"/>
          <w:marTop w:val="0"/>
          <w:marBottom w:val="0"/>
          <w:divBdr>
            <w:top w:val="none" w:sz="0" w:space="0" w:color="auto"/>
            <w:left w:val="none" w:sz="0" w:space="0" w:color="auto"/>
            <w:bottom w:val="none" w:sz="0" w:space="0" w:color="auto"/>
            <w:right w:val="none" w:sz="0" w:space="0" w:color="auto"/>
          </w:divBdr>
        </w:div>
        <w:div w:id="356779608">
          <w:marLeft w:val="0"/>
          <w:marRight w:val="0"/>
          <w:marTop w:val="0"/>
          <w:marBottom w:val="0"/>
          <w:divBdr>
            <w:top w:val="none" w:sz="0" w:space="0" w:color="auto"/>
            <w:left w:val="none" w:sz="0" w:space="0" w:color="auto"/>
            <w:bottom w:val="none" w:sz="0" w:space="0" w:color="auto"/>
            <w:right w:val="none" w:sz="0" w:space="0" w:color="auto"/>
          </w:divBdr>
        </w:div>
        <w:div w:id="1732071987">
          <w:marLeft w:val="0"/>
          <w:marRight w:val="0"/>
          <w:marTop w:val="0"/>
          <w:marBottom w:val="0"/>
          <w:divBdr>
            <w:top w:val="none" w:sz="0" w:space="0" w:color="auto"/>
            <w:left w:val="none" w:sz="0" w:space="0" w:color="auto"/>
            <w:bottom w:val="none" w:sz="0" w:space="0" w:color="auto"/>
            <w:right w:val="none" w:sz="0" w:space="0" w:color="auto"/>
          </w:divBdr>
        </w:div>
        <w:div w:id="350182381">
          <w:marLeft w:val="0"/>
          <w:marRight w:val="0"/>
          <w:marTop w:val="0"/>
          <w:marBottom w:val="0"/>
          <w:divBdr>
            <w:top w:val="none" w:sz="0" w:space="0" w:color="auto"/>
            <w:left w:val="none" w:sz="0" w:space="0" w:color="auto"/>
            <w:bottom w:val="none" w:sz="0" w:space="0" w:color="auto"/>
            <w:right w:val="none" w:sz="0" w:space="0" w:color="auto"/>
          </w:divBdr>
        </w:div>
        <w:div w:id="1068113188">
          <w:marLeft w:val="0"/>
          <w:marRight w:val="0"/>
          <w:marTop w:val="0"/>
          <w:marBottom w:val="0"/>
          <w:divBdr>
            <w:top w:val="none" w:sz="0" w:space="0" w:color="auto"/>
            <w:left w:val="none" w:sz="0" w:space="0" w:color="auto"/>
            <w:bottom w:val="none" w:sz="0" w:space="0" w:color="auto"/>
            <w:right w:val="none" w:sz="0" w:space="0" w:color="auto"/>
          </w:divBdr>
        </w:div>
        <w:div w:id="37512326">
          <w:marLeft w:val="0"/>
          <w:marRight w:val="0"/>
          <w:marTop w:val="0"/>
          <w:marBottom w:val="0"/>
          <w:divBdr>
            <w:top w:val="none" w:sz="0" w:space="0" w:color="auto"/>
            <w:left w:val="none" w:sz="0" w:space="0" w:color="auto"/>
            <w:bottom w:val="none" w:sz="0" w:space="0" w:color="auto"/>
            <w:right w:val="none" w:sz="0" w:space="0" w:color="auto"/>
          </w:divBdr>
        </w:div>
        <w:div w:id="190847559">
          <w:marLeft w:val="0"/>
          <w:marRight w:val="0"/>
          <w:marTop w:val="0"/>
          <w:marBottom w:val="0"/>
          <w:divBdr>
            <w:top w:val="none" w:sz="0" w:space="0" w:color="auto"/>
            <w:left w:val="none" w:sz="0" w:space="0" w:color="auto"/>
            <w:bottom w:val="none" w:sz="0" w:space="0" w:color="auto"/>
            <w:right w:val="none" w:sz="0" w:space="0" w:color="auto"/>
          </w:divBdr>
        </w:div>
        <w:div w:id="407191740">
          <w:marLeft w:val="0"/>
          <w:marRight w:val="0"/>
          <w:marTop w:val="0"/>
          <w:marBottom w:val="0"/>
          <w:divBdr>
            <w:top w:val="none" w:sz="0" w:space="0" w:color="auto"/>
            <w:left w:val="none" w:sz="0" w:space="0" w:color="auto"/>
            <w:bottom w:val="none" w:sz="0" w:space="0" w:color="auto"/>
            <w:right w:val="none" w:sz="0" w:space="0" w:color="auto"/>
          </w:divBdr>
        </w:div>
        <w:div w:id="417218669">
          <w:marLeft w:val="0"/>
          <w:marRight w:val="0"/>
          <w:marTop w:val="0"/>
          <w:marBottom w:val="0"/>
          <w:divBdr>
            <w:top w:val="none" w:sz="0" w:space="0" w:color="auto"/>
            <w:left w:val="none" w:sz="0" w:space="0" w:color="auto"/>
            <w:bottom w:val="none" w:sz="0" w:space="0" w:color="auto"/>
            <w:right w:val="none" w:sz="0" w:space="0" w:color="auto"/>
          </w:divBdr>
        </w:div>
        <w:div w:id="859005990">
          <w:marLeft w:val="0"/>
          <w:marRight w:val="0"/>
          <w:marTop w:val="0"/>
          <w:marBottom w:val="0"/>
          <w:divBdr>
            <w:top w:val="none" w:sz="0" w:space="0" w:color="auto"/>
            <w:left w:val="none" w:sz="0" w:space="0" w:color="auto"/>
            <w:bottom w:val="none" w:sz="0" w:space="0" w:color="auto"/>
            <w:right w:val="none" w:sz="0" w:space="0" w:color="auto"/>
          </w:divBdr>
        </w:div>
        <w:div w:id="765224979">
          <w:marLeft w:val="0"/>
          <w:marRight w:val="0"/>
          <w:marTop w:val="0"/>
          <w:marBottom w:val="0"/>
          <w:divBdr>
            <w:top w:val="none" w:sz="0" w:space="0" w:color="auto"/>
            <w:left w:val="none" w:sz="0" w:space="0" w:color="auto"/>
            <w:bottom w:val="none" w:sz="0" w:space="0" w:color="auto"/>
            <w:right w:val="none" w:sz="0" w:space="0" w:color="auto"/>
          </w:divBdr>
        </w:div>
        <w:div w:id="1161888052">
          <w:marLeft w:val="0"/>
          <w:marRight w:val="0"/>
          <w:marTop w:val="0"/>
          <w:marBottom w:val="0"/>
          <w:divBdr>
            <w:top w:val="none" w:sz="0" w:space="0" w:color="auto"/>
            <w:left w:val="none" w:sz="0" w:space="0" w:color="auto"/>
            <w:bottom w:val="none" w:sz="0" w:space="0" w:color="auto"/>
            <w:right w:val="none" w:sz="0" w:space="0" w:color="auto"/>
          </w:divBdr>
        </w:div>
        <w:div w:id="855314826">
          <w:marLeft w:val="0"/>
          <w:marRight w:val="0"/>
          <w:marTop w:val="0"/>
          <w:marBottom w:val="0"/>
          <w:divBdr>
            <w:top w:val="none" w:sz="0" w:space="0" w:color="auto"/>
            <w:left w:val="none" w:sz="0" w:space="0" w:color="auto"/>
            <w:bottom w:val="none" w:sz="0" w:space="0" w:color="auto"/>
            <w:right w:val="none" w:sz="0" w:space="0" w:color="auto"/>
          </w:divBdr>
        </w:div>
        <w:div w:id="1517117478">
          <w:marLeft w:val="0"/>
          <w:marRight w:val="0"/>
          <w:marTop w:val="0"/>
          <w:marBottom w:val="0"/>
          <w:divBdr>
            <w:top w:val="none" w:sz="0" w:space="0" w:color="auto"/>
            <w:left w:val="none" w:sz="0" w:space="0" w:color="auto"/>
            <w:bottom w:val="none" w:sz="0" w:space="0" w:color="auto"/>
            <w:right w:val="none" w:sz="0" w:space="0" w:color="auto"/>
          </w:divBdr>
        </w:div>
        <w:div w:id="885213965">
          <w:marLeft w:val="0"/>
          <w:marRight w:val="0"/>
          <w:marTop w:val="0"/>
          <w:marBottom w:val="0"/>
          <w:divBdr>
            <w:top w:val="none" w:sz="0" w:space="0" w:color="auto"/>
            <w:left w:val="none" w:sz="0" w:space="0" w:color="auto"/>
            <w:bottom w:val="none" w:sz="0" w:space="0" w:color="auto"/>
            <w:right w:val="none" w:sz="0" w:space="0" w:color="auto"/>
          </w:divBdr>
        </w:div>
        <w:div w:id="1584873200">
          <w:marLeft w:val="0"/>
          <w:marRight w:val="0"/>
          <w:marTop w:val="0"/>
          <w:marBottom w:val="0"/>
          <w:divBdr>
            <w:top w:val="none" w:sz="0" w:space="0" w:color="auto"/>
            <w:left w:val="none" w:sz="0" w:space="0" w:color="auto"/>
            <w:bottom w:val="none" w:sz="0" w:space="0" w:color="auto"/>
            <w:right w:val="none" w:sz="0" w:space="0" w:color="auto"/>
          </w:divBdr>
        </w:div>
        <w:div w:id="165940911">
          <w:marLeft w:val="0"/>
          <w:marRight w:val="0"/>
          <w:marTop w:val="0"/>
          <w:marBottom w:val="0"/>
          <w:divBdr>
            <w:top w:val="none" w:sz="0" w:space="0" w:color="auto"/>
            <w:left w:val="none" w:sz="0" w:space="0" w:color="auto"/>
            <w:bottom w:val="none" w:sz="0" w:space="0" w:color="auto"/>
            <w:right w:val="none" w:sz="0" w:space="0" w:color="auto"/>
          </w:divBdr>
        </w:div>
        <w:div w:id="1562012204">
          <w:marLeft w:val="0"/>
          <w:marRight w:val="0"/>
          <w:marTop w:val="0"/>
          <w:marBottom w:val="0"/>
          <w:divBdr>
            <w:top w:val="none" w:sz="0" w:space="0" w:color="auto"/>
            <w:left w:val="none" w:sz="0" w:space="0" w:color="auto"/>
            <w:bottom w:val="none" w:sz="0" w:space="0" w:color="auto"/>
            <w:right w:val="none" w:sz="0" w:space="0" w:color="auto"/>
          </w:divBdr>
        </w:div>
        <w:div w:id="834078422">
          <w:marLeft w:val="0"/>
          <w:marRight w:val="0"/>
          <w:marTop w:val="0"/>
          <w:marBottom w:val="0"/>
          <w:divBdr>
            <w:top w:val="none" w:sz="0" w:space="0" w:color="auto"/>
            <w:left w:val="none" w:sz="0" w:space="0" w:color="auto"/>
            <w:bottom w:val="none" w:sz="0" w:space="0" w:color="auto"/>
            <w:right w:val="none" w:sz="0" w:space="0" w:color="auto"/>
          </w:divBdr>
        </w:div>
        <w:div w:id="1246918210">
          <w:marLeft w:val="0"/>
          <w:marRight w:val="0"/>
          <w:marTop w:val="0"/>
          <w:marBottom w:val="0"/>
          <w:divBdr>
            <w:top w:val="none" w:sz="0" w:space="0" w:color="auto"/>
            <w:left w:val="none" w:sz="0" w:space="0" w:color="auto"/>
            <w:bottom w:val="none" w:sz="0" w:space="0" w:color="auto"/>
            <w:right w:val="none" w:sz="0" w:space="0" w:color="auto"/>
          </w:divBdr>
        </w:div>
        <w:div w:id="2124879717">
          <w:marLeft w:val="0"/>
          <w:marRight w:val="0"/>
          <w:marTop w:val="0"/>
          <w:marBottom w:val="0"/>
          <w:divBdr>
            <w:top w:val="none" w:sz="0" w:space="0" w:color="auto"/>
            <w:left w:val="none" w:sz="0" w:space="0" w:color="auto"/>
            <w:bottom w:val="none" w:sz="0" w:space="0" w:color="auto"/>
            <w:right w:val="none" w:sz="0" w:space="0" w:color="auto"/>
          </w:divBdr>
        </w:div>
        <w:div w:id="238639863">
          <w:marLeft w:val="0"/>
          <w:marRight w:val="0"/>
          <w:marTop w:val="0"/>
          <w:marBottom w:val="0"/>
          <w:divBdr>
            <w:top w:val="none" w:sz="0" w:space="0" w:color="auto"/>
            <w:left w:val="none" w:sz="0" w:space="0" w:color="auto"/>
            <w:bottom w:val="none" w:sz="0" w:space="0" w:color="auto"/>
            <w:right w:val="none" w:sz="0" w:space="0" w:color="auto"/>
          </w:divBdr>
        </w:div>
      </w:divsChild>
    </w:div>
    <w:div w:id="1568952713">
      <w:bodyDiv w:val="1"/>
      <w:marLeft w:val="0"/>
      <w:marRight w:val="0"/>
      <w:marTop w:val="0"/>
      <w:marBottom w:val="0"/>
      <w:divBdr>
        <w:top w:val="none" w:sz="0" w:space="0" w:color="auto"/>
        <w:left w:val="none" w:sz="0" w:space="0" w:color="auto"/>
        <w:bottom w:val="none" w:sz="0" w:space="0" w:color="auto"/>
        <w:right w:val="none" w:sz="0" w:space="0" w:color="auto"/>
      </w:divBdr>
    </w:div>
    <w:div w:id="1590580011">
      <w:bodyDiv w:val="1"/>
      <w:marLeft w:val="0"/>
      <w:marRight w:val="0"/>
      <w:marTop w:val="0"/>
      <w:marBottom w:val="0"/>
      <w:divBdr>
        <w:top w:val="none" w:sz="0" w:space="0" w:color="auto"/>
        <w:left w:val="none" w:sz="0" w:space="0" w:color="auto"/>
        <w:bottom w:val="none" w:sz="0" w:space="0" w:color="auto"/>
        <w:right w:val="none" w:sz="0" w:space="0" w:color="auto"/>
      </w:divBdr>
    </w:div>
    <w:div w:id="1596596391">
      <w:bodyDiv w:val="1"/>
      <w:marLeft w:val="0"/>
      <w:marRight w:val="0"/>
      <w:marTop w:val="0"/>
      <w:marBottom w:val="0"/>
      <w:divBdr>
        <w:top w:val="none" w:sz="0" w:space="0" w:color="auto"/>
        <w:left w:val="none" w:sz="0" w:space="0" w:color="auto"/>
        <w:bottom w:val="none" w:sz="0" w:space="0" w:color="auto"/>
        <w:right w:val="none" w:sz="0" w:space="0" w:color="auto"/>
      </w:divBdr>
    </w:div>
    <w:div w:id="1621182817">
      <w:bodyDiv w:val="1"/>
      <w:marLeft w:val="0"/>
      <w:marRight w:val="0"/>
      <w:marTop w:val="0"/>
      <w:marBottom w:val="0"/>
      <w:divBdr>
        <w:top w:val="none" w:sz="0" w:space="0" w:color="auto"/>
        <w:left w:val="none" w:sz="0" w:space="0" w:color="auto"/>
        <w:bottom w:val="none" w:sz="0" w:space="0" w:color="auto"/>
        <w:right w:val="none" w:sz="0" w:space="0" w:color="auto"/>
      </w:divBdr>
    </w:div>
    <w:div w:id="1635982738">
      <w:bodyDiv w:val="1"/>
      <w:marLeft w:val="0"/>
      <w:marRight w:val="0"/>
      <w:marTop w:val="0"/>
      <w:marBottom w:val="0"/>
      <w:divBdr>
        <w:top w:val="none" w:sz="0" w:space="0" w:color="auto"/>
        <w:left w:val="none" w:sz="0" w:space="0" w:color="auto"/>
        <w:bottom w:val="none" w:sz="0" w:space="0" w:color="auto"/>
        <w:right w:val="none" w:sz="0" w:space="0" w:color="auto"/>
      </w:divBdr>
    </w:div>
    <w:div w:id="1636527614">
      <w:bodyDiv w:val="1"/>
      <w:marLeft w:val="0"/>
      <w:marRight w:val="0"/>
      <w:marTop w:val="0"/>
      <w:marBottom w:val="0"/>
      <w:divBdr>
        <w:top w:val="none" w:sz="0" w:space="0" w:color="auto"/>
        <w:left w:val="none" w:sz="0" w:space="0" w:color="auto"/>
        <w:bottom w:val="none" w:sz="0" w:space="0" w:color="auto"/>
        <w:right w:val="none" w:sz="0" w:space="0" w:color="auto"/>
      </w:divBdr>
    </w:div>
    <w:div w:id="1640258585">
      <w:bodyDiv w:val="1"/>
      <w:marLeft w:val="0"/>
      <w:marRight w:val="0"/>
      <w:marTop w:val="0"/>
      <w:marBottom w:val="0"/>
      <w:divBdr>
        <w:top w:val="none" w:sz="0" w:space="0" w:color="auto"/>
        <w:left w:val="none" w:sz="0" w:space="0" w:color="auto"/>
        <w:bottom w:val="none" w:sz="0" w:space="0" w:color="auto"/>
        <w:right w:val="none" w:sz="0" w:space="0" w:color="auto"/>
      </w:divBdr>
    </w:div>
    <w:div w:id="1648313586">
      <w:bodyDiv w:val="1"/>
      <w:marLeft w:val="0"/>
      <w:marRight w:val="0"/>
      <w:marTop w:val="0"/>
      <w:marBottom w:val="0"/>
      <w:divBdr>
        <w:top w:val="none" w:sz="0" w:space="0" w:color="auto"/>
        <w:left w:val="none" w:sz="0" w:space="0" w:color="auto"/>
        <w:bottom w:val="none" w:sz="0" w:space="0" w:color="auto"/>
        <w:right w:val="none" w:sz="0" w:space="0" w:color="auto"/>
      </w:divBdr>
    </w:div>
    <w:div w:id="1660621504">
      <w:bodyDiv w:val="1"/>
      <w:marLeft w:val="0"/>
      <w:marRight w:val="0"/>
      <w:marTop w:val="0"/>
      <w:marBottom w:val="0"/>
      <w:divBdr>
        <w:top w:val="none" w:sz="0" w:space="0" w:color="auto"/>
        <w:left w:val="none" w:sz="0" w:space="0" w:color="auto"/>
        <w:bottom w:val="none" w:sz="0" w:space="0" w:color="auto"/>
        <w:right w:val="none" w:sz="0" w:space="0" w:color="auto"/>
      </w:divBdr>
      <w:divsChild>
        <w:div w:id="749352212">
          <w:marLeft w:val="0"/>
          <w:marRight w:val="0"/>
          <w:marTop w:val="0"/>
          <w:marBottom w:val="240"/>
          <w:divBdr>
            <w:top w:val="none" w:sz="0" w:space="0" w:color="auto"/>
            <w:left w:val="none" w:sz="0" w:space="0" w:color="auto"/>
            <w:bottom w:val="none" w:sz="0" w:space="0" w:color="auto"/>
            <w:right w:val="none" w:sz="0" w:space="0" w:color="auto"/>
          </w:divBdr>
        </w:div>
        <w:div w:id="1301879083">
          <w:marLeft w:val="0"/>
          <w:marRight w:val="0"/>
          <w:marTop w:val="0"/>
          <w:marBottom w:val="240"/>
          <w:divBdr>
            <w:top w:val="none" w:sz="0" w:space="0" w:color="auto"/>
            <w:left w:val="none" w:sz="0" w:space="0" w:color="auto"/>
            <w:bottom w:val="none" w:sz="0" w:space="0" w:color="auto"/>
            <w:right w:val="none" w:sz="0" w:space="0" w:color="auto"/>
          </w:divBdr>
        </w:div>
        <w:div w:id="645017452">
          <w:marLeft w:val="0"/>
          <w:marRight w:val="0"/>
          <w:marTop w:val="0"/>
          <w:marBottom w:val="240"/>
          <w:divBdr>
            <w:top w:val="none" w:sz="0" w:space="0" w:color="auto"/>
            <w:left w:val="none" w:sz="0" w:space="0" w:color="auto"/>
            <w:bottom w:val="none" w:sz="0" w:space="0" w:color="auto"/>
            <w:right w:val="none" w:sz="0" w:space="0" w:color="auto"/>
          </w:divBdr>
        </w:div>
        <w:div w:id="1480724861">
          <w:marLeft w:val="0"/>
          <w:marRight w:val="0"/>
          <w:marTop w:val="0"/>
          <w:marBottom w:val="240"/>
          <w:divBdr>
            <w:top w:val="none" w:sz="0" w:space="0" w:color="auto"/>
            <w:left w:val="none" w:sz="0" w:space="0" w:color="auto"/>
            <w:bottom w:val="none" w:sz="0" w:space="0" w:color="auto"/>
            <w:right w:val="none" w:sz="0" w:space="0" w:color="auto"/>
          </w:divBdr>
        </w:div>
      </w:divsChild>
    </w:div>
    <w:div w:id="1661499624">
      <w:bodyDiv w:val="1"/>
      <w:marLeft w:val="0"/>
      <w:marRight w:val="0"/>
      <w:marTop w:val="0"/>
      <w:marBottom w:val="0"/>
      <w:divBdr>
        <w:top w:val="none" w:sz="0" w:space="0" w:color="auto"/>
        <w:left w:val="none" w:sz="0" w:space="0" w:color="auto"/>
        <w:bottom w:val="none" w:sz="0" w:space="0" w:color="auto"/>
        <w:right w:val="none" w:sz="0" w:space="0" w:color="auto"/>
      </w:divBdr>
    </w:div>
    <w:div w:id="1662614501">
      <w:bodyDiv w:val="1"/>
      <w:marLeft w:val="0"/>
      <w:marRight w:val="0"/>
      <w:marTop w:val="0"/>
      <w:marBottom w:val="0"/>
      <w:divBdr>
        <w:top w:val="none" w:sz="0" w:space="0" w:color="auto"/>
        <w:left w:val="none" w:sz="0" w:space="0" w:color="auto"/>
        <w:bottom w:val="none" w:sz="0" w:space="0" w:color="auto"/>
        <w:right w:val="none" w:sz="0" w:space="0" w:color="auto"/>
      </w:divBdr>
    </w:div>
    <w:div w:id="1668022650">
      <w:bodyDiv w:val="1"/>
      <w:marLeft w:val="0"/>
      <w:marRight w:val="0"/>
      <w:marTop w:val="0"/>
      <w:marBottom w:val="0"/>
      <w:divBdr>
        <w:top w:val="none" w:sz="0" w:space="0" w:color="auto"/>
        <w:left w:val="none" w:sz="0" w:space="0" w:color="auto"/>
        <w:bottom w:val="none" w:sz="0" w:space="0" w:color="auto"/>
        <w:right w:val="none" w:sz="0" w:space="0" w:color="auto"/>
      </w:divBdr>
    </w:div>
    <w:div w:id="1668678811">
      <w:bodyDiv w:val="1"/>
      <w:marLeft w:val="0"/>
      <w:marRight w:val="0"/>
      <w:marTop w:val="0"/>
      <w:marBottom w:val="0"/>
      <w:divBdr>
        <w:top w:val="none" w:sz="0" w:space="0" w:color="auto"/>
        <w:left w:val="none" w:sz="0" w:space="0" w:color="auto"/>
        <w:bottom w:val="none" w:sz="0" w:space="0" w:color="auto"/>
        <w:right w:val="none" w:sz="0" w:space="0" w:color="auto"/>
      </w:divBdr>
    </w:div>
    <w:div w:id="1678654058">
      <w:bodyDiv w:val="1"/>
      <w:marLeft w:val="0"/>
      <w:marRight w:val="0"/>
      <w:marTop w:val="0"/>
      <w:marBottom w:val="0"/>
      <w:divBdr>
        <w:top w:val="none" w:sz="0" w:space="0" w:color="auto"/>
        <w:left w:val="none" w:sz="0" w:space="0" w:color="auto"/>
        <w:bottom w:val="none" w:sz="0" w:space="0" w:color="auto"/>
        <w:right w:val="none" w:sz="0" w:space="0" w:color="auto"/>
      </w:divBdr>
    </w:div>
    <w:div w:id="1693648487">
      <w:bodyDiv w:val="1"/>
      <w:marLeft w:val="0"/>
      <w:marRight w:val="0"/>
      <w:marTop w:val="0"/>
      <w:marBottom w:val="0"/>
      <w:divBdr>
        <w:top w:val="none" w:sz="0" w:space="0" w:color="auto"/>
        <w:left w:val="none" w:sz="0" w:space="0" w:color="auto"/>
        <w:bottom w:val="none" w:sz="0" w:space="0" w:color="auto"/>
        <w:right w:val="none" w:sz="0" w:space="0" w:color="auto"/>
      </w:divBdr>
    </w:div>
    <w:div w:id="1746224124">
      <w:bodyDiv w:val="1"/>
      <w:marLeft w:val="0"/>
      <w:marRight w:val="0"/>
      <w:marTop w:val="0"/>
      <w:marBottom w:val="0"/>
      <w:divBdr>
        <w:top w:val="none" w:sz="0" w:space="0" w:color="auto"/>
        <w:left w:val="none" w:sz="0" w:space="0" w:color="auto"/>
        <w:bottom w:val="none" w:sz="0" w:space="0" w:color="auto"/>
        <w:right w:val="none" w:sz="0" w:space="0" w:color="auto"/>
      </w:divBdr>
    </w:div>
    <w:div w:id="1769957345">
      <w:bodyDiv w:val="1"/>
      <w:marLeft w:val="0"/>
      <w:marRight w:val="0"/>
      <w:marTop w:val="0"/>
      <w:marBottom w:val="0"/>
      <w:divBdr>
        <w:top w:val="none" w:sz="0" w:space="0" w:color="auto"/>
        <w:left w:val="none" w:sz="0" w:space="0" w:color="auto"/>
        <w:bottom w:val="none" w:sz="0" w:space="0" w:color="auto"/>
        <w:right w:val="none" w:sz="0" w:space="0" w:color="auto"/>
      </w:divBdr>
    </w:div>
    <w:div w:id="1781803457">
      <w:bodyDiv w:val="1"/>
      <w:marLeft w:val="0"/>
      <w:marRight w:val="0"/>
      <w:marTop w:val="0"/>
      <w:marBottom w:val="0"/>
      <w:divBdr>
        <w:top w:val="none" w:sz="0" w:space="0" w:color="auto"/>
        <w:left w:val="none" w:sz="0" w:space="0" w:color="auto"/>
        <w:bottom w:val="none" w:sz="0" w:space="0" w:color="auto"/>
        <w:right w:val="none" w:sz="0" w:space="0" w:color="auto"/>
      </w:divBdr>
    </w:div>
    <w:div w:id="1820220345">
      <w:bodyDiv w:val="1"/>
      <w:marLeft w:val="0"/>
      <w:marRight w:val="0"/>
      <w:marTop w:val="0"/>
      <w:marBottom w:val="0"/>
      <w:divBdr>
        <w:top w:val="none" w:sz="0" w:space="0" w:color="auto"/>
        <w:left w:val="none" w:sz="0" w:space="0" w:color="auto"/>
        <w:bottom w:val="none" w:sz="0" w:space="0" w:color="auto"/>
        <w:right w:val="none" w:sz="0" w:space="0" w:color="auto"/>
      </w:divBdr>
    </w:div>
    <w:div w:id="1870332219">
      <w:bodyDiv w:val="1"/>
      <w:marLeft w:val="0"/>
      <w:marRight w:val="0"/>
      <w:marTop w:val="0"/>
      <w:marBottom w:val="0"/>
      <w:divBdr>
        <w:top w:val="none" w:sz="0" w:space="0" w:color="auto"/>
        <w:left w:val="none" w:sz="0" w:space="0" w:color="auto"/>
        <w:bottom w:val="none" w:sz="0" w:space="0" w:color="auto"/>
        <w:right w:val="none" w:sz="0" w:space="0" w:color="auto"/>
      </w:divBdr>
      <w:divsChild>
        <w:div w:id="1128085169">
          <w:marLeft w:val="0"/>
          <w:marRight w:val="0"/>
          <w:marTop w:val="0"/>
          <w:marBottom w:val="240"/>
          <w:divBdr>
            <w:top w:val="none" w:sz="0" w:space="0" w:color="auto"/>
            <w:left w:val="none" w:sz="0" w:space="0" w:color="auto"/>
            <w:bottom w:val="none" w:sz="0" w:space="0" w:color="auto"/>
            <w:right w:val="none" w:sz="0" w:space="0" w:color="auto"/>
          </w:divBdr>
        </w:div>
        <w:div w:id="1004745880">
          <w:marLeft w:val="0"/>
          <w:marRight w:val="0"/>
          <w:marTop w:val="0"/>
          <w:marBottom w:val="240"/>
          <w:divBdr>
            <w:top w:val="none" w:sz="0" w:space="0" w:color="auto"/>
            <w:left w:val="none" w:sz="0" w:space="0" w:color="auto"/>
            <w:bottom w:val="none" w:sz="0" w:space="0" w:color="auto"/>
            <w:right w:val="none" w:sz="0" w:space="0" w:color="auto"/>
          </w:divBdr>
        </w:div>
        <w:div w:id="1087196250">
          <w:marLeft w:val="0"/>
          <w:marRight w:val="0"/>
          <w:marTop w:val="0"/>
          <w:marBottom w:val="240"/>
          <w:divBdr>
            <w:top w:val="none" w:sz="0" w:space="0" w:color="auto"/>
            <w:left w:val="none" w:sz="0" w:space="0" w:color="auto"/>
            <w:bottom w:val="none" w:sz="0" w:space="0" w:color="auto"/>
            <w:right w:val="none" w:sz="0" w:space="0" w:color="auto"/>
          </w:divBdr>
        </w:div>
        <w:div w:id="996570172">
          <w:marLeft w:val="0"/>
          <w:marRight w:val="0"/>
          <w:marTop w:val="0"/>
          <w:marBottom w:val="240"/>
          <w:divBdr>
            <w:top w:val="none" w:sz="0" w:space="0" w:color="auto"/>
            <w:left w:val="none" w:sz="0" w:space="0" w:color="auto"/>
            <w:bottom w:val="none" w:sz="0" w:space="0" w:color="auto"/>
            <w:right w:val="none" w:sz="0" w:space="0" w:color="auto"/>
          </w:divBdr>
        </w:div>
        <w:div w:id="1276670397">
          <w:marLeft w:val="0"/>
          <w:marRight w:val="0"/>
          <w:marTop w:val="0"/>
          <w:marBottom w:val="240"/>
          <w:divBdr>
            <w:top w:val="none" w:sz="0" w:space="0" w:color="auto"/>
            <w:left w:val="none" w:sz="0" w:space="0" w:color="auto"/>
            <w:bottom w:val="none" w:sz="0" w:space="0" w:color="auto"/>
            <w:right w:val="none" w:sz="0" w:space="0" w:color="auto"/>
          </w:divBdr>
        </w:div>
        <w:div w:id="410083235">
          <w:marLeft w:val="0"/>
          <w:marRight w:val="0"/>
          <w:marTop w:val="0"/>
          <w:marBottom w:val="240"/>
          <w:divBdr>
            <w:top w:val="none" w:sz="0" w:space="0" w:color="auto"/>
            <w:left w:val="none" w:sz="0" w:space="0" w:color="auto"/>
            <w:bottom w:val="none" w:sz="0" w:space="0" w:color="auto"/>
            <w:right w:val="none" w:sz="0" w:space="0" w:color="auto"/>
          </w:divBdr>
        </w:div>
        <w:div w:id="258951746">
          <w:marLeft w:val="0"/>
          <w:marRight w:val="0"/>
          <w:marTop w:val="0"/>
          <w:marBottom w:val="240"/>
          <w:divBdr>
            <w:top w:val="none" w:sz="0" w:space="0" w:color="auto"/>
            <w:left w:val="none" w:sz="0" w:space="0" w:color="auto"/>
            <w:bottom w:val="none" w:sz="0" w:space="0" w:color="auto"/>
            <w:right w:val="none" w:sz="0" w:space="0" w:color="auto"/>
          </w:divBdr>
        </w:div>
        <w:div w:id="1586843593">
          <w:marLeft w:val="0"/>
          <w:marRight w:val="0"/>
          <w:marTop w:val="0"/>
          <w:marBottom w:val="240"/>
          <w:divBdr>
            <w:top w:val="none" w:sz="0" w:space="0" w:color="auto"/>
            <w:left w:val="none" w:sz="0" w:space="0" w:color="auto"/>
            <w:bottom w:val="none" w:sz="0" w:space="0" w:color="auto"/>
            <w:right w:val="none" w:sz="0" w:space="0" w:color="auto"/>
          </w:divBdr>
        </w:div>
        <w:div w:id="2038434097">
          <w:marLeft w:val="0"/>
          <w:marRight w:val="0"/>
          <w:marTop w:val="0"/>
          <w:marBottom w:val="240"/>
          <w:divBdr>
            <w:top w:val="none" w:sz="0" w:space="0" w:color="auto"/>
            <w:left w:val="none" w:sz="0" w:space="0" w:color="auto"/>
            <w:bottom w:val="none" w:sz="0" w:space="0" w:color="auto"/>
            <w:right w:val="none" w:sz="0" w:space="0" w:color="auto"/>
          </w:divBdr>
        </w:div>
        <w:div w:id="784269790">
          <w:marLeft w:val="0"/>
          <w:marRight w:val="0"/>
          <w:marTop w:val="0"/>
          <w:marBottom w:val="240"/>
          <w:divBdr>
            <w:top w:val="none" w:sz="0" w:space="0" w:color="auto"/>
            <w:left w:val="none" w:sz="0" w:space="0" w:color="auto"/>
            <w:bottom w:val="none" w:sz="0" w:space="0" w:color="auto"/>
            <w:right w:val="none" w:sz="0" w:space="0" w:color="auto"/>
          </w:divBdr>
        </w:div>
        <w:div w:id="615336209">
          <w:marLeft w:val="0"/>
          <w:marRight w:val="0"/>
          <w:marTop w:val="0"/>
          <w:marBottom w:val="240"/>
          <w:divBdr>
            <w:top w:val="none" w:sz="0" w:space="0" w:color="auto"/>
            <w:left w:val="none" w:sz="0" w:space="0" w:color="auto"/>
            <w:bottom w:val="none" w:sz="0" w:space="0" w:color="auto"/>
            <w:right w:val="none" w:sz="0" w:space="0" w:color="auto"/>
          </w:divBdr>
        </w:div>
        <w:div w:id="1032803109">
          <w:marLeft w:val="0"/>
          <w:marRight w:val="0"/>
          <w:marTop w:val="0"/>
          <w:marBottom w:val="240"/>
          <w:divBdr>
            <w:top w:val="none" w:sz="0" w:space="0" w:color="auto"/>
            <w:left w:val="none" w:sz="0" w:space="0" w:color="auto"/>
            <w:bottom w:val="none" w:sz="0" w:space="0" w:color="auto"/>
            <w:right w:val="none" w:sz="0" w:space="0" w:color="auto"/>
          </w:divBdr>
        </w:div>
        <w:div w:id="1464427525">
          <w:marLeft w:val="0"/>
          <w:marRight w:val="0"/>
          <w:marTop w:val="0"/>
          <w:marBottom w:val="240"/>
          <w:divBdr>
            <w:top w:val="none" w:sz="0" w:space="0" w:color="auto"/>
            <w:left w:val="none" w:sz="0" w:space="0" w:color="auto"/>
            <w:bottom w:val="none" w:sz="0" w:space="0" w:color="auto"/>
            <w:right w:val="none" w:sz="0" w:space="0" w:color="auto"/>
          </w:divBdr>
        </w:div>
        <w:div w:id="723866819">
          <w:marLeft w:val="0"/>
          <w:marRight w:val="0"/>
          <w:marTop w:val="0"/>
          <w:marBottom w:val="240"/>
          <w:divBdr>
            <w:top w:val="none" w:sz="0" w:space="0" w:color="auto"/>
            <w:left w:val="none" w:sz="0" w:space="0" w:color="auto"/>
            <w:bottom w:val="none" w:sz="0" w:space="0" w:color="auto"/>
            <w:right w:val="none" w:sz="0" w:space="0" w:color="auto"/>
          </w:divBdr>
        </w:div>
        <w:div w:id="1264997224">
          <w:marLeft w:val="0"/>
          <w:marRight w:val="0"/>
          <w:marTop w:val="0"/>
          <w:marBottom w:val="240"/>
          <w:divBdr>
            <w:top w:val="none" w:sz="0" w:space="0" w:color="auto"/>
            <w:left w:val="none" w:sz="0" w:space="0" w:color="auto"/>
            <w:bottom w:val="none" w:sz="0" w:space="0" w:color="auto"/>
            <w:right w:val="none" w:sz="0" w:space="0" w:color="auto"/>
          </w:divBdr>
        </w:div>
        <w:div w:id="1343431134">
          <w:marLeft w:val="0"/>
          <w:marRight w:val="0"/>
          <w:marTop w:val="0"/>
          <w:marBottom w:val="240"/>
          <w:divBdr>
            <w:top w:val="none" w:sz="0" w:space="0" w:color="auto"/>
            <w:left w:val="none" w:sz="0" w:space="0" w:color="auto"/>
            <w:bottom w:val="none" w:sz="0" w:space="0" w:color="auto"/>
            <w:right w:val="none" w:sz="0" w:space="0" w:color="auto"/>
          </w:divBdr>
        </w:div>
        <w:div w:id="1213274767">
          <w:marLeft w:val="0"/>
          <w:marRight w:val="0"/>
          <w:marTop w:val="0"/>
          <w:marBottom w:val="240"/>
          <w:divBdr>
            <w:top w:val="none" w:sz="0" w:space="0" w:color="auto"/>
            <w:left w:val="none" w:sz="0" w:space="0" w:color="auto"/>
            <w:bottom w:val="none" w:sz="0" w:space="0" w:color="auto"/>
            <w:right w:val="none" w:sz="0" w:space="0" w:color="auto"/>
          </w:divBdr>
        </w:div>
        <w:div w:id="1830713262">
          <w:marLeft w:val="0"/>
          <w:marRight w:val="0"/>
          <w:marTop w:val="0"/>
          <w:marBottom w:val="240"/>
          <w:divBdr>
            <w:top w:val="none" w:sz="0" w:space="0" w:color="auto"/>
            <w:left w:val="none" w:sz="0" w:space="0" w:color="auto"/>
            <w:bottom w:val="none" w:sz="0" w:space="0" w:color="auto"/>
            <w:right w:val="none" w:sz="0" w:space="0" w:color="auto"/>
          </w:divBdr>
        </w:div>
        <w:div w:id="2141072746">
          <w:marLeft w:val="0"/>
          <w:marRight w:val="0"/>
          <w:marTop w:val="0"/>
          <w:marBottom w:val="240"/>
          <w:divBdr>
            <w:top w:val="none" w:sz="0" w:space="0" w:color="auto"/>
            <w:left w:val="none" w:sz="0" w:space="0" w:color="auto"/>
            <w:bottom w:val="none" w:sz="0" w:space="0" w:color="auto"/>
            <w:right w:val="none" w:sz="0" w:space="0" w:color="auto"/>
          </w:divBdr>
        </w:div>
        <w:div w:id="1628584657">
          <w:marLeft w:val="0"/>
          <w:marRight w:val="0"/>
          <w:marTop w:val="0"/>
          <w:marBottom w:val="240"/>
          <w:divBdr>
            <w:top w:val="none" w:sz="0" w:space="0" w:color="auto"/>
            <w:left w:val="none" w:sz="0" w:space="0" w:color="auto"/>
            <w:bottom w:val="none" w:sz="0" w:space="0" w:color="auto"/>
            <w:right w:val="none" w:sz="0" w:space="0" w:color="auto"/>
          </w:divBdr>
        </w:div>
        <w:div w:id="169292603">
          <w:marLeft w:val="0"/>
          <w:marRight w:val="0"/>
          <w:marTop w:val="0"/>
          <w:marBottom w:val="240"/>
          <w:divBdr>
            <w:top w:val="none" w:sz="0" w:space="0" w:color="auto"/>
            <w:left w:val="none" w:sz="0" w:space="0" w:color="auto"/>
            <w:bottom w:val="none" w:sz="0" w:space="0" w:color="auto"/>
            <w:right w:val="none" w:sz="0" w:space="0" w:color="auto"/>
          </w:divBdr>
        </w:div>
        <w:div w:id="41367324">
          <w:marLeft w:val="0"/>
          <w:marRight w:val="0"/>
          <w:marTop w:val="0"/>
          <w:marBottom w:val="240"/>
          <w:divBdr>
            <w:top w:val="none" w:sz="0" w:space="0" w:color="auto"/>
            <w:left w:val="none" w:sz="0" w:space="0" w:color="auto"/>
            <w:bottom w:val="none" w:sz="0" w:space="0" w:color="auto"/>
            <w:right w:val="none" w:sz="0" w:space="0" w:color="auto"/>
          </w:divBdr>
        </w:div>
        <w:div w:id="1193958438">
          <w:marLeft w:val="0"/>
          <w:marRight w:val="0"/>
          <w:marTop w:val="0"/>
          <w:marBottom w:val="240"/>
          <w:divBdr>
            <w:top w:val="none" w:sz="0" w:space="0" w:color="auto"/>
            <w:left w:val="none" w:sz="0" w:space="0" w:color="auto"/>
            <w:bottom w:val="none" w:sz="0" w:space="0" w:color="auto"/>
            <w:right w:val="none" w:sz="0" w:space="0" w:color="auto"/>
          </w:divBdr>
        </w:div>
        <w:div w:id="1127626246">
          <w:marLeft w:val="0"/>
          <w:marRight w:val="0"/>
          <w:marTop w:val="0"/>
          <w:marBottom w:val="240"/>
          <w:divBdr>
            <w:top w:val="none" w:sz="0" w:space="0" w:color="auto"/>
            <w:left w:val="none" w:sz="0" w:space="0" w:color="auto"/>
            <w:bottom w:val="none" w:sz="0" w:space="0" w:color="auto"/>
            <w:right w:val="none" w:sz="0" w:space="0" w:color="auto"/>
          </w:divBdr>
        </w:div>
        <w:div w:id="285041023">
          <w:marLeft w:val="0"/>
          <w:marRight w:val="0"/>
          <w:marTop w:val="0"/>
          <w:marBottom w:val="240"/>
          <w:divBdr>
            <w:top w:val="none" w:sz="0" w:space="0" w:color="auto"/>
            <w:left w:val="none" w:sz="0" w:space="0" w:color="auto"/>
            <w:bottom w:val="none" w:sz="0" w:space="0" w:color="auto"/>
            <w:right w:val="none" w:sz="0" w:space="0" w:color="auto"/>
          </w:divBdr>
        </w:div>
        <w:div w:id="1872918034">
          <w:marLeft w:val="0"/>
          <w:marRight w:val="0"/>
          <w:marTop w:val="0"/>
          <w:marBottom w:val="240"/>
          <w:divBdr>
            <w:top w:val="none" w:sz="0" w:space="0" w:color="auto"/>
            <w:left w:val="none" w:sz="0" w:space="0" w:color="auto"/>
            <w:bottom w:val="none" w:sz="0" w:space="0" w:color="auto"/>
            <w:right w:val="none" w:sz="0" w:space="0" w:color="auto"/>
          </w:divBdr>
        </w:div>
        <w:div w:id="873152515">
          <w:marLeft w:val="0"/>
          <w:marRight w:val="0"/>
          <w:marTop w:val="0"/>
          <w:marBottom w:val="240"/>
          <w:divBdr>
            <w:top w:val="none" w:sz="0" w:space="0" w:color="auto"/>
            <w:left w:val="none" w:sz="0" w:space="0" w:color="auto"/>
            <w:bottom w:val="none" w:sz="0" w:space="0" w:color="auto"/>
            <w:right w:val="none" w:sz="0" w:space="0" w:color="auto"/>
          </w:divBdr>
        </w:div>
        <w:div w:id="1372803807">
          <w:marLeft w:val="0"/>
          <w:marRight w:val="0"/>
          <w:marTop w:val="0"/>
          <w:marBottom w:val="240"/>
          <w:divBdr>
            <w:top w:val="none" w:sz="0" w:space="0" w:color="auto"/>
            <w:left w:val="none" w:sz="0" w:space="0" w:color="auto"/>
            <w:bottom w:val="none" w:sz="0" w:space="0" w:color="auto"/>
            <w:right w:val="none" w:sz="0" w:space="0" w:color="auto"/>
          </w:divBdr>
        </w:div>
        <w:div w:id="1270547847">
          <w:marLeft w:val="0"/>
          <w:marRight w:val="0"/>
          <w:marTop w:val="0"/>
          <w:marBottom w:val="240"/>
          <w:divBdr>
            <w:top w:val="none" w:sz="0" w:space="0" w:color="auto"/>
            <w:left w:val="none" w:sz="0" w:space="0" w:color="auto"/>
            <w:bottom w:val="none" w:sz="0" w:space="0" w:color="auto"/>
            <w:right w:val="none" w:sz="0" w:space="0" w:color="auto"/>
          </w:divBdr>
        </w:div>
        <w:div w:id="448428833">
          <w:marLeft w:val="0"/>
          <w:marRight w:val="0"/>
          <w:marTop w:val="0"/>
          <w:marBottom w:val="240"/>
          <w:divBdr>
            <w:top w:val="none" w:sz="0" w:space="0" w:color="auto"/>
            <w:left w:val="none" w:sz="0" w:space="0" w:color="auto"/>
            <w:bottom w:val="none" w:sz="0" w:space="0" w:color="auto"/>
            <w:right w:val="none" w:sz="0" w:space="0" w:color="auto"/>
          </w:divBdr>
        </w:div>
        <w:div w:id="1545409112">
          <w:marLeft w:val="0"/>
          <w:marRight w:val="0"/>
          <w:marTop w:val="0"/>
          <w:marBottom w:val="240"/>
          <w:divBdr>
            <w:top w:val="none" w:sz="0" w:space="0" w:color="auto"/>
            <w:left w:val="none" w:sz="0" w:space="0" w:color="auto"/>
            <w:bottom w:val="none" w:sz="0" w:space="0" w:color="auto"/>
            <w:right w:val="none" w:sz="0" w:space="0" w:color="auto"/>
          </w:divBdr>
        </w:div>
        <w:div w:id="980578679">
          <w:marLeft w:val="0"/>
          <w:marRight w:val="0"/>
          <w:marTop w:val="0"/>
          <w:marBottom w:val="240"/>
          <w:divBdr>
            <w:top w:val="none" w:sz="0" w:space="0" w:color="auto"/>
            <w:left w:val="none" w:sz="0" w:space="0" w:color="auto"/>
            <w:bottom w:val="none" w:sz="0" w:space="0" w:color="auto"/>
            <w:right w:val="none" w:sz="0" w:space="0" w:color="auto"/>
          </w:divBdr>
        </w:div>
        <w:div w:id="2146501773">
          <w:marLeft w:val="0"/>
          <w:marRight w:val="0"/>
          <w:marTop w:val="0"/>
          <w:marBottom w:val="240"/>
          <w:divBdr>
            <w:top w:val="none" w:sz="0" w:space="0" w:color="auto"/>
            <w:left w:val="none" w:sz="0" w:space="0" w:color="auto"/>
            <w:bottom w:val="none" w:sz="0" w:space="0" w:color="auto"/>
            <w:right w:val="none" w:sz="0" w:space="0" w:color="auto"/>
          </w:divBdr>
        </w:div>
        <w:div w:id="644316376">
          <w:marLeft w:val="0"/>
          <w:marRight w:val="0"/>
          <w:marTop w:val="0"/>
          <w:marBottom w:val="240"/>
          <w:divBdr>
            <w:top w:val="none" w:sz="0" w:space="0" w:color="auto"/>
            <w:left w:val="none" w:sz="0" w:space="0" w:color="auto"/>
            <w:bottom w:val="none" w:sz="0" w:space="0" w:color="auto"/>
            <w:right w:val="none" w:sz="0" w:space="0" w:color="auto"/>
          </w:divBdr>
        </w:div>
        <w:div w:id="457144657">
          <w:marLeft w:val="0"/>
          <w:marRight w:val="0"/>
          <w:marTop w:val="0"/>
          <w:marBottom w:val="240"/>
          <w:divBdr>
            <w:top w:val="none" w:sz="0" w:space="0" w:color="auto"/>
            <w:left w:val="none" w:sz="0" w:space="0" w:color="auto"/>
            <w:bottom w:val="none" w:sz="0" w:space="0" w:color="auto"/>
            <w:right w:val="none" w:sz="0" w:space="0" w:color="auto"/>
          </w:divBdr>
        </w:div>
        <w:div w:id="870338898">
          <w:marLeft w:val="0"/>
          <w:marRight w:val="0"/>
          <w:marTop w:val="0"/>
          <w:marBottom w:val="240"/>
          <w:divBdr>
            <w:top w:val="none" w:sz="0" w:space="0" w:color="auto"/>
            <w:left w:val="none" w:sz="0" w:space="0" w:color="auto"/>
            <w:bottom w:val="none" w:sz="0" w:space="0" w:color="auto"/>
            <w:right w:val="none" w:sz="0" w:space="0" w:color="auto"/>
          </w:divBdr>
        </w:div>
        <w:div w:id="1431780317">
          <w:marLeft w:val="0"/>
          <w:marRight w:val="0"/>
          <w:marTop w:val="0"/>
          <w:marBottom w:val="240"/>
          <w:divBdr>
            <w:top w:val="none" w:sz="0" w:space="0" w:color="auto"/>
            <w:left w:val="none" w:sz="0" w:space="0" w:color="auto"/>
            <w:bottom w:val="none" w:sz="0" w:space="0" w:color="auto"/>
            <w:right w:val="none" w:sz="0" w:space="0" w:color="auto"/>
          </w:divBdr>
        </w:div>
        <w:div w:id="874392529">
          <w:marLeft w:val="0"/>
          <w:marRight w:val="0"/>
          <w:marTop w:val="0"/>
          <w:marBottom w:val="240"/>
          <w:divBdr>
            <w:top w:val="none" w:sz="0" w:space="0" w:color="auto"/>
            <w:left w:val="none" w:sz="0" w:space="0" w:color="auto"/>
            <w:bottom w:val="none" w:sz="0" w:space="0" w:color="auto"/>
            <w:right w:val="none" w:sz="0" w:space="0" w:color="auto"/>
          </w:divBdr>
        </w:div>
        <w:div w:id="408387566">
          <w:marLeft w:val="0"/>
          <w:marRight w:val="0"/>
          <w:marTop w:val="0"/>
          <w:marBottom w:val="240"/>
          <w:divBdr>
            <w:top w:val="none" w:sz="0" w:space="0" w:color="auto"/>
            <w:left w:val="none" w:sz="0" w:space="0" w:color="auto"/>
            <w:bottom w:val="none" w:sz="0" w:space="0" w:color="auto"/>
            <w:right w:val="none" w:sz="0" w:space="0" w:color="auto"/>
          </w:divBdr>
        </w:div>
        <w:div w:id="1995139347">
          <w:marLeft w:val="0"/>
          <w:marRight w:val="0"/>
          <w:marTop w:val="0"/>
          <w:marBottom w:val="240"/>
          <w:divBdr>
            <w:top w:val="none" w:sz="0" w:space="0" w:color="auto"/>
            <w:left w:val="none" w:sz="0" w:space="0" w:color="auto"/>
            <w:bottom w:val="none" w:sz="0" w:space="0" w:color="auto"/>
            <w:right w:val="none" w:sz="0" w:space="0" w:color="auto"/>
          </w:divBdr>
        </w:div>
        <w:div w:id="719980728">
          <w:marLeft w:val="0"/>
          <w:marRight w:val="0"/>
          <w:marTop w:val="0"/>
          <w:marBottom w:val="240"/>
          <w:divBdr>
            <w:top w:val="none" w:sz="0" w:space="0" w:color="auto"/>
            <w:left w:val="none" w:sz="0" w:space="0" w:color="auto"/>
            <w:bottom w:val="none" w:sz="0" w:space="0" w:color="auto"/>
            <w:right w:val="none" w:sz="0" w:space="0" w:color="auto"/>
          </w:divBdr>
        </w:div>
        <w:div w:id="230233204">
          <w:marLeft w:val="0"/>
          <w:marRight w:val="0"/>
          <w:marTop w:val="0"/>
          <w:marBottom w:val="240"/>
          <w:divBdr>
            <w:top w:val="none" w:sz="0" w:space="0" w:color="auto"/>
            <w:left w:val="none" w:sz="0" w:space="0" w:color="auto"/>
            <w:bottom w:val="none" w:sz="0" w:space="0" w:color="auto"/>
            <w:right w:val="none" w:sz="0" w:space="0" w:color="auto"/>
          </w:divBdr>
        </w:div>
        <w:div w:id="657029467">
          <w:marLeft w:val="0"/>
          <w:marRight w:val="0"/>
          <w:marTop w:val="0"/>
          <w:marBottom w:val="240"/>
          <w:divBdr>
            <w:top w:val="none" w:sz="0" w:space="0" w:color="auto"/>
            <w:left w:val="none" w:sz="0" w:space="0" w:color="auto"/>
            <w:bottom w:val="none" w:sz="0" w:space="0" w:color="auto"/>
            <w:right w:val="none" w:sz="0" w:space="0" w:color="auto"/>
          </w:divBdr>
        </w:div>
        <w:div w:id="855732360">
          <w:marLeft w:val="0"/>
          <w:marRight w:val="0"/>
          <w:marTop w:val="0"/>
          <w:marBottom w:val="240"/>
          <w:divBdr>
            <w:top w:val="none" w:sz="0" w:space="0" w:color="auto"/>
            <w:left w:val="none" w:sz="0" w:space="0" w:color="auto"/>
            <w:bottom w:val="none" w:sz="0" w:space="0" w:color="auto"/>
            <w:right w:val="none" w:sz="0" w:space="0" w:color="auto"/>
          </w:divBdr>
        </w:div>
        <w:div w:id="848906806">
          <w:marLeft w:val="0"/>
          <w:marRight w:val="0"/>
          <w:marTop w:val="0"/>
          <w:marBottom w:val="240"/>
          <w:divBdr>
            <w:top w:val="none" w:sz="0" w:space="0" w:color="auto"/>
            <w:left w:val="none" w:sz="0" w:space="0" w:color="auto"/>
            <w:bottom w:val="none" w:sz="0" w:space="0" w:color="auto"/>
            <w:right w:val="none" w:sz="0" w:space="0" w:color="auto"/>
          </w:divBdr>
        </w:div>
        <w:div w:id="451284283">
          <w:marLeft w:val="0"/>
          <w:marRight w:val="0"/>
          <w:marTop w:val="0"/>
          <w:marBottom w:val="240"/>
          <w:divBdr>
            <w:top w:val="none" w:sz="0" w:space="0" w:color="auto"/>
            <w:left w:val="none" w:sz="0" w:space="0" w:color="auto"/>
            <w:bottom w:val="none" w:sz="0" w:space="0" w:color="auto"/>
            <w:right w:val="none" w:sz="0" w:space="0" w:color="auto"/>
          </w:divBdr>
        </w:div>
        <w:div w:id="656998507">
          <w:marLeft w:val="0"/>
          <w:marRight w:val="0"/>
          <w:marTop w:val="0"/>
          <w:marBottom w:val="240"/>
          <w:divBdr>
            <w:top w:val="none" w:sz="0" w:space="0" w:color="auto"/>
            <w:left w:val="none" w:sz="0" w:space="0" w:color="auto"/>
            <w:bottom w:val="none" w:sz="0" w:space="0" w:color="auto"/>
            <w:right w:val="none" w:sz="0" w:space="0" w:color="auto"/>
          </w:divBdr>
        </w:div>
        <w:div w:id="408698002">
          <w:marLeft w:val="0"/>
          <w:marRight w:val="0"/>
          <w:marTop w:val="0"/>
          <w:marBottom w:val="240"/>
          <w:divBdr>
            <w:top w:val="none" w:sz="0" w:space="0" w:color="auto"/>
            <w:left w:val="none" w:sz="0" w:space="0" w:color="auto"/>
            <w:bottom w:val="none" w:sz="0" w:space="0" w:color="auto"/>
            <w:right w:val="none" w:sz="0" w:space="0" w:color="auto"/>
          </w:divBdr>
        </w:div>
        <w:div w:id="1363821804">
          <w:marLeft w:val="0"/>
          <w:marRight w:val="0"/>
          <w:marTop w:val="0"/>
          <w:marBottom w:val="240"/>
          <w:divBdr>
            <w:top w:val="none" w:sz="0" w:space="0" w:color="auto"/>
            <w:left w:val="none" w:sz="0" w:space="0" w:color="auto"/>
            <w:bottom w:val="none" w:sz="0" w:space="0" w:color="auto"/>
            <w:right w:val="none" w:sz="0" w:space="0" w:color="auto"/>
          </w:divBdr>
        </w:div>
        <w:div w:id="990794924">
          <w:marLeft w:val="0"/>
          <w:marRight w:val="0"/>
          <w:marTop w:val="0"/>
          <w:marBottom w:val="240"/>
          <w:divBdr>
            <w:top w:val="none" w:sz="0" w:space="0" w:color="auto"/>
            <w:left w:val="none" w:sz="0" w:space="0" w:color="auto"/>
            <w:bottom w:val="none" w:sz="0" w:space="0" w:color="auto"/>
            <w:right w:val="none" w:sz="0" w:space="0" w:color="auto"/>
          </w:divBdr>
        </w:div>
        <w:div w:id="1750617376">
          <w:marLeft w:val="0"/>
          <w:marRight w:val="0"/>
          <w:marTop w:val="0"/>
          <w:marBottom w:val="240"/>
          <w:divBdr>
            <w:top w:val="none" w:sz="0" w:space="0" w:color="auto"/>
            <w:left w:val="none" w:sz="0" w:space="0" w:color="auto"/>
            <w:bottom w:val="none" w:sz="0" w:space="0" w:color="auto"/>
            <w:right w:val="none" w:sz="0" w:space="0" w:color="auto"/>
          </w:divBdr>
        </w:div>
        <w:div w:id="1932009745">
          <w:marLeft w:val="0"/>
          <w:marRight w:val="0"/>
          <w:marTop w:val="0"/>
          <w:marBottom w:val="240"/>
          <w:divBdr>
            <w:top w:val="none" w:sz="0" w:space="0" w:color="auto"/>
            <w:left w:val="none" w:sz="0" w:space="0" w:color="auto"/>
            <w:bottom w:val="none" w:sz="0" w:space="0" w:color="auto"/>
            <w:right w:val="none" w:sz="0" w:space="0" w:color="auto"/>
          </w:divBdr>
        </w:div>
        <w:div w:id="236480167">
          <w:marLeft w:val="0"/>
          <w:marRight w:val="0"/>
          <w:marTop w:val="0"/>
          <w:marBottom w:val="240"/>
          <w:divBdr>
            <w:top w:val="none" w:sz="0" w:space="0" w:color="auto"/>
            <w:left w:val="none" w:sz="0" w:space="0" w:color="auto"/>
            <w:bottom w:val="none" w:sz="0" w:space="0" w:color="auto"/>
            <w:right w:val="none" w:sz="0" w:space="0" w:color="auto"/>
          </w:divBdr>
        </w:div>
        <w:div w:id="673724262">
          <w:marLeft w:val="0"/>
          <w:marRight w:val="0"/>
          <w:marTop w:val="0"/>
          <w:marBottom w:val="240"/>
          <w:divBdr>
            <w:top w:val="none" w:sz="0" w:space="0" w:color="auto"/>
            <w:left w:val="none" w:sz="0" w:space="0" w:color="auto"/>
            <w:bottom w:val="none" w:sz="0" w:space="0" w:color="auto"/>
            <w:right w:val="none" w:sz="0" w:space="0" w:color="auto"/>
          </w:divBdr>
        </w:div>
        <w:div w:id="1536505416">
          <w:marLeft w:val="0"/>
          <w:marRight w:val="0"/>
          <w:marTop w:val="0"/>
          <w:marBottom w:val="240"/>
          <w:divBdr>
            <w:top w:val="none" w:sz="0" w:space="0" w:color="auto"/>
            <w:left w:val="none" w:sz="0" w:space="0" w:color="auto"/>
            <w:bottom w:val="none" w:sz="0" w:space="0" w:color="auto"/>
            <w:right w:val="none" w:sz="0" w:space="0" w:color="auto"/>
          </w:divBdr>
        </w:div>
        <w:div w:id="1838686286">
          <w:marLeft w:val="0"/>
          <w:marRight w:val="0"/>
          <w:marTop w:val="0"/>
          <w:marBottom w:val="240"/>
          <w:divBdr>
            <w:top w:val="none" w:sz="0" w:space="0" w:color="auto"/>
            <w:left w:val="none" w:sz="0" w:space="0" w:color="auto"/>
            <w:bottom w:val="none" w:sz="0" w:space="0" w:color="auto"/>
            <w:right w:val="none" w:sz="0" w:space="0" w:color="auto"/>
          </w:divBdr>
        </w:div>
        <w:div w:id="1884438323">
          <w:marLeft w:val="0"/>
          <w:marRight w:val="0"/>
          <w:marTop w:val="0"/>
          <w:marBottom w:val="240"/>
          <w:divBdr>
            <w:top w:val="none" w:sz="0" w:space="0" w:color="auto"/>
            <w:left w:val="none" w:sz="0" w:space="0" w:color="auto"/>
            <w:bottom w:val="none" w:sz="0" w:space="0" w:color="auto"/>
            <w:right w:val="none" w:sz="0" w:space="0" w:color="auto"/>
          </w:divBdr>
        </w:div>
        <w:div w:id="435296199">
          <w:marLeft w:val="0"/>
          <w:marRight w:val="0"/>
          <w:marTop w:val="0"/>
          <w:marBottom w:val="240"/>
          <w:divBdr>
            <w:top w:val="none" w:sz="0" w:space="0" w:color="auto"/>
            <w:left w:val="none" w:sz="0" w:space="0" w:color="auto"/>
            <w:bottom w:val="none" w:sz="0" w:space="0" w:color="auto"/>
            <w:right w:val="none" w:sz="0" w:space="0" w:color="auto"/>
          </w:divBdr>
        </w:div>
        <w:div w:id="1182354794">
          <w:marLeft w:val="0"/>
          <w:marRight w:val="0"/>
          <w:marTop w:val="0"/>
          <w:marBottom w:val="240"/>
          <w:divBdr>
            <w:top w:val="none" w:sz="0" w:space="0" w:color="auto"/>
            <w:left w:val="none" w:sz="0" w:space="0" w:color="auto"/>
            <w:bottom w:val="none" w:sz="0" w:space="0" w:color="auto"/>
            <w:right w:val="none" w:sz="0" w:space="0" w:color="auto"/>
          </w:divBdr>
        </w:div>
        <w:div w:id="2031880067">
          <w:marLeft w:val="0"/>
          <w:marRight w:val="0"/>
          <w:marTop w:val="0"/>
          <w:marBottom w:val="240"/>
          <w:divBdr>
            <w:top w:val="none" w:sz="0" w:space="0" w:color="auto"/>
            <w:left w:val="none" w:sz="0" w:space="0" w:color="auto"/>
            <w:bottom w:val="none" w:sz="0" w:space="0" w:color="auto"/>
            <w:right w:val="none" w:sz="0" w:space="0" w:color="auto"/>
          </w:divBdr>
        </w:div>
        <w:div w:id="829054726">
          <w:marLeft w:val="0"/>
          <w:marRight w:val="0"/>
          <w:marTop w:val="0"/>
          <w:marBottom w:val="240"/>
          <w:divBdr>
            <w:top w:val="none" w:sz="0" w:space="0" w:color="auto"/>
            <w:left w:val="none" w:sz="0" w:space="0" w:color="auto"/>
            <w:bottom w:val="none" w:sz="0" w:space="0" w:color="auto"/>
            <w:right w:val="none" w:sz="0" w:space="0" w:color="auto"/>
          </w:divBdr>
        </w:div>
        <w:div w:id="138881380">
          <w:marLeft w:val="0"/>
          <w:marRight w:val="0"/>
          <w:marTop w:val="0"/>
          <w:marBottom w:val="240"/>
          <w:divBdr>
            <w:top w:val="none" w:sz="0" w:space="0" w:color="auto"/>
            <w:left w:val="none" w:sz="0" w:space="0" w:color="auto"/>
            <w:bottom w:val="none" w:sz="0" w:space="0" w:color="auto"/>
            <w:right w:val="none" w:sz="0" w:space="0" w:color="auto"/>
          </w:divBdr>
        </w:div>
        <w:div w:id="1840273671">
          <w:marLeft w:val="0"/>
          <w:marRight w:val="0"/>
          <w:marTop w:val="0"/>
          <w:marBottom w:val="240"/>
          <w:divBdr>
            <w:top w:val="none" w:sz="0" w:space="0" w:color="auto"/>
            <w:left w:val="none" w:sz="0" w:space="0" w:color="auto"/>
            <w:bottom w:val="none" w:sz="0" w:space="0" w:color="auto"/>
            <w:right w:val="none" w:sz="0" w:space="0" w:color="auto"/>
          </w:divBdr>
        </w:div>
        <w:div w:id="2074304299">
          <w:marLeft w:val="0"/>
          <w:marRight w:val="0"/>
          <w:marTop w:val="0"/>
          <w:marBottom w:val="240"/>
          <w:divBdr>
            <w:top w:val="none" w:sz="0" w:space="0" w:color="auto"/>
            <w:left w:val="none" w:sz="0" w:space="0" w:color="auto"/>
            <w:bottom w:val="none" w:sz="0" w:space="0" w:color="auto"/>
            <w:right w:val="none" w:sz="0" w:space="0" w:color="auto"/>
          </w:divBdr>
        </w:div>
        <w:div w:id="382944786">
          <w:marLeft w:val="0"/>
          <w:marRight w:val="0"/>
          <w:marTop w:val="0"/>
          <w:marBottom w:val="240"/>
          <w:divBdr>
            <w:top w:val="none" w:sz="0" w:space="0" w:color="auto"/>
            <w:left w:val="none" w:sz="0" w:space="0" w:color="auto"/>
            <w:bottom w:val="none" w:sz="0" w:space="0" w:color="auto"/>
            <w:right w:val="none" w:sz="0" w:space="0" w:color="auto"/>
          </w:divBdr>
        </w:div>
        <w:div w:id="786774321">
          <w:marLeft w:val="0"/>
          <w:marRight w:val="0"/>
          <w:marTop w:val="0"/>
          <w:marBottom w:val="240"/>
          <w:divBdr>
            <w:top w:val="none" w:sz="0" w:space="0" w:color="auto"/>
            <w:left w:val="none" w:sz="0" w:space="0" w:color="auto"/>
            <w:bottom w:val="none" w:sz="0" w:space="0" w:color="auto"/>
            <w:right w:val="none" w:sz="0" w:space="0" w:color="auto"/>
          </w:divBdr>
        </w:div>
        <w:div w:id="549615392">
          <w:marLeft w:val="0"/>
          <w:marRight w:val="0"/>
          <w:marTop w:val="0"/>
          <w:marBottom w:val="240"/>
          <w:divBdr>
            <w:top w:val="none" w:sz="0" w:space="0" w:color="auto"/>
            <w:left w:val="none" w:sz="0" w:space="0" w:color="auto"/>
            <w:bottom w:val="none" w:sz="0" w:space="0" w:color="auto"/>
            <w:right w:val="none" w:sz="0" w:space="0" w:color="auto"/>
          </w:divBdr>
        </w:div>
        <w:div w:id="982537297">
          <w:marLeft w:val="0"/>
          <w:marRight w:val="0"/>
          <w:marTop w:val="0"/>
          <w:marBottom w:val="240"/>
          <w:divBdr>
            <w:top w:val="none" w:sz="0" w:space="0" w:color="auto"/>
            <w:left w:val="none" w:sz="0" w:space="0" w:color="auto"/>
            <w:bottom w:val="none" w:sz="0" w:space="0" w:color="auto"/>
            <w:right w:val="none" w:sz="0" w:space="0" w:color="auto"/>
          </w:divBdr>
        </w:div>
        <w:div w:id="918490280">
          <w:marLeft w:val="0"/>
          <w:marRight w:val="0"/>
          <w:marTop w:val="0"/>
          <w:marBottom w:val="240"/>
          <w:divBdr>
            <w:top w:val="none" w:sz="0" w:space="0" w:color="auto"/>
            <w:left w:val="none" w:sz="0" w:space="0" w:color="auto"/>
            <w:bottom w:val="none" w:sz="0" w:space="0" w:color="auto"/>
            <w:right w:val="none" w:sz="0" w:space="0" w:color="auto"/>
          </w:divBdr>
        </w:div>
        <w:div w:id="478226760">
          <w:marLeft w:val="0"/>
          <w:marRight w:val="0"/>
          <w:marTop w:val="0"/>
          <w:marBottom w:val="240"/>
          <w:divBdr>
            <w:top w:val="none" w:sz="0" w:space="0" w:color="auto"/>
            <w:left w:val="none" w:sz="0" w:space="0" w:color="auto"/>
            <w:bottom w:val="none" w:sz="0" w:space="0" w:color="auto"/>
            <w:right w:val="none" w:sz="0" w:space="0" w:color="auto"/>
          </w:divBdr>
        </w:div>
        <w:div w:id="966549711">
          <w:marLeft w:val="0"/>
          <w:marRight w:val="0"/>
          <w:marTop w:val="0"/>
          <w:marBottom w:val="240"/>
          <w:divBdr>
            <w:top w:val="none" w:sz="0" w:space="0" w:color="auto"/>
            <w:left w:val="none" w:sz="0" w:space="0" w:color="auto"/>
            <w:bottom w:val="none" w:sz="0" w:space="0" w:color="auto"/>
            <w:right w:val="none" w:sz="0" w:space="0" w:color="auto"/>
          </w:divBdr>
        </w:div>
        <w:div w:id="54742685">
          <w:marLeft w:val="0"/>
          <w:marRight w:val="0"/>
          <w:marTop w:val="0"/>
          <w:marBottom w:val="240"/>
          <w:divBdr>
            <w:top w:val="none" w:sz="0" w:space="0" w:color="auto"/>
            <w:left w:val="none" w:sz="0" w:space="0" w:color="auto"/>
            <w:bottom w:val="none" w:sz="0" w:space="0" w:color="auto"/>
            <w:right w:val="none" w:sz="0" w:space="0" w:color="auto"/>
          </w:divBdr>
        </w:div>
        <w:div w:id="1805924843">
          <w:marLeft w:val="0"/>
          <w:marRight w:val="0"/>
          <w:marTop w:val="0"/>
          <w:marBottom w:val="240"/>
          <w:divBdr>
            <w:top w:val="none" w:sz="0" w:space="0" w:color="auto"/>
            <w:left w:val="none" w:sz="0" w:space="0" w:color="auto"/>
            <w:bottom w:val="none" w:sz="0" w:space="0" w:color="auto"/>
            <w:right w:val="none" w:sz="0" w:space="0" w:color="auto"/>
          </w:divBdr>
        </w:div>
        <w:div w:id="192883363">
          <w:marLeft w:val="0"/>
          <w:marRight w:val="0"/>
          <w:marTop w:val="0"/>
          <w:marBottom w:val="240"/>
          <w:divBdr>
            <w:top w:val="none" w:sz="0" w:space="0" w:color="auto"/>
            <w:left w:val="none" w:sz="0" w:space="0" w:color="auto"/>
            <w:bottom w:val="none" w:sz="0" w:space="0" w:color="auto"/>
            <w:right w:val="none" w:sz="0" w:space="0" w:color="auto"/>
          </w:divBdr>
        </w:div>
        <w:div w:id="1258558750">
          <w:marLeft w:val="0"/>
          <w:marRight w:val="0"/>
          <w:marTop w:val="0"/>
          <w:marBottom w:val="240"/>
          <w:divBdr>
            <w:top w:val="none" w:sz="0" w:space="0" w:color="auto"/>
            <w:left w:val="none" w:sz="0" w:space="0" w:color="auto"/>
            <w:bottom w:val="none" w:sz="0" w:space="0" w:color="auto"/>
            <w:right w:val="none" w:sz="0" w:space="0" w:color="auto"/>
          </w:divBdr>
        </w:div>
        <w:div w:id="641155858">
          <w:marLeft w:val="0"/>
          <w:marRight w:val="0"/>
          <w:marTop w:val="0"/>
          <w:marBottom w:val="240"/>
          <w:divBdr>
            <w:top w:val="none" w:sz="0" w:space="0" w:color="auto"/>
            <w:left w:val="none" w:sz="0" w:space="0" w:color="auto"/>
            <w:bottom w:val="none" w:sz="0" w:space="0" w:color="auto"/>
            <w:right w:val="none" w:sz="0" w:space="0" w:color="auto"/>
          </w:divBdr>
        </w:div>
        <w:div w:id="893466652">
          <w:marLeft w:val="0"/>
          <w:marRight w:val="0"/>
          <w:marTop w:val="0"/>
          <w:marBottom w:val="240"/>
          <w:divBdr>
            <w:top w:val="none" w:sz="0" w:space="0" w:color="auto"/>
            <w:left w:val="none" w:sz="0" w:space="0" w:color="auto"/>
            <w:bottom w:val="none" w:sz="0" w:space="0" w:color="auto"/>
            <w:right w:val="none" w:sz="0" w:space="0" w:color="auto"/>
          </w:divBdr>
        </w:div>
        <w:div w:id="879980633">
          <w:marLeft w:val="0"/>
          <w:marRight w:val="0"/>
          <w:marTop w:val="0"/>
          <w:marBottom w:val="240"/>
          <w:divBdr>
            <w:top w:val="none" w:sz="0" w:space="0" w:color="auto"/>
            <w:left w:val="none" w:sz="0" w:space="0" w:color="auto"/>
            <w:bottom w:val="none" w:sz="0" w:space="0" w:color="auto"/>
            <w:right w:val="none" w:sz="0" w:space="0" w:color="auto"/>
          </w:divBdr>
        </w:div>
        <w:div w:id="737170382">
          <w:marLeft w:val="0"/>
          <w:marRight w:val="0"/>
          <w:marTop w:val="0"/>
          <w:marBottom w:val="240"/>
          <w:divBdr>
            <w:top w:val="none" w:sz="0" w:space="0" w:color="auto"/>
            <w:left w:val="none" w:sz="0" w:space="0" w:color="auto"/>
            <w:bottom w:val="none" w:sz="0" w:space="0" w:color="auto"/>
            <w:right w:val="none" w:sz="0" w:space="0" w:color="auto"/>
          </w:divBdr>
        </w:div>
        <w:div w:id="660238921">
          <w:marLeft w:val="0"/>
          <w:marRight w:val="0"/>
          <w:marTop w:val="0"/>
          <w:marBottom w:val="240"/>
          <w:divBdr>
            <w:top w:val="none" w:sz="0" w:space="0" w:color="auto"/>
            <w:left w:val="none" w:sz="0" w:space="0" w:color="auto"/>
            <w:bottom w:val="none" w:sz="0" w:space="0" w:color="auto"/>
            <w:right w:val="none" w:sz="0" w:space="0" w:color="auto"/>
          </w:divBdr>
        </w:div>
        <w:div w:id="357049800">
          <w:marLeft w:val="0"/>
          <w:marRight w:val="0"/>
          <w:marTop w:val="0"/>
          <w:marBottom w:val="240"/>
          <w:divBdr>
            <w:top w:val="none" w:sz="0" w:space="0" w:color="auto"/>
            <w:left w:val="none" w:sz="0" w:space="0" w:color="auto"/>
            <w:bottom w:val="none" w:sz="0" w:space="0" w:color="auto"/>
            <w:right w:val="none" w:sz="0" w:space="0" w:color="auto"/>
          </w:divBdr>
        </w:div>
        <w:div w:id="199901405">
          <w:marLeft w:val="0"/>
          <w:marRight w:val="0"/>
          <w:marTop w:val="0"/>
          <w:marBottom w:val="240"/>
          <w:divBdr>
            <w:top w:val="none" w:sz="0" w:space="0" w:color="auto"/>
            <w:left w:val="none" w:sz="0" w:space="0" w:color="auto"/>
            <w:bottom w:val="none" w:sz="0" w:space="0" w:color="auto"/>
            <w:right w:val="none" w:sz="0" w:space="0" w:color="auto"/>
          </w:divBdr>
        </w:div>
        <w:div w:id="78335915">
          <w:marLeft w:val="0"/>
          <w:marRight w:val="0"/>
          <w:marTop w:val="0"/>
          <w:marBottom w:val="240"/>
          <w:divBdr>
            <w:top w:val="none" w:sz="0" w:space="0" w:color="auto"/>
            <w:left w:val="none" w:sz="0" w:space="0" w:color="auto"/>
            <w:bottom w:val="none" w:sz="0" w:space="0" w:color="auto"/>
            <w:right w:val="none" w:sz="0" w:space="0" w:color="auto"/>
          </w:divBdr>
        </w:div>
        <w:div w:id="1792626738">
          <w:marLeft w:val="0"/>
          <w:marRight w:val="0"/>
          <w:marTop w:val="0"/>
          <w:marBottom w:val="240"/>
          <w:divBdr>
            <w:top w:val="none" w:sz="0" w:space="0" w:color="auto"/>
            <w:left w:val="none" w:sz="0" w:space="0" w:color="auto"/>
            <w:bottom w:val="none" w:sz="0" w:space="0" w:color="auto"/>
            <w:right w:val="none" w:sz="0" w:space="0" w:color="auto"/>
          </w:divBdr>
        </w:div>
        <w:div w:id="676156295">
          <w:marLeft w:val="0"/>
          <w:marRight w:val="0"/>
          <w:marTop w:val="0"/>
          <w:marBottom w:val="240"/>
          <w:divBdr>
            <w:top w:val="none" w:sz="0" w:space="0" w:color="auto"/>
            <w:left w:val="none" w:sz="0" w:space="0" w:color="auto"/>
            <w:bottom w:val="none" w:sz="0" w:space="0" w:color="auto"/>
            <w:right w:val="none" w:sz="0" w:space="0" w:color="auto"/>
          </w:divBdr>
        </w:div>
        <w:div w:id="2107339094">
          <w:marLeft w:val="0"/>
          <w:marRight w:val="0"/>
          <w:marTop w:val="0"/>
          <w:marBottom w:val="240"/>
          <w:divBdr>
            <w:top w:val="none" w:sz="0" w:space="0" w:color="auto"/>
            <w:left w:val="none" w:sz="0" w:space="0" w:color="auto"/>
            <w:bottom w:val="none" w:sz="0" w:space="0" w:color="auto"/>
            <w:right w:val="none" w:sz="0" w:space="0" w:color="auto"/>
          </w:divBdr>
        </w:div>
        <w:div w:id="327174331">
          <w:marLeft w:val="0"/>
          <w:marRight w:val="0"/>
          <w:marTop w:val="0"/>
          <w:marBottom w:val="240"/>
          <w:divBdr>
            <w:top w:val="none" w:sz="0" w:space="0" w:color="auto"/>
            <w:left w:val="none" w:sz="0" w:space="0" w:color="auto"/>
            <w:bottom w:val="none" w:sz="0" w:space="0" w:color="auto"/>
            <w:right w:val="none" w:sz="0" w:space="0" w:color="auto"/>
          </w:divBdr>
        </w:div>
        <w:div w:id="1037242595">
          <w:marLeft w:val="0"/>
          <w:marRight w:val="0"/>
          <w:marTop w:val="0"/>
          <w:marBottom w:val="240"/>
          <w:divBdr>
            <w:top w:val="none" w:sz="0" w:space="0" w:color="auto"/>
            <w:left w:val="none" w:sz="0" w:space="0" w:color="auto"/>
            <w:bottom w:val="none" w:sz="0" w:space="0" w:color="auto"/>
            <w:right w:val="none" w:sz="0" w:space="0" w:color="auto"/>
          </w:divBdr>
        </w:div>
        <w:div w:id="1438867014">
          <w:marLeft w:val="0"/>
          <w:marRight w:val="0"/>
          <w:marTop w:val="0"/>
          <w:marBottom w:val="240"/>
          <w:divBdr>
            <w:top w:val="none" w:sz="0" w:space="0" w:color="auto"/>
            <w:left w:val="none" w:sz="0" w:space="0" w:color="auto"/>
            <w:bottom w:val="none" w:sz="0" w:space="0" w:color="auto"/>
            <w:right w:val="none" w:sz="0" w:space="0" w:color="auto"/>
          </w:divBdr>
        </w:div>
        <w:div w:id="1442796466">
          <w:marLeft w:val="0"/>
          <w:marRight w:val="0"/>
          <w:marTop w:val="0"/>
          <w:marBottom w:val="240"/>
          <w:divBdr>
            <w:top w:val="none" w:sz="0" w:space="0" w:color="auto"/>
            <w:left w:val="none" w:sz="0" w:space="0" w:color="auto"/>
            <w:bottom w:val="none" w:sz="0" w:space="0" w:color="auto"/>
            <w:right w:val="none" w:sz="0" w:space="0" w:color="auto"/>
          </w:divBdr>
        </w:div>
        <w:div w:id="1703632511">
          <w:marLeft w:val="0"/>
          <w:marRight w:val="0"/>
          <w:marTop w:val="0"/>
          <w:marBottom w:val="240"/>
          <w:divBdr>
            <w:top w:val="none" w:sz="0" w:space="0" w:color="auto"/>
            <w:left w:val="none" w:sz="0" w:space="0" w:color="auto"/>
            <w:bottom w:val="none" w:sz="0" w:space="0" w:color="auto"/>
            <w:right w:val="none" w:sz="0" w:space="0" w:color="auto"/>
          </w:divBdr>
        </w:div>
        <w:div w:id="1445154860">
          <w:marLeft w:val="0"/>
          <w:marRight w:val="0"/>
          <w:marTop w:val="0"/>
          <w:marBottom w:val="240"/>
          <w:divBdr>
            <w:top w:val="none" w:sz="0" w:space="0" w:color="auto"/>
            <w:left w:val="none" w:sz="0" w:space="0" w:color="auto"/>
            <w:bottom w:val="none" w:sz="0" w:space="0" w:color="auto"/>
            <w:right w:val="none" w:sz="0" w:space="0" w:color="auto"/>
          </w:divBdr>
        </w:div>
        <w:div w:id="1141116111">
          <w:marLeft w:val="0"/>
          <w:marRight w:val="0"/>
          <w:marTop w:val="0"/>
          <w:marBottom w:val="240"/>
          <w:divBdr>
            <w:top w:val="none" w:sz="0" w:space="0" w:color="auto"/>
            <w:left w:val="none" w:sz="0" w:space="0" w:color="auto"/>
            <w:bottom w:val="none" w:sz="0" w:space="0" w:color="auto"/>
            <w:right w:val="none" w:sz="0" w:space="0" w:color="auto"/>
          </w:divBdr>
        </w:div>
        <w:div w:id="1524439532">
          <w:marLeft w:val="0"/>
          <w:marRight w:val="0"/>
          <w:marTop w:val="0"/>
          <w:marBottom w:val="240"/>
          <w:divBdr>
            <w:top w:val="none" w:sz="0" w:space="0" w:color="auto"/>
            <w:left w:val="none" w:sz="0" w:space="0" w:color="auto"/>
            <w:bottom w:val="none" w:sz="0" w:space="0" w:color="auto"/>
            <w:right w:val="none" w:sz="0" w:space="0" w:color="auto"/>
          </w:divBdr>
        </w:div>
        <w:div w:id="53621962">
          <w:marLeft w:val="0"/>
          <w:marRight w:val="0"/>
          <w:marTop w:val="0"/>
          <w:marBottom w:val="240"/>
          <w:divBdr>
            <w:top w:val="none" w:sz="0" w:space="0" w:color="auto"/>
            <w:left w:val="none" w:sz="0" w:space="0" w:color="auto"/>
            <w:bottom w:val="none" w:sz="0" w:space="0" w:color="auto"/>
            <w:right w:val="none" w:sz="0" w:space="0" w:color="auto"/>
          </w:divBdr>
        </w:div>
        <w:div w:id="797643357">
          <w:marLeft w:val="0"/>
          <w:marRight w:val="0"/>
          <w:marTop w:val="0"/>
          <w:marBottom w:val="240"/>
          <w:divBdr>
            <w:top w:val="none" w:sz="0" w:space="0" w:color="auto"/>
            <w:left w:val="none" w:sz="0" w:space="0" w:color="auto"/>
            <w:bottom w:val="none" w:sz="0" w:space="0" w:color="auto"/>
            <w:right w:val="none" w:sz="0" w:space="0" w:color="auto"/>
          </w:divBdr>
        </w:div>
        <w:div w:id="2007323384">
          <w:marLeft w:val="0"/>
          <w:marRight w:val="0"/>
          <w:marTop w:val="0"/>
          <w:marBottom w:val="240"/>
          <w:divBdr>
            <w:top w:val="none" w:sz="0" w:space="0" w:color="auto"/>
            <w:left w:val="none" w:sz="0" w:space="0" w:color="auto"/>
            <w:bottom w:val="none" w:sz="0" w:space="0" w:color="auto"/>
            <w:right w:val="none" w:sz="0" w:space="0" w:color="auto"/>
          </w:divBdr>
        </w:div>
        <w:div w:id="551698549">
          <w:marLeft w:val="0"/>
          <w:marRight w:val="0"/>
          <w:marTop w:val="0"/>
          <w:marBottom w:val="240"/>
          <w:divBdr>
            <w:top w:val="none" w:sz="0" w:space="0" w:color="auto"/>
            <w:left w:val="none" w:sz="0" w:space="0" w:color="auto"/>
            <w:bottom w:val="none" w:sz="0" w:space="0" w:color="auto"/>
            <w:right w:val="none" w:sz="0" w:space="0" w:color="auto"/>
          </w:divBdr>
        </w:div>
        <w:div w:id="1734424965">
          <w:marLeft w:val="0"/>
          <w:marRight w:val="0"/>
          <w:marTop w:val="0"/>
          <w:marBottom w:val="240"/>
          <w:divBdr>
            <w:top w:val="none" w:sz="0" w:space="0" w:color="auto"/>
            <w:left w:val="none" w:sz="0" w:space="0" w:color="auto"/>
            <w:bottom w:val="none" w:sz="0" w:space="0" w:color="auto"/>
            <w:right w:val="none" w:sz="0" w:space="0" w:color="auto"/>
          </w:divBdr>
        </w:div>
        <w:div w:id="861938069">
          <w:marLeft w:val="0"/>
          <w:marRight w:val="0"/>
          <w:marTop w:val="0"/>
          <w:marBottom w:val="240"/>
          <w:divBdr>
            <w:top w:val="none" w:sz="0" w:space="0" w:color="auto"/>
            <w:left w:val="none" w:sz="0" w:space="0" w:color="auto"/>
            <w:bottom w:val="none" w:sz="0" w:space="0" w:color="auto"/>
            <w:right w:val="none" w:sz="0" w:space="0" w:color="auto"/>
          </w:divBdr>
        </w:div>
        <w:div w:id="1669748158">
          <w:marLeft w:val="0"/>
          <w:marRight w:val="0"/>
          <w:marTop w:val="0"/>
          <w:marBottom w:val="240"/>
          <w:divBdr>
            <w:top w:val="none" w:sz="0" w:space="0" w:color="auto"/>
            <w:left w:val="none" w:sz="0" w:space="0" w:color="auto"/>
            <w:bottom w:val="none" w:sz="0" w:space="0" w:color="auto"/>
            <w:right w:val="none" w:sz="0" w:space="0" w:color="auto"/>
          </w:divBdr>
        </w:div>
        <w:div w:id="172838374">
          <w:marLeft w:val="0"/>
          <w:marRight w:val="0"/>
          <w:marTop w:val="0"/>
          <w:marBottom w:val="240"/>
          <w:divBdr>
            <w:top w:val="none" w:sz="0" w:space="0" w:color="auto"/>
            <w:left w:val="none" w:sz="0" w:space="0" w:color="auto"/>
            <w:bottom w:val="none" w:sz="0" w:space="0" w:color="auto"/>
            <w:right w:val="none" w:sz="0" w:space="0" w:color="auto"/>
          </w:divBdr>
        </w:div>
        <w:div w:id="352347351">
          <w:marLeft w:val="0"/>
          <w:marRight w:val="0"/>
          <w:marTop w:val="0"/>
          <w:marBottom w:val="240"/>
          <w:divBdr>
            <w:top w:val="none" w:sz="0" w:space="0" w:color="auto"/>
            <w:left w:val="none" w:sz="0" w:space="0" w:color="auto"/>
            <w:bottom w:val="none" w:sz="0" w:space="0" w:color="auto"/>
            <w:right w:val="none" w:sz="0" w:space="0" w:color="auto"/>
          </w:divBdr>
        </w:div>
        <w:div w:id="984435323">
          <w:marLeft w:val="0"/>
          <w:marRight w:val="0"/>
          <w:marTop w:val="0"/>
          <w:marBottom w:val="240"/>
          <w:divBdr>
            <w:top w:val="none" w:sz="0" w:space="0" w:color="auto"/>
            <w:left w:val="none" w:sz="0" w:space="0" w:color="auto"/>
            <w:bottom w:val="none" w:sz="0" w:space="0" w:color="auto"/>
            <w:right w:val="none" w:sz="0" w:space="0" w:color="auto"/>
          </w:divBdr>
        </w:div>
        <w:div w:id="1890144458">
          <w:marLeft w:val="0"/>
          <w:marRight w:val="0"/>
          <w:marTop w:val="0"/>
          <w:marBottom w:val="240"/>
          <w:divBdr>
            <w:top w:val="none" w:sz="0" w:space="0" w:color="auto"/>
            <w:left w:val="none" w:sz="0" w:space="0" w:color="auto"/>
            <w:bottom w:val="none" w:sz="0" w:space="0" w:color="auto"/>
            <w:right w:val="none" w:sz="0" w:space="0" w:color="auto"/>
          </w:divBdr>
        </w:div>
        <w:div w:id="1962033800">
          <w:marLeft w:val="0"/>
          <w:marRight w:val="0"/>
          <w:marTop w:val="0"/>
          <w:marBottom w:val="240"/>
          <w:divBdr>
            <w:top w:val="none" w:sz="0" w:space="0" w:color="auto"/>
            <w:left w:val="none" w:sz="0" w:space="0" w:color="auto"/>
            <w:bottom w:val="none" w:sz="0" w:space="0" w:color="auto"/>
            <w:right w:val="none" w:sz="0" w:space="0" w:color="auto"/>
          </w:divBdr>
        </w:div>
        <w:div w:id="2134251456">
          <w:marLeft w:val="0"/>
          <w:marRight w:val="0"/>
          <w:marTop w:val="0"/>
          <w:marBottom w:val="240"/>
          <w:divBdr>
            <w:top w:val="none" w:sz="0" w:space="0" w:color="auto"/>
            <w:left w:val="none" w:sz="0" w:space="0" w:color="auto"/>
            <w:bottom w:val="none" w:sz="0" w:space="0" w:color="auto"/>
            <w:right w:val="none" w:sz="0" w:space="0" w:color="auto"/>
          </w:divBdr>
        </w:div>
        <w:div w:id="1121875652">
          <w:marLeft w:val="0"/>
          <w:marRight w:val="0"/>
          <w:marTop w:val="0"/>
          <w:marBottom w:val="240"/>
          <w:divBdr>
            <w:top w:val="none" w:sz="0" w:space="0" w:color="auto"/>
            <w:left w:val="none" w:sz="0" w:space="0" w:color="auto"/>
            <w:bottom w:val="none" w:sz="0" w:space="0" w:color="auto"/>
            <w:right w:val="none" w:sz="0" w:space="0" w:color="auto"/>
          </w:divBdr>
        </w:div>
        <w:div w:id="1467506035">
          <w:marLeft w:val="0"/>
          <w:marRight w:val="0"/>
          <w:marTop w:val="0"/>
          <w:marBottom w:val="240"/>
          <w:divBdr>
            <w:top w:val="none" w:sz="0" w:space="0" w:color="auto"/>
            <w:left w:val="none" w:sz="0" w:space="0" w:color="auto"/>
            <w:bottom w:val="none" w:sz="0" w:space="0" w:color="auto"/>
            <w:right w:val="none" w:sz="0" w:space="0" w:color="auto"/>
          </w:divBdr>
        </w:div>
        <w:div w:id="738213262">
          <w:marLeft w:val="0"/>
          <w:marRight w:val="0"/>
          <w:marTop w:val="0"/>
          <w:marBottom w:val="240"/>
          <w:divBdr>
            <w:top w:val="none" w:sz="0" w:space="0" w:color="auto"/>
            <w:left w:val="none" w:sz="0" w:space="0" w:color="auto"/>
            <w:bottom w:val="none" w:sz="0" w:space="0" w:color="auto"/>
            <w:right w:val="none" w:sz="0" w:space="0" w:color="auto"/>
          </w:divBdr>
        </w:div>
        <w:div w:id="2055765574">
          <w:marLeft w:val="0"/>
          <w:marRight w:val="0"/>
          <w:marTop w:val="0"/>
          <w:marBottom w:val="240"/>
          <w:divBdr>
            <w:top w:val="none" w:sz="0" w:space="0" w:color="auto"/>
            <w:left w:val="none" w:sz="0" w:space="0" w:color="auto"/>
            <w:bottom w:val="none" w:sz="0" w:space="0" w:color="auto"/>
            <w:right w:val="none" w:sz="0" w:space="0" w:color="auto"/>
          </w:divBdr>
        </w:div>
        <w:div w:id="1726679463">
          <w:marLeft w:val="0"/>
          <w:marRight w:val="0"/>
          <w:marTop w:val="0"/>
          <w:marBottom w:val="240"/>
          <w:divBdr>
            <w:top w:val="none" w:sz="0" w:space="0" w:color="auto"/>
            <w:left w:val="none" w:sz="0" w:space="0" w:color="auto"/>
            <w:bottom w:val="none" w:sz="0" w:space="0" w:color="auto"/>
            <w:right w:val="none" w:sz="0" w:space="0" w:color="auto"/>
          </w:divBdr>
        </w:div>
        <w:div w:id="1632058903">
          <w:marLeft w:val="0"/>
          <w:marRight w:val="0"/>
          <w:marTop w:val="0"/>
          <w:marBottom w:val="240"/>
          <w:divBdr>
            <w:top w:val="none" w:sz="0" w:space="0" w:color="auto"/>
            <w:left w:val="none" w:sz="0" w:space="0" w:color="auto"/>
            <w:bottom w:val="none" w:sz="0" w:space="0" w:color="auto"/>
            <w:right w:val="none" w:sz="0" w:space="0" w:color="auto"/>
          </w:divBdr>
        </w:div>
        <w:div w:id="530799339">
          <w:marLeft w:val="0"/>
          <w:marRight w:val="0"/>
          <w:marTop w:val="0"/>
          <w:marBottom w:val="240"/>
          <w:divBdr>
            <w:top w:val="none" w:sz="0" w:space="0" w:color="auto"/>
            <w:left w:val="none" w:sz="0" w:space="0" w:color="auto"/>
            <w:bottom w:val="none" w:sz="0" w:space="0" w:color="auto"/>
            <w:right w:val="none" w:sz="0" w:space="0" w:color="auto"/>
          </w:divBdr>
        </w:div>
        <w:div w:id="37054668">
          <w:marLeft w:val="0"/>
          <w:marRight w:val="0"/>
          <w:marTop w:val="0"/>
          <w:marBottom w:val="240"/>
          <w:divBdr>
            <w:top w:val="none" w:sz="0" w:space="0" w:color="auto"/>
            <w:left w:val="none" w:sz="0" w:space="0" w:color="auto"/>
            <w:bottom w:val="none" w:sz="0" w:space="0" w:color="auto"/>
            <w:right w:val="none" w:sz="0" w:space="0" w:color="auto"/>
          </w:divBdr>
        </w:div>
        <w:div w:id="188380314">
          <w:marLeft w:val="0"/>
          <w:marRight w:val="0"/>
          <w:marTop w:val="0"/>
          <w:marBottom w:val="240"/>
          <w:divBdr>
            <w:top w:val="none" w:sz="0" w:space="0" w:color="auto"/>
            <w:left w:val="none" w:sz="0" w:space="0" w:color="auto"/>
            <w:bottom w:val="none" w:sz="0" w:space="0" w:color="auto"/>
            <w:right w:val="none" w:sz="0" w:space="0" w:color="auto"/>
          </w:divBdr>
        </w:div>
        <w:div w:id="1594433943">
          <w:marLeft w:val="0"/>
          <w:marRight w:val="0"/>
          <w:marTop w:val="0"/>
          <w:marBottom w:val="240"/>
          <w:divBdr>
            <w:top w:val="none" w:sz="0" w:space="0" w:color="auto"/>
            <w:left w:val="none" w:sz="0" w:space="0" w:color="auto"/>
            <w:bottom w:val="none" w:sz="0" w:space="0" w:color="auto"/>
            <w:right w:val="none" w:sz="0" w:space="0" w:color="auto"/>
          </w:divBdr>
        </w:div>
        <w:div w:id="757679335">
          <w:marLeft w:val="0"/>
          <w:marRight w:val="0"/>
          <w:marTop w:val="0"/>
          <w:marBottom w:val="240"/>
          <w:divBdr>
            <w:top w:val="none" w:sz="0" w:space="0" w:color="auto"/>
            <w:left w:val="none" w:sz="0" w:space="0" w:color="auto"/>
            <w:bottom w:val="none" w:sz="0" w:space="0" w:color="auto"/>
            <w:right w:val="none" w:sz="0" w:space="0" w:color="auto"/>
          </w:divBdr>
        </w:div>
        <w:div w:id="2039307829">
          <w:marLeft w:val="0"/>
          <w:marRight w:val="0"/>
          <w:marTop w:val="0"/>
          <w:marBottom w:val="240"/>
          <w:divBdr>
            <w:top w:val="none" w:sz="0" w:space="0" w:color="auto"/>
            <w:left w:val="none" w:sz="0" w:space="0" w:color="auto"/>
            <w:bottom w:val="none" w:sz="0" w:space="0" w:color="auto"/>
            <w:right w:val="none" w:sz="0" w:space="0" w:color="auto"/>
          </w:divBdr>
        </w:div>
        <w:div w:id="1188447144">
          <w:marLeft w:val="0"/>
          <w:marRight w:val="0"/>
          <w:marTop w:val="0"/>
          <w:marBottom w:val="240"/>
          <w:divBdr>
            <w:top w:val="none" w:sz="0" w:space="0" w:color="auto"/>
            <w:left w:val="none" w:sz="0" w:space="0" w:color="auto"/>
            <w:bottom w:val="none" w:sz="0" w:space="0" w:color="auto"/>
            <w:right w:val="none" w:sz="0" w:space="0" w:color="auto"/>
          </w:divBdr>
        </w:div>
        <w:div w:id="484782865">
          <w:marLeft w:val="0"/>
          <w:marRight w:val="0"/>
          <w:marTop w:val="0"/>
          <w:marBottom w:val="240"/>
          <w:divBdr>
            <w:top w:val="none" w:sz="0" w:space="0" w:color="auto"/>
            <w:left w:val="none" w:sz="0" w:space="0" w:color="auto"/>
            <w:bottom w:val="none" w:sz="0" w:space="0" w:color="auto"/>
            <w:right w:val="none" w:sz="0" w:space="0" w:color="auto"/>
          </w:divBdr>
        </w:div>
        <w:div w:id="591090338">
          <w:marLeft w:val="0"/>
          <w:marRight w:val="0"/>
          <w:marTop w:val="0"/>
          <w:marBottom w:val="240"/>
          <w:divBdr>
            <w:top w:val="none" w:sz="0" w:space="0" w:color="auto"/>
            <w:left w:val="none" w:sz="0" w:space="0" w:color="auto"/>
            <w:bottom w:val="none" w:sz="0" w:space="0" w:color="auto"/>
            <w:right w:val="none" w:sz="0" w:space="0" w:color="auto"/>
          </w:divBdr>
        </w:div>
        <w:div w:id="696858169">
          <w:marLeft w:val="0"/>
          <w:marRight w:val="0"/>
          <w:marTop w:val="0"/>
          <w:marBottom w:val="240"/>
          <w:divBdr>
            <w:top w:val="none" w:sz="0" w:space="0" w:color="auto"/>
            <w:left w:val="none" w:sz="0" w:space="0" w:color="auto"/>
            <w:bottom w:val="none" w:sz="0" w:space="0" w:color="auto"/>
            <w:right w:val="none" w:sz="0" w:space="0" w:color="auto"/>
          </w:divBdr>
        </w:div>
        <w:div w:id="961958968">
          <w:marLeft w:val="0"/>
          <w:marRight w:val="0"/>
          <w:marTop w:val="0"/>
          <w:marBottom w:val="240"/>
          <w:divBdr>
            <w:top w:val="none" w:sz="0" w:space="0" w:color="auto"/>
            <w:left w:val="none" w:sz="0" w:space="0" w:color="auto"/>
            <w:bottom w:val="none" w:sz="0" w:space="0" w:color="auto"/>
            <w:right w:val="none" w:sz="0" w:space="0" w:color="auto"/>
          </w:divBdr>
        </w:div>
        <w:div w:id="112945359">
          <w:marLeft w:val="0"/>
          <w:marRight w:val="0"/>
          <w:marTop w:val="0"/>
          <w:marBottom w:val="240"/>
          <w:divBdr>
            <w:top w:val="none" w:sz="0" w:space="0" w:color="auto"/>
            <w:left w:val="none" w:sz="0" w:space="0" w:color="auto"/>
            <w:bottom w:val="none" w:sz="0" w:space="0" w:color="auto"/>
            <w:right w:val="none" w:sz="0" w:space="0" w:color="auto"/>
          </w:divBdr>
        </w:div>
        <w:div w:id="1878347447">
          <w:marLeft w:val="0"/>
          <w:marRight w:val="0"/>
          <w:marTop w:val="0"/>
          <w:marBottom w:val="240"/>
          <w:divBdr>
            <w:top w:val="none" w:sz="0" w:space="0" w:color="auto"/>
            <w:left w:val="none" w:sz="0" w:space="0" w:color="auto"/>
            <w:bottom w:val="none" w:sz="0" w:space="0" w:color="auto"/>
            <w:right w:val="none" w:sz="0" w:space="0" w:color="auto"/>
          </w:divBdr>
        </w:div>
        <w:div w:id="1472480640">
          <w:marLeft w:val="0"/>
          <w:marRight w:val="0"/>
          <w:marTop w:val="0"/>
          <w:marBottom w:val="240"/>
          <w:divBdr>
            <w:top w:val="none" w:sz="0" w:space="0" w:color="auto"/>
            <w:left w:val="none" w:sz="0" w:space="0" w:color="auto"/>
            <w:bottom w:val="none" w:sz="0" w:space="0" w:color="auto"/>
            <w:right w:val="none" w:sz="0" w:space="0" w:color="auto"/>
          </w:divBdr>
        </w:div>
        <w:div w:id="1526407646">
          <w:marLeft w:val="0"/>
          <w:marRight w:val="0"/>
          <w:marTop w:val="0"/>
          <w:marBottom w:val="240"/>
          <w:divBdr>
            <w:top w:val="none" w:sz="0" w:space="0" w:color="auto"/>
            <w:left w:val="none" w:sz="0" w:space="0" w:color="auto"/>
            <w:bottom w:val="none" w:sz="0" w:space="0" w:color="auto"/>
            <w:right w:val="none" w:sz="0" w:space="0" w:color="auto"/>
          </w:divBdr>
        </w:div>
        <w:div w:id="1555431786">
          <w:marLeft w:val="0"/>
          <w:marRight w:val="0"/>
          <w:marTop w:val="0"/>
          <w:marBottom w:val="240"/>
          <w:divBdr>
            <w:top w:val="none" w:sz="0" w:space="0" w:color="auto"/>
            <w:left w:val="none" w:sz="0" w:space="0" w:color="auto"/>
            <w:bottom w:val="none" w:sz="0" w:space="0" w:color="auto"/>
            <w:right w:val="none" w:sz="0" w:space="0" w:color="auto"/>
          </w:divBdr>
        </w:div>
        <w:div w:id="1251741277">
          <w:marLeft w:val="0"/>
          <w:marRight w:val="0"/>
          <w:marTop w:val="0"/>
          <w:marBottom w:val="240"/>
          <w:divBdr>
            <w:top w:val="none" w:sz="0" w:space="0" w:color="auto"/>
            <w:left w:val="none" w:sz="0" w:space="0" w:color="auto"/>
            <w:bottom w:val="none" w:sz="0" w:space="0" w:color="auto"/>
            <w:right w:val="none" w:sz="0" w:space="0" w:color="auto"/>
          </w:divBdr>
        </w:div>
        <w:div w:id="495148087">
          <w:marLeft w:val="0"/>
          <w:marRight w:val="0"/>
          <w:marTop w:val="0"/>
          <w:marBottom w:val="240"/>
          <w:divBdr>
            <w:top w:val="none" w:sz="0" w:space="0" w:color="auto"/>
            <w:left w:val="none" w:sz="0" w:space="0" w:color="auto"/>
            <w:bottom w:val="none" w:sz="0" w:space="0" w:color="auto"/>
            <w:right w:val="none" w:sz="0" w:space="0" w:color="auto"/>
          </w:divBdr>
        </w:div>
        <w:div w:id="1347445928">
          <w:marLeft w:val="0"/>
          <w:marRight w:val="0"/>
          <w:marTop w:val="0"/>
          <w:marBottom w:val="240"/>
          <w:divBdr>
            <w:top w:val="none" w:sz="0" w:space="0" w:color="auto"/>
            <w:left w:val="none" w:sz="0" w:space="0" w:color="auto"/>
            <w:bottom w:val="none" w:sz="0" w:space="0" w:color="auto"/>
            <w:right w:val="none" w:sz="0" w:space="0" w:color="auto"/>
          </w:divBdr>
        </w:div>
        <w:div w:id="367874295">
          <w:marLeft w:val="0"/>
          <w:marRight w:val="0"/>
          <w:marTop w:val="0"/>
          <w:marBottom w:val="240"/>
          <w:divBdr>
            <w:top w:val="none" w:sz="0" w:space="0" w:color="auto"/>
            <w:left w:val="none" w:sz="0" w:space="0" w:color="auto"/>
            <w:bottom w:val="none" w:sz="0" w:space="0" w:color="auto"/>
            <w:right w:val="none" w:sz="0" w:space="0" w:color="auto"/>
          </w:divBdr>
        </w:div>
        <w:div w:id="1042171599">
          <w:marLeft w:val="0"/>
          <w:marRight w:val="0"/>
          <w:marTop w:val="0"/>
          <w:marBottom w:val="240"/>
          <w:divBdr>
            <w:top w:val="none" w:sz="0" w:space="0" w:color="auto"/>
            <w:left w:val="none" w:sz="0" w:space="0" w:color="auto"/>
            <w:bottom w:val="none" w:sz="0" w:space="0" w:color="auto"/>
            <w:right w:val="none" w:sz="0" w:space="0" w:color="auto"/>
          </w:divBdr>
        </w:div>
        <w:div w:id="66609383">
          <w:marLeft w:val="0"/>
          <w:marRight w:val="0"/>
          <w:marTop w:val="0"/>
          <w:marBottom w:val="240"/>
          <w:divBdr>
            <w:top w:val="none" w:sz="0" w:space="0" w:color="auto"/>
            <w:left w:val="none" w:sz="0" w:space="0" w:color="auto"/>
            <w:bottom w:val="none" w:sz="0" w:space="0" w:color="auto"/>
            <w:right w:val="none" w:sz="0" w:space="0" w:color="auto"/>
          </w:divBdr>
        </w:div>
        <w:div w:id="479008230">
          <w:marLeft w:val="0"/>
          <w:marRight w:val="0"/>
          <w:marTop w:val="0"/>
          <w:marBottom w:val="240"/>
          <w:divBdr>
            <w:top w:val="none" w:sz="0" w:space="0" w:color="auto"/>
            <w:left w:val="none" w:sz="0" w:space="0" w:color="auto"/>
            <w:bottom w:val="none" w:sz="0" w:space="0" w:color="auto"/>
            <w:right w:val="none" w:sz="0" w:space="0" w:color="auto"/>
          </w:divBdr>
        </w:div>
        <w:div w:id="510220213">
          <w:marLeft w:val="0"/>
          <w:marRight w:val="0"/>
          <w:marTop w:val="0"/>
          <w:marBottom w:val="240"/>
          <w:divBdr>
            <w:top w:val="none" w:sz="0" w:space="0" w:color="auto"/>
            <w:left w:val="none" w:sz="0" w:space="0" w:color="auto"/>
            <w:bottom w:val="none" w:sz="0" w:space="0" w:color="auto"/>
            <w:right w:val="none" w:sz="0" w:space="0" w:color="auto"/>
          </w:divBdr>
        </w:div>
        <w:div w:id="1468930212">
          <w:marLeft w:val="0"/>
          <w:marRight w:val="0"/>
          <w:marTop w:val="0"/>
          <w:marBottom w:val="240"/>
          <w:divBdr>
            <w:top w:val="none" w:sz="0" w:space="0" w:color="auto"/>
            <w:left w:val="none" w:sz="0" w:space="0" w:color="auto"/>
            <w:bottom w:val="none" w:sz="0" w:space="0" w:color="auto"/>
            <w:right w:val="none" w:sz="0" w:space="0" w:color="auto"/>
          </w:divBdr>
        </w:div>
        <w:div w:id="1256521805">
          <w:marLeft w:val="0"/>
          <w:marRight w:val="0"/>
          <w:marTop w:val="0"/>
          <w:marBottom w:val="240"/>
          <w:divBdr>
            <w:top w:val="none" w:sz="0" w:space="0" w:color="auto"/>
            <w:left w:val="none" w:sz="0" w:space="0" w:color="auto"/>
            <w:bottom w:val="none" w:sz="0" w:space="0" w:color="auto"/>
            <w:right w:val="none" w:sz="0" w:space="0" w:color="auto"/>
          </w:divBdr>
        </w:div>
        <w:div w:id="494028259">
          <w:marLeft w:val="0"/>
          <w:marRight w:val="0"/>
          <w:marTop w:val="0"/>
          <w:marBottom w:val="240"/>
          <w:divBdr>
            <w:top w:val="none" w:sz="0" w:space="0" w:color="auto"/>
            <w:left w:val="none" w:sz="0" w:space="0" w:color="auto"/>
            <w:bottom w:val="none" w:sz="0" w:space="0" w:color="auto"/>
            <w:right w:val="none" w:sz="0" w:space="0" w:color="auto"/>
          </w:divBdr>
        </w:div>
        <w:div w:id="884677282">
          <w:marLeft w:val="0"/>
          <w:marRight w:val="0"/>
          <w:marTop w:val="0"/>
          <w:marBottom w:val="240"/>
          <w:divBdr>
            <w:top w:val="none" w:sz="0" w:space="0" w:color="auto"/>
            <w:left w:val="none" w:sz="0" w:space="0" w:color="auto"/>
            <w:bottom w:val="none" w:sz="0" w:space="0" w:color="auto"/>
            <w:right w:val="none" w:sz="0" w:space="0" w:color="auto"/>
          </w:divBdr>
        </w:div>
        <w:div w:id="1191993704">
          <w:marLeft w:val="0"/>
          <w:marRight w:val="0"/>
          <w:marTop w:val="0"/>
          <w:marBottom w:val="240"/>
          <w:divBdr>
            <w:top w:val="none" w:sz="0" w:space="0" w:color="auto"/>
            <w:left w:val="none" w:sz="0" w:space="0" w:color="auto"/>
            <w:bottom w:val="none" w:sz="0" w:space="0" w:color="auto"/>
            <w:right w:val="none" w:sz="0" w:space="0" w:color="auto"/>
          </w:divBdr>
        </w:div>
        <w:div w:id="1761564733">
          <w:marLeft w:val="0"/>
          <w:marRight w:val="0"/>
          <w:marTop w:val="0"/>
          <w:marBottom w:val="240"/>
          <w:divBdr>
            <w:top w:val="none" w:sz="0" w:space="0" w:color="auto"/>
            <w:left w:val="none" w:sz="0" w:space="0" w:color="auto"/>
            <w:bottom w:val="none" w:sz="0" w:space="0" w:color="auto"/>
            <w:right w:val="none" w:sz="0" w:space="0" w:color="auto"/>
          </w:divBdr>
        </w:div>
        <w:div w:id="1219559804">
          <w:marLeft w:val="0"/>
          <w:marRight w:val="0"/>
          <w:marTop w:val="0"/>
          <w:marBottom w:val="240"/>
          <w:divBdr>
            <w:top w:val="none" w:sz="0" w:space="0" w:color="auto"/>
            <w:left w:val="none" w:sz="0" w:space="0" w:color="auto"/>
            <w:bottom w:val="none" w:sz="0" w:space="0" w:color="auto"/>
            <w:right w:val="none" w:sz="0" w:space="0" w:color="auto"/>
          </w:divBdr>
        </w:div>
        <w:div w:id="144670109">
          <w:marLeft w:val="0"/>
          <w:marRight w:val="0"/>
          <w:marTop w:val="0"/>
          <w:marBottom w:val="240"/>
          <w:divBdr>
            <w:top w:val="none" w:sz="0" w:space="0" w:color="auto"/>
            <w:left w:val="none" w:sz="0" w:space="0" w:color="auto"/>
            <w:bottom w:val="none" w:sz="0" w:space="0" w:color="auto"/>
            <w:right w:val="none" w:sz="0" w:space="0" w:color="auto"/>
          </w:divBdr>
        </w:div>
        <w:div w:id="335808911">
          <w:marLeft w:val="0"/>
          <w:marRight w:val="0"/>
          <w:marTop w:val="0"/>
          <w:marBottom w:val="240"/>
          <w:divBdr>
            <w:top w:val="none" w:sz="0" w:space="0" w:color="auto"/>
            <w:left w:val="none" w:sz="0" w:space="0" w:color="auto"/>
            <w:bottom w:val="none" w:sz="0" w:space="0" w:color="auto"/>
            <w:right w:val="none" w:sz="0" w:space="0" w:color="auto"/>
          </w:divBdr>
        </w:div>
        <w:div w:id="1088429228">
          <w:marLeft w:val="0"/>
          <w:marRight w:val="0"/>
          <w:marTop w:val="0"/>
          <w:marBottom w:val="240"/>
          <w:divBdr>
            <w:top w:val="none" w:sz="0" w:space="0" w:color="auto"/>
            <w:left w:val="none" w:sz="0" w:space="0" w:color="auto"/>
            <w:bottom w:val="none" w:sz="0" w:space="0" w:color="auto"/>
            <w:right w:val="none" w:sz="0" w:space="0" w:color="auto"/>
          </w:divBdr>
        </w:div>
        <w:div w:id="330959493">
          <w:marLeft w:val="0"/>
          <w:marRight w:val="0"/>
          <w:marTop w:val="0"/>
          <w:marBottom w:val="240"/>
          <w:divBdr>
            <w:top w:val="none" w:sz="0" w:space="0" w:color="auto"/>
            <w:left w:val="none" w:sz="0" w:space="0" w:color="auto"/>
            <w:bottom w:val="none" w:sz="0" w:space="0" w:color="auto"/>
            <w:right w:val="none" w:sz="0" w:space="0" w:color="auto"/>
          </w:divBdr>
        </w:div>
        <w:div w:id="209660069">
          <w:marLeft w:val="0"/>
          <w:marRight w:val="0"/>
          <w:marTop w:val="0"/>
          <w:marBottom w:val="240"/>
          <w:divBdr>
            <w:top w:val="none" w:sz="0" w:space="0" w:color="auto"/>
            <w:left w:val="none" w:sz="0" w:space="0" w:color="auto"/>
            <w:bottom w:val="none" w:sz="0" w:space="0" w:color="auto"/>
            <w:right w:val="none" w:sz="0" w:space="0" w:color="auto"/>
          </w:divBdr>
        </w:div>
        <w:div w:id="1665431102">
          <w:marLeft w:val="0"/>
          <w:marRight w:val="0"/>
          <w:marTop w:val="0"/>
          <w:marBottom w:val="240"/>
          <w:divBdr>
            <w:top w:val="none" w:sz="0" w:space="0" w:color="auto"/>
            <w:left w:val="none" w:sz="0" w:space="0" w:color="auto"/>
            <w:bottom w:val="none" w:sz="0" w:space="0" w:color="auto"/>
            <w:right w:val="none" w:sz="0" w:space="0" w:color="auto"/>
          </w:divBdr>
        </w:div>
        <w:div w:id="1116217172">
          <w:marLeft w:val="0"/>
          <w:marRight w:val="0"/>
          <w:marTop w:val="0"/>
          <w:marBottom w:val="240"/>
          <w:divBdr>
            <w:top w:val="none" w:sz="0" w:space="0" w:color="auto"/>
            <w:left w:val="none" w:sz="0" w:space="0" w:color="auto"/>
            <w:bottom w:val="none" w:sz="0" w:space="0" w:color="auto"/>
            <w:right w:val="none" w:sz="0" w:space="0" w:color="auto"/>
          </w:divBdr>
        </w:div>
        <w:div w:id="1949073149">
          <w:marLeft w:val="0"/>
          <w:marRight w:val="0"/>
          <w:marTop w:val="0"/>
          <w:marBottom w:val="240"/>
          <w:divBdr>
            <w:top w:val="none" w:sz="0" w:space="0" w:color="auto"/>
            <w:left w:val="none" w:sz="0" w:space="0" w:color="auto"/>
            <w:bottom w:val="none" w:sz="0" w:space="0" w:color="auto"/>
            <w:right w:val="none" w:sz="0" w:space="0" w:color="auto"/>
          </w:divBdr>
        </w:div>
        <w:div w:id="1428692490">
          <w:marLeft w:val="0"/>
          <w:marRight w:val="0"/>
          <w:marTop w:val="0"/>
          <w:marBottom w:val="240"/>
          <w:divBdr>
            <w:top w:val="none" w:sz="0" w:space="0" w:color="auto"/>
            <w:left w:val="none" w:sz="0" w:space="0" w:color="auto"/>
            <w:bottom w:val="none" w:sz="0" w:space="0" w:color="auto"/>
            <w:right w:val="none" w:sz="0" w:space="0" w:color="auto"/>
          </w:divBdr>
        </w:div>
        <w:div w:id="2107530554">
          <w:marLeft w:val="0"/>
          <w:marRight w:val="0"/>
          <w:marTop w:val="0"/>
          <w:marBottom w:val="240"/>
          <w:divBdr>
            <w:top w:val="none" w:sz="0" w:space="0" w:color="auto"/>
            <w:left w:val="none" w:sz="0" w:space="0" w:color="auto"/>
            <w:bottom w:val="none" w:sz="0" w:space="0" w:color="auto"/>
            <w:right w:val="none" w:sz="0" w:space="0" w:color="auto"/>
          </w:divBdr>
        </w:div>
        <w:div w:id="627587789">
          <w:marLeft w:val="0"/>
          <w:marRight w:val="0"/>
          <w:marTop w:val="0"/>
          <w:marBottom w:val="240"/>
          <w:divBdr>
            <w:top w:val="none" w:sz="0" w:space="0" w:color="auto"/>
            <w:left w:val="none" w:sz="0" w:space="0" w:color="auto"/>
            <w:bottom w:val="none" w:sz="0" w:space="0" w:color="auto"/>
            <w:right w:val="none" w:sz="0" w:space="0" w:color="auto"/>
          </w:divBdr>
        </w:div>
        <w:div w:id="1905949340">
          <w:marLeft w:val="0"/>
          <w:marRight w:val="0"/>
          <w:marTop w:val="0"/>
          <w:marBottom w:val="240"/>
          <w:divBdr>
            <w:top w:val="none" w:sz="0" w:space="0" w:color="auto"/>
            <w:left w:val="none" w:sz="0" w:space="0" w:color="auto"/>
            <w:bottom w:val="none" w:sz="0" w:space="0" w:color="auto"/>
            <w:right w:val="none" w:sz="0" w:space="0" w:color="auto"/>
          </w:divBdr>
        </w:div>
        <w:div w:id="1476603460">
          <w:marLeft w:val="0"/>
          <w:marRight w:val="0"/>
          <w:marTop w:val="0"/>
          <w:marBottom w:val="240"/>
          <w:divBdr>
            <w:top w:val="none" w:sz="0" w:space="0" w:color="auto"/>
            <w:left w:val="none" w:sz="0" w:space="0" w:color="auto"/>
            <w:bottom w:val="none" w:sz="0" w:space="0" w:color="auto"/>
            <w:right w:val="none" w:sz="0" w:space="0" w:color="auto"/>
          </w:divBdr>
        </w:div>
        <w:div w:id="1878393998">
          <w:marLeft w:val="0"/>
          <w:marRight w:val="0"/>
          <w:marTop w:val="0"/>
          <w:marBottom w:val="240"/>
          <w:divBdr>
            <w:top w:val="none" w:sz="0" w:space="0" w:color="auto"/>
            <w:left w:val="none" w:sz="0" w:space="0" w:color="auto"/>
            <w:bottom w:val="none" w:sz="0" w:space="0" w:color="auto"/>
            <w:right w:val="none" w:sz="0" w:space="0" w:color="auto"/>
          </w:divBdr>
        </w:div>
        <w:div w:id="858785356">
          <w:marLeft w:val="0"/>
          <w:marRight w:val="0"/>
          <w:marTop w:val="0"/>
          <w:marBottom w:val="240"/>
          <w:divBdr>
            <w:top w:val="none" w:sz="0" w:space="0" w:color="auto"/>
            <w:left w:val="none" w:sz="0" w:space="0" w:color="auto"/>
            <w:bottom w:val="none" w:sz="0" w:space="0" w:color="auto"/>
            <w:right w:val="none" w:sz="0" w:space="0" w:color="auto"/>
          </w:divBdr>
        </w:div>
        <w:div w:id="417485314">
          <w:marLeft w:val="0"/>
          <w:marRight w:val="0"/>
          <w:marTop w:val="0"/>
          <w:marBottom w:val="240"/>
          <w:divBdr>
            <w:top w:val="none" w:sz="0" w:space="0" w:color="auto"/>
            <w:left w:val="none" w:sz="0" w:space="0" w:color="auto"/>
            <w:bottom w:val="none" w:sz="0" w:space="0" w:color="auto"/>
            <w:right w:val="none" w:sz="0" w:space="0" w:color="auto"/>
          </w:divBdr>
        </w:div>
        <w:div w:id="1059668279">
          <w:marLeft w:val="0"/>
          <w:marRight w:val="0"/>
          <w:marTop w:val="0"/>
          <w:marBottom w:val="240"/>
          <w:divBdr>
            <w:top w:val="none" w:sz="0" w:space="0" w:color="auto"/>
            <w:left w:val="none" w:sz="0" w:space="0" w:color="auto"/>
            <w:bottom w:val="none" w:sz="0" w:space="0" w:color="auto"/>
            <w:right w:val="none" w:sz="0" w:space="0" w:color="auto"/>
          </w:divBdr>
        </w:div>
        <w:div w:id="2135322281">
          <w:marLeft w:val="0"/>
          <w:marRight w:val="0"/>
          <w:marTop w:val="0"/>
          <w:marBottom w:val="240"/>
          <w:divBdr>
            <w:top w:val="none" w:sz="0" w:space="0" w:color="auto"/>
            <w:left w:val="none" w:sz="0" w:space="0" w:color="auto"/>
            <w:bottom w:val="none" w:sz="0" w:space="0" w:color="auto"/>
            <w:right w:val="none" w:sz="0" w:space="0" w:color="auto"/>
          </w:divBdr>
        </w:div>
        <w:div w:id="2074692506">
          <w:marLeft w:val="0"/>
          <w:marRight w:val="0"/>
          <w:marTop w:val="0"/>
          <w:marBottom w:val="240"/>
          <w:divBdr>
            <w:top w:val="none" w:sz="0" w:space="0" w:color="auto"/>
            <w:left w:val="none" w:sz="0" w:space="0" w:color="auto"/>
            <w:bottom w:val="none" w:sz="0" w:space="0" w:color="auto"/>
            <w:right w:val="none" w:sz="0" w:space="0" w:color="auto"/>
          </w:divBdr>
        </w:div>
        <w:div w:id="2132627314">
          <w:marLeft w:val="0"/>
          <w:marRight w:val="0"/>
          <w:marTop w:val="0"/>
          <w:marBottom w:val="240"/>
          <w:divBdr>
            <w:top w:val="none" w:sz="0" w:space="0" w:color="auto"/>
            <w:left w:val="none" w:sz="0" w:space="0" w:color="auto"/>
            <w:bottom w:val="none" w:sz="0" w:space="0" w:color="auto"/>
            <w:right w:val="none" w:sz="0" w:space="0" w:color="auto"/>
          </w:divBdr>
        </w:div>
        <w:div w:id="1825201877">
          <w:marLeft w:val="0"/>
          <w:marRight w:val="0"/>
          <w:marTop w:val="0"/>
          <w:marBottom w:val="240"/>
          <w:divBdr>
            <w:top w:val="none" w:sz="0" w:space="0" w:color="auto"/>
            <w:left w:val="none" w:sz="0" w:space="0" w:color="auto"/>
            <w:bottom w:val="none" w:sz="0" w:space="0" w:color="auto"/>
            <w:right w:val="none" w:sz="0" w:space="0" w:color="auto"/>
          </w:divBdr>
        </w:div>
        <w:div w:id="1179612924">
          <w:marLeft w:val="0"/>
          <w:marRight w:val="0"/>
          <w:marTop w:val="0"/>
          <w:marBottom w:val="240"/>
          <w:divBdr>
            <w:top w:val="none" w:sz="0" w:space="0" w:color="auto"/>
            <w:left w:val="none" w:sz="0" w:space="0" w:color="auto"/>
            <w:bottom w:val="none" w:sz="0" w:space="0" w:color="auto"/>
            <w:right w:val="none" w:sz="0" w:space="0" w:color="auto"/>
          </w:divBdr>
        </w:div>
        <w:div w:id="1240942318">
          <w:marLeft w:val="0"/>
          <w:marRight w:val="0"/>
          <w:marTop w:val="0"/>
          <w:marBottom w:val="240"/>
          <w:divBdr>
            <w:top w:val="none" w:sz="0" w:space="0" w:color="auto"/>
            <w:left w:val="none" w:sz="0" w:space="0" w:color="auto"/>
            <w:bottom w:val="none" w:sz="0" w:space="0" w:color="auto"/>
            <w:right w:val="none" w:sz="0" w:space="0" w:color="auto"/>
          </w:divBdr>
        </w:div>
        <w:div w:id="816458393">
          <w:marLeft w:val="0"/>
          <w:marRight w:val="0"/>
          <w:marTop w:val="0"/>
          <w:marBottom w:val="240"/>
          <w:divBdr>
            <w:top w:val="none" w:sz="0" w:space="0" w:color="auto"/>
            <w:left w:val="none" w:sz="0" w:space="0" w:color="auto"/>
            <w:bottom w:val="none" w:sz="0" w:space="0" w:color="auto"/>
            <w:right w:val="none" w:sz="0" w:space="0" w:color="auto"/>
          </w:divBdr>
        </w:div>
        <w:div w:id="955017469">
          <w:marLeft w:val="0"/>
          <w:marRight w:val="0"/>
          <w:marTop w:val="0"/>
          <w:marBottom w:val="240"/>
          <w:divBdr>
            <w:top w:val="none" w:sz="0" w:space="0" w:color="auto"/>
            <w:left w:val="none" w:sz="0" w:space="0" w:color="auto"/>
            <w:bottom w:val="none" w:sz="0" w:space="0" w:color="auto"/>
            <w:right w:val="none" w:sz="0" w:space="0" w:color="auto"/>
          </w:divBdr>
        </w:div>
        <w:div w:id="1491750053">
          <w:marLeft w:val="0"/>
          <w:marRight w:val="0"/>
          <w:marTop w:val="0"/>
          <w:marBottom w:val="240"/>
          <w:divBdr>
            <w:top w:val="none" w:sz="0" w:space="0" w:color="auto"/>
            <w:left w:val="none" w:sz="0" w:space="0" w:color="auto"/>
            <w:bottom w:val="none" w:sz="0" w:space="0" w:color="auto"/>
            <w:right w:val="none" w:sz="0" w:space="0" w:color="auto"/>
          </w:divBdr>
        </w:div>
        <w:div w:id="1970431012">
          <w:marLeft w:val="0"/>
          <w:marRight w:val="0"/>
          <w:marTop w:val="0"/>
          <w:marBottom w:val="240"/>
          <w:divBdr>
            <w:top w:val="none" w:sz="0" w:space="0" w:color="auto"/>
            <w:left w:val="none" w:sz="0" w:space="0" w:color="auto"/>
            <w:bottom w:val="none" w:sz="0" w:space="0" w:color="auto"/>
            <w:right w:val="none" w:sz="0" w:space="0" w:color="auto"/>
          </w:divBdr>
        </w:div>
        <w:div w:id="1619413005">
          <w:marLeft w:val="0"/>
          <w:marRight w:val="0"/>
          <w:marTop w:val="0"/>
          <w:marBottom w:val="240"/>
          <w:divBdr>
            <w:top w:val="none" w:sz="0" w:space="0" w:color="auto"/>
            <w:left w:val="none" w:sz="0" w:space="0" w:color="auto"/>
            <w:bottom w:val="none" w:sz="0" w:space="0" w:color="auto"/>
            <w:right w:val="none" w:sz="0" w:space="0" w:color="auto"/>
          </w:divBdr>
        </w:div>
        <w:div w:id="738595177">
          <w:marLeft w:val="0"/>
          <w:marRight w:val="0"/>
          <w:marTop w:val="0"/>
          <w:marBottom w:val="240"/>
          <w:divBdr>
            <w:top w:val="none" w:sz="0" w:space="0" w:color="auto"/>
            <w:left w:val="none" w:sz="0" w:space="0" w:color="auto"/>
            <w:bottom w:val="none" w:sz="0" w:space="0" w:color="auto"/>
            <w:right w:val="none" w:sz="0" w:space="0" w:color="auto"/>
          </w:divBdr>
        </w:div>
        <w:div w:id="2082210764">
          <w:marLeft w:val="0"/>
          <w:marRight w:val="0"/>
          <w:marTop w:val="0"/>
          <w:marBottom w:val="240"/>
          <w:divBdr>
            <w:top w:val="none" w:sz="0" w:space="0" w:color="auto"/>
            <w:left w:val="none" w:sz="0" w:space="0" w:color="auto"/>
            <w:bottom w:val="none" w:sz="0" w:space="0" w:color="auto"/>
            <w:right w:val="none" w:sz="0" w:space="0" w:color="auto"/>
          </w:divBdr>
        </w:div>
        <w:div w:id="665861828">
          <w:marLeft w:val="0"/>
          <w:marRight w:val="0"/>
          <w:marTop w:val="0"/>
          <w:marBottom w:val="240"/>
          <w:divBdr>
            <w:top w:val="none" w:sz="0" w:space="0" w:color="auto"/>
            <w:left w:val="none" w:sz="0" w:space="0" w:color="auto"/>
            <w:bottom w:val="none" w:sz="0" w:space="0" w:color="auto"/>
            <w:right w:val="none" w:sz="0" w:space="0" w:color="auto"/>
          </w:divBdr>
        </w:div>
        <w:div w:id="2008821197">
          <w:marLeft w:val="0"/>
          <w:marRight w:val="0"/>
          <w:marTop w:val="0"/>
          <w:marBottom w:val="240"/>
          <w:divBdr>
            <w:top w:val="none" w:sz="0" w:space="0" w:color="auto"/>
            <w:left w:val="none" w:sz="0" w:space="0" w:color="auto"/>
            <w:bottom w:val="none" w:sz="0" w:space="0" w:color="auto"/>
            <w:right w:val="none" w:sz="0" w:space="0" w:color="auto"/>
          </w:divBdr>
        </w:div>
        <w:div w:id="942344890">
          <w:marLeft w:val="0"/>
          <w:marRight w:val="0"/>
          <w:marTop w:val="0"/>
          <w:marBottom w:val="240"/>
          <w:divBdr>
            <w:top w:val="none" w:sz="0" w:space="0" w:color="auto"/>
            <w:left w:val="none" w:sz="0" w:space="0" w:color="auto"/>
            <w:bottom w:val="none" w:sz="0" w:space="0" w:color="auto"/>
            <w:right w:val="none" w:sz="0" w:space="0" w:color="auto"/>
          </w:divBdr>
        </w:div>
        <w:div w:id="292685681">
          <w:marLeft w:val="0"/>
          <w:marRight w:val="0"/>
          <w:marTop w:val="0"/>
          <w:marBottom w:val="240"/>
          <w:divBdr>
            <w:top w:val="none" w:sz="0" w:space="0" w:color="auto"/>
            <w:left w:val="none" w:sz="0" w:space="0" w:color="auto"/>
            <w:bottom w:val="none" w:sz="0" w:space="0" w:color="auto"/>
            <w:right w:val="none" w:sz="0" w:space="0" w:color="auto"/>
          </w:divBdr>
        </w:div>
        <w:div w:id="62485466">
          <w:marLeft w:val="0"/>
          <w:marRight w:val="0"/>
          <w:marTop w:val="0"/>
          <w:marBottom w:val="240"/>
          <w:divBdr>
            <w:top w:val="none" w:sz="0" w:space="0" w:color="auto"/>
            <w:left w:val="none" w:sz="0" w:space="0" w:color="auto"/>
            <w:bottom w:val="none" w:sz="0" w:space="0" w:color="auto"/>
            <w:right w:val="none" w:sz="0" w:space="0" w:color="auto"/>
          </w:divBdr>
        </w:div>
        <w:div w:id="659424462">
          <w:marLeft w:val="0"/>
          <w:marRight w:val="0"/>
          <w:marTop w:val="0"/>
          <w:marBottom w:val="240"/>
          <w:divBdr>
            <w:top w:val="none" w:sz="0" w:space="0" w:color="auto"/>
            <w:left w:val="none" w:sz="0" w:space="0" w:color="auto"/>
            <w:bottom w:val="none" w:sz="0" w:space="0" w:color="auto"/>
            <w:right w:val="none" w:sz="0" w:space="0" w:color="auto"/>
          </w:divBdr>
        </w:div>
        <w:div w:id="1264191330">
          <w:marLeft w:val="0"/>
          <w:marRight w:val="0"/>
          <w:marTop w:val="0"/>
          <w:marBottom w:val="240"/>
          <w:divBdr>
            <w:top w:val="none" w:sz="0" w:space="0" w:color="auto"/>
            <w:left w:val="none" w:sz="0" w:space="0" w:color="auto"/>
            <w:bottom w:val="none" w:sz="0" w:space="0" w:color="auto"/>
            <w:right w:val="none" w:sz="0" w:space="0" w:color="auto"/>
          </w:divBdr>
        </w:div>
        <w:div w:id="1002124018">
          <w:marLeft w:val="0"/>
          <w:marRight w:val="0"/>
          <w:marTop w:val="0"/>
          <w:marBottom w:val="240"/>
          <w:divBdr>
            <w:top w:val="none" w:sz="0" w:space="0" w:color="auto"/>
            <w:left w:val="none" w:sz="0" w:space="0" w:color="auto"/>
            <w:bottom w:val="none" w:sz="0" w:space="0" w:color="auto"/>
            <w:right w:val="none" w:sz="0" w:space="0" w:color="auto"/>
          </w:divBdr>
        </w:div>
        <w:div w:id="66654971">
          <w:marLeft w:val="0"/>
          <w:marRight w:val="0"/>
          <w:marTop w:val="0"/>
          <w:marBottom w:val="240"/>
          <w:divBdr>
            <w:top w:val="none" w:sz="0" w:space="0" w:color="auto"/>
            <w:left w:val="none" w:sz="0" w:space="0" w:color="auto"/>
            <w:bottom w:val="none" w:sz="0" w:space="0" w:color="auto"/>
            <w:right w:val="none" w:sz="0" w:space="0" w:color="auto"/>
          </w:divBdr>
        </w:div>
        <w:div w:id="833687137">
          <w:marLeft w:val="0"/>
          <w:marRight w:val="0"/>
          <w:marTop w:val="0"/>
          <w:marBottom w:val="240"/>
          <w:divBdr>
            <w:top w:val="none" w:sz="0" w:space="0" w:color="auto"/>
            <w:left w:val="none" w:sz="0" w:space="0" w:color="auto"/>
            <w:bottom w:val="none" w:sz="0" w:space="0" w:color="auto"/>
            <w:right w:val="none" w:sz="0" w:space="0" w:color="auto"/>
          </w:divBdr>
        </w:div>
        <w:div w:id="583494945">
          <w:marLeft w:val="0"/>
          <w:marRight w:val="0"/>
          <w:marTop w:val="0"/>
          <w:marBottom w:val="240"/>
          <w:divBdr>
            <w:top w:val="none" w:sz="0" w:space="0" w:color="auto"/>
            <w:left w:val="none" w:sz="0" w:space="0" w:color="auto"/>
            <w:bottom w:val="none" w:sz="0" w:space="0" w:color="auto"/>
            <w:right w:val="none" w:sz="0" w:space="0" w:color="auto"/>
          </w:divBdr>
        </w:div>
        <w:div w:id="672756753">
          <w:marLeft w:val="0"/>
          <w:marRight w:val="0"/>
          <w:marTop w:val="0"/>
          <w:marBottom w:val="240"/>
          <w:divBdr>
            <w:top w:val="none" w:sz="0" w:space="0" w:color="auto"/>
            <w:left w:val="none" w:sz="0" w:space="0" w:color="auto"/>
            <w:bottom w:val="none" w:sz="0" w:space="0" w:color="auto"/>
            <w:right w:val="none" w:sz="0" w:space="0" w:color="auto"/>
          </w:divBdr>
        </w:div>
        <w:div w:id="1475754394">
          <w:marLeft w:val="0"/>
          <w:marRight w:val="0"/>
          <w:marTop w:val="0"/>
          <w:marBottom w:val="240"/>
          <w:divBdr>
            <w:top w:val="none" w:sz="0" w:space="0" w:color="auto"/>
            <w:left w:val="none" w:sz="0" w:space="0" w:color="auto"/>
            <w:bottom w:val="none" w:sz="0" w:space="0" w:color="auto"/>
            <w:right w:val="none" w:sz="0" w:space="0" w:color="auto"/>
          </w:divBdr>
        </w:div>
        <w:div w:id="1533374232">
          <w:marLeft w:val="0"/>
          <w:marRight w:val="0"/>
          <w:marTop w:val="0"/>
          <w:marBottom w:val="240"/>
          <w:divBdr>
            <w:top w:val="none" w:sz="0" w:space="0" w:color="auto"/>
            <w:left w:val="none" w:sz="0" w:space="0" w:color="auto"/>
            <w:bottom w:val="none" w:sz="0" w:space="0" w:color="auto"/>
            <w:right w:val="none" w:sz="0" w:space="0" w:color="auto"/>
          </w:divBdr>
        </w:div>
        <w:div w:id="650257072">
          <w:marLeft w:val="0"/>
          <w:marRight w:val="0"/>
          <w:marTop w:val="0"/>
          <w:marBottom w:val="240"/>
          <w:divBdr>
            <w:top w:val="none" w:sz="0" w:space="0" w:color="auto"/>
            <w:left w:val="none" w:sz="0" w:space="0" w:color="auto"/>
            <w:bottom w:val="none" w:sz="0" w:space="0" w:color="auto"/>
            <w:right w:val="none" w:sz="0" w:space="0" w:color="auto"/>
          </w:divBdr>
        </w:div>
        <w:div w:id="1136489993">
          <w:marLeft w:val="0"/>
          <w:marRight w:val="0"/>
          <w:marTop w:val="0"/>
          <w:marBottom w:val="240"/>
          <w:divBdr>
            <w:top w:val="none" w:sz="0" w:space="0" w:color="auto"/>
            <w:left w:val="none" w:sz="0" w:space="0" w:color="auto"/>
            <w:bottom w:val="none" w:sz="0" w:space="0" w:color="auto"/>
            <w:right w:val="none" w:sz="0" w:space="0" w:color="auto"/>
          </w:divBdr>
        </w:div>
        <w:div w:id="1390109819">
          <w:marLeft w:val="0"/>
          <w:marRight w:val="0"/>
          <w:marTop w:val="0"/>
          <w:marBottom w:val="240"/>
          <w:divBdr>
            <w:top w:val="none" w:sz="0" w:space="0" w:color="auto"/>
            <w:left w:val="none" w:sz="0" w:space="0" w:color="auto"/>
            <w:bottom w:val="none" w:sz="0" w:space="0" w:color="auto"/>
            <w:right w:val="none" w:sz="0" w:space="0" w:color="auto"/>
          </w:divBdr>
        </w:div>
      </w:divsChild>
    </w:div>
    <w:div w:id="1871718557">
      <w:bodyDiv w:val="1"/>
      <w:marLeft w:val="0"/>
      <w:marRight w:val="0"/>
      <w:marTop w:val="0"/>
      <w:marBottom w:val="0"/>
      <w:divBdr>
        <w:top w:val="none" w:sz="0" w:space="0" w:color="auto"/>
        <w:left w:val="none" w:sz="0" w:space="0" w:color="auto"/>
        <w:bottom w:val="none" w:sz="0" w:space="0" w:color="auto"/>
        <w:right w:val="none" w:sz="0" w:space="0" w:color="auto"/>
      </w:divBdr>
    </w:div>
    <w:div w:id="1875074975">
      <w:bodyDiv w:val="1"/>
      <w:marLeft w:val="0"/>
      <w:marRight w:val="0"/>
      <w:marTop w:val="0"/>
      <w:marBottom w:val="0"/>
      <w:divBdr>
        <w:top w:val="none" w:sz="0" w:space="0" w:color="auto"/>
        <w:left w:val="none" w:sz="0" w:space="0" w:color="auto"/>
        <w:bottom w:val="none" w:sz="0" w:space="0" w:color="auto"/>
        <w:right w:val="none" w:sz="0" w:space="0" w:color="auto"/>
      </w:divBdr>
    </w:div>
    <w:div w:id="1879079729">
      <w:bodyDiv w:val="1"/>
      <w:marLeft w:val="0"/>
      <w:marRight w:val="0"/>
      <w:marTop w:val="0"/>
      <w:marBottom w:val="0"/>
      <w:divBdr>
        <w:top w:val="none" w:sz="0" w:space="0" w:color="auto"/>
        <w:left w:val="none" w:sz="0" w:space="0" w:color="auto"/>
        <w:bottom w:val="none" w:sz="0" w:space="0" w:color="auto"/>
        <w:right w:val="none" w:sz="0" w:space="0" w:color="auto"/>
      </w:divBdr>
    </w:div>
    <w:div w:id="1885023331">
      <w:bodyDiv w:val="1"/>
      <w:marLeft w:val="0"/>
      <w:marRight w:val="0"/>
      <w:marTop w:val="0"/>
      <w:marBottom w:val="0"/>
      <w:divBdr>
        <w:top w:val="none" w:sz="0" w:space="0" w:color="auto"/>
        <w:left w:val="none" w:sz="0" w:space="0" w:color="auto"/>
        <w:bottom w:val="none" w:sz="0" w:space="0" w:color="auto"/>
        <w:right w:val="none" w:sz="0" w:space="0" w:color="auto"/>
      </w:divBdr>
    </w:div>
    <w:div w:id="1900703925">
      <w:bodyDiv w:val="1"/>
      <w:marLeft w:val="0"/>
      <w:marRight w:val="0"/>
      <w:marTop w:val="0"/>
      <w:marBottom w:val="0"/>
      <w:divBdr>
        <w:top w:val="none" w:sz="0" w:space="0" w:color="auto"/>
        <w:left w:val="none" w:sz="0" w:space="0" w:color="auto"/>
        <w:bottom w:val="none" w:sz="0" w:space="0" w:color="auto"/>
        <w:right w:val="none" w:sz="0" w:space="0" w:color="auto"/>
      </w:divBdr>
      <w:divsChild>
        <w:div w:id="2092847501">
          <w:marLeft w:val="0"/>
          <w:marRight w:val="0"/>
          <w:marTop w:val="0"/>
          <w:marBottom w:val="240"/>
          <w:divBdr>
            <w:top w:val="none" w:sz="0" w:space="0" w:color="auto"/>
            <w:left w:val="none" w:sz="0" w:space="0" w:color="auto"/>
            <w:bottom w:val="none" w:sz="0" w:space="0" w:color="auto"/>
            <w:right w:val="none" w:sz="0" w:space="0" w:color="auto"/>
          </w:divBdr>
        </w:div>
        <w:div w:id="510535912">
          <w:marLeft w:val="0"/>
          <w:marRight w:val="0"/>
          <w:marTop w:val="0"/>
          <w:marBottom w:val="240"/>
          <w:divBdr>
            <w:top w:val="none" w:sz="0" w:space="0" w:color="auto"/>
            <w:left w:val="none" w:sz="0" w:space="0" w:color="auto"/>
            <w:bottom w:val="none" w:sz="0" w:space="0" w:color="auto"/>
            <w:right w:val="none" w:sz="0" w:space="0" w:color="auto"/>
          </w:divBdr>
        </w:div>
        <w:div w:id="1734232899">
          <w:marLeft w:val="0"/>
          <w:marRight w:val="0"/>
          <w:marTop w:val="0"/>
          <w:marBottom w:val="240"/>
          <w:divBdr>
            <w:top w:val="none" w:sz="0" w:space="0" w:color="auto"/>
            <w:left w:val="none" w:sz="0" w:space="0" w:color="auto"/>
            <w:bottom w:val="none" w:sz="0" w:space="0" w:color="auto"/>
            <w:right w:val="none" w:sz="0" w:space="0" w:color="auto"/>
          </w:divBdr>
        </w:div>
        <w:div w:id="1498577620">
          <w:marLeft w:val="0"/>
          <w:marRight w:val="0"/>
          <w:marTop w:val="0"/>
          <w:marBottom w:val="240"/>
          <w:divBdr>
            <w:top w:val="none" w:sz="0" w:space="0" w:color="auto"/>
            <w:left w:val="none" w:sz="0" w:space="0" w:color="auto"/>
            <w:bottom w:val="none" w:sz="0" w:space="0" w:color="auto"/>
            <w:right w:val="none" w:sz="0" w:space="0" w:color="auto"/>
          </w:divBdr>
        </w:div>
        <w:div w:id="1264459475">
          <w:marLeft w:val="0"/>
          <w:marRight w:val="0"/>
          <w:marTop w:val="0"/>
          <w:marBottom w:val="240"/>
          <w:divBdr>
            <w:top w:val="none" w:sz="0" w:space="0" w:color="auto"/>
            <w:left w:val="none" w:sz="0" w:space="0" w:color="auto"/>
            <w:bottom w:val="none" w:sz="0" w:space="0" w:color="auto"/>
            <w:right w:val="none" w:sz="0" w:space="0" w:color="auto"/>
          </w:divBdr>
        </w:div>
        <w:div w:id="206111894">
          <w:marLeft w:val="0"/>
          <w:marRight w:val="0"/>
          <w:marTop w:val="0"/>
          <w:marBottom w:val="240"/>
          <w:divBdr>
            <w:top w:val="none" w:sz="0" w:space="0" w:color="auto"/>
            <w:left w:val="none" w:sz="0" w:space="0" w:color="auto"/>
            <w:bottom w:val="none" w:sz="0" w:space="0" w:color="auto"/>
            <w:right w:val="none" w:sz="0" w:space="0" w:color="auto"/>
          </w:divBdr>
        </w:div>
        <w:div w:id="2053454331">
          <w:marLeft w:val="0"/>
          <w:marRight w:val="0"/>
          <w:marTop w:val="0"/>
          <w:marBottom w:val="240"/>
          <w:divBdr>
            <w:top w:val="none" w:sz="0" w:space="0" w:color="auto"/>
            <w:left w:val="none" w:sz="0" w:space="0" w:color="auto"/>
            <w:bottom w:val="none" w:sz="0" w:space="0" w:color="auto"/>
            <w:right w:val="none" w:sz="0" w:space="0" w:color="auto"/>
          </w:divBdr>
        </w:div>
        <w:div w:id="1991785423">
          <w:marLeft w:val="0"/>
          <w:marRight w:val="0"/>
          <w:marTop w:val="0"/>
          <w:marBottom w:val="240"/>
          <w:divBdr>
            <w:top w:val="none" w:sz="0" w:space="0" w:color="auto"/>
            <w:left w:val="none" w:sz="0" w:space="0" w:color="auto"/>
            <w:bottom w:val="none" w:sz="0" w:space="0" w:color="auto"/>
            <w:right w:val="none" w:sz="0" w:space="0" w:color="auto"/>
          </w:divBdr>
        </w:div>
        <w:div w:id="2075396306">
          <w:marLeft w:val="0"/>
          <w:marRight w:val="0"/>
          <w:marTop w:val="0"/>
          <w:marBottom w:val="240"/>
          <w:divBdr>
            <w:top w:val="none" w:sz="0" w:space="0" w:color="auto"/>
            <w:left w:val="none" w:sz="0" w:space="0" w:color="auto"/>
            <w:bottom w:val="none" w:sz="0" w:space="0" w:color="auto"/>
            <w:right w:val="none" w:sz="0" w:space="0" w:color="auto"/>
          </w:divBdr>
        </w:div>
        <w:div w:id="1986857565">
          <w:marLeft w:val="0"/>
          <w:marRight w:val="0"/>
          <w:marTop w:val="0"/>
          <w:marBottom w:val="240"/>
          <w:divBdr>
            <w:top w:val="none" w:sz="0" w:space="0" w:color="auto"/>
            <w:left w:val="none" w:sz="0" w:space="0" w:color="auto"/>
            <w:bottom w:val="none" w:sz="0" w:space="0" w:color="auto"/>
            <w:right w:val="none" w:sz="0" w:space="0" w:color="auto"/>
          </w:divBdr>
        </w:div>
        <w:div w:id="255671537">
          <w:marLeft w:val="0"/>
          <w:marRight w:val="0"/>
          <w:marTop w:val="0"/>
          <w:marBottom w:val="240"/>
          <w:divBdr>
            <w:top w:val="none" w:sz="0" w:space="0" w:color="auto"/>
            <w:left w:val="none" w:sz="0" w:space="0" w:color="auto"/>
            <w:bottom w:val="none" w:sz="0" w:space="0" w:color="auto"/>
            <w:right w:val="none" w:sz="0" w:space="0" w:color="auto"/>
          </w:divBdr>
        </w:div>
      </w:divsChild>
    </w:div>
    <w:div w:id="1914195814">
      <w:bodyDiv w:val="1"/>
      <w:marLeft w:val="0"/>
      <w:marRight w:val="0"/>
      <w:marTop w:val="0"/>
      <w:marBottom w:val="0"/>
      <w:divBdr>
        <w:top w:val="none" w:sz="0" w:space="0" w:color="auto"/>
        <w:left w:val="none" w:sz="0" w:space="0" w:color="auto"/>
        <w:bottom w:val="none" w:sz="0" w:space="0" w:color="auto"/>
        <w:right w:val="none" w:sz="0" w:space="0" w:color="auto"/>
      </w:divBdr>
    </w:div>
    <w:div w:id="1915698446">
      <w:bodyDiv w:val="1"/>
      <w:marLeft w:val="0"/>
      <w:marRight w:val="0"/>
      <w:marTop w:val="0"/>
      <w:marBottom w:val="0"/>
      <w:divBdr>
        <w:top w:val="none" w:sz="0" w:space="0" w:color="auto"/>
        <w:left w:val="none" w:sz="0" w:space="0" w:color="auto"/>
        <w:bottom w:val="none" w:sz="0" w:space="0" w:color="auto"/>
        <w:right w:val="none" w:sz="0" w:space="0" w:color="auto"/>
      </w:divBdr>
    </w:div>
    <w:div w:id="1922254310">
      <w:bodyDiv w:val="1"/>
      <w:marLeft w:val="0"/>
      <w:marRight w:val="0"/>
      <w:marTop w:val="0"/>
      <w:marBottom w:val="0"/>
      <w:divBdr>
        <w:top w:val="none" w:sz="0" w:space="0" w:color="auto"/>
        <w:left w:val="none" w:sz="0" w:space="0" w:color="auto"/>
        <w:bottom w:val="none" w:sz="0" w:space="0" w:color="auto"/>
        <w:right w:val="none" w:sz="0" w:space="0" w:color="auto"/>
      </w:divBdr>
    </w:div>
    <w:div w:id="1922906809">
      <w:bodyDiv w:val="1"/>
      <w:marLeft w:val="0"/>
      <w:marRight w:val="0"/>
      <w:marTop w:val="0"/>
      <w:marBottom w:val="0"/>
      <w:divBdr>
        <w:top w:val="none" w:sz="0" w:space="0" w:color="auto"/>
        <w:left w:val="none" w:sz="0" w:space="0" w:color="auto"/>
        <w:bottom w:val="none" w:sz="0" w:space="0" w:color="auto"/>
        <w:right w:val="none" w:sz="0" w:space="0" w:color="auto"/>
      </w:divBdr>
    </w:div>
    <w:div w:id="1935625131">
      <w:bodyDiv w:val="1"/>
      <w:marLeft w:val="0"/>
      <w:marRight w:val="0"/>
      <w:marTop w:val="0"/>
      <w:marBottom w:val="0"/>
      <w:divBdr>
        <w:top w:val="none" w:sz="0" w:space="0" w:color="auto"/>
        <w:left w:val="none" w:sz="0" w:space="0" w:color="auto"/>
        <w:bottom w:val="none" w:sz="0" w:space="0" w:color="auto"/>
        <w:right w:val="none" w:sz="0" w:space="0" w:color="auto"/>
      </w:divBdr>
    </w:div>
    <w:div w:id="1938368901">
      <w:bodyDiv w:val="1"/>
      <w:marLeft w:val="0"/>
      <w:marRight w:val="0"/>
      <w:marTop w:val="0"/>
      <w:marBottom w:val="0"/>
      <w:divBdr>
        <w:top w:val="none" w:sz="0" w:space="0" w:color="auto"/>
        <w:left w:val="none" w:sz="0" w:space="0" w:color="auto"/>
        <w:bottom w:val="none" w:sz="0" w:space="0" w:color="auto"/>
        <w:right w:val="none" w:sz="0" w:space="0" w:color="auto"/>
      </w:divBdr>
    </w:div>
    <w:div w:id="1950114586">
      <w:bodyDiv w:val="1"/>
      <w:marLeft w:val="0"/>
      <w:marRight w:val="0"/>
      <w:marTop w:val="0"/>
      <w:marBottom w:val="0"/>
      <w:divBdr>
        <w:top w:val="none" w:sz="0" w:space="0" w:color="auto"/>
        <w:left w:val="none" w:sz="0" w:space="0" w:color="auto"/>
        <w:bottom w:val="none" w:sz="0" w:space="0" w:color="auto"/>
        <w:right w:val="none" w:sz="0" w:space="0" w:color="auto"/>
      </w:divBdr>
    </w:div>
    <w:div w:id="1955672126">
      <w:bodyDiv w:val="1"/>
      <w:marLeft w:val="0"/>
      <w:marRight w:val="0"/>
      <w:marTop w:val="0"/>
      <w:marBottom w:val="0"/>
      <w:divBdr>
        <w:top w:val="none" w:sz="0" w:space="0" w:color="auto"/>
        <w:left w:val="none" w:sz="0" w:space="0" w:color="auto"/>
        <w:bottom w:val="none" w:sz="0" w:space="0" w:color="auto"/>
        <w:right w:val="none" w:sz="0" w:space="0" w:color="auto"/>
      </w:divBdr>
    </w:div>
    <w:div w:id="1956058693">
      <w:bodyDiv w:val="1"/>
      <w:marLeft w:val="0"/>
      <w:marRight w:val="0"/>
      <w:marTop w:val="0"/>
      <w:marBottom w:val="0"/>
      <w:divBdr>
        <w:top w:val="none" w:sz="0" w:space="0" w:color="auto"/>
        <w:left w:val="none" w:sz="0" w:space="0" w:color="auto"/>
        <w:bottom w:val="none" w:sz="0" w:space="0" w:color="auto"/>
        <w:right w:val="none" w:sz="0" w:space="0" w:color="auto"/>
      </w:divBdr>
      <w:divsChild>
        <w:div w:id="259602688">
          <w:marLeft w:val="0"/>
          <w:marRight w:val="0"/>
          <w:marTop w:val="47"/>
          <w:marBottom w:val="47"/>
          <w:divBdr>
            <w:top w:val="none" w:sz="0" w:space="0" w:color="auto"/>
            <w:left w:val="none" w:sz="0" w:space="0" w:color="auto"/>
            <w:bottom w:val="none" w:sz="0" w:space="0" w:color="auto"/>
            <w:right w:val="none" w:sz="0" w:space="0" w:color="auto"/>
          </w:divBdr>
        </w:div>
      </w:divsChild>
    </w:div>
    <w:div w:id="1956256356">
      <w:bodyDiv w:val="1"/>
      <w:marLeft w:val="0"/>
      <w:marRight w:val="0"/>
      <w:marTop w:val="0"/>
      <w:marBottom w:val="0"/>
      <w:divBdr>
        <w:top w:val="none" w:sz="0" w:space="0" w:color="auto"/>
        <w:left w:val="none" w:sz="0" w:space="0" w:color="auto"/>
        <w:bottom w:val="none" w:sz="0" w:space="0" w:color="auto"/>
        <w:right w:val="none" w:sz="0" w:space="0" w:color="auto"/>
      </w:divBdr>
    </w:div>
    <w:div w:id="1958174893">
      <w:bodyDiv w:val="1"/>
      <w:marLeft w:val="0"/>
      <w:marRight w:val="0"/>
      <w:marTop w:val="0"/>
      <w:marBottom w:val="0"/>
      <w:divBdr>
        <w:top w:val="none" w:sz="0" w:space="0" w:color="auto"/>
        <w:left w:val="none" w:sz="0" w:space="0" w:color="auto"/>
        <w:bottom w:val="none" w:sz="0" w:space="0" w:color="auto"/>
        <w:right w:val="none" w:sz="0" w:space="0" w:color="auto"/>
      </w:divBdr>
    </w:div>
    <w:div w:id="1975020494">
      <w:bodyDiv w:val="1"/>
      <w:marLeft w:val="0"/>
      <w:marRight w:val="0"/>
      <w:marTop w:val="0"/>
      <w:marBottom w:val="0"/>
      <w:divBdr>
        <w:top w:val="none" w:sz="0" w:space="0" w:color="auto"/>
        <w:left w:val="none" w:sz="0" w:space="0" w:color="auto"/>
        <w:bottom w:val="none" w:sz="0" w:space="0" w:color="auto"/>
        <w:right w:val="none" w:sz="0" w:space="0" w:color="auto"/>
      </w:divBdr>
    </w:div>
    <w:div w:id="1980574093">
      <w:bodyDiv w:val="1"/>
      <w:marLeft w:val="0"/>
      <w:marRight w:val="0"/>
      <w:marTop w:val="0"/>
      <w:marBottom w:val="0"/>
      <w:divBdr>
        <w:top w:val="none" w:sz="0" w:space="0" w:color="auto"/>
        <w:left w:val="none" w:sz="0" w:space="0" w:color="auto"/>
        <w:bottom w:val="none" w:sz="0" w:space="0" w:color="auto"/>
        <w:right w:val="none" w:sz="0" w:space="0" w:color="auto"/>
      </w:divBdr>
    </w:div>
    <w:div w:id="1995143005">
      <w:bodyDiv w:val="1"/>
      <w:marLeft w:val="0"/>
      <w:marRight w:val="0"/>
      <w:marTop w:val="0"/>
      <w:marBottom w:val="0"/>
      <w:divBdr>
        <w:top w:val="none" w:sz="0" w:space="0" w:color="auto"/>
        <w:left w:val="none" w:sz="0" w:space="0" w:color="auto"/>
        <w:bottom w:val="none" w:sz="0" w:space="0" w:color="auto"/>
        <w:right w:val="none" w:sz="0" w:space="0" w:color="auto"/>
      </w:divBdr>
    </w:div>
    <w:div w:id="2002922301">
      <w:bodyDiv w:val="1"/>
      <w:marLeft w:val="0"/>
      <w:marRight w:val="0"/>
      <w:marTop w:val="0"/>
      <w:marBottom w:val="0"/>
      <w:divBdr>
        <w:top w:val="none" w:sz="0" w:space="0" w:color="auto"/>
        <w:left w:val="none" w:sz="0" w:space="0" w:color="auto"/>
        <w:bottom w:val="none" w:sz="0" w:space="0" w:color="auto"/>
        <w:right w:val="none" w:sz="0" w:space="0" w:color="auto"/>
      </w:divBdr>
    </w:div>
    <w:div w:id="2014606005">
      <w:bodyDiv w:val="1"/>
      <w:marLeft w:val="0"/>
      <w:marRight w:val="0"/>
      <w:marTop w:val="0"/>
      <w:marBottom w:val="0"/>
      <w:divBdr>
        <w:top w:val="none" w:sz="0" w:space="0" w:color="auto"/>
        <w:left w:val="none" w:sz="0" w:space="0" w:color="auto"/>
        <w:bottom w:val="none" w:sz="0" w:space="0" w:color="auto"/>
        <w:right w:val="none" w:sz="0" w:space="0" w:color="auto"/>
      </w:divBdr>
    </w:div>
    <w:div w:id="2015183482">
      <w:bodyDiv w:val="1"/>
      <w:marLeft w:val="0"/>
      <w:marRight w:val="0"/>
      <w:marTop w:val="0"/>
      <w:marBottom w:val="0"/>
      <w:divBdr>
        <w:top w:val="none" w:sz="0" w:space="0" w:color="auto"/>
        <w:left w:val="none" w:sz="0" w:space="0" w:color="auto"/>
        <w:bottom w:val="none" w:sz="0" w:space="0" w:color="auto"/>
        <w:right w:val="none" w:sz="0" w:space="0" w:color="auto"/>
      </w:divBdr>
    </w:div>
    <w:div w:id="2022661129">
      <w:bodyDiv w:val="1"/>
      <w:marLeft w:val="0"/>
      <w:marRight w:val="0"/>
      <w:marTop w:val="0"/>
      <w:marBottom w:val="0"/>
      <w:divBdr>
        <w:top w:val="none" w:sz="0" w:space="0" w:color="auto"/>
        <w:left w:val="none" w:sz="0" w:space="0" w:color="auto"/>
        <w:bottom w:val="none" w:sz="0" w:space="0" w:color="auto"/>
        <w:right w:val="none" w:sz="0" w:space="0" w:color="auto"/>
      </w:divBdr>
      <w:divsChild>
        <w:div w:id="1196700843">
          <w:marLeft w:val="0"/>
          <w:marRight w:val="0"/>
          <w:marTop w:val="0"/>
          <w:marBottom w:val="0"/>
          <w:divBdr>
            <w:top w:val="none" w:sz="0" w:space="0" w:color="auto"/>
            <w:left w:val="none" w:sz="0" w:space="0" w:color="auto"/>
            <w:bottom w:val="none" w:sz="0" w:space="0" w:color="auto"/>
            <w:right w:val="none" w:sz="0" w:space="0" w:color="auto"/>
          </w:divBdr>
        </w:div>
        <w:div w:id="397559636">
          <w:marLeft w:val="0"/>
          <w:marRight w:val="0"/>
          <w:marTop w:val="0"/>
          <w:marBottom w:val="0"/>
          <w:divBdr>
            <w:top w:val="none" w:sz="0" w:space="0" w:color="auto"/>
            <w:left w:val="none" w:sz="0" w:space="0" w:color="auto"/>
            <w:bottom w:val="none" w:sz="0" w:space="0" w:color="auto"/>
            <w:right w:val="none" w:sz="0" w:space="0" w:color="auto"/>
          </w:divBdr>
        </w:div>
      </w:divsChild>
    </w:div>
    <w:div w:id="2104300531">
      <w:bodyDiv w:val="1"/>
      <w:marLeft w:val="0"/>
      <w:marRight w:val="0"/>
      <w:marTop w:val="0"/>
      <w:marBottom w:val="0"/>
      <w:divBdr>
        <w:top w:val="none" w:sz="0" w:space="0" w:color="auto"/>
        <w:left w:val="none" w:sz="0" w:space="0" w:color="auto"/>
        <w:bottom w:val="none" w:sz="0" w:space="0" w:color="auto"/>
        <w:right w:val="none" w:sz="0" w:space="0" w:color="auto"/>
      </w:divBdr>
      <w:divsChild>
        <w:div w:id="888422164">
          <w:marLeft w:val="0"/>
          <w:marRight w:val="0"/>
          <w:marTop w:val="0"/>
          <w:marBottom w:val="240"/>
          <w:divBdr>
            <w:top w:val="none" w:sz="0" w:space="0" w:color="auto"/>
            <w:left w:val="none" w:sz="0" w:space="0" w:color="auto"/>
            <w:bottom w:val="none" w:sz="0" w:space="0" w:color="auto"/>
            <w:right w:val="none" w:sz="0" w:space="0" w:color="auto"/>
          </w:divBdr>
        </w:div>
        <w:div w:id="86266996">
          <w:marLeft w:val="0"/>
          <w:marRight w:val="0"/>
          <w:marTop w:val="0"/>
          <w:marBottom w:val="240"/>
          <w:divBdr>
            <w:top w:val="none" w:sz="0" w:space="0" w:color="auto"/>
            <w:left w:val="none" w:sz="0" w:space="0" w:color="auto"/>
            <w:bottom w:val="none" w:sz="0" w:space="0" w:color="auto"/>
            <w:right w:val="none" w:sz="0" w:space="0" w:color="auto"/>
          </w:divBdr>
        </w:div>
        <w:div w:id="209615777">
          <w:marLeft w:val="0"/>
          <w:marRight w:val="0"/>
          <w:marTop w:val="0"/>
          <w:marBottom w:val="240"/>
          <w:divBdr>
            <w:top w:val="none" w:sz="0" w:space="0" w:color="auto"/>
            <w:left w:val="none" w:sz="0" w:space="0" w:color="auto"/>
            <w:bottom w:val="none" w:sz="0" w:space="0" w:color="auto"/>
            <w:right w:val="none" w:sz="0" w:space="0" w:color="auto"/>
          </w:divBdr>
        </w:div>
      </w:divsChild>
    </w:div>
    <w:div w:id="2126268481">
      <w:bodyDiv w:val="1"/>
      <w:marLeft w:val="0"/>
      <w:marRight w:val="0"/>
      <w:marTop w:val="0"/>
      <w:marBottom w:val="0"/>
      <w:divBdr>
        <w:top w:val="none" w:sz="0" w:space="0" w:color="auto"/>
        <w:left w:val="none" w:sz="0" w:space="0" w:color="auto"/>
        <w:bottom w:val="none" w:sz="0" w:space="0" w:color="auto"/>
        <w:right w:val="none" w:sz="0" w:space="0" w:color="auto"/>
      </w:divBdr>
      <w:divsChild>
        <w:div w:id="2031176805">
          <w:marLeft w:val="0"/>
          <w:marRight w:val="0"/>
          <w:marTop w:val="0"/>
          <w:marBottom w:val="240"/>
          <w:divBdr>
            <w:top w:val="none" w:sz="0" w:space="0" w:color="auto"/>
            <w:left w:val="none" w:sz="0" w:space="0" w:color="auto"/>
            <w:bottom w:val="none" w:sz="0" w:space="0" w:color="auto"/>
            <w:right w:val="none" w:sz="0" w:space="0" w:color="auto"/>
          </w:divBdr>
        </w:div>
        <w:div w:id="1404722061">
          <w:marLeft w:val="0"/>
          <w:marRight w:val="0"/>
          <w:marTop w:val="0"/>
          <w:marBottom w:val="240"/>
          <w:divBdr>
            <w:top w:val="none" w:sz="0" w:space="0" w:color="auto"/>
            <w:left w:val="none" w:sz="0" w:space="0" w:color="auto"/>
            <w:bottom w:val="none" w:sz="0" w:space="0" w:color="auto"/>
            <w:right w:val="none" w:sz="0" w:space="0" w:color="auto"/>
          </w:divBdr>
        </w:div>
        <w:div w:id="1288194305">
          <w:marLeft w:val="0"/>
          <w:marRight w:val="0"/>
          <w:marTop w:val="0"/>
          <w:marBottom w:val="240"/>
          <w:divBdr>
            <w:top w:val="none" w:sz="0" w:space="0" w:color="auto"/>
            <w:left w:val="none" w:sz="0" w:space="0" w:color="auto"/>
            <w:bottom w:val="none" w:sz="0" w:space="0" w:color="auto"/>
            <w:right w:val="none" w:sz="0" w:space="0" w:color="auto"/>
          </w:divBdr>
        </w:div>
        <w:div w:id="1175194973">
          <w:marLeft w:val="0"/>
          <w:marRight w:val="0"/>
          <w:marTop w:val="0"/>
          <w:marBottom w:val="240"/>
          <w:divBdr>
            <w:top w:val="none" w:sz="0" w:space="0" w:color="auto"/>
            <w:left w:val="none" w:sz="0" w:space="0" w:color="auto"/>
            <w:bottom w:val="none" w:sz="0" w:space="0" w:color="auto"/>
            <w:right w:val="none" w:sz="0" w:space="0" w:color="auto"/>
          </w:divBdr>
        </w:div>
        <w:div w:id="1034500195">
          <w:marLeft w:val="0"/>
          <w:marRight w:val="0"/>
          <w:marTop w:val="0"/>
          <w:marBottom w:val="240"/>
          <w:divBdr>
            <w:top w:val="none" w:sz="0" w:space="0" w:color="auto"/>
            <w:left w:val="none" w:sz="0" w:space="0" w:color="auto"/>
            <w:bottom w:val="none" w:sz="0" w:space="0" w:color="auto"/>
            <w:right w:val="none" w:sz="0" w:space="0" w:color="auto"/>
          </w:divBdr>
        </w:div>
        <w:div w:id="1340424250">
          <w:marLeft w:val="0"/>
          <w:marRight w:val="0"/>
          <w:marTop w:val="0"/>
          <w:marBottom w:val="240"/>
          <w:divBdr>
            <w:top w:val="none" w:sz="0" w:space="0" w:color="auto"/>
            <w:left w:val="none" w:sz="0" w:space="0" w:color="auto"/>
            <w:bottom w:val="none" w:sz="0" w:space="0" w:color="auto"/>
            <w:right w:val="none" w:sz="0" w:space="0" w:color="auto"/>
          </w:divBdr>
        </w:div>
      </w:divsChild>
    </w:div>
    <w:div w:id="2141343471">
      <w:bodyDiv w:val="1"/>
      <w:marLeft w:val="0"/>
      <w:marRight w:val="0"/>
      <w:marTop w:val="0"/>
      <w:marBottom w:val="0"/>
      <w:divBdr>
        <w:top w:val="none" w:sz="0" w:space="0" w:color="auto"/>
        <w:left w:val="none" w:sz="0" w:space="0" w:color="auto"/>
        <w:bottom w:val="none" w:sz="0" w:space="0" w:color="auto"/>
        <w:right w:val="none" w:sz="0" w:space="0" w:color="auto"/>
      </w:divBdr>
      <w:divsChild>
        <w:div w:id="1616398750">
          <w:marLeft w:val="0"/>
          <w:marRight w:val="0"/>
          <w:marTop w:val="0"/>
          <w:marBottom w:val="240"/>
          <w:divBdr>
            <w:top w:val="none" w:sz="0" w:space="0" w:color="auto"/>
            <w:left w:val="none" w:sz="0" w:space="0" w:color="auto"/>
            <w:bottom w:val="none" w:sz="0" w:space="0" w:color="auto"/>
            <w:right w:val="none" w:sz="0" w:space="0" w:color="auto"/>
          </w:divBdr>
        </w:div>
        <w:div w:id="1111900971">
          <w:marLeft w:val="0"/>
          <w:marRight w:val="0"/>
          <w:marTop w:val="0"/>
          <w:marBottom w:val="240"/>
          <w:divBdr>
            <w:top w:val="none" w:sz="0" w:space="0" w:color="auto"/>
            <w:left w:val="none" w:sz="0" w:space="0" w:color="auto"/>
            <w:bottom w:val="none" w:sz="0" w:space="0" w:color="auto"/>
            <w:right w:val="none" w:sz="0" w:space="0" w:color="auto"/>
          </w:divBdr>
        </w:div>
        <w:div w:id="1990671426">
          <w:marLeft w:val="0"/>
          <w:marRight w:val="0"/>
          <w:marTop w:val="0"/>
          <w:marBottom w:val="240"/>
          <w:divBdr>
            <w:top w:val="none" w:sz="0" w:space="0" w:color="auto"/>
            <w:left w:val="none" w:sz="0" w:space="0" w:color="auto"/>
            <w:bottom w:val="none" w:sz="0" w:space="0" w:color="auto"/>
            <w:right w:val="none" w:sz="0" w:space="0" w:color="auto"/>
          </w:divBdr>
        </w:div>
        <w:div w:id="1276643314">
          <w:marLeft w:val="0"/>
          <w:marRight w:val="0"/>
          <w:marTop w:val="0"/>
          <w:marBottom w:val="240"/>
          <w:divBdr>
            <w:top w:val="none" w:sz="0" w:space="0" w:color="auto"/>
            <w:left w:val="none" w:sz="0" w:space="0" w:color="auto"/>
            <w:bottom w:val="none" w:sz="0" w:space="0" w:color="auto"/>
            <w:right w:val="none" w:sz="0" w:space="0" w:color="auto"/>
          </w:divBdr>
        </w:div>
        <w:div w:id="1384406301">
          <w:marLeft w:val="0"/>
          <w:marRight w:val="0"/>
          <w:marTop w:val="0"/>
          <w:marBottom w:val="240"/>
          <w:divBdr>
            <w:top w:val="none" w:sz="0" w:space="0" w:color="auto"/>
            <w:left w:val="none" w:sz="0" w:space="0" w:color="auto"/>
            <w:bottom w:val="none" w:sz="0" w:space="0" w:color="auto"/>
            <w:right w:val="none" w:sz="0" w:space="0" w:color="auto"/>
          </w:divBdr>
        </w:div>
        <w:div w:id="918759237">
          <w:marLeft w:val="0"/>
          <w:marRight w:val="0"/>
          <w:marTop w:val="0"/>
          <w:marBottom w:val="240"/>
          <w:divBdr>
            <w:top w:val="none" w:sz="0" w:space="0" w:color="auto"/>
            <w:left w:val="none" w:sz="0" w:space="0" w:color="auto"/>
            <w:bottom w:val="none" w:sz="0" w:space="0" w:color="auto"/>
            <w:right w:val="none" w:sz="0" w:space="0" w:color="auto"/>
          </w:divBdr>
        </w:div>
        <w:div w:id="276303900">
          <w:marLeft w:val="0"/>
          <w:marRight w:val="0"/>
          <w:marTop w:val="0"/>
          <w:marBottom w:val="240"/>
          <w:divBdr>
            <w:top w:val="none" w:sz="0" w:space="0" w:color="auto"/>
            <w:left w:val="none" w:sz="0" w:space="0" w:color="auto"/>
            <w:bottom w:val="none" w:sz="0" w:space="0" w:color="auto"/>
            <w:right w:val="none" w:sz="0" w:space="0" w:color="auto"/>
          </w:divBdr>
        </w:div>
        <w:div w:id="20596757">
          <w:marLeft w:val="0"/>
          <w:marRight w:val="0"/>
          <w:marTop w:val="0"/>
          <w:marBottom w:val="240"/>
          <w:divBdr>
            <w:top w:val="none" w:sz="0" w:space="0" w:color="auto"/>
            <w:left w:val="none" w:sz="0" w:space="0" w:color="auto"/>
            <w:bottom w:val="none" w:sz="0" w:space="0" w:color="auto"/>
            <w:right w:val="none" w:sz="0" w:space="0" w:color="auto"/>
          </w:divBdr>
        </w:div>
        <w:div w:id="1710034534">
          <w:marLeft w:val="0"/>
          <w:marRight w:val="0"/>
          <w:marTop w:val="0"/>
          <w:marBottom w:val="240"/>
          <w:divBdr>
            <w:top w:val="none" w:sz="0" w:space="0" w:color="auto"/>
            <w:left w:val="none" w:sz="0" w:space="0" w:color="auto"/>
            <w:bottom w:val="none" w:sz="0" w:space="0" w:color="auto"/>
            <w:right w:val="none" w:sz="0" w:space="0" w:color="auto"/>
          </w:divBdr>
        </w:div>
        <w:div w:id="2005887737">
          <w:marLeft w:val="0"/>
          <w:marRight w:val="0"/>
          <w:marTop w:val="0"/>
          <w:marBottom w:val="240"/>
          <w:divBdr>
            <w:top w:val="none" w:sz="0" w:space="0" w:color="auto"/>
            <w:left w:val="none" w:sz="0" w:space="0" w:color="auto"/>
            <w:bottom w:val="none" w:sz="0" w:space="0" w:color="auto"/>
            <w:right w:val="none" w:sz="0" w:space="0" w:color="auto"/>
          </w:divBdr>
        </w:div>
        <w:div w:id="65155278">
          <w:marLeft w:val="0"/>
          <w:marRight w:val="0"/>
          <w:marTop w:val="0"/>
          <w:marBottom w:val="240"/>
          <w:divBdr>
            <w:top w:val="none" w:sz="0" w:space="0" w:color="auto"/>
            <w:left w:val="none" w:sz="0" w:space="0" w:color="auto"/>
            <w:bottom w:val="none" w:sz="0" w:space="0" w:color="auto"/>
            <w:right w:val="none" w:sz="0" w:space="0" w:color="auto"/>
          </w:divBdr>
        </w:div>
        <w:div w:id="1546675200">
          <w:marLeft w:val="0"/>
          <w:marRight w:val="0"/>
          <w:marTop w:val="0"/>
          <w:marBottom w:val="240"/>
          <w:divBdr>
            <w:top w:val="none" w:sz="0" w:space="0" w:color="auto"/>
            <w:left w:val="none" w:sz="0" w:space="0" w:color="auto"/>
            <w:bottom w:val="none" w:sz="0" w:space="0" w:color="auto"/>
            <w:right w:val="none" w:sz="0" w:space="0" w:color="auto"/>
          </w:divBdr>
        </w:div>
        <w:div w:id="1763838212">
          <w:marLeft w:val="0"/>
          <w:marRight w:val="0"/>
          <w:marTop w:val="0"/>
          <w:marBottom w:val="240"/>
          <w:divBdr>
            <w:top w:val="none" w:sz="0" w:space="0" w:color="auto"/>
            <w:left w:val="none" w:sz="0" w:space="0" w:color="auto"/>
            <w:bottom w:val="none" w:sz="0" w:space="0" w:color="auto"/>
            <w:right w:val="none" w:sz="0" w:space="0" w:color="auto"/>
          </w:divBdr>
        </w:div>
        <w:div w:id="1513104700">
          <w:marLeft w:val="0"/>
          <w:marRight w:val="0"/>
          <w:marTop w:val="0"/>
          <w:marBottom w:val="240"/>
          <w:divBdr>
            <w:top w:val="none" w:sz="0" w:space="0" w:color="auto"/>
            <w:left w:val="none" w:sz="0" w:space="0" w:color="auto"/>
            <w:bottom w:val="none" w:sz="0" w:space="0" w:color="auto"/>
            <w:right w:val="none" w:sz="0" w:space="0" w:color="auto"/>
          </w:divBdr>
        </w:div>
        <w:div w:id="35934128">
          <w:marLeft w:val="0"/>
          <w:marRight w:val="0"/>
          <w:marTop w:val="0"/>
          <w:marBottom w:val="240"/>
          <w:divBdr>
            <w:top w:val="none" w:sz="0" w:space="0" w:color="auto"/>
            <w:left w:val="none" w:sz="0" w:space="0" w:color="auto"/>
            <w:bottom w:val="none" w:sz="0" w:space="0" w:color="auto"/>
            <w:right w:val="none" w:sz="0" w:space="0" w:color="auto"/>
          </w:divBdr>
        </w:div>
        <w:div w:id="1033262901">
          <w:marLeft w:val="0"/>
          <w:marRight w:val="0"/>
          <w:marTop w:val="0"/>
          <w:marBottom w:val="240"/>
          <w:divBdr>
            <w:top w:val="none" w:sz="0" w:space="0" w:color="auto"/>
            <w:left w:val="none" w:sz="0" w:space="0" w:color="auto"/>
            <w:bottom w:val="none" w:sz="0" w:space="0" w:color="auto"/>
            <w:right w:val="none" w:sz="0" w:space="0" w:color="auto"/>
          </w:divBdr>
        </w:div>
        <w:div w:id="542791929">
          <w:marLeft w:val="0"/>
          <w:marRight w:val="0"/>
          <w:marTop w:val="0"/>
          <w:marBottom w:val="240"/>
          <w:divBdr>
            <w:top w:val="none" w:sz="0" w:space="0" w:color="auto"/>
            <w:left w:val="none" w:sz="0" w:space="0" w:color="auto"/>
            <w:bottom w:val="none" w:sz="0" w:space="0" w:color="auto"/>
            <w:right w:val="none" w:sz="0" w:space="0" w:color="auto"/>
          </w:divBdr>
        </w:div>
        <w:div w:id="1920168129">
          <w:marLeft w:val="0"/>
          <w:marRight w:val="0"/>
          <w:marTop w:val="0"/>
          <w:marBottom w:val="240"/>
          <w:divBdr>
            <w:top w:val="none" w:sz="0" w:space="0" w:color="auto"/>
            <w:left w:val="none" w:sz="0" w:space="0" w:color="auto"/>
            <w:bottom w:val="none" w:sz="0" w:space="0" w:color="auto"/>
            <w:right w:val="none" w:sz="0" w:space="0" w:color="auto"/>
          </w:divBdr>
        </w:div>
        <w:div w:id="1102147420">
          <w:marLeft w:val="0"/>
          <w:marRight w:val="0"/>
          <w:marTop w:val="0"/>
          <w:marBottom w:val="240"/>
          <w:divBdr>
            <w:top w:val="none" w:sz="0" w:space="0" w:color="auto"/>
            <w:left w:val="none" w:sz="0" w:space="0" w:color="auto"/>
            <w:bottom w:val="none" w:sz="0" w:space="0" w:color="auto"/>
            <w:right w:val="none" w:sz="0" w:space="0" w:color="auto"/>
          </w:divBdr>
        </w:div>
        <w:div w:id="1156453176">
          <w:marLeft w:val="0"/>
          <w:marRight w:val="0"/>
          <w:marTop w:val="0"/>
          <w:marBottom w:val="240"/>
          <w:divBdr>
            <w:top w:val="none" w:sz="0" w:space="0" w:color="auto"/>
            <w:left w:val="none" w:sz="0" w:space="0" w:color="auto"/>
            <w:bottom w:val="none" w:sz="0" w:space="0" w:color="auto"/>
            <w:right w:val="none" w:sz="0" w:space="0" w:color="auto"/>
          </w:divBdr>
        </w:div>
        <w:div w:id="1735855295">
          <w:marLeft w:val="0"/>
          <w:marRight w:val="0"/>
          <w:marTop w:val="0"/>
          <w:marBottom w:val="240"/>
          <w:divBdr>
            <w:top w:val="none" w:sz="0" w:space="0" w:color="auto"/>
            <w:left w:val="none" w:sz="0" w:space="0" w:color="auto"/>
            <w:bottom w:val="none" w:sz="0" w:space="0" w:color="auto"/>
            <w:right w:val="none" w:sz="0" w:space="0" w:color="auto"/>
          </w:divBdr>
        </w:div>
        <w:div w:id="112404298">
          <w:marLeft w:val="0"/>
          <w:marRight w:val="0"/>
          <w:marTop w:val="0"/>
          <w:marBottom w:val="240"/>
          <w:divBdr>
            <w:top w:val="none" w:sz="0" w:space="0" w:color="auto"/>
            <w:left w:val="none" w:sz="0" w:space="0" w:color="auto"/>
            <w:bottom w:val="none" w:sz="0" w:space="0" w:color="auto"/>
            <w:right w:val="none" w:sz="0" w:space="0" w:color="auto"/>
          </w:divBdr>
        </w:div>
        <w:div w:id="1571111773">
          <w:marLeft w:val="0"/>
          <w:marRight w:val="0"/>
          <w:marTop w:val="0"/>
          <w:marBottom w:val="240"/>
          <w:divBdr>
            <w:top w:val="none" w:sz="0" w:space="0" w:color="auto"/>
            <w:left w:val="none" w:sz="0" w:space="0" w:color="auto"/>
            <w:bottom w:val="none" w:sz="0" w:space="0" w:color="auto"/>
            <w:right w:val="none" w:sz="0" w:space="0" w:color="auto"/>
          </w:divBdr>
        </w:div>
        <w:div w:id="1915117166">
          <w:marLeft w:val="0"/>
          <w:marRight w:val="0"/>
          <w:marTop w:val="0"/>
          <w:marBottom w:val="240"/>
          <w:divBdr>
            <w:top w:val="none" w:sz="0" w:space="0" w:color="auto"/>
            <w:left w:val="none" w:sz="0" w:space="0" w:color="auto"/>
            <w:bottom w:val="none" w:sz="0" w:space="0" w:color="auto"/>
            <w:right w:val="none" w:sz="0" w:space="0" w:color="auto"/>
          </w:divBdr>
        </w:div>
        <w:div w:id="1313755738">
          <w:marLeft w:val="0"/>
          <w:marRight w:val="0"/>
          <w:marTop w:val="0"/>
          <w:marBottom w:val="240"/>
          <w:divBdr>
            <w:top w:val="none" w:sz="0" w:space="0" w:color="auto"/>
            <w:left w:val="none" w:sz="0" w:space="0" w:color="auto"/>
            <w:bottom w:val="none" w:sz="0" w:space="0" w:color="auto"/>
            <w:right w:val="none" w:sz="0" w:space="0" w:color="auto"/>
          </w:divBdr>
        </w:div>
        <w:div w:id="1915698207">
          <w:marLeft w:val="0"/>
          <w:marRight w:val="0"/>
          <w:marTop w:val="0"/>
          <w:marBottom w:val="240"/>
          <w:divBdr>
            <w:top w:val="none" w:sz="0" w:space="0" w:color="auto"/>
            <w:left w:val="none" w:sz="0" w:space="0" w:color="auto"/>
            <w:bottom w:val="none" w:sz="0" w:space="0" w:color="auto"/>
            <w:right w:val="none" w:sz="0" w:space="0" w:color="auto"/>
          </w:divBdr>
        </w:div>
        <w:div w:id="460879304">
          <w:marLeft w:val="0"/>
          <w:marRight w:val="0"/>
          <w:marTop w:val="0"/>
          <w:marBottom w:val="240"/>
          <w:divBdr>
            <w:top w:val="none" w:sz="0" w:space="0" w:color="auto"/>
            <w:left w:val="none" w:sz="0" w:space="0" w:color="auto"/>
            <w:bottom w:val="none" w:sz="0" w:space="0" w:color="auto"/>
            <w:right w:val="none" w:sz="0" w:space="0" w:color="auto"/>
          </w:divBdr>
        </w:div>
        <w:div w:id="685252123">
          <w:marLeft w:val="0"/>
          <w:marRight w:val="0"/>
          <w:marTop w:val="0"/>
          <w:marBottom w:val="240"/>
          <w:divBdr>
            <w:top w:val="none" w:sz="0" w:space="0" w:color="auto"/>
            <w:left w:val="none" w:sz="0" w:space="0" w:color="auto"/>
            <w:bottom w:val="none" w:sz="0" w:space="0" w:color="auto"/>
            <w:right w:val="none" w:sz="0" w:space="0" w:color="auto"/>
          </w:divBdr>
        </w:div>
        <w:div w:id="261570174">
          <w:marLeft w:val="0"/>
          <w:marRight w:val="0"/>
          <w:marTop w:val="0"/>
          <w:marBottom w:val="240"/>
          <w:divBdr>
            <w:top w:val="none" w:sz="0" w:space="0" w:color="auto"/>
            <w:left w:val="none" w:sz="0" w:space="0" w:color="auto"/>
            <w:bottom w:val="none" w:sz="0" w:space="0" w:color="auto"/>
            <w:right w:val="none" w:sz="0" w:space="0" w:color="auto"/>
          </w:divBdr>
        </w:div>
        <w:div w:id="2076319257">
          <w:marLeft w:val="0"/>
          <w:marRight w:val="0"/>
          <w:marTop w:val="0"/>
          <w:marBottom w:val="240"/>
          <w:divBdr>
            <w:top w:val="none" w:sz="0" w:space="0" w:color="auto"/>
            <w:left w:val="none" w:sz="0" w:space="0" w:color="auto"/>
            <w:bottom w:val="none" w:sz="0" w:space="0" w:color="auto"/>
            <w:right w:val="none" w:sz="0" w:space="0" w:color="auto"/>
          </w:divBdr>
        </w:div>
        <w:div w:id="1148862966">
          <w:marLeft w:val="0"/>
          <w:marRight w:val="0"/>
          <w:marTop w:val="0"/>
          <w:marBottom w:val="240"/>
          <w:divBdr>
            <w:top w:val="none" w:sz="0" w:space="0" w:color="auto"/>
            <w:left w:val="none" w:sz="0" w:space="0" w:color="auto"/>
            <w:bottom w:val="none" w:sz="0" w:space="0" w:color="auto"/>
            <w:right w:val="none" w:sz="0" w:space="0" w:color="auto"/>
          </w:divBdr>
        </w:div>
        <w:div w:id="449393789">
          <w:marLeft w:val="0"/>
          <w:marRight w:val="0"/>
          <w:marTop w:val="0"/>
          <w:marBottom w:val="240"/>
          <w:divBdr>
            <w:top w:val="none" w:sz="0" w:space="0" w:color="auto"/>
            <w:left w:val="none" w:sz="0" w:space="0" w:color="auto"/>
            <w:bottom w:val="none" w:sz="0" w:space="0" w:color="auto"/>
            <w:right w:val="none" w:sz="0" w:space="0" w:color="auto"/>
          </w:divBdr>
        </w:div>
        <w:div w:id="1120146596">
          <w:marLeft w:val="0"/>
          <w:marRight w:val="0"/>
          <w:marTop w:val="0"/>
          <w:marBottom w:val="240"/>
          <w:divBdr>
            <w:top w:val="none" w:sz="0" w:space="0" w:color="auto"/>
            <w:left w:val="none" w:sz="0" w:space="0" w:color="auto"/>
            <w:bottom w:val="none" w:sz="0" w:space="0" w:color="auto"/>
            <w:right w:val="none" w:sz="0" w:space="0" w:color="auto"/>
          </w:divBdr>
        </w:div>
        <w:div w:id="1884322935">
          <w:marLeft w:val="0"/>
          <w:marRight w:val="0"/>
          <w:marTop w:val="0"/>
          <w:marBottom w:val="240"/>
          <w:divBdr>
            <w:top w:val="none" w:sz="0" w:space="0" w:color="auto"/>
            <w:left w:val="none" w:sz="0" w:space="0" w:color="auto"/>
            <w:bottom w:val="none" w:sz="0" w:space="0" w:color="auto"/>
            <w:right w:val="none" w:sz="0" w:space="0" w:color="auto"/>
          </w:divBdr>
        </w:div>
        <w:div w:id="434836025">
          <w:marLeft w:val="0"/>
          <w:marRight w:val="0"/>
          <w:marTop w:val="0"/>
          <w:marBottom w:val="240"/>
          <w:divBdr>
            <w:top w:val="none" w:sz="0" w:space="0" w:color="auto"/>
            <w:left w:val="none" w:sz="0" w:space="0" w:color="auto"/>
            <w:bottom w:val="none" w:sz="0" w:space="0" w:color="auto"/>
            <w:right w:val="none" w:sz="0" w:space="0" w:color="auto"/>
          </w:divBdr>
        </w:div>
        <w:div w:id="840507887">
          <w:marLeft w:val="0"/>
          <w:marRight w:val="0"/>
          <w:marTop w:val="0"/>
          <w:marBottom w:val="240"/>
          <w:divBdr>
            <w:top w:val="none" w:sz="0" w:space="0" w:color="auto"/>
            <w:left w:val="none" w:sz="0" w:space="0" w:color="auto"/>
            <w:bottom w:val="none" w:sz="0" w:space="0" w:color="auto"/>
            <w:right w:val="none" w:sz="0" w:space="0" w:color="auto"/>
          </w:divBdr>
        </w:div>
        <w:div w:id="1776099213">
          <w:marLeft w:val="0"/>
          <w:marRight w:val="0"/>
          <w:marTop w:val="0"/>
          <w:marBottom w:val="240"/>
          <w:divBdr>
            <w:top w:val="none" w:sz="0" w:space="0" w:color="auto"/>
            <w:left w:val="none" w:sz="0" w:space="0" w:color="auto"/>
            <w:bottom w:val="none" w:sz="0" w:space="0" w:color="auto"/>
            <w:right w:val="none" w:sz="0" w:space="0" w:color="auto"/>
          </w:divBdr>
        </w:div>
        <w:div w:id="1734280099">
          <w:marLeft w:val="0"/>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0DA60-6FF7-4760-BFCD-AF1DD3D4E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63</Pages>
  <Words>20611</Words>
  <Characters>117487</Characters>
  <Application>Microsoft Office Word</Application>
  <DocSecurity>4</DocSecurity>
  <Lines>979</Lines>
  <Paragraphs>275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Paolo Alessandrini</cp:lastModifiedBy>
  <cp:revision>2</cp:revision>
  <cp:lastPrinted>2019-01-08T11:23:00Z</cp:lastPrinted>
  <dcterms:created xsi:type="dcterms:W3CDTF">2020-05-21T09:14:00Z</dcterms:created>
  <dcterms:modified xsi:type="dcterms:W3CDTF">2020-05-21T09:14:00Z</dcterms:modified>
</cp:coreProperties>
</file>