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88" w:rsidRDefault="00513C88">
      <w:pPr>
        <w:rPr>
          <w:u w:val="single"/>
        </w:rPr>
      </w:pPr>
      <w:bookmarkStart w:id="0" w:name="_GoBack"/>
      <w:bookmarkEnd w:id="0"/>
      <w:r w:rsidRPr="00513C88">
        <w:rPr>
          <w:u w:val="single"/>
        </w:rPr>
        <w:t xml:space="preserve">Piano di sorveglianza sanitaria sulla popolazione esposta a PFAS – Rapporto </w:t>
      </w:r>
      <w:r>
        <w:rPr>
          <w:u w:val="single"/>
        </w:rPr>
        <w:t>n.</w:t>
      </w:r>
      <w:r w:rsidRPr="00513C88">
        <w:rPr>
          <w:u w:val="single"/>
        </w:rPr>
        <w:t xml:space="preserve">05 </w:t>
      </w:r>
      <w:r w:rsidR="006A1B09">
        <w:rPr>
          <w:u w:val="single"/>
        </w:rPr>
        <w:t xml:space="preserve">- </w:t>
      </w:r>
      <w:r w:rsidRPr="00513C88">
        <w:rPr>
          <w:u w:val="single"/>
        </w:rPr>
        <w:t>Marzo 2018</w:t>
      </w:r>
    </w:p>
    <w:p w:rsidR="00D92A99" w:rsidRPr="00D92A99" w:rsidRDefault="006D0A44" w:rsidP="00D92A99">
      <w:pPr>
        <w:widowControl w:val="0"/>
        <w:jc w:val="both"/>
      </w:pPr>
      <w:r>
        <w:t>Viene diffuso oggi il nuovo rapporto della Regione Veneto  inerente allo screening sanitario messo in atto per monitorare la salute dei cittadini residenti nell’aria col</w:t>
      </w:r>
      <w:r w:rsidR="006A1B09">
        <w:t>pita dall’inquinamento da PFAS.</w:t>
      </w:r>
      <w:r w:rsidR="00D92A99">
        <w:t xml:space="preserve"> </w:t>
      </w:r>
      <w:r w:rsidR="00D92A99" w:rsidRPr="00D92A99">
        <w:t>Il Piano di sorveglianza è rivolto ai residenti nei 21 Comuni dell'area di massima esposizione sanitaria (vedi Fig. 9) nati tra il 1951 e il 2002.</w:t>
      </w:r>
      <w:r w:rsidR="00D92A99">
        <w:t xml:space="preserve"> </w:t>
      </w:r>
      <w:r w:rsidR="00D92A99" w:rsidRPr="00D92A99">
        <w:t xml:space="preserve">In totale, verranno chiamate 84.852 persone. </w:t>
      </w:r>
    </w:p>
    <w:p w:rsidR="006A1B09" w:rsidRDefault="006A1B09" w:rsidP="006A1B09">
      <w:pPr>
        <w:widowControl w:val="0"/>
        <w:jc w:val="both"/>
        <w:rPr>
          <w:rFonts w:ascii="Lucida Sans Unicode" w:hAnsi="Lucida Sans Unicode" w:cs="Lucida Sans Unicode"/>
          <w:color w:val="234F77"/>
        </w:rPr>
      </w:pPr>
      <w:r>
        <w:t>Dall’inizio della sorveglianza il programma è stato esteso, sinora, al 30% della popolazione interessata</w:t>
      </w:r>
      <w:r w:rsidR="006D0A44">
        <w:t xml:space="preserve"> dal monitoraggio con una quota di aderenti medio del 50%.</w:t>
      </w:r>
      <w:r>
        <w:t xml:space="preserve"> </w:t>
      </w:r>
      <w:r w:rsidRPr="006A1B09">
        <w:t xml:space="preserve">Al 18/03/2018 risultano coinvolti tutti i comuni dell’area interessata e le analisi si concentrano sulle classi di nascita tra il 2002 ed il 1978. Il totale dei soggetti è di </w:t>
      </w:r>
      <w:r w:rsidRPr="001836C6">
        <w:rPr>
          <w:b/>
        </w:rPr>
        <w:t>9.757</w:t>
      </w:r>
      <w:r w:rsidRPr="006A1B09">
        <w:t>.</w:t>
      </w:r>
    </w:p>
    <w:p w:rsidR="006A1B09" w:rsidRDefault="006A1B09" w:rsidP="00CA5A10">
      <w:pPr>
        <w:widowControl w:val="0"/>
      </w:pPr>
      <w:r>
        <w:t> </w:t>
      </w:r>
      <w:r>
        <w:rPr>
          <w:noProof/>
          <w:lang w:eastAsia="it-IT"/>
        </w:rPr>
        <w:drawing>
          <wp:inline distT="0" distB="0" distL="0" distR="0" wp14:anchorId="52AC76B3" wp14:editId="3D528E17">
            <wp:extent cx="6676390" cy="39998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399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785" w:rsidRPr="00DE3785" w:rsidRDefault="00DE3785" w:rsidP="00DE3785">
      <w:pPr>
        <w:widowControl w:val="0"/>
        <w:jc w:val="both"/>
      </w:pPr>
      <w:r w:rsidRPr="00DE3785">
        <w:t>Il protocollo di sorveglianza include:</w:t>
      </w:r>
    </w:p>
    <w:p w:rsidR="00DE3785" w:rsidRPr="00DE3785" w:rsidRDefault="00DE3785" w:rsidP="00DE3785">
      <w:pPr>
        <w:widowControl w:val="0"/>
        <w:spacing w:after="0"/>
        <w:ind w:left="360" w:hanging="360"/>
        <w:jc w:val="both"/>
      </w:pPr>
      <w:r w:rsidRPr="00DE3785">
        <w:t>·</w:t>
      </w:r>
      <w:r>
        <w:t> </w:t>
      </w:r>
      <w:r w:rsidRPr="00DE3785">
        <w:t>un'intervista per individuare abitudini di vita non salutari e fornire informazioni e consigli su come proteggere la propria salute</w:t>
      </w:r>
    </w:p>
    <w:p w:rsidR="00DE3785" w:rsidRPr="00DE3785" w:rsidRDefault="00DE3785" w:rsidP="00DE3785">
      <w:pPr>
        <w:widowControl w:val="0"/>
        <w:spacing w:after="0"/>
        <w:ind w:left="360" w:hanging="360"/>
        <w:jc w:val="both"/>
      </w:pPr>
      <w:r w:rsidRPr="00DE3785">
        <w:t>·</w:t>
      </w:r>
      <w:r>
        <w:t> </w:t>
      </w:r>
      <w:r w:rsidRPr="00DE3785">
        <w:t>la misurazione della pressione arteriosa</w:t>
      </w:r>
    </w:p>
    <w:p w:rsidR="00DE3785" w:rsidRPr="00DE3785" w:rsidRDefault="00DE3785" w:rsidP="00DE3785">
      <w:pPr>
        <w:widowControl w:val="0"/>
        <w:spacing w:after="0"/>
        <w:ind w:left="360" w:hanging="360"/>
        <w:jc w:val="both"/>
      </w:pPr>
      <w:r w:rsidRPr="00DE3785">
        <w:t>·</w:t>
      </w:r>
      <w:r>
        <w:t> </w:t>
      </w:r>
      <w:r w:rsidRPr="00DE3785">
        <w:t>alcuni semplici esami del sangue e delle urine per valutare lo stato di salute di fegato, reni e tiroide e l'eventuale presenza di alterazioni del metabolismo dei grassi e degli zuccheri</w:t>
      </w:r>
    </w:p>
    <w:p w:rsidR="00DE3785" w:rsidRPr="00DE3785" w:rsidRDefault="00DE3785" w:rsidP="00DE3785">
      <w:pPr>
        <w:widowControl w:val="0"/>
        <w:spacing w:after="0"/>
        <w:ind w:left="360" w:hanging="360"/>
        <w:jc w:val="both"/>
      </w:pPr>
      <w:r w:rsidRPr="00DE3785">
        <w:t>·</w:t>
      </w:r>
      <w:r>
        <w:t> </w:t>
      </w:r>
      <w:r w:rsidRPr="00DE3785">
        <w:t>il dosaggio di dodici sostanze PFAS nel siero.</w:t>
      </w:r>
    </w:p>
    <w:p w:rsidR="00DE3785" w:rsidRDefault="00DE3785" w:rsidP="00DE3785">
      <w:pPr>
        <w:widowControl w:val="0"/>
      </w:pPr>
      <w:r>
        <w:t> </w:t>
      </w:r>
    </w:p>
    <w:p w:rsidR="006D0A44" w:rsidRDefault="006D0A44" w:rsidP="00DE3785">
      <w:pPr>
        <w:widowControl w:val="0"/>
      </w:pPr>
      <w:r>
        <w:t>Per quanto riguarda gli esiti d</w:t>
      </w:r>
      <w:r w:rsidR="006A1B09">
        <w:t xml:space="preserve">i quest’ultimi </w:t>
      </w:r>
      <w:r w:rsidR="00132D03">
        <w:t>risulta che il 21% dei soggetti</w:t>
      </w:r>
      <w:r w:rsidR="006A1B09">
        <w:t xml:space="preserve"> (2.061 su 9.757)</w:t>
      </w:r>
      <w:r w:rsidR="00132D03">
        <w:t xml:space="preserve"> ha un valore di colesterolo</w:t>
      </w:r>
      <w:r w:rsidR="006A1B09">
        <w:t xml:space="preserve"> totale</w:t>
      </w:r>
      <w:r w:rsidR="00132D03">
        <w:t xml:space="preserve"> fuori norma</w:t>
      </w:r>
      <w:r w:rsidR="006A1B09">
        <w:t xml:space="preserve"> (ovvero superiore a 190 mg/dl)</w:t>
      </w:r>
      <w:r w:rsidR="00132D03">
        <w:t xml:space="preserve">, percentuale che cresce molto suddividendo il dato per età (quasi del 40% per i soggetti nati tra il 1987 ed il 1978). </w:t>
      </w:r>
      <w:r w:rsidR="006A1B09">
        <w:t xml:space="preserve">Tutti gli altri parametri presentano </w:t>
      </w:r>
      <w:r w:rsidR="006A1B09">
        <w:lastRenderedPageBreak/>
        <w:t xml:space="preserve">percentuali di valori fuori norma </w:t>
      </w:r>
      <w:r w:rsidR="00671D22">
        <w:t>intorno al 4-5%</w:t>
      </w:r>
      <w:r w:rsidR="006A1B09">
        <w:t>.</w:t>
      </w:r>
    </w:p>
    <w:p w:rsidR="00671D22" w:rsidRDefault="00671D22" w:rsidP="00671D22">
      <w:pPr>
        <w:jc w:val="both"/>
      </w:pPr>
      <w:r>
        <w:rPr>
          <w:noProof/>
          <w:lang w:eastAsia="it-IT"/>
        </w:rPr>
        <w:drawing>
          <wp:inline distT="0" distB="0" distL="0" distR="0" wp14:anchorId="12ECC6DA">
            <wp:extent cx="6609715" cy="2847340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D22" w:rsidRPr="00671D22" w:rsidRDefault="00671D22" w:rsidP="00671D22">
      <w:pPr>
        <w:widowControl w:val="0"/>
        <w:jc w:val="both"/>
      </w:pPr>
      <w:r w:rsidRPr="00671D22">
        <w:t xml:space="preserve">Alla scopo di prendere in carico quei soggetti con valori </w:t>
      </w:r>
      <w:proofErr w:type="spellStart"/>
      <w:r w:rsidRPr="00671D22">
        <w:t>bioumorali</w:t>
      </w:r>
      <w:proofErr w:type="spellEnd"/>
      <w:r w:rsidRPr="00671D22">
        <w:t xml:space="preserve"> alterati in un’ottica di prevenzione e di tutela della salute dei cittadini, è stato creato il percorso di II° livello con l’attivazione degli ambulatori </w:t>
      </w:r>
      <w:r w:rsidR="001836C6">
        <w:t xml:space="preserve">specialistici </w:t>
      </w:r>
      <w:r w:rsidRPr="00671D22">
        <w:t xml:space="preserve">di endocrinologia e di cardiologia. Al 18/03/2018 sono </w:t>
      </w:r>
      <w:r w:rsidRPr="001836C6">
        <w:rPr>
          <w:b/>
        </w:rPr>
        <w:t>5.212 i soggetti</w:t>
      </w:r>
      <w:r w:rsidRPr="00671D22">
        <w:t xml:space="preserve"> per i quali è stato indicato di iniziare il percorso di </w:t>
      </w:r>
      <w:r>
        <w:t>presa in carico</w:t>
      </w:r>
      <w:r w:rsidRPr="00671D22">
        <w:t xml:space="preserve">, pari al 53% dei soggetti per ora coinvolti nel I° livello e per i quali sono disponibili i valori </w:t>
      </w:r>
      <w:proofErr w:type="spellStart"/>
      <w:r w:rsidRPr="00671D22">
        <w:t>bioumorali</w:t>
      </w:r>
      <w:proofErr w:type="spellEnd"/>
      <w:r w:rsidRPr="00671D22">
        <w:t>. Il 13% ha ricevuto l’indicazione di prenotare una visita in entrambi gli ambulatori.</w:t>
      </w:r>
    </w:p>
    <w:p w:rsidR="00671D22" w:rsidRDefault="00671D22" w:rsidP="00671D22">
      <w:pPr>
        <w:widowControl w:val="0"/>
        <w:rPr>
          <w:rFonts w:ascii="Times New Roman" w:hAnsi="Times New Roman" w:cs="Times New Roman"/>
          <w:color w:val="000000"/>
        </w:rPr>
      </w:pPr>
      <w:r>
        <w:t> </w:t>
      </w:r>
    </w:p>
    <w:p w:rsidR="001A50DE" w:rsidRDefault="00055F82" w:rsidP="00671D22">
      <w:pPr>
        <w:spacing w:after="0"/>
        <w:jc w:val="both"/>
      </w:pPr>
      <w:r>
        <w:t xml:space="preserve">Risultano sempre quattro i </w:t>
      </w:r>
      <w:r w:rsidRPr="001836C6">
        <w:rPr>
          <w:b/>
        </w:rPr>
        <w:t>composti PFAS</w:t>
      </w:r>
      <w:r>
        <w:t xml:space="preserve"> con valori sopra la soglia di rilevabilità identificati nel sangue di almeno il 50% dei residenti nell’aria identificata come soggetta all’inquinamento: i PFOA, i PFOS, i </w:t>
      </w:r>
      <w:proofErr w:type="spellStart"/>
      <w:r>
        <w:t>PFHxS</w:t>
      </w:r>
      <w:proofErr w:type="spellEnd"/>
      <w:r>
        <w:t xml:space="preserve"> e i </w:t>
      </w:r>
    </w:p>
    <w:p w:rsidR="00055F82" w:rsidRDefault="00055F82" w:rsidP="00671D22">
      <w:pPr>
        <w:spacing w:after="0"/>
        <w:jc w:val="both"/>
      </w:pPr>
      <w:r>
        <w:t>PFNA.</w:t>
      </w:r>
    </w:p>
    <w:p w:rsidR="00055F82" w:rsidRDefault="00055F82" w:rsidP="00671D22">
      <w:pPr>
        <w:spacing w:after="0"/>
        <w:jc w:val="both"/>
      </w:pPr>
      <w:r>
        <w:t>Per quanto riguarda i</w:t>
      </w:r>
      <w:r w:rsidR="001836C6">
        <w:t>l</w:t>
      </w:r>
      <w:r>
        <w:t xml:space="preserve"> PFOS e i </w:t>
      </w:r>
      <w:proofErr w:type="spellStart"/>
      <w:r>
        <w:t>PFHxS</w:t>
      </w:r>
      <w:proofErr w:type="spellEnd"/>
      <w:r>
        <w:t xml:space="preserve">  la concentrazione nel siero risulta essere molto simile con una mediana di 4 </w:t>
      </w:r>
      <w:proofErr w:type="spellStart"/>
      <w:r>
        <w:t>ng</w:t>
      </w:r>
      <w:proofErr w:type="spellEnd"/>
      <w:r>
        <w:t>/ml. Di molto inferiore quella per PFNA.</w:t>
      </w:r>
    </w:p>
    <w:p w:rsidR="00055F82" w:rsidRDefault="001836C6" w:rsidP="00671D22">
      <w:pPr>
        <w:spacing w:after="0"/>
        <w:jc w:val="both"/>
      </w:pPr>
      <w:r>
        <w:t>I dati sul</w:t>
      </w:r>
      <w:r w:rsidR="001A50DE">
        <w:t xml:space="preserve"> PFOA, invece, identificano concentrazioni mediane di 51 </w:t>
      </w:r>
      <w:proofErr w:type="spellStart"/>
      <w:r w:rsidR="001A50DE">
        <w:t>ng</w:t>
      </w:r>
      <w:proofErr w:type="spellEnd"/>
      <w:r w:rsidR="001A50DE">
        <w:t>/</w:t>
      </w:r>
      <w:r w:rsidR="00671D22">
        <w:t>ml</w:t>
      </w:r>
      <w:r w:rsidR="001A50DE">
        <w:t xml:space="preserve"> con una variabilità rilevata tra i soggetti molto ampia.</w:t>
      </w:r>
    </w:p>
    <w:p w:rsidR="001A50DE" w:rsidRDefault="001A50DE" w:rsidP="00671D22">
      <w:pPr>
        <w:spacing w:after="0"/>
        <w:jc w:val="both"/>
      </w:pPr>
      <w:r>
        <w:t xml:space="preserve">Ad oggi non si identificano differenze evidenti nelle concentrazioni per età, mentre sono ampie tra maschi e femmine. </w:t>
      </w:r>
      <w:r w:rsidR="00E25B41">
        <w:t xml:space="preserve">Se si valuta la concentrazione di </w:t>
      </w:r>
      <w:r>
        <w:t xml:space="preserve">PFOA per i soggetti di genere maschile è di 68 </w:t>
      </w:r>
      <w:proofErr w:type="spellStart"/>
      <w:r>
        <w:t>ng</w:t>
      </w:r>
      <w:proofErr w:type="spellEnd"/>
      <w:r>
        <w:t xml:space="preserve">/ml a differenza di quella per il genere femminile di 38 </w:t>
      </w:r>
      <w:proofErr w:type="spellStart"/>
      <w:r>
        <w:t>ng</w:t>
      </w:r>
      <w:proofErr w:type="spellEnd"/>
      <w:r>
        <w:t>/ml.</w:t>
      </w:r>
    </w:p>
    <w:p w:rsidR="00E25B41" w:rsidRDefault="00E25B41" w:rsidP="00671D22">
      <w:pPr>
        <w:spacing w:after="0"/>
        <w:jc w:val="both"/>
      </w:pPr>
    </w:p>
    <w:p w:rsidR="00E25B41" w:rsidRPr="00E25B41" w:rsidRDefault="00E25B41" w:rsidP="00E25B41">
      <w:pPr>
        <w:widowControl w:val="0"/>
        <w:jc w:val="both"/>
      </w:pPr>
      <w:r>
        <w:t xml:space="preserve">La </w:t>
      </w:r>
      <w:r w:rsidRPr="00E25B41">
        <w:t xml:space="preserve"> D.G.R.V. 2133 del 23/12/2016 individua all’interno dell’”Area Rossa”  due sotto-aree:</w:t>
      </w:r>
    </w:p>
    <w:p w:rsidR="00E25B41" w:rsidRPr="00E25B41" w:rsidRDefault="00E25B41" w:rsidP="00DE3785">
      <w:pPr>
        <w:widowControl w:val="0"/>
        <w:spacing w:after="0"/>
        <w:ind w:left="540" w:hanging="360"/>
        <w:jc w:val="both"/>
      </w:pPr>
      <w:r w:rsidRPr="00E25B41">
        <w:t>·</w:t>
      </w:r>
      <w:r>
        <w:t> </w:t>
      </w:r>
      <w:r w:rsidRPr="00E25B41">
        <w:t xml:space="preserve">“Area Rossa A”, comprendente i Comuni serviti da acquedotti inquinati prima dell’applicazione dei filtri e localizzati sopra il </w:t>
      </w:r>
      <w:proofErr w:type="spellStart"/>
      <w:r w:rsidRPr="00E25B41">
        <w:t>plume</w:t>
      </w:r>
      <w:proofErr w:type="spellEnd"/>
      <w:r w:rsidRPr="00E25B41">
        <w:t xml:space="preserve"> di contaminazione della falda sotterranea</w:t>
      </w:r>
    </w:p>
    <w:p w:rsidR="00E25B41" w:rsidRPr="00E25B41" w:rsidRDefault="00E25B41" w:rsidP="00DE3785">
      <w:pPr>
        <w:widowControl w:val="0"/>
        <w:spacing w:after="0"/>
        <w:ind w:left="540" w:hanging="360"/>
        <w:jc w:val="both"/>
      </w:pPr>
      <w:r w:rsidRPr="00E25B41">
        <w:t>·</w:t>
      </w:r>
      <w:r>
        <w:t> </w:t>
      </w:r>
      <w:r w:rsidRPr="00E25B41">
        <w:t xml:space="preserve">“Area Rossa B”, comprendente i Comuni serviti da acquedotti inquinati prima dell’applicazione dei filtri ma esterni al </w:t>
      </w:r>
      <w:proofErr w:type="spellStart"/>
      <w:r w:rsidRPr="00E25B41">
        <w:t>plume</w:t>
      </w:r>
      <w:proofErr w:type="spellEnd"/>
      <w:r w:rsidRPr="00E25B41">
        <w:t xml:space="preserve"> di contaminazione della falda sotterranea.</w:t>
      </w:r>
    </w:p>
    <w:p w:rsidR="00E25B41" w:rsidRPr="00E25B41" w:rsidRDefault="00E25B41" w:rsidP="00DE3785">
      <w:pPr>
        <w:widowControl w:val="0"/>
        <w:spacing w:after="0"/>
        <w:jc w:val="both"/>
      </w:pPr>
      <w:r w:rsidRPr="00E25B41">
        <w:t>Elenco dei Comuni:</w:t>
      </w:r>
    </w:p>
    <w:p w:rsidR="00E25B41" w:rsidRPr="00E25B41" w:rsidRDefault="00E25B41" w:rsidP="00DE3785">
      <w:pPr>
        <w:widowControl w:val="0"/>
        <w:spacing w:after="0"/>
        <w:ind w:left="540" w:hanging="360"/>
        <w:jc w:val="both"/>
      </w:pPr>
      <w:r w:rsidRPr="00E25B41">
        <w:t>·</w:t>
      </w:r>
      <w:r>
        <w:t> </w:t>
      </w:r>
      <w:r w:rsidRPr="00E25B41">
        <w:t xml:space="preserve">Area Rossa A: Alonte, Asigliano Veneto, Brendola, Cologna Veneta, Lonigo, Montagnana, Noventa Vicentina, </w:t>
      </w:r>
      <w:proofErr w:type="spellStart"/>
      <w:r w:rsidRPr="00E25B41">
        <w:t>Pojana</w:t>
      </w:r>
      <w:proofErr w:type="spellEnd"/>
      <w:r w:rsidRPr="00E25B41">
        <w:t xml:space="preserve"> Maggiore, Pressana, Roveredo di Guà, Sarego, Zimella.</w:t>
      </w:r>
    </w:p>
    <w:p w:rsidR="00E25B41" w:rsidRPr="00E25B41" w:rsidRDefault="00E25B41" w:rsidP="00DE3785">
      <w:pPr>
        <w:widowControl w:val="0"/>
        <w:spacing w:after="0"/>
        <w:ind w:left="540" w:hanging="360"/>
        <w:jc w:val="both"/>
      </w:pPr>
      <w:r w:rsidRPr="00E25B41">
        <w:t>·</w:t>
      </w:r>
      <w:r>
        <w:t> </w:t>
      </w:r>
      <w:r w:rsidRPr="00E25B41">
        <w:t xml:space="preserve">Area Rossa B: Albaredo D’Adige, Arcole, Bevilacqua, Bonavigo, Boschi Sant’Anna, Legnago, Minerbe, </w:t>
      </w:r>
      <w:r w:rsidRPr="00E25B41">
        <w:lastRenderedPageBreak/>
        <w:t>Terrazzo, Veronella.</w:t>
      </w:r>
    </w:p>
    <w:p w:rsidR="00E25B41" w:rsidRPr="00E25B41" w:rsidRDefault="00E25B41" w:rsidP="00E25B41">
      <w:pPr>
        <w:widowControl w:val="0"/>
        <w:jc w:val="both"/>
      </w:pPr>
      <w:r w:rsidRPr="00E25B41">
        <w:t xml:space="preserve">I residenti nell’Area Rossa A presentano concentrazioni sieriche di PFOA, PFOS e </w:t>
      </w:r>
      <w:proofErr w:type="spellStart"/>
      <w:r w:rsidRPr="00E25B41">
        <w:t>PFHxS</w:t>
      </w:r>
      <w:proofErr w:type="spellEnd"/>
      <w:r w:rsidRPr="00E25B41">
        <w:t xml:space="preserve"> significativamente più elevate rispetto ai resi</w:t>
      </w:r>
      <w:r>
        <w:t>denti nell’Area Rossa B</w:t>
      </w:r>
      <w:r w:rsidRPr="00E25B41">
        <w:t xml:space="preserve">. Più in dettaglio, le concentrazioni mediane di PFOA e </w:t>
      </w:r>
      <w:proofErr w:type="spellStart"/>
      <w:r w:rsidRPr="00E25B41">
        <w:t>PFHxS</w:t>
      </w:r>
      <w:proofErr w:type="spellEnd"/>
      <w:r w:rsidRPr="00E25B41">
        <w:t xml:space="preserve"> nell’Area Rossa A (56,4 </w:t>
      </w:r>
      <w:proofErr w:type="spellStart"/>
      <w:r w:rsidRPr="00E25B41">
        <w:t>ng</w:t>
      </w:r>
      <w:proofErr w:type="spellEnd"/>
      <w:r w:rsidRPr="00E25B41">
        <w:t xml:space="preserve">/ml e 4,6 </w:t>
      </w:r>
      <w:proofErr w:type="spellStart"/>
      <w:r w:rsidRPr="00E25B41">
        <w:t>ng</w:t>
      </w:r>
      <w:proofErr w:type="spellEnd"/>
      <w:r w:rsidRPr="00E25B41">
        <w:t xml:space="preserve">/ml, rispettivamente) risultano quasi doppie rispetto a quelle nell’Area Rossa B (35,3 </w:t>
      </w:r>
      <w:proofErr w:type="spellStart"/>
      <w:r w:rsidRPr="00E25B41">
        <w:t>ng</w:t>
      </w:r>
      <w:proofErr w:type="spellEnd"/>
      <w:r w:rsidRPr="00E25B41">
        <w:t xml:space="preserve">/ml e 2,7 </w:t>
      </w:r>
      <w:proofErr w:type="spellStart"/>
      <w:r w:rsidRPr="00E25B41">
        <w:t>ng</w:t>
      </w:r>
      <w:proofErr w:type="spellEnd"/>
      <w:r w:rsidRPr="00E25B41">
        <w:t xml:space="preserve">/ml); più contenuta la differenza per quanto riguarda il PFOS (4,4 </w:t>
      </w:r>
      <w:proofErr w:type="spellStart"/>
      <w:r w:rsidRPr="00E25B41">
        <w:t>ng</w:t>
      </w:r>
      <w:proofErr w:type="spellEnd"/>
      <w:r w:rsidRPr="00E25B41">
        <w:t xml:space="preserve">/ml nell’Area Rossa A, 3,3 </w:t>
      </w:r>
      <w:proofErr w:type="spellStart"/>
      <w:r w:rsidRPr="00E25B41">
        <w:t>ng</w:t>
      </w:r>
      <w:proofErr w:type="spellEnd"/>
      <w:r w:rsidRPr="00E25B41">
        <w:t xml:space="preserve">/ml nell’Area Rossa B). </w:t>
      </w:r>
    </w:p>
    <w:p w:rsidR="00E25B41" w:rsidRPr="00E25B41" w:rsidRDefault="00E25B41" w:rsidP="00E25B41">
      <w:pPr>
        <w:widowControl w:val="0"/>
        <w:ind w:right="219"/>
        <w:jc w:val="both"/>
      </w:pPr>
      <w:r w:rsidRPr="00E25B41">
        <w:t>Questo riscontro suggerisce che, a parità di contaminazione dell’acqua potabile distribuita dall’acquedotto, anche la contaminazione dell’ambiente (maggiore nell’Area Rossa A rispetto all’Area Rossa B) abbia avuto un ruolo nel determinare il carico corporeo di PFAS.</w:t>
      </w:r>
    </w:p>
    <w:p w:rsidR="00CA5A10" w:rsidRPr="00CA5A10" w:rsidRDefault="00DE3785" w:rsidP="00E761B4">
      <w:pPr>
        <w:widowControl w:val="0"/>
      </w:pPr>
      <w:r>
        <w:t>In questa fase è oggetto di valutazione la ridefinizione dell’area contaminata e l’analisi dei dati relativi ai lavoratori ed ex-lavoratori dell’azienda produttrice di queste sostanze.</w:t>
      </w:r>
    </w:p>
    <w:p w:rsidR="00E25B41" w:rsidRDefault="00E25B41" w:rsidP="00E25B41">
      <w:pPr>
        <w:spacing w:after="0"/>
        <w:jc w:val="both"/>
      </w:pPr>
    </w:p>
    <w:sectPr w:rsidR="00E25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70C"/>
    <w:multiLevelType w:val="hybridMultilevel"/>
    <w:tmpl w:val="D9D8B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88"/>
    <w:rsid w:val="00055F82"/>
    <w:rsid w:val="00132D03"/>
    <w:rsid w:val="001836C6"/>
    <w:rsid w:val="001A50DE"/>
    <w:rsid w:val="00513C88"/>
    <w:rsid w:val="00671D22"/>
    <w:rsid w:val="006A1B09"/>
    <w:rsid w:val="006D0A44"/>
    <w:rsid w:val="007116A1"/>
    <w:rsid w:val="007C315C"/>
    <w:rsid w:val="00812B9F"/>
    <w:rsid w:val="00CA5A10"/>
    <w:rsid w:val="00D73BC4"/>
    <w:rsid w:val="00D92A99"/>
    <w:rsid w:val="00DE3785"/>
    <w:rsid w:val="00E25B41"/>
    <w:rsid w:val="00E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B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5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B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Da Re</dc:creator>
  <cp:lastModifiedBy>Administrator</cp:lastModifiedBy>
  <cp:revision>2</cp:revision>
  <dcterms:created xsi:type="dcterms:W3CDTF">2018-03-27T07:34:00Z</dcterms:created>
  <dcterms:modified xsi:type="dcterms:W3CDTF">2018-03-27T07:34:00Z</dcterms:modified>
</cp:coreProperties>
</file>