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D01" w:rsidRDefault="00C92D01" w:rsidP="00C92D01">
      <w:pPr>
        <w:shd w:val="clear" w:color="auto" w:fill="FFFFFF"/>
        <w:spacing w:after="75" w:line="240" w:lineRule="auto"/>
        <w:ind w:left="300"/>
        <w:jc w:val="center"/>
        <w:rPr>
          <w:rFonts w:asciiTheme="minorHAnsi" w:eastAsia="Times New Roman" w:hAnsiTheme="minorHAnsi" w:cs="Times New Roman"/>
          <w:bCs/>
          <w:iCs/>
          <w:color w:val="1F3864" w:themeColor="accent1" w:themeShade="80"/>
          <w:sz w:val="24"/>
          <w:szCs w:val="24"/>
        </w:rPr>
      </w:pPr>
    </w:p>
    <w:p w:rsidR="00C92D01" w:rsidRDefault="00C92D01" w:rsidP="00C92D01">
      <w:pPr>
        <w:shd w:val="clear" w:color="auto" w:fill="FFFFFF"/>
        <w:spacing w:after="0" w:line="240" w:lineRule="auto"/>
        <w:jc w:val="center"/>
        <w:outlineLvl w:val="0"/>
        <w:rPr>
          <w:rFonts w:eastAsia="Times New Roman" w:cs="Times New Roman"/>
          <w:b/>
          <w:bCs/>
          <w:color w:val="000000"/>
          <w:kern w:val="36"/>
          <w:sz w:val="24"/>
          <w:szCs w:val="24"/>
        </w:rPr>
      </w:pPr>
      <w:r>
        <w:rPr>
          <w:rFonts w:eastAsia="Times New Roman" w:cs="Times New Roman"/>
          <w:b/>
          <w:bCs/>
          <w:color w:val="000000"/>
          <w:kern w:val="36"/>
          <w:sz w:val="24"/>
          <w:szCs w:val="24"/>
        </w:rPr>
        <w:t>C.2211</w:t>
      </w:r>
    </w:p>
    <w:p w:rsidR="00C92D01" w:rsidRDefault="00C92D01" w:rsidP="00C92D01">
      <w:pPr>
        <w:shd w:val="clear" w:color="auto" w:fill="FFFFFF"/>
        <w:spacing w:after="0" w:line="240" w:lineRule="auto"/>
        <w:jc w:val="center"/>
        <w:outlineLvl w:val="0"/>
        <w:rPr>
          <w:rFonts w:eastAsia="Times New Roman" w:cs="Times New Roman"/>
          <w:b/>
          <w:bCs/>
          <w:color w:val="000000"/>
          <w:kern w:val="36"/>
          <w:sz w:val="24"/>
          <w:szCs w:val="24"/>
        </w:rPr>
      </w:pPr>
    </w:p>
    <w:p w:rsidR="00C92D01" w:rsidRDefault="00C92D01" w:rsidP="00C92D01">
      <w:pPr>
        <w:shd w:val="clear" w:color="auto" w:fill="FFFFFF"/>
        <w:spacing w:after="0" w:line="240" w:lineRule="auto"/>
        <w:jc w:val="center"/>
        <w:outlineLvl w:val="0"/>
        <w:rPr>
          <w:rFonts w:eastAsia="Times New Roman" w:cs="Times New Roman"/>
          <w:b/>
          <w:bCs/>
          <w:color w:val="000000"/>
          <w:kern w:val="36"/>
          <w:sz w:val="24"/>
          <w:szCs w:val="24"/>
        </w:rPr>
      </w:pPr>
      <w:r>
        <w:rPr>
          <w:rFonts w:eastAsia="Times New Roman" w:cs="Times New Roman"/>
          <w:b/>
          <w:bCs/>
          <w:color w:val="000000"/>
          <w:kern w:val="36"/>
          <w:sz w:val="24"/>
          <w:szCs w:val="24"/>
        </w:rPr>
        <w:t>Conversione in legge del decreto-legge 24 ottobre 2019, n. 123, recante disposizioni urgenti per l'accelerazione e il completamento delle ricostruzioni in corso nei territori colpiti da eventi sismici</w:t>
      </w:r>
    </w:p>
    <w:p w:rsidR="00C92D01" w:rsidRDefault="00C92D01" w:rsidP="00C92D01">
      <w:pPr>
        <w:shd w:val="clear" w:color="auto" w:fill="FFFFFF"/>
        <w:spacing w:after="0" w:line="240" w:lineRule="auto"/>
        <w:jc w:val="center"/>
        <w:outlineLvl w:val="0"/>
        <w:rPr>
          <w:rFonts w:eastAsia="Times New Roman" w:cs="Times New Roman"/>
          <w:b/>
          <w:bCs/>
          <w:color w:val="000000"/>
          <w:kern w:val="36"/>
          <w:sz w:val="24"/>
          <w:szCs w:val="24"/>
        </w:rPr>
      </w:pPr>
    </w:p>
    <w:p w:rsidR="00C92D01" w:rsidRDefault="00C92D01" w:rsidP="00C92D01">
      <w:pPr>
        <w:shd w:val="clear" w:color="auto" w:fill="FFFFFF"/>
        <w:spacing w:after="0" w:line="240" w:lineRule="auto"/>
        <w:jc w:val="both"/>
        <w:outlineLvl w:val="0"/>
        <w:rPr>
          <w:rFonts w:eastAsia="Times New Roman" w:cs="Times New Roman"/>
          <w:bCs/>
          <w:i/>
          <w:color w:val="000000"/>
          <w:kern w:val="36"/>
          <w:sz w:val="24"/>
          <w:szCs w:val="24"/>
        </w:rPr>
      </w:pPr>
      <w:r>
        <w:rPr>
          <w:rFonts w:eastAsia="Times New Roman" w:cs="Times New Roman"/>
          <w:bCs/>
          <w:i/>
          <w:color w:val="000000"/>
          <w:kern w:val="36"/>
          <w:sz w:val="24"/>
          <w:szCs w:val="24"/>
        </w:rPr>
        <w:t>Nella seduta del</w:t>
      </w:r>
      <w:r>
        <w:rPr>
          <w:rFonts w:eastAsia="Times New Roman" w:cs="Times New Roman"/>
          <w:bCs/>
          <w:i/>
          <w:color w:val="000000"/>
          <w:kern w:val="36"/>
          <w:sz w:val="24"/>
          <w:szCs w:val="24"/>
        </w:rPr>
        <w:t xml:space="preserve"> 19 novembre 2019, il provvedimento è stato esaminato in sede referente dalla Commissione Ambiente, la quale ha approvato alcuni emendamenti. </w:t>
      </w:r>
    </w:p>
    <w:p w:rsidR="00C92D01" w:rsidRDefault="00C92D01" w:rsidP="00C92D01">
      <w:pPr>
        <w:shd w:val="clear" w:color="auto" w:fill="FFFFFF"/>
        <w:spacing w:after="0" w:line="240" w:lineRule="auto"/>
        <w:jc w:val="both"/>
        <w:outlineLvl w:val="0"/>
        <w:rPr>
          <w:rFonts w:eastAsia="Times New Roman" w:cs="Times New Roman"/>
          <w:bCs/>
          <w:i/>
          <w:color w:val="000000"/>
          <w:kern w:val="36"/>
          <w:sz w:val="24"/>
          <w:szCs w:val="24"/>
        </w:rPr>
      </w:pPr>
    </w:p>
    <w:p w:rsidR="00C92D01" w:rsidRPr="00C92D01" w:rsidRDefault="00C92D01" w:rsidP="00C92D01">
      <w:pPr>
        <w:shd w:val="clear" w:color="auto" w:fill="FFFFFF"/>
        <w:spacing w:after="120" w:line="240" w:lineRule="auto"/>
        <w:jc w:val="both"/>
        <w:rPr>
          <w:rFonts w:asciiTheme="minorHAnsi" w:eastAsia="Times New Roman" w:hAnsiTheme="minorHAnsi" w:cs="Times New Roman"/>
          <w:color w:val="000000"/>
          <w:sz w:val="24"/>
          <w:szCs w:val="24"/>
        </w:rPr>
      </w:pPr>
      <w:r w:rsidRPr="00C92D01">
        <w:rPr>
          <w:rFonts w:asciiTheme="minorHAnsi" w:eastAsia="Times New Roman" w:hAnsiTheme="minorHAnsi" w:cs="Times New Roman"/>
          <w:color w:val="000000"/>
          <w:sz w:val="24"/>
          <w:szCs w:val="24"/>
        </w:rPr>
        <w:t>Le modifiche introdotte dagli emendamenti approvati si riportano in carattere</w:t>
      </w:r>
      <w:r>
        <w:rPr>
          <w:rFonts w:asciiTheme="minorHAnsi" w:eastAsia="Times New Roman" w:hAnsiTheme="minorHAnsi" w:cs="Times New Roman"/>
          <w:b/>
          <w:bCs/>
          <w:color w:val="000000"/>
          <w:sz w:val="24"/>
          <w:szCs w:val="24"/>
        </w:rPr>
        <w:t xml:space="preserve"> grassetto, </w:t>
      </w:r>
      <w:r w:rsidRPr="00C92D01">
        <w:rPr>
          <w:rFonts w:asciiTheme="minorHAnsi" w:eastAsia="Times New Roman" w:hAnsiTheme="minorHAnsi" w:cs="Times New Roman"/>
          <w:color w:val="000000"/>
          <w:sz w:val="24"/>
          <w:szCs w:val="24"/>
        </w:rPr>
        <w:t>mentre le soppressioni (sostituzioni comprese) si riportano</w:t>
      </w:r>
      <w:r>
        <w:rPr>
          <w:rFonts w:asciiTheme="minorHAnsi" w:eastAsia="Times New Roman" w:hAnsiTheme="minorHAnsi" w:cs="Times New Roman"/>
          <w:b/>
          <w:bCs/>
          <w:color w:val="000000"/>
          <w:sz w:val="24"/>
          <w:szCs w:val="24"/>
        </w:rPr>
        <w:t xml:space="preserve"> </w:t>
      </w:r>
      <w:r>
        <w:rPr>
          <w:rFonts w:asciiTheme="minorHAnsi" w:eastAsia="Times New Roman" w:hAnsiTheme="minorHAnsi" w:cs="Times New Roman"/>
          <w:strike/>
          <w:color w:val="000000"/>
          <w:sz w:val="24"/>
          <w:szCs w:val="24"/>
          <w:shd w:val="clear" w:color="auto" w:fill="FFFB01"/>
        </w:rPr>
        <w:t>evidenziate</w:t>
      </w:r>
      <w:r>
        <w:rPr>
          <w:rFonts w:asciiTheme="minorHAnsi" w:eastAsia="Times New Roman" w:hAnsiTheme="minorHAnsi" w:cs="Times New Roman"/>
          <w:color w:val="000000"/>
          <w:sz w:val="24"/>
          <w:szCs w:val="24"/>
        </w:rPr>
        <w:t xml:space="preserve">. </w:t>
      </w:r>
      <w:bookmarkStart w:id="0" w:name="_GoBack"/>
      <w:bookmarkEnd w:id="0"/>
      <w:r w:rsidRPr="00C92D01">
        <w:rPr>
          <w:rFonts w:asciiTheme="minorHAnsi" w:eastAsia="Times New Roman" w:hAnsiTheme="minorHAnsi" w:cs="Times New Roman"/>
          <w:color w:val="000000"/>
          <w:sz w:val="24"/>
          <w:szCs w:val="24"/>
        </w:rPr>
        <w:t>A piè di pagina si riportano i riferimenti della proposta di modifica approvata.</w:t>
      </w:r>
    </w:p>
    <w:p w:rsidR="00C92D01" w:rsidRDefault="00C92D01" w:rsidP="00C92D01">
      <w:pPr>
        <w:shd w:val="clear" w:color="auto" w:fill="FFFFFF"/>
        <w:spacing w:after="0" w:line="240" w:lineRule="auto"/>
        <w:jc w:val="both"/>
        <w:outlineLvl w:val="0"/>
        <w:rPr>
          <w:rFonts w:eastAsia="Times New Roman" w:cs="Times New Roman"/>
          <w:bCs/>
          <w:i/>
          <w:color w:val="000000"/>
          <w:kern w:val="36"/>
          <w:sz w:val="24"/>
          <w:szCs w:val="24"/>
        </w:rPr>
      </w:pPr>
    </w:p>
    <w:p w:rsidR="00C92D01" w:rsidRDefault="00C92D01" w:rsidP="00C92D01">
      <w:pPr>
        <w:shd w:val="clear" w:color="auto" w:fill="FFFFFF"/>
        <w:spacing w:after="0" w:line="240" w:lineRule="auto"/>
        <w:jc w:val="center"/>
        <w:outlineLvl w:val="0"/>
        <w:rPr>
          <w:rFonts w:eastAsia="Times New Roman" w:cs="Times New Roman"/>
          <w:bCs/>
          <w:color w:val="000000"/>
          <w:kern w:val="36"/>
          <w:sz w:val="24"/>
          <w:szCs w:val="24"/>
        </w:rPr>
      </w:pPr>
      <w:r>
        <w:rPr>
          <w:rFonts w:eastAsia="Times New Roman" w:cs="Times New Roman"/>
          <w:bCs/>
          <w:color w:val="000000"/>
          <w:kern w:val="36"/>
          <w:sz w:val="24"/>
          <w:szCs w:val="24"/>
        </w:rPr>
        <w:t>Disegno di legge</w:t>
      </w:r>
    </w:p>
    <w:p w:rsidR="00C92D01" w:rsidRDefault="00C92D01" w:rsidP="00C92D01">
      <w:pPr>
        <w:pStyle w:val="NormaleWeb"/>
        <w:shd w:val="clear" w:color="auto" w:fill="FFFFFF"/>
        <w:spacing w:before="30" w:beforeAutospacing="0" w:after="30" w:afterAutospacing="0"/>
        <w:ind w:left="30"/>
        <w:jc w:val="both"/>
        <w:rPr>
          <w:rFonts w:asciiTheme="minorHAnsi" w:hAnsiTheme="minorHAnsi"/>
          <w:b/>
          <w:color w:val="000000" w:themeColor="text1"/>
        </w:rPr>
      </w:pP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 1.</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È convertito in legge il decreto-legge 24 ottobre 2019, n. 123, recante disposizioni urgenti per l'accelerazione e il completamento delle ricostruzioni in corso nei territori colpiti da eventi sismici.</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2. La presente legge entra in vigore il giorno successivo a quello della sua pubblicazione nella Gazzetta Ufficiale.</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Decreto-legge 24 ottobre 2019, n. 123, pubblicato nella Gazzetta Ufficiale n. 250 del 24 ottobre 2019.</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Disposizioni urgenti per l'accelerazione e il completamento delle ricostruzioni in corso nei territori colpiti da eventi sismici.</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1.</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(Modifiche all'articolo 1 del decreto-legge 17 ottobre 2016, n. 189)</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1 del decreto-legge 17 ottobre 2016, n. 189, convertito, con modificazioni, dalla legge 15 dicembre 2016, n. 229, dopo il comma 4-ter è inserito il seguente:</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«4-quater. Lo stato di emergenza di cui al comma 4-bis è prorogato fino al 31 dicembre 2020. Con delibere del Consiglio dei ministri adottate ai sensi dell'articolo 24 del decreto legislativo 2 gennaio 2018, n. 1, si provvede all'assegnazione delle risorse per le conseguenti attività, nei limiti delle disponibilità del Fondo per le emergenze nazionali di cui all'articolo 44 del medesimo decreto legislativo n. 1 del 2018.».</w:t>
      </w:r>
    </w:p>
    <w:p w:rsidR="00C92D01" w:rsidRDefault="00C92D01" w:rsidP="00C92D01">
      <w:pPr>
        <w:pStyle w:val="NormaleWeb"/>
        <w:shd w:val="clear" w:color="auto" w:fill="FFFFFF"/>
        <w:ind w:left="30"/>
        <w:jc w:val="center"/>
        <w:rPr>
          <w:rFonts w:asciiTheme="minorHAnsi" w:hAnsiTheme="minorHAnsi"/>
          <w:b/>
          <w:color w:val="000000" w:themeColor="text1"/>
        </w:rPr>
      </w:pPr>
    </w:p>
    <w:p w:rsidR="00C92D01" w:rsidRDefault="00C92D01" w:rsidP="00C92D01">
      <w:pPr>
        <w:pStyle w:val="NormaleWeb"/>
        <w:shd w:val="clear" w:color="auto" w:fill="FFFFFF"/>
        <w:ind w:left="30"/>
        <w:jc w:val="center"/>
        <w:rPr>
          <w:rFonts w:asciiTheme="minorHAnsi" w:hAnsiTheme="minorHAnsi"/>
          <w:b/>
          <w:color w:val="000000" w:themeColor="text1"/>
        </w:rPr>
      </w:pPr>
      <w:r>
        <w:rPr>
          <w:rFonts w:asciiTheme="minorHAnsi" w:hAnsiTheme="minorHAnsi"/>
          <w:b/>
          <w:color w:val="000000" w:themeColor="text1"/>
        </w:rPr>
        <w:lastRenderedPageBreak/>
        <w:t>Art. 1-bis.</w:t>
      </w:r>
    </w:p>
    <w:p w:rsidR="00C92D01" w:rsidRDefault="00C92D01" w:rsidP="00C92D01">
      <w:pPr>
        <w:pStyle w:val="NormaleWeb"/>
        <w:shd w:val="clear" w:color="auto" w:fill="FFFFFF"/>
        <w:ind w:left="30"/>
        <w:jc w:val="center"/>
        <w:rPr>
          <w:rFonts w:asciiTheme="minorHAnsi" w:hAnsiTheme="minorHAnsi"/>
          <w:b/>
          <w:color w:val="000000" w:themeColor="text1"/>
        </w:rPr>
      </w:pPr>
      <w:r>
        <w:rPr>
          <w:rFonts w:asciiTheme="minorHAnsi" w:hAnsiTheme="minorHAnsi"/>
          <w:b/>
          <w:color w:val="000000" w:themeColor="text1"/>
        </w:rPr>
        <w:t>(Modifica all'articolo 2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C92D01" w:rsidRDefault="00C92D01" w:rsidP="00C92D01">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All'articolo 2, comma 2-bis, primo periodo,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sono aggiunte, in fine, le seguenti parole: «, utilizzando il criterio di aggiudicazione del prezzo più basso con le modalità previste dall'articolo 97, commi 2, 2-bis e 2-ter, del citato codice di cui al decreto legislativo n.</w:t>
      </w:r>
      <w:r>
        <w:rPr>
          <w:rFonts w:asciiTheme="minorHAnsi" w:hAnsiTheme="minorHAnsi"/>
          <w:b/>
          <w:color w:val="000000" w:themeColor="text1"/>
        </w:rPr>
        <w:t> </w:t>
      </w:r>
      <w:r>
        <w:rPr>
          <w:rFonts w:asciiTheme="minorHAnsi" w:hAnsiTheme="minorHAnsi"/>
          <w:b/>
          <w:color w:val="000000" w:themeColor="text1"/>
        </w:rPr>
        <w:t>50 del 2016.</w:t>
      </w:r>
      <w:r>
        <w:rPr>
          <w:rStyle w:val="Rimandonotaapidipagina"/>
          <w:rFonts w:asciiTheme="minorHAnsi" w:hAnsiTheme="minorHAnsi"/>
          <w:b/>
          <w:color w:val="000000" w:themeColor="text1"/>
        </w:rPr>
        <w:footnoteReference w:id="1"/>
      </w:r>
    </w:p>
    <w:p w:rsidR="00C92D01" w:rsidRDefault="00C92D01" w:rsidP="00C92D01">
      <w:pPr>
        <w:pStyle w:val="NormaleWeb"/>
        <w:shd w:val="clear" w:color="auto" w:fill="FFFFFF"/>
        <w:ind w:left="30"/>
        <w:jc w:val="center"/>
        <w:rPr>
          <w:rFonts w:asciiTheme="minorHAnsi" w:hAnsiTheme="minorHAnsi"/>
          <w:b/>
          <w:color w:val="000000" w:themeColor="text1"/>
        </w:rPr>
      </w:pPr>
      <w:r>
        <w:rPr>
          <w:rFonts w:asciiTheme="minorHAnsi" w:hAnsiTheme="minorHAnsi"/>
          <w:b/>
          <w:color w:val="000000" w:themeColor="text1"/>
        </w:rPr>
        <w:t>Art. 1-bis.</w:t>
      </w:r>
    </w:p>
    <w:p w:rsidR="00C92D01" w:rsidRDefault="00C92D01" w:rsidP="00C92D01">
      <w:pPr>
        <w:pStyle w:val="NormaleWeb"/>
        <w:shd w:val="clear" w:color="auto" w:fill="FFFFFF"/>
        <w:ind w:left="30"/>
        <w:jc w:val="center"/>
        <w:rPr>
          <w:rFonts w:asciiTheme="minorHAnsi" w:hAnsiTheme="minorHAnsi"/>
          <w:b/>
          <w:color w:val="000000" w:themeColor="text1"/>
        </w:rPr>
      </w:pPr>
      <w:r>
        <w:rPr>
          <w:rFonts w:asciiTheme="minorHAnsi" w:hAnsiTheme="minorHAnsi"/>
          <w:b/>
          <w:color w:val="000000" w:themeColor="text1"/>
        </w:rPr>
        <w:t>(Modifiche all'articolo 3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C92D01" w:rsidRDefault="00C92D01" w:rsidP="00C92D01">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All'articolo 3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dopo il comma 1-quater è inserito il seguente:</w:t>
      </w:r>
    </w:p>
    <w:p w:rsidR="00C92D01" w:rsidRPr="00C92D01" w:rsidRDefault="00C92D01" w:rsidP="00C92D01">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«1-quinquies. Per le finalità di cui al comma 1, l'Ufficio speciale per la ricostruzione può avvalersi di personale di società in house della regione per acquisire supporto specialistico all'esecuzione delle attività tecniche e amministrative, attraverso convenzioni non onerose e comunque in conformità alla normativa europea, nazionale e regionale di riferimento».</w:t>
      </w:r>
      <w:r>
        <w:rPr>
          <w:rStyle w:val="Rimandonotaapidipagina"/>
          <w:rFonts w:asciiTheme="minorHAnsi" w:hAnsiTheme="minorHAnsi"/>
          <w:b/>
          <w:color w:val="000000" w:themeColor="text1"/>
        </w:rPr>
        <w:footnoteReference w:id="2"/>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2.</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(Modifiche agli articoli 6 e 14 del decreto-legge 17 ottobre 2016, n. 189)</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6 del decreto-legge 17 ottobre 2016, n. 189, convertito, con modificazioni, dalla legge 15 dicembre 2016, n. 229, sono apportate le seguenti modificazioni:</w:t>
      </w:r>
    </w:p>
    <w:p w:rsidR="00C92D01" w:rsidRDefault="00C92D01" w:rsidP="00C92D01">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0a) al comma 2, lettera a), dopo le parole: «pubblicato nella Gazzetta Ufficiale n.</w:t>
      </w:r>
      <w:r>
        <w:rPr>
          <w:rFonts w:asciiTheme="minorHAnsi" w:hAnsiTheme="minorHAnsi"/>
          <w:b/>
          <w:color w:val="000000" w:themeColor="text1"/>
        </w:rPr>
        <w:t> </w:t>
      </w:r>
      <w:r>
        <w:rPr>
          <w:rFonts w:asciiTheme="minorHAnsi" w:hAnsiTheme="minorHAnsi"/>
          <w:b/>
          <w:color w:val="000000" w:themeColor="text1"/>
        </w:rPr>
        <w:t>113 del 17 maggio 2011» sono inserite le seguenti: «e del decreto del Presidente del Consiglio dei ministri del 14 gennaio 2015, pubblicato nella Gazzetta Ufficiale n.</w:t>
      </w:r>
      <w:r>
        <w:rPr>
          <w:rFonts w:asciiTheme="minorHAnsi" w:hAnsiTheme="minorHAnsi"/>
          <w:b/>
          <w:color w:val="000000" w:themeColor="text1"/>
        </w:rPr>
        <w:t> </w:t>
      </w:r>
      <w:r>
        <w:rPr>
          <w:rFonts w:asciiTheme="minorHAnsi" w:hAnsiTheme="minorHAnsi"/>
          <w:b/>
          <w:color w:val="000000" w:themeColor="text1"/>
        </w:rPr>
        <w:t>61 del 14 marzo 2015»;</w:t>
      </w:r>
    </w:p>
    <w:p w:rsidR="00C92D01" w:rsidRDefault="00C92D01" w:rsidP="00C92D01">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lastRenderedPageBreak/>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0a-bis) al comma 2, lettera b), dopo le parole: «decreto del Presidente del Consiglio dei ministri del 5 maggio 2011» sono inserite le seguenti: «e del decreto del Presidente del Consiglio dei ministri del 14 gennaio 2015, pubblicato nella Gazzetta Ufficiale n.</w:t>
      </w:r>
      <w:r>
        <w:rPr>
          <w:rFonts w:asciiTheme="minorHAnsi" w:hAnsiTheme="minorHAnsi"/>
          <w:b/>
          <w:color w:val="000000" w:themeColor="text1"/>
        </w:rPr>
        <w:t> </w:t>
      </w:r>
      <w:r>
        <w:rPr>
          <w:rFonts w:asciiTheme="minorHAnsi" w:hAnsiTheme="minorHAnsi"/>
          <w:b/>
          <w:color w:val="000000" w:themeColor="text1"/>
        </w:rPr>
        <w:t>61 del 14 marzo 2015»;</w:t>
      </w:r>
    </w:p>
    <w:p w:rsidR="00C92D01" w:rsidRDefault="00C92D01" w:rsidP="00C92D01">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0a-ter) al comma 2, lettera c), dopo le parole: «decreto del Presidente del Consiglio dei ministri del 5 maggio 2011» sono inserite le seguenti: «e del decreto del Presidente del Consiglio dei ministri del 14 gennaio 2015, pubblicato nella Gazzetta Ufficiale n.</w:t>
      </w:r>
      <w:r>
        <w:rPr>
          <w:rFonts w:asciiTheme="minorHAnsi" w:hAnsiTheme="minorHAnsi"/>
          <w:b/>
          <w:color w:val="000000" w:themeColor="text1"/>
        </w:rPr>
        <w:t> </w:t>
      </w:r>
      <w:r>
        <w:rPr>
          <w:rFonts w:asciiTheme="minorHAnsi" w:hAnsiTheme="minorHAnsi"/>
          <w:b/>
          <w:color w:val="000000" w:themeColor="text1"/>
        </w:rPr>
        <w:t>61 del 14 marzo 2015»;</w:t>
      </w:r>
      <w:r>
        <w:rPr>
          <w:rStyle w:val="Rimandonotaapidipagina"/>
          <w:rFonts w:asciiTheme="minorHAnsi" w:hAnsiTheme="minorHAnsi"/>
          <w:b/>
          <w:color w:val="000000" w:themeColor="text1"/>
        </w:rPr>
        <w:footnoteReference w:id="3"/>
      </w:r>
    </w:p>
    <w:p w:rsidR="00C92D01" w:rsidRDefault="00C92D01" w:rsidP="00C92D01">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0a) dopo il comma 2-bis è inserito il seguente:</w:t>
      </w:r>
    </w:p>
    <w:p w:rsidR="00C92D01" w:rsidRDefault="00C92D01" w:rsidP="00C92D01">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«2-ter. Nel caso in cui sul medesimo bene immobile insistano più proprietari o soggetti titolati ai sensi del comma 2, lettere a), b), c), d) ed e), la domanda di concessione dei contributi può essere presentata anche solo da uno dei comproprietari o dei soggetti titolati suddetti con modalità disciplinate ai sensi dell'articolo 2, comma 2. Resta a carico del comproprietario o altro soggetto titolato che presenta la pratica per la concessione del contributo l'obbligo di dimostrare di aver avvisato gli altri proprietari o soggetti titolati a mezzo di raccomandata con ricevuta di ritorno o a mezzo di posta elettronica certificata».</w:t>
      </w:r>
      <w:r>
        <w:rPr>
          <w:rStyle w:val="Rimandonotaapidipagina"/>
          <w:rFonts w:asciiTheme="minorHAnsi" w:hAnsiTheme="minorHAnsi"/>
          <w:b/>
          <w:color w:val="000000" w:themeColor="text1"/>
        </w:rPr>
        <w:footnoteReference w:id="4"/>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 al comma 7, è aggiunto, in fine, il seguente periodo: «I provvedimenti di cui al primo periodo prevedono una maggiorazione del contributo per gli interventi relativi a murature portanti di elevato spessore e di bassa capacità strutturale</w:t>
      </w:r>
      <w:r>
        <w:rPr>
          <w:rFonts w:asciiTheme="minorHAnsi" w:hAnsiTheme="minorHAnsi"/>
          <w:b/>
          <w:color w:val="000000" w:themeColor="text1"/>
        </w:rPr>
        <w:t xml:space="preserve"> e a strutture in calcestruzzo armato, qualora le caratteristiche di resistenza del calcestruzzo risultino scadenti a seguito di indagini che ne certifichino le caratteristiche meccaniche</w:t>
      </w:r>
      <w:r>
        <w:rPr>
          <w:rFonts w:asciiTheme="minorHAnsi" w:hAnsiTheme="minorHAnsi"/>
          <w:color w:val="000000" w:themeColor="text1"/>
        </w:rPr>
        <w:t>.</w:t>
      </w:r>
      <w:r>
        <w:rPr>
          <w:rStyle w:val="Rimandonotaapidipagina"/>
          <w:rFonts w:asciiTheme="minorHAnsi" w:hAnsiTheme="minorHAnsi"/>
          <w:color w:val="000000" w:themeColor="text1"/>
        </w:rPr>
        <w:footnoteReference w:id="5"/>
      </w:r>
      <w:r>
        <w:rPr>
          <w:rFonts w:asciiTheme="minorHAnsi" w:hAnsiTheme="minorHAnsi"/>
          <w:b/>
          <w:color w:val="000000" w:themeColor="text1"/>
        </w:rPr>
        <w:t xml:space="preserve"> Nel caso di ricostruzione totale di edifici in muratura </w:t>
      </w:r>
      <w:r>
        <w:rPr>
          <w:rFonts w:asciiTheme="minorHAnsi" w:hAnsiTheme="minorHAnsi"/>
          <w:b/>
          <w:color w:val="000000" w:themeColor="text1"/>
        </w:rPr>
        <w:lastRenderedPageBreak/>
        <w:t>portante, con spessore medio delle pareti portanti maggiore di 30 cm, le superfici utili sono determinate considerando le pareti portanti di spessore pari a 30 cm.</w:t>
      </w:r>
      <w:r>
        <w:rPr>
          <w:rStyle w:val="Rimandonotaapidipagina"/>
          <w:rFonts w:asciiTheme="minorHAnsi" w:hAnsiTheme="minorHAnsi"/>
          <w:b/>
          <w:color w:val="000000" w:themeColor="text1"/>
        </w:rPr>
        <w:footnoteReference w:id="6"/>
      </w:r>
      <w:r>
        <w:rPr>
          <w:rFonts w:asciiTheme="minorHAnsi" w:hAnsiTheme="minorHAnsi"/>
          <w:color w:val="000000" w:themeColor="text1"/>
        </w:rPr>
        <w:t>»;</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i commi 10-bis e 10-quater sono abrogati.</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2. All'articolo 14 del decreto-legge 17 ottobre 2016, n. 189, convertito, con modificazioni, dalla legge 15 dicembre 2016, n. 229, dopo il comma 3 è inserito il seguente: «3.1. Tra gli interventi sul patrimonio pubblico disposti dal commissario straordinario del Governo è data priorità a quelli concernenti la ricostruzione di edifici scolastici. Detti edifici, se ubicati nei centri storici, sono ripristinati o ricostruiti nel medesimo sito, salvo che per ragioni oggettive la ricostruzione in situ non sia possibile. In ogni caso, la destinazione urbanistica delle aree a ciò destinate non può essere mutata.».</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3.</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(Introduzione dell'articolo 12-bis nel decreto-legge 17 ottobre 2016, n. 189)</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Dopo l'articolo 12 del decreto-legge 17 ottobre 2016, n. 189, convertito, con modificazioni, dalla legge 15 dicembre 2016, n. 229, è inserito il seguente:</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«Articolo 12-bis. – (Semplificazione e accelerazione della ricostruzione privata). – 1. Qualora gli interventi di riparazione, ripristino e ricostruzione degli immobili privati rientrino nei limiti di importo definiti con i provvedimenti di cui all'articolo 2, comma 2, gli Uffici speciali per la ricostruzione, previa verifica della legittimazione del soggetto richiedente al momento della presentazione della domanda di contributo, adottano il provvedimento di concessione del contributo in deroga alla disciplina prevista dall'articolo 12 e con le modalità procedimentali stabilite con i medesimi provvedimenti di cui all'articolo 2, comma 2. La concessione avviene sulla base del progetto e della documentazione allegata alla domanda di contributo presentata dal professionista, che ne certifica la completezza e la regolarità amministrativa e tecnica, compresa la conformità edilizia e urbanistica, nonché sulla base dell'importo del contributo concedibile determinato dallo stesso professionista nei limiti del costo ammissibile, individuato con le modalità stabilite con le ordinanze di cui all'articolo 2, comma 2. Se gli interventi necessitano dell'acquisizione di pareri ambientali, paesaggistici, di tutela dei beni culturali o di quelli ricompresi nelle aree dei parchi nazionali o delle aree protette regionali, il professionista, nella domanda di contributo, chiede la convocazione della Conferenza regionale di cui all'articolo 16, commi 4 e 5. La Conferenza regionale è convocata dall'Ufficio Speciale per la ricostruzione, oltre che in esito alla predetta richiesta, anche al fine di acquisire l'autorizzazione sismica nonché, ove occorra, i pareri degli enti competenti al fine del rilascio del permesso a costruire o del titolo unico ai sensi del decreto del Presidente della Repubblica 7 settembre 2010, n. 160, e comunque nei casi di cui all'articolo 1-</w:t>
      </w:r>
      <w:r>
        <w:rPr>
          <w:rFonts w:asciiTheme="minorHAnsi" w:hAnsiTheme="minorHAnsi"/>
          <w:color w:val="000000" w:themeColor="text1"/>
        </w:rPr>
        <w:lastRenderedPageBreak/>
        <w:t>sexies, comma 6, del decreto-legge 29 maggio 2018, n. 55, convertito, con modificazioni, dalla legge 24 luglio 2018, n. 89.</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2. Gli uffici speciali per la ricostruzione provvedono alla concessione del contributo relativo agli interventi di cui al comma 1, secondo il seguente ordine di priorità:</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 richieste di contributo relative a unità strutturali in cui sono ricomprese unità immobiliari destinate ad abitazione principale, anche se adibite a residenza anagrafica del conduttore, del comodatario o dell'assegnatario ai sensi dell'articolo 6, comma 2, lettere a) e b), per le quali i soggetti ivi residenti al momento del sisma beneficiano della provvidenza dell'autonoma sistemazione;</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richieste di contributo relative a unità strutturali in cui sono ricomprese unità immobiliari destinate ad abitazione principale, anche se adibite a residenza anagrafica del conduttore, del comodatario o dell'assegnatario ai sensi dell'articolo 6, comma 2, lettere a) e b), diverse da quelle di cui alla lettera a);</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c) richieste di contributo relative ad attività produttive in esercizio al momento del sisma che non hanno presentato la domanda di delocalizzazione temporanea;</w:t>
      </w:r>
    </w:p>
    <w:p w:rsidR="00C92D01" w:rsidRDefault="00C92D01" w:rsidP="00C92D01">
      <w:pPr>
        <w:pStyle w:val="NormaleWeb"/>
        <w:shd w:val="clear" w:color="auto" w:fill="FFFFFF"/>
        <w:ind w:left="30"/>
        <w:jc w:val="both"/>
        <w:rPr>
          <w:rFonts w:asciiTheme="minorHAnsi" w:hAnsiTheme="minorHAnsi"/>
          <w:color w:val="000000" w:themeColor="text1"/>
        </w:rPr>
      </w:pP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d) richieste di contributo relative ad unità strutturali in cui sono ricomprese unità immobiliari destinate ad abitazione o ad attività produttive in esercizio diverse da quelle di cui alle lettere a), b) e c).</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3. Gli uffici speciali per la ricostruzione, sulla base dei provvedimenti di cui all'articolo 2, comma 2, provvedono con cadenza mensile a verifiche a campione almeno sul 20 per cento delle domande di contributo presentate ai sensi del presente articolo. L'effettuazione del controllo sospende i termini per l'adozione del provvedimento di concessione del contributo. Per i controlli successivi al provvedimento di concessione del contributo trova applicazione il secondo periodo del comma 5 dell'articolo 12.».</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4.</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(Urgente rimozione di materiali prodotti a seguito di eventi sismici)</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28 del decreto-legge 17 ottobre 2016, n. 189, convertito, con modificazioni, dalla legge 15 dicembre 2016, n. 229, sono apportate le seguenti modificazioni:</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 dopo il comma 3 è inserito il seguente:</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«3-bis. Entro il 31 dicembre 2019, le regioni, sentito il commissario straordinario e fermo restando il limite delle risorse dallo stesso indicate ai sensi del comma 13, aggiornano i piani di cui al comma 2 individuando, in particolare, i siti di stoccaggio temporaneo. In difetto di conclusione del procedimento entro il termine di cui al presente comma il commissario straordinario può aggiornare comunque il piano, sentito il Presidente della regione interessata.»;</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lastRenderedPageBreak/>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al comma 6, dopo le parole «da essi incaricate», sono inserite le seguenti: «, o da imprese dai medesimi individuate con la procedura di cui all'articolo 63 del decreto legislativo 16 aprile 2016, n. 50»;</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c) dopo il comma 7 è inserito il seguente:</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«7-bis. Nel caso in cui nel sito temporaneo di deposito siano da effettuare operazioni di trattamento delle macerie con l'ausilio di impianti mobili, il termine di cui all'articolo 208, comma 15, secondo periodo, del decreto legislativo 3 aprile 2006, n. 152, è ridotto a quindici giorni.».</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5.</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(Estensione al territorio dei comuni del cratere della misura a favore dei giovani imprenditori nel Mezzogiorno, denominata «Resto al Sud»)</w:t>
      </w:r>
    </w:p>
    <w:p w:rsidR="00C92D01" w:rsidRDefault="00C92D01" w:rsidP="00C92D01">
      <w:pPr>
        <w:pStyle w:val="NormaleWeb"/>
        <w:shd w:val="clear" w:color="auto" w:fill="FFFFFF"/>
        <w:ind w:left="30"/>
        <w:jc w:val="both"/>
        <w:rPr>
          <w:rFonts w:asciiTheme="minorHAnsi" w:hAnsiTheme="minorHAnsi"/>
          <w:color w:val="000000" w:themeColor="text1"/>
        </w:rPr>
      </w:pP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1, comma 1, del decreto-legge 20 giugno 2017, n. 91, aggiungere in fine il seguente periodo: «La predetta misura è estesa anche ai territori dei comuni delle Regioni Lazio, Marche e Umbria di cui agli allegati 1, 2 e 2-bis del decreto-legge 17 ottobre 2016, n. 189, convertito, con modificazioni, dalla legge 15 dicembre 2016, n. 229, a valere sulle risorse disponibili assegnate ai sensi dei commi 16 e 17.».</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6.</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(Estensione dei contributi a comuni colpiti dal sisma)</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23, comma 1-bis, del decreto-legge 18 aprile 2019, n. 32, convertito, con modificazioni, dalla legge 14 giugno 2019, n. 55, sono apportate le seguenti modificazioni:</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 al primo periodo le parole da «colpiti dal sisma» a «allegato 1» sono sostituite dalle seguenti: «inclusi negli elenchi di cui agli allegati 1 e 2»;</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è aggiunto, in fine, il seguente periodo: «Al riparto dei fondi si provvede con decreto del Ministro dell'interno, di concerto con il Ministro dell'economia e delle finanze sentita la Conferenza stato-città e autonomie locali.».</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7.</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(Modifiche agli articoli 4 e 34 del decreto-legge 17 ottobre 2016, n. 189)</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4, comma 3, primo periodo, del decreto-legge 17 ottobre 2016, n. 189, convertito, con modificazioni, dalla legge 15 dicembre 2016, n. 229, dopo le parole «per l'assistenza alla popolazione» sono aggiunte le seguenti: «, nonché per le anticipazioni ai professionisti di cui all'articolo 34 comma 7-bis».</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xml:space="preserve">2. All'articolo 34, comma 7-bis, del decreto-legge 17 ottobre 2016, n. 189, convertito, con modificazioni, dalla legge 15 dicembre 2016, n. 229, è aggiunto, in fine, il seguente periodo: «Per le </w:t>
      </w:r>
      <w:r>
        <w:rPr>
          <w:rFonts w:asciiTheme="minorHAnsi" w:hAnsiTheme="minorHAnsi"/>
          <w:color w:val="000000" w:themeColor="text1"/>
        </w:rPr>
        <w:lastRenderedPageBreak/>
        <w:t>anticipazioni di cui al presente comma non può essere richiesta alcuna garanzia, fermo restando l'obbligo di avvio delle eventuali procedure di recupero anche tramite compensazione.».</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8.</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(Proroga di termini)</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44 del decreto-legge 17 ottobre 2016, n. 189, convertito, con modificazioni, dalla legge 15 dicembre 2016, n. 229, sono apportate le seguenti modificazioni:</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 al comma 1, terzo periodo, le parole: «al primo e al secondo anno» sono sostituite dalle seguenti: «al terzo e al quarto anno»;</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al comma 3, il secondo periodo è sostituito dal seguente: «Con decreto del Ministro dell'interno, di concerto con il Ministro dell'economia e delle finanze può essere disposta la proroga del periodo di sospensione, fino al 31 dicembre 2020.».</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2. Gli adempimenti e i pagamenti delle ritenute fiscali e contributi previdenziali e assistenziali nonché dei premi per l'assicurazione obbligatoria di cui all'articolo 48, commi 11 e 13, del decreto-legge 17 ottobre 2016, n. 189, convertito, con modificazioni, dalla legge 15 dicembre 2016, n. 229, sono effettuati a decorrere dal 15 gennaio 2020 con le modalità e nei termini fissati dalle medesime disposizioni, ma nel limite del 40 per cento degli importi dovuti.</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3. All'articolo 2-bis, comma 24, primo periodo, del decreto-legge 16 ottobre 2017, n. 148, convertito, con modificazioni, dalla legge 4 dicembre 2017, n. 172, le parole «1° gennaio 2020» sono sostituite dalle seguenti: «1° gennaio 2021».</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4. Agli oneri derivanti dai commi 1, lettera a) e 2, pari complessivamente a 13,95 milioni di euro per l'anno 2020, a 14,39 milioni di euro per l'anno 2021, a 13,66 milioni di euro per l'anno 2022, a 13,88 milioni di euro per l'anno 2023, a 15,55 milioni di euro per l'anno 2024, a 14,61 milioni di euro per ciascuno degli anni dal 2025 al 2029 e a 1,27 milioni di euro annui a decorrere dall'anno 2030, si provvede:</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 quanto a 0,61 milioni di euro per l'anno 2020, a 1,05 milioni di euro per l'anno 2021, a 0,32 milioni di euro per l'anno 2022, a 0,54 milioni di euro per l'anno 2023, a 2,21 milioni di euro per l'anno 2024 e a 1,27 milioni di euro annui a decorrere dall'anno 2025, mediante corrispondente riduzione del Fondo per interventi strutturali di politica economica, di cui all'articolo 10, comma 5, del decreto-legge 29 novembre 2004, n. 282, convertito, con modificazioni, dalla legge 27 dicembre 2004, n. 307;</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quanto a 13,34 milioni di euro per ciascuno degli anni dal 2020 al 2029, mediante utilizzo delle risorse di cui all'articolo 2, comma 107, della legge 24 dicembre 2007, n. 244.</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9.</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(Misure e interventi finanziari a favore delle imprese agricole ubicate nei comuni del cratere)</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xml:space="preserve">1. All'articolo 10, comma 1, secondo periodo, del decreto legislativo 21 aprile 2000, n. 185, dopo le parole «Nelle regioni Abruzzo, Basilicata, Calabria, Campania, Molise, Puglia, Sardegna e Sicilia» </w:t>
      </w:r>
      <w:r>
        <w:rPr>
          <w:rFonts w:asciiTheme="minorHAnsi" w:hAnsiTheme="minorHAnsi"/>
          <w:color w:val="000000" w:themeColor="text1"/>
        </w:rPr>
        <w:lastRenderedPageBreak/>
        <w:t>sono aggiunte le seguenti parole «nonché nei territori ricompresi nei comuni indicati negli allegati 1, 2 e 2-bis, di cui al decreto-legge 17 ottobre 2016, n. 189, convertito, con modificazioni, dalla legge 15 dicembre 2016, n. 229,».</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2. Per le finalità di cui al comma 1 sono destinate risorse nei limiti di due milioni di euro per ciascuno degli anni 2019 e 2020, mediante corrispondente utilizzo del Fondo per lo sviluppo e la coesione per il periodo di programmazione 2014-2020 di cui all'articolo 1, comma 6, della legge 27 dicembre 2013, n. 147.</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10.</w:t>
      </w:r>
    </w:p>
    <w:p w:rsidR="00C92D01" w:rsidRDefault="00C92D01" w:rsidP="00C92D01">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(Entrata in vigore)</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Il presente decreto entra in vigore il giorno successivo a quello della sua pubblicazione nella Gazzetta Ufficiale della Repubblica italiana e sarà presentato alle Camere per la conversione in legge.</w:t>
      </w:r>
    </w:p>
    <w:p w:rsidR="00C92D01" w:rsidRDefault="00C92D01" w:rsidP="00C92D01">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Il presente decreto, munito del sigillo dello Stato, sarà inserito nella Raccolta ufficiale degli atti normativi della Repubblica italiana. È fatto obbligo a chiunque spetti di osservarlo e di farlo osservare.</w:t>
      </w:r>
    </w:p>
    <w:p w:rsidR="00C92D01" w:rsidRDefault="00C92D01" w:rsidP="00C92D01">
      <w:pPr>
        <w:pStyle w:val="NormaleWeb"/>
        <w:shd w:val="clear" w:color="auto" w:fill="FFFFFF"/>
        <w:jc w:val="both"/>
        <w:rPr>
          <w:rFonts w:asciiTheme="minorHAnsi" w:hAnsiTheme="minorHAnsi"/>
          <w:color w:val="000000" w:themeColor="text1"/>
        </w:rPr>
      </w:pPr>
    </w:p>
    <w:p w:rsidR="00C92D01" w:rsidRDefault="00C92D01"/>
    <w:sectPr w:rsidR="00C92D01">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D01" w:rsidRDefault="00C92D01" w:rsidP="00C92D01">
      <w:pPr>
        <w:spacing w:after="0" w:line="240" w:lineRule="auto"/>
      </w:pPr>
      <w:r>
        <w:separator/>
      </w:r>
    </w:p>
  </w:endnote>
  <w:endnote w:type="continuationSeparator" w:id="0">
    <w:p w:rsidR="00C92D01" w:rsidRDefault="00C92D01" w:rsidP="00C9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462895"/>
      <w:docPartObj>
        <w:docPartGallery w:val="Page Numbers (Bottom of Page)"/>
        <w:docPartUnique/>
      </w:docPartObj>
    </w:sdtPr>
    <w:sdtContent>
      <w:p w:rsidR="00C92D01" w:rsidRDefault="00C92D01">
        <w:pPr>
          <w:pStyle w:val="Pidipagina"/>
          <w:jc w:val="center"/>
        </w:pPr>
        <w:r>
          <w:fldChar w:fldCharType="begin"/>
        </w:r>
        <w:r>
          <w:instrText>PAGE   \* MERGEFORMAT</w:instrText>
        </w:r>
        <w:r>
          <w:fldChar w:fldCharType="separate"/>
        </w:r>
        <w:r>
          <w:t>2</w:t>
        </w:r>
        <w:r>
          <w:fldChar w:fldCharType="end"/>
        </w:r>
      </w:p>
    </w:sdtContent>
  </w:sdt>
  <w:p w:rsidR="00C92D01" w:rsidRDefault="00C92D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D01" w:rsidRDefault="00C92D01" w:rsidP="00C92D01">
      <w:pPr>
        <w:spacing w:after="0" w:line="240" w:lineRule="auto"/>
      </w:pPr>
      <w:r>
        <w:separator/>
      </w:r>
    </w:p>
  </w:footnote>
  <w:footnote w:type="continuationSeparator" w:id="0">
    <w:p w:rsidR="00C92D01" w:rsidRDefault="00C92D01" w:rsidP="00C92D01">
      <w:pPr>
        <w:spacing w:after="0" w:line="240" w:lineRule="auto"/>
      </w:pPr>
      <w:r>
        <w:continuationSeparator/>
      </w:r>
    </w:p>
  </w:footnote>
  <w:footnote w:id="1">
    <w:p w:rsidR="00C92D01" w:rsidRDefault="00C92D01" w:rsidP="00C92D01">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1. 04.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1. 05. Melilli, Braga, Buratti, Del Basso De Caro,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w:t>
      </w:r>
    </w:p>
    <w:p w:rsidR="00C92D01" w:rsidRDefault="00C92D01" w:rsidP="00C92D01">
      <w:pPr>
        <w:pStyle w:val="Testonotaapidipagina"/>
      </w:pPr>
    </w:p>
  </w:footnote>
  <w:footnote w:id="2">
    <w:p w:rsidR="00C92D01" w:rsidRDefault="00C92D01" w:rsidP="00C92D01">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1. 023. (Ulteriore nuova formulazione) Muroni,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xml:space="preserve">; 1. 024. (Ulteriore nuova formulazione)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D'Alessandro,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xml:space="preserve">; 1. 026. (Ulteriore nuova formulazione) Braga, Melilli, Buratti, Del Basso De Caro,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 xml:space="preserve">; 1. 028. (Ulteriore nuova formulazione)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Roberto Rossini.</w:t>
      </w:r>
    </w:p>
    <w:p w:rsidR="00C92D01" w:rsidRDefault="00C92D01" w:rsidP="00C92D01">
      <w:pPr>
        <w:pStyle w:val="Testonotaapidipagina"/>
      </w:pPr>
    </w:p>
  </w:footnote>
  <w:footnote w:id="3">
    <w:p w:rsidR="00C92D01" w:rsidRDefault="00C92D01" w:rsidP="00C92D01">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2. 1.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xml:space="preserve">; 2. 2.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2. 3. Gallinella,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4.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Muroni.</w:t>
      </w:r>
    </w:p>
    <w:p w:rsidR="00C92D01" w:rsidRDefault="00C92D01" w:rsidP="00C92D01">
      <w:pPr>
        <w:pStyle w:val="Testonotaapidipagina"/>
      </w:pPr>
    </w:p>
  </w:footnote>
  <w:footnote w:id="4">
    <w:p w:rsidR="00C92D01" w:rsidRDefault="00C92D01" w:rsidP="00C92D01">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5. (Nuova formulazione) </w:t>
      </w:r>
      <w:proofErr w:type="spellStart"/>
      <w:r>
        <w:rPr>
          <w:rFonts w:asciiTheme="minorHAnsi" w:hAnsiTheme="minorHAnsi"/>
          <w:color w:val="000000" w:themeColor="text1"/>
          <w:sz w:val="20"/>
          <w:szCs w:val="20"/>
        </w:rPr>
        <w:t>Trancassini</w:t>
      </w:r>
      <w:proofErr w:type="spellEnd"/>
      <w:r>
        <w:rPr>
          <w:rFonts w:asciiTheme="minorHAnsi" w:hAnsiTheme="minorHAnsi"/>
          <w:color w:val="000000" w:themeColor="text1"/>
          <w:sz w:val="20"/>
          <w:szCs w:val="20"/>
        </w:rPr>
        <w:t xml:space="preserve">, Prisco, </w:t>
      </w:r>
      <w:proofErr w:type="spellStart"/>
      <w:r>
        <w:rPr>
          <w:rFonts w:asciiTheme="minorHAnsi" w:hAnsiTheme="minorHAnsi"/>
          <w:color w:val="000000" w:themeColor="text1"/>
          <w:sz w:val="20"/>
          <w:szCs w:val="20"/>
        </w:rPr>
        <w:t>Acquaroli</w:t>
      </w:r>
      <w:proofErr w:type="spellEnd"/>
      <w:r>
        <w:rPr>
          <w:rFonts w:asciiTheme="minorHAnsi" w:hAnsiTheme="minorHAnsi"/>
          <w:color w:val="000000" w:themeColor="text1"/>
          <w:sz w:val="20"/>
          <w:szCs w:val="20"/>
        </w:rPr>
        <w:t xml:space="preserve">, Butti; 2. 6. (Nuova formulazione) Mazzetti, Nevi, </w:t>
      </w:r>
      <w:proofErr w:type="spellStart"/>
      <w:r>
        <w:rPr>
          <w:rFonts w:asciiTheme="minorHAnsi" w:hAnsiTheme="minorHAnsi"/>
          <w:color w:val="000000" w:themeColor="text1"/>
          <w:sz w:val="20"/>
          <w:szCs w:val="20"/>
        </w:rPr>
        <w:t>Cortelazzo</w:t>
      </w:r>
      <w:proofErr w:type="spellEnd"/>
      <w:r>
        <w:rPr>
          <w:rFonts w:asciiTheme="minorHAnsi" w:hAnsiTheme="minorHAnsi"/>
          <w:color w:val="000000" w:themeColor="text1"/>
          <w:sz w:val="20"/>
          <w:szCs w:val="20"/>
        </w:rPr>
        <w:t xml:space="preserve">, Polidori, Gelmini, Baldelli, Polverini, Casino, </w:t>
      </w:r>
      <w:proofErr w:type="spellStart"/>
      <w:r>
        <w:rPr>
          <w:rFonts w:asciiTheme="minorHAnsi" w:hAnsiTheme="minorHAnsi"/>
          <w:color w:val="000000" w:themeColor="text1"/>
          <w:sz w:val="20"/>
          <w:szCs w:val="20"/>
        </w:rPr>
        <w:t>Giacometto</w:t>
      </w:r>
      <w:proofErr w:type="spellEnd"/>
      <w:r>
        <w:rPr>
          <w:rFonts w:asciiTheme="minorHAnsi" w:hAnsiTheme="minorHAnsi"/>
          <w:color w:val="000000" w:themeColor="text1"/>
          <w:sz w:val="20"/>
          <w:szCs w:val="20"/>
        </w:rPr>
        <w:t xml:space="preserve">, Labriola, Ruffino, Battilocchio, Barelli, Martino, Calabria, </w:t>
      </w:r>
      <w:proofErr w:type="spellStart"/>
      <w:r>
        <w:rPr>
          <w:rFonts w:asciiTheme="minorHAnsi" w:hAnsiTheme="minorHAnsi"/>
          <w:color w:val="000000" w:themeColor="text1"/>
          <w:sz w:val="20"/>
          <w:szCs w:val="20"/>
        </w:rPr>
        <w:t>Spena</w:t>
      </w:r>
      <w:proofErr w:type="spellEnd"/>
      <w:r>
        <w:rPr>
          <w:rFonts w:asciiTheme="minorHAnsi" w:hAnsiTheme="minorHAnsi"/>
          <w:color w:val="000000" w:themeColor="text1"/>
          <w:sz w:val="20"/>
          <w:szCs w:val="20"/>
        </w:rPr>
        <w:t xml:space="preserve">, Marrocco, Rotondi; 2. 7. (Nuova formulazione) Muroni,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xml:space="preserve">; 2. 8. (Nuova formulazione)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9. (Nuova formulazione) D'Eramo, </w:t>
      </w:r>
      <w:proofErr w:type="spellStart"/>
      <w:r>
        <w:rPr>
          <w:rFonts w:asciiTheme="minorHAnsi" w:hAnsiTheme="minorHAnsi"/>
          <w:color w:val="000000" w:themeColor="text1"/>
          <w:sz w:val="20"/>
          <w:szCs w:val="20"/>
        </w:rPr>
        <w:t>Patassini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Bellachioma</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Badole</w:t>
      </w:r>
      <w:proofErr w:type="spellEnd"/>
      <w:r>
        <w:rPr>
          <w:rFonts w:asciiTheme="minorHAnsi" w:hAnsiTheme="minorHAnsi"/>
          <w:color w:val="000000" w:themeColor="text1"/>
          <w:sz w:val="20"/>
          <w:szCs w:val="20"/>
        </w:rPr>
        <w:t xml:space="preserve">, Basini, Benvenuto, Caparvi, De Angelis, </w:t>
      </w:r>
      <w:proofErr w:type="spellStart"/>
      <w:r>
        <w:rPr>
          <w:rFonts w:asciiTheme="minorHAnsi" w:hAnsiTheme="minorHAnsi"/>
          <w:color w:val="000000" w:themeColor="text1"/>
          <w:sz w:val="20"/>
          <w:szCs w:val="20"/>
        </w:rPr>
        <w:t>Durigon</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Gerardi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Gobbato</w:t>
      </w:r>
      <w:proofErr w:type="spellEnd"/>
      <w:r>
        <w:rPr>
          <w:rFonts w:asciiTheme="minorHAnsi" w:hAnsiTheme="minorHAnsi"/>
          <w:color w:val="000000" w:themeColor="text1"/>
          <w:sz w:val="20"/>
          <w:szCs w:val="20"/>
        </w:rPr>
        <w:t xml:space="preserve">, Latini, Lucchini, Marchetti, Paolini, Parolo, Raffaelli, Saltamartini, Valbusa, </w:t>
      </w:r>
      <w:proofErr w:type="spellStart"/>
      <w:r>
        <w:rPr>
          <w:rFonts w:asciiTheme="minorHAnsi" w:hAnsiTheme="minorHAnsi"/>
          <w:color w:val="000000" w:themeColor="text1"/>
          <w:sz w:val="20"/>
          <w:szCs w:val="20"/>
        </w:rPr>
        <w:t>Vallotto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Zicchieri</w:t>
      </w:r>
      <w:proofErr w:type="spellEnd"/>
      <w:r>
        <w:rPr>
          <w:rFonts w:asciiTheme="minorHAnsi" w:hAnsiTheme="minorHAnsi"/>
          <w:color w:val="000000" w:themeColor="text1"/>
          <w:sz w:val="20"/>
          <w:szCs w:val="20"/>
        </w:rPr>
        <w:t xml:space="preserve">; 2. 10. (Nuova formulazione) Buratti,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Braga, Del Basso De Caro, Melilli,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w:t>
      </w:r>
    </w:p>
    <w:p w:rsidR="00C92D01" w:rsidRDefault="00C92D01" w:rsidP="00C92D01">
      <w:pPr>
        <w:pStyle w:val="Testonotaapidipagina"/>
      </w:pPr>
    </w:p>
  </w:footnote>
  <w:footnote w:id="5">
    <w:p w:rsidR="00C92D01" w:rsidRDefault="00C92D01" w:rsidP="00C92D01">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2. 1.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xml:space="preserve">; 2. 2.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2. 3. Gallinella,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4.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Muroni.</w:t>
      </w:r>
    </w:p>
    <w:p w:rsidR="00C92D01" w:rsidRDefault="00C92D01" w:rsidP="00C92D01">
      <w:pPr>
        <w:pStyle w:val="Testonotaapidipagina"/>
      </w:pPr>
    </w:p>
  </w:footnote>
  <w:footnote w:id="6">
    <w:p w:rsidR="00C92D01" w:rsidRDefault="00C92D01" w:rsidP="00C92D01">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16. (Ulteriore nuova formulazione) Muroni,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xml:space="preserve">; 2. 17. (Ulteriore nuova formulazione)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xml:space="preserve">; 2. 18. (Ulteriore nuova formulazione)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2. 19. (Ulteriore nuova formulazione)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20. D'Eramo, </w:t>
      </w:r>
      <w:proofErr w:type="spellStart"/>
      <w:r>
        <w:rPr>
          <w:rFonts w:asciiTheme="minorHAnsi" w:hAnsiTheme="minorHAnsi"/>
          <w:color w:val="000000" w:themeColor="text1"/>
          <w:sz w:val="20"/>
          <w:szCs w:val="20"/>
        </w:rPr>
        <w:t>Patassini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Bellachioma</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Badole</w:t>
      </w:r>
      <w:proofErr w:type="spellEnd"/>
      <w:r>
        <w:rPr>
          <w:rFonts w:asciiTheme="minorHAnsi" w:hAnsiTheme="minorHAnsi"/>
          <w:color w:val="000000" w:themeColor="text1"/>
          <w:sz w:val="20"/>
          <w:szCs w:val="20"/>
        </w:rPr>
        <w:t xml:space="preserve">, Basini, Benvenuto, Caparvi, De Angelis, </w:t>
      </w:r>
      <w:proofErr w:type="spellStart"/>
      <w:r>
        <w:rPr>
          <w:rFonts w:asciiTheme="minorHAnsi" w:hAnsiTheme="minorHAnsi"/>
          <w:color w:val="000000" w:themeColor="text1"/>
          <w:sz w:val="20"/>
          <w:szCs w:val="20"/>
        </w:rPr>
        <w:t>Durigon</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Gerardi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Gobbato</w:t>
      </w:r>
      <w:proofErr w:type="spellEnd"/>
      <w:r>
        <w:rPr>
          <w:rFonts w:asciiTheme="minorHAnsi" w:hAnsiTheme="minorHAnsi"/>
          <w:color w:val="000000" w:themeColor="text1"/>
          <w:sz w:val="20"/>
          <w:szCs w:val="20"/>
        </w:rPr>
        <w:t xml:space="preserve">, Latini, Lucchini, Marchetti, Paolini, Parolo, Raffaelli, Saltamartini, Valbusa, </w:t>
      </w:r>
      <w:proofErr w:type="spellStart"/>
      <w:r>
        <w:rPr>
          <w:rFonts w:asciiTheme="minorHAnsi" w:hAnsiTheme="minorHAnsi"/>
          <w:color w:val="000000" w:themeColor="text1"/>
          <w:sz w:val="20"/>
          <w:szCs w:val="20"/>
        </w:rPr>
        <w:t>Vallotto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Zicchieri</w:t>
      </w:r>
      <w:proofErr w:type="spellEnd"/>
      <w:r>
        <w:rPr>
          <w:rFonts w:asciiTheme="minorHAnsi" w:hAnsiTheme="minorHAnsi"/>
          <w:color w:val="000000" w:themeColor="text1"/>
          <w:sz w:val="20"/>
          <w:szCs w:val="20"/>
        </w:rPr>
        <w:t>.</w:t>
      </w:r>
    </w:p>
    <w:p w:rsidR="00C92D01" w:rsidRDefault="00C92D01" w:rsidP="00C92D01">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01"/>
    <w:rsid w:val="00C92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F7EA"/>
  <w15:chartTrackingRefBased/>
  <w15:docId w15:val="{3EB78823-9756-4A08-8BFF-CBF010CC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2D01"/>
    <w:pPr>
      <w:spacing w:after="200" w:line="276" w:lineRule="auto"/>
    </w:pPr>
    <w:rPr>
      <w:rFonts w:ascii="Calibri" w:eastAsia="Calibri" w:hAnsi="Calibri" w:cs="Calibri"/>
      <w:color w:val="878787"/>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92D0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stonotaapidipagina">
    <w:name w:val="footnote text"/>
    <w:basedOn w:val="Normale"/>
    <w:link w:val="TestonotaapidipaginaCarattere"/>
    <w:uiPriority w:val="99"/>
    <w:semiHidden/>
    <w:unhideWhenUsed/>
    <w:rsid w:val="00C92D0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92D01"/>
    <w:rPr>
      <w:rFonts w:ascii="Calibri" w:eastAsia="Calibri" w:hAnsi="Calibri" w:cs="Calibri"/>
      <w:color w:val="878787"/>
      <w:sz w:val="20"/>
      <w:szCs w:val="20"/>
      <w:lang w:eastAsia="it-IT"/>
    </w:rPr>
  </w:style>
  <w:style w:type="character" w:styleId="Rimandonotaapidipagina">
    <w:name w:val="footnote reference"/>
    <w:basedOn w:val="Carpredefinitoparagrafo"/>
    <w:uiPriority w:val="99"/>
    <w:semiHidden/>
    <w:unhideWhenUsed/>
    <w:rsid w:val="00C92D01"/>
    <w:rPr>
      <w:vertAlign w:val="superscript"/>
    </w:rPr>
  </w:style>
  <w:style w:type="paragraph" w:styleId="Intestazione">
    <w:name w:val="header"/>
    <w:basedOn w:val="Normale"/>
    <w:link w:val="IntestazioneCarattere"/>
    <w:uiPriority w:val="99"/>
    <w:unhideWhenUsed/>
    <w:rsid w:val="00C92D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2D01"/>
    <w:rPr>
      <w:rFonts w:ascii="Calibri" w:eastAsia="Calibri" w:hAnsi="Calibri" w:cs="Calibri"/>
      <w:color w:val="878787"/>
      <w:sz w:val="20"/>
      <w:szCs w:val="20"/>
      <w:lang w:eastAsia="it-IT"/>
    </w:rPr>
  </w:style>
  <w:style w:type="paragraph" w:styleId="Pidipagina">
    <w:name w:val="footer"/>
    <w:basedOn w:val="Normale"/>
    <w:link w:val="PidipaginaCarattere"/>
    <w:uiPriority w:val="99"/>
    <w:unhideWhenUsed/>
    <w:rsid w:val="00C92D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2D01"/>
    <w:rPr>
      <w:rFonts w:ascii="Calibri" w:eastAsia="Calibri" w:hAnsi="Calibri" w:cs="Calibri"/>
      <w:color w:val="878787"/>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10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2572</Words>
  <Characters>14665</Characters>
  <Application>Microsoft Office Word</Application>
  <DocSecurity>0</DocSecurity>
  <Lines>122</Lines>
  <Paragraphs>34</Paragraphs>
  <ScaleCrop>false</ScaleCrop>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Alessandrini</dc:creator>
  <cp:keywords/>
  <dc:description/>
  <cp:lastModifiedBy>Paolo Alessandrini</cp:lastModifiedBy>
  <cp:revision>1</cp:revision>
  <dcterms:created xsi:type="dcterms:W3CDTF">2019-11-20T11:03:00Z</dcterms:created>
  <dcterms:modified xsi:type="dcterms:W3CDTF">2019-11-20T11:16:00Z</dcterms:modified>
</cp:coreProperties>
</file>