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C0B" w:rsidRDefault="00B35C0B" w:rsidP="00B35C0B">
      <w:pPr>
        <w:shd w:val="clear" w:color="auto" w:fill="FFFFFF"/>
        <w:spacing w:after="75" w:line="240" w:lineRule="auto"/>
        <w:ind w:left="300"/>
        <w:jc w:val="center"/>
        <w:rPr>
          <w:rFonts w:asciiTheme="minorHAnsi" w:eastAsia="Times New Roman" w:hAnsiTheme="minorHAnsi" w:cs="Times New Roman"/>
          <w:bCs/>
          <w:iCs/>
          <w:color w:val="1F3864" w:themeColor="accent1" w:themeShade="80"/>
          <w:sz w:val="24"/>
          <w:szCs w:val="24"/>
        </w:rPr>
      </w:pPr>
    </w:p>
    <w:p w:rsidR="00B35C0B" w:rsidRDefault="00B35C0B" w:rsidP="00B35C0B">
      <w:pPr>
        <w:shd w:val="clear" w:color="auto" w:fill="FFFFFF"/>
        <w:spacing w:after="0" w:line="240" w:lineRule="auto"/>
        <w:jc w:val="center"/>
        <w:outlineLvl w:val="0"/>
        <w:rPr>
          <w:rFonts w:eastAsia="Times New Roman" w:cs="Times New Roman"/>
          <w:b/>
          <w:bCs/>
          <w:color w:val="000000"/>
          <w:kern w:val="36"/>
          <w:sz w:val="24"/>
          <w:szCs w:val="24"/>
        </w:rPr>
      </w:pPr>
      <w:r>
        <w:rPr>
          <w:rFonts w:eastAsia="Times New Roman" w:cs="Times New Roman"/>
          <w:b/>
          <w:bCs/>
          <w:color w:val="000000"/>
          <w:kern w:val="36"/>
          <w:sz w:val="24"/>
          <w:szCs w:val="24"/>
        </w:rPr>
        <w:t>C.2211</w:t>
      </w:r>
    </w:p>
    <w:p w:rsidR="00B35C0B" w:rsidRDefault="00B35C0B" w:rsidP="00B35C0B">
      <w:pPr>
        <w:shd w:val="clear" w:color="auto" w:fill="FFFFFF"/>
        <w:spacing w:after="0" w:line="240" w:lineRule="auto"/>
        <w:jc w:val="center"/>
        <w:outlineLvl w:val="0"/>
        <w:rPr>
          <w:rFonts w:eastAsia="Times New Roman" w:cs="Times New Roman"/>
          <w:b/>
          <w:bCs/>
          <w:color w:val="000000"/>
          <w:kern w:val="36"/>
          <w:sz w:val="24"/>
          <w:szCs w:val="24"/>
        </w:rPr>
      </w:pPr>
    </w:p>
    <w:p w:rsidR="00B35C0B" w:rsidRDefault="00B35C0B" w:rsidP="00B35C0B">
      <w:pPr>
        <w:shd w:val="clear" w:color="auto" w:fill="FFFFFF"/>
        <w:spacing w:after="0" w:line="240" w:lineRule="auto"/>
        <w:jc w:val="center"/>
        <w:outlineLvl w:val="0"/>
        <w:rPr>
          <w:rFonts w:eastAsia="Times New Roman" w:cs="Times New Roman"/>
          <w:b/>
          <w:bCs/>
          <w:color w:val="000000"/>
          <w:kern w:val="36"/>
          <w:sz w:val="24"/>
          <w:szCs w:val="24"/>
        </w:rPr>
      </w:pPr>
      <w:r>
        <w:rPr>
          <w:rFonts w:eastAsia="Times New Roman" w:cs="Times New Roman"/>
          <w:b/>
          <w:bCs/>
          <w:color w:val="000000"/>
          <w:kern w:val="36"/>
          <w:sz w:val="24"/>
          <w:szCs w:val="24"/>
        </w:rPr>
        <w:t>Conversione in legge del decreto-legge 24 ottobre 2019, n. 123, recante disposizioni urgenti per l'accelerazione e il completamento delle ricostruzioni in corso nei territori colpiti da eventi sismici</w:t>
      </w:r>
    </w:p>
    <w:p w:rsidR="00B35C0B" w:rsidRDefault="00B35C0B" w:rsidP="00B35C0B">
      <w:pPr>
        <w:shd w:val="clear" w:color="auto" w:fill="FFFFFF"/>
        <w:spacing w:after="0" w:line="240" w:lineRule="auto"/>
        <w:jc w:val="center"/>
        <w:outlineLvl w:val="0"/>
        <w:rPr>
          <w:rFonts w:eastAsia="Times New Roman" w:cs="Times New Roman"/>
          <w:b/>
          <w:bCs/>
          <w:color w:val="000000"/>
          <w:kern w:val="36"/>
          <w:sz w:val="24"/>
          <w:szCs w:val="24"/>
        </w:rPr>
      </w:pPr>
    </w:p>
    <w:p w:rsidR="00B35C0B" w:rsidRDefault="00B35C0B" w:rsidP="00B35C0B">
      <w:pPr>
        <w:shd w:val="clear" w:color="auto" w:fill="FFFFFF"/>
        <w:spacing w:after="0" w:line="240" w:lineRule="auto"/>
        <w:jc w:val="center"/>
        <w:outlineLvl w:val="0"/>
        <w:rPr>
          <w:rFonts w:eastAsia="Times New Roman" w:cs="Times New Roman"/>
          <w:b/>
          <w:bCs/>
          <w:color w:val="000000"/>
          <w:kern w:val="36"/>
          <w:sz w:val="24"/>
          <w:szCs w:val="24"/>
        </w:rPr>
      </w:pPr>
    </w:p>
    <w:p w:rsidR="00B35C0B" w:rsidRDefault="00B35C0B" w:rsidP="00B35C0B">
      <w:pPr>
        <w:shd w:val="clear" w:color="auto" w:fill="FFFFFF"/>
        <w:spacing w:after="0" w:line="240" w:lineRule="auto"/>
        <w:jc w:val="both"/>
        <w:outlineLvl w:val="0"/>
        <w:rPr>
          <w:rFonts w:eastAsia="Times New Roman" w:cs="Times New Roman"/>
          <w:bCs/>
          <w:i/>
          <w:color w:val="000000"/>
          <w:kern w:val="36"/>
          <w:sz w:val="24"/>
          <w:szCs w:val="24"/>
        </w:rPr>
      </w:pPr>
      <w:r>
        <w:rPr>
          <w:rFonts w:eastAsia="Times New Roman" w:cs="Times New Roman"/>
          <w:bCs/>
          <w:i/>
          <w:color w:val="000000"/>
          <w:kern w:val="36"/>
          <w:sz w:val="24"/>
          <w:szCs w:val="24"/>
        </w:rPr>
        <w:t xml:space="preserve">Nella </w:t>
      </w:r>
      <w:r>
        <w:rPr>
          <w:rFonts w:eastAsia="Times New Roman" w:cs="Times New Roman"/>
          <w:bCs/>
          <w:i/>
          <w:color w:val="000000"/>
          <w:kern w:val="36"/>
          <w:sz w:val="24"/>
          <w:szCs w:val="24"/>
        </w:rPr>
        <w:t xml:space="preserve">seduta del </w:t>
      </w:r>
      <w:r>
        <w:rPr>
          <w:rFonts w:eastAsia="Times New Roman" w:cs="Times New Roman"/>
          <w:bCs/>
          <w:i/>
          <w:color w:val="000000"/>
          <w:kern w:val="36"/>
          <w:sz w:val="24"/>
          <w:szCs w:val="24"/>
        </w:rPr>
        <w:t>20 novembre 2019, la Commissione Ambiente, riunita in sede referente, ha proseguito l’esame del provvedimento approvando alcuni emendamenti.</w:t>
      </w:r>
    </w:p>
    <w:p w:rsidR="00B35C0B" w:rsidRDefault="00B35C0B" w:rsidP="00B35C0B">
      <w:pPr>
        <w:shd w:val="clear" w:color="auto" w:fill="FFFFFF"/>
        <w:spacing w:after="0" w:line="240" w:lineRule="auto"/>
        <w:jc w:val="both"/>
        <w:outlineLvl w:val="0"/>
        <w:rPr>
          <w:rFonts w:eastAsia="Times New Roman" w:cs="Times New Roman"/>
          <w:bCs/>
          <w:i/>
          <w:color w:val="000000"/>
          <w:kern w:val="36"/>
          <w:sz w:val="24"/>
          <w:szCs w:val="24"/>
        </w:rPr>
      </w:pPr>
    </w:p>
    <w:p w:rsidR="00B35C0B" w:rsidRPr="00B35C0B" w:rsidRDefault="00B35C0B" w:rsidP="00B35C0B">
      <w:pPr>
        <w:shd w:val="clear" w:color="auto" w:fill="FFFFFF"/>
        <w:spacing w:after="120" w:line="240" w:lineRule="auto"/>
        <w:jc w:val="both"/>
        <w:rPr>
          <w:rFonts w:asciiTheme="minorHAnsi" w:eastAsia="Times New Roman" w:hAnsiTheme="minorHAnsi" w:cs="Times New Roman"/>
          <w:color w:val="000000"/>
          <w:sz w:val="24"/>
          <w:szCs w:val="24"/>
        </w:rPr>
      </w:pPr>
      <w:r w:rsidRPr="00B35C0B">
        <w:rPr>
          <w:rFonts w:asciiTheme="minorHAnsi" w:eastAsia="Times New Roman" w:hAnsiTheme="minorHAnsi" w:cs="Times New Roman"/>
          <w:color w:val="000000"/>
          <w:sz w:val="24"/>
          <w:szCs w:val="24"/>
        </w:rPr>
        <w:t xml:space="preserve">Le modifiche introdotte dagli emendamenti approvati si riportano in </w:t>
      </w:r>
      <w:r w:rsidRPr="00B35C0B">
        <w:rPr>
          <w:rFonts w:asciiTheme="minorHAnsi" w:eastAsia="Times New Roman" w:hAnsiTheme="minorHAnsi" w:cs="Times New Roman"/>
          <w:color w:val="000000"/>
          <w:sz w:val="24"/>
          <w:szCs w:val="24"/>
        </w:rPr>
        <w:t xml:space="preserve">carattere </w:t>
      </w:r>
      <w:r>
        <w:rPr>
          <w:rFonts w:asciiTheme="minorHAnsi" w:eastAsia="Times New Roman" w:hAnsiTheme="minorHAnsi" w:cs="Times New Roman"/>
          <w:b/>
          <w:bCs/>
          <w:color w:val="000000"/>
          <w:sz w:val="24"/>
          <w:szCs w:val="24"/>
        </w:rPr>
        <w:t>grassetto</w:t>
      </w:r>
      <w:r w:rsidRPr="00B35C0B">
        <w:rPr>
          <w:rFonts w:asciiTheme="minorHAnsi" w:eastAsia="Times New Roman" w:hAnsiTheme="minorHAnsi" w:cs="Times New Roman"/>
          <w:color w:val="000000"/>
          <w:sz w:val="24"/>
          <w:szCs w:val="24"/>
        </w:rPr>
        <w:t>, mentre le soppressioni (sostituzioni comprese) si riportano</w:t>
      </w:r>
      <w:r>
        <w:rPr>
          <w:rFonts w:asciiTheme="minorHAnsi" w:eastAsia="Times New Roman" w:hAnsiTheme="minorHAnsi" w:cs="Times New Roman"/>
          <w:b/>
          <w:bCs/>
          <w:color w:val="000000"/>
          <w:sz w:val="24"/>
          <w:szCs w:val="24"/>
        </w:rPr>
        <w:t xml:space="preserve"> </w:t>
      </w:r>
      <w:proofErr w:type="gramStart"/>
      <w:r>
        <w:rPr>
          <w:rFonts w:asciiTheme="minorHAnsi" w:eastAsia="Times New Roman" w:hAnsiTheme="minorHAnsi" w:cs="Times New Roman"/>
          <w:strike/>
          <w:color w:val="000000"/>
          <w:sz w:val="24"/>
          <w:szCs w:val="24"/>
          <w:shd w:val="clear" w:color="auto" w:fill="FFFB01"/>
        </w:rPr>
        <w:t>evidenziate</w:t>
      </w:r>
      <w:r>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w:t>
      </w:r>
      <w:proofErr w:type="gramEnd"/>
      <w:r>
        <w:rPr>
          <w:rFonts w:asciiTheme="minorHAnsi" w:eastAsia="Times New Roman" w:hAnsiTheme="minorHAnsi" w:cs="Times New Roman"/>
          <w:color w:val="000000"/>
          <w:sz w:val="24"/>
          <w:szCs w:val="24"/>
        </w:rPr>
        <w:t xml:space="preserve"> </w:t>
      </w:r>
      <w:r w:rsidRPr="00B35C0B">
        <w:rPr>
          <w:rFonts w:asciiTheme="minorHAnsi" w:eastAsia="Times New Roman" w:hAnsiTheme="minorHAnsi" w:cs="Times New Roman"/>
          <w:color w:val="000000"/>
          <w:sz w:val="24"/>
          <w:szCs w:val="24"/>
        </w:rPr>
        <w:t>A piè di pagina si riportano i riferimenti della proposta di modifica approvata.</w:t>
      </w:r>
    </w:p>
    <w:p w:rsidR="00B35C0B" w:rsidRDefault="00B35C0B" w:rsidP="00B35C0B">
      <w:pPr>
        <w:shd w:val="clear" w:color="auto" w:fill="FFFFFF"/>
        <w:spacing w:after="0" w:line="240" w:lineRule="auto"/>
        <w:jc w:val="both"/>
        <w:outlineLvl w:val="0"/>
        <w:rPr>
          <w:rFonts w:eastAsia="Times New Roman" w:cs="Times New Roman"/>
          <w:bCs/>
          <w:i/>
          <w:color w:val="000000"/>
          <w:kern w:val="36"/>
          <w:sz w:val="24"/>
          <w:szCs w:val="24"/>
        </w:rPr>
      </w:pPr>
    </w:p>
    <w:p w:rsidR="00B35C0B" w:rsidRPr="00B35C0B" w:rsidRDefault="00B35C0B" w:rsidP="00B35C0B">
      <w:pPr>
        <w:shd w:val="clear" w:color="auto" w:fill="FFFFFF"/>
        <w:spacing w:after="0" w:line="240" w:lineRule="auto"/>
        <w:jc w:val="center"/>
        <w:outlineLvl w:val="0"/>
        <w:rPr>
          <w:rFonts w:eastAsia="Times New Roman" w:cs="Times New Roman"/>
          <w:bCs/>
          <w:color w:val="000000"/>
          <w:kern w:val="36"/>
          <w:sz w:val="24"/>
          <w:szCs w:val="24"/>
        </w:rPr>
      </w:pPr>
      <w:r>
        <w:rPr>
          <w:rFonts w:eastAsia="Times New Roman" w:cs="Times New Roman"/>
          <w:bCs/>
          <w:color w:val="000000"/>
          <w:kern w:val="36"/>
          <w:sz w:val="24"/>
          <w:szCs w:val="24"/>
        </w:rPr>
        <w:t>Disegno di legge</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 1.</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È convertito in legge il decreto-legge 24 ottobre 2019, n. 123, recante disposizioni urgenti per l'accelerazione e il completamento delle ricostruzioni in corso nei territori colpiti da eventi sismici.</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2. La presente legge entra in vigore il giorno successivo a quello della sua pubblicazione nella Gazzetta Ufficiale.</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Decreto-legge 24 ottobre 2019, n. 123, pubblicato nella Gazzetta Ufficiale n. 250 del 24 ottobre 2019.</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Disposizioni urgenti per l'accelerazione e il completamento delle ricostruzioni in corso nei territori colpiti da eventi sismici.</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1.</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(Modifiche all'articolo 1 del decreto-legge 17 ottobre 2016, n. 189)</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1 del decreto-legge 17 ottobre 2016, n. 189, convertito, con modificazioni, dalla legge 15 dicembre 2016, n. 229, dopo il comma 4-ter è inserito il seguente:</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«4-quater. Lo stato di emergenza di cui al comma 4-bis è prorogato fino al 31 dicembre 2020. Con delibere del Consiglio dei ministri adottate ai sensi dell'articolo 24 del decreto legislativo 2 gennaio 2018, n. 1, si provvede all'assegnazione delle risorse per le conseguenti attività, nei limiti delle disponibilità del Fondo per le emergenze nazionali di cui all'articolo 44 del medesimo decreto legislativo n. 1 del 2018.».</w:t>
      </w:r>
    </w:p>
    <w:p w:rsidR="00B35C0B" w:rsidRDefault="00B35C0B" w:rsidP="00B35C0B">
      <w:pPr>
        <w:pStyle w:val="NormaleWeb"/>
        <w:shd w:val="clear" w:color="auto" w:fill="FFFFFF"/>
        <w:ind w:left="30"/>
        <w:jc w:val="center"/>
        <w:rPr>
          <w:rFonts w:asciiTheme="minorHAnsi" w:hAnsiTheme="minorHAnsi"/>
          <w:b/>
          <w:color w:val="000000" w:themeColor="text1"/>
        </w:rPr>
      </w:pPr>
    </w:p>
    <w:p w:rsidR="00B35C0B" w:rsidRDefault="00B35C0B" w:rsidP="00B35C0B">
      <w:pPr>
        <w:pStyle w:val="NormaleWeb"/>
        <w:shd w:val="clear" w:color="auto" w:fill="FFFFFF"/>
        <w:ind w:left="30"/>
        <w:jc w:val="center"/>
        <w:rPr>
          <w:rFonts w:asciiTheme="minorHAnsi" w:hAnsiTheme="minorHAnsi"/>
          <w:b/>
          <w:color w:val="000000" w:themeColor="text1"/>
        </w:rPr>
      </w:pPr>
      <w:r>
        <w:rPr>
          <w:rFonts w:asciiTheme="minorHAnsi" w:hAnsiTheme="minorHAnsi"/>
          <w:b/>
          <w:color w:val="000000" w:themeColor="text1"/>
        </w:rPr>
        <w:lastRenderedPageBreak/>
        <w:t>Art. 1-bis.</w:t>
      </w:r>
    </w:p>
    <w:p w:rsidR="00B35C0B" w:rsidRDefault="00B35C0B" w:rsidP="00B35C0B">
      <w:pPr>
        <w:pStyle w:val="NormaleWeb"/>
        <w:shd w:val="clear" w:color="auto" w:fill="FFFFFF"/>
        <w:ind w:left="30"/>
        <w:jc w:val="center"/>
        <w:rPr>
          <w:rFonts w:asciiTheme="minorHAnsi" w:hAnsiTheme="minorHAnsi"/>
          <w:b/>
          <w:color w:val="000000" w:themeColor="text1"/>
        </w:rPr>
      </w:pPr>
      <w:r>
        <w:rPr>
          <w:rFonts w:asciiTheme="minorHAnsi" w:hAnsiTheme="minorHAnsi"/>
          <w:b/>
          <w:color w:val="000000" w:themeColor="text1"/>
        </w:rPr>
        <w:t>(Modifica all'articolo 2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B35C0B" w:rsidRDefault="00B35C0B" w:rsidP="00B35C0B">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2, comma 2-bis, primo periodo,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sono aggiunte, in fine, le seguenti parole: «, utilizzando il criterio di aggiudicazione del prezzo più basso con le modalità previste dall'articolo 97, commi 2, 2-bis e 2-ter, del citato codice di cui al decreto legislativo n.</w:t>
      </w:r>
      <w:r>
        <w:rPr>
          <w:rFonts w:asciiTheme="minorHAnsi" w:hAnsiTheme="minorHAnsi"/>
          <w:b/>
          <w:color w:val="000000" w:themeColor="text1"/>
        </w:rPr>
        <w:t> </w:t>
      </w:r>
      <w:r>
        <w:rPr>
          <w:rFonts w:asciiTheme="minorHAnsi" w:hAnsiTheme="minorHAnsi"/>
          <w:b/>
          <w:color w:val="000000" w:themeColor="text1"/>
        </w:rPr>
        <w:t>50 del 2016.</w:t>
      </w:r>
      <w:r>
        <w:rPr>
          <w:rStyle w:val="Rimandonotaapidipagina"/>
          <w:rFonts w:asciiTheme="minorHAnsi" w:hAnsiTheme="minorHAnsi"/>
          <w:b/>
          <w:color w:val="000000" w:themeColor="text1"/>
        </w:rPr>
        <w:footnoteReference w:id="1"/>
      </w:r>
    </w:p>
    <w:p w:rsidR="00B35C0B" w:rsidRDefault="00B35C0B" w:rsidP="00B35C0B">
      <w:pPr>
        <w:pStyle w:val="NormaleWeb"/>
        <w:shd w:val="clear" w:color="auto" w:fill="FFFFFF"/>
        <w:ind w:left="30"/>
        <w:jc w:val="both"/>
        <w:rPr>
          <w:rFonts w:asciiTheme="minorHAnsi" w:hAnsiTheme="minorHAnsi"/>
          <w:b/>
          <w:color w:val="000000" w:themeColor="text1"/>
        </w:rPr>
      </w:pPr>
    </w:p>
    <w:p w:rsidR="00B35C0B" w:rsidRDefault="00B35C0B" w:rsidP="00B35C0B">
      <w:pPr>
        <w:pStyle w:val="NormaleWeb"/>
        <w:shd w:val="clear" w:color="auto" w:fill="FFFFFF"/>
        <w:ind w:left="30"/>
        <w:jc w:val="center"/>
        <w:rPr>
          <w:rFonts w:asciiTheme="minorHAnsi" w:hAnsiTheme="minorHAnsi"/>
          <w:b/>
          <w:color w:val="000000" w:themeColor="text1"/>
        </w:rPr>
      </w:pPr>
      <w:r>
        <w:rPr>
          <w:rFonts w:asciiTheme="minorHAnsi" w:hAnsiTheme="minorHAnsi"/>
          <w:b/>
          <w:color w:val="000000" w:themeColor="text1"/>
        </w:rPr>
        <w:t>Art. 1-bis.</w:t>
      </w:r>
    </w:p>
    <w:p w:rsidR="00B35C0B" w:rsidRDefault="00B35C0B" w:rsidP="00B35C0B">
      <w:pPr>
        <w:pStyle w:val="NormaleWeb"/>
        <w:shd w:val="clear" w:color="auto" w:fill="FFFFFF"/>
        <w:ind w:left="30"/>
        <w:jc w:val="center"/>
        <w:rPr>
          <w:rFonts w:asciiTheme="minorHAnsi" w:hAnsiTheme="minorHAnsi"/>
          <w:b/>
          <w:color w:val="000000" w:themeColor="text1"/>
        </w:rPr>
      </w:pPr>
      <w:r>
        <w:rPr>
          <w:rFonts w:asciiTheme="minorHAnsi" w:hAnsiTheme="minorHAnsi"/>
          <w:b/>
          <w:color w:val="000000" w:themeColor="text1"/>
        </w:rPr>
        <w:t>(Modifiche all'articolo 3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B35C0B" w:rsidRDefault="00B35C0B" w:rsidP="00B35C0B">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3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dopo il comma 1-quater è inserito il seguente:</w:t>
      </w:r>
    </w:p>
    <w:p w:rsidR="00B35C0B" w:rsidRDefault="00B35C0B" w:rsidP="00B35C0B">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«1-quinquies. Per le finalità di cui al comma 1, l'Ufficio speciale per la ricostruzione può avvalersi di personale di società in house della regione per acquisire supporto specialistico all'esecuzione delle attività tecniche e amministrative, attraverso convenzioni non onerose e comunque in conformità alla normativa europea, nazionale e regionale di riferimento».</w:t>
      </w:r>
      <w:r>
        <w:rPr>
          <w:rStyle w:val="Rimandonotaapidipagina"/>
          <w:rFonts w:asciiTheme="minorHAnsi" w:hAnsiTheme="minorHAnsi"/>
          <w:b/>
          <w:color w:val="000000" w:themeColor="text1"/>
        </w:rPr>
        <w:footnoteReference w:id="2"/>
      </w: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2.</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(Modifiche agli articoli 6 e 14 del decreto-legge 17 ottobre 2016, n. 189)</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6 del decreto-legge 17 ottobre 2016, n. 189, convertito, con modificazioni, dalla legge 15 dicembre 2016, n. 229, sono apportate le seguenti modificazioni:</w:t>
      </w:r>
    </w:p>
    <w:p w:rsidR="00B35C0B" w:rsidRDefault="00B35C0B" w:rsidP="00B35C0B">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lastRenderedPageBreak/>
        <w:t>0a) al comma 2, lettera a), dopo le parole: «pubblicato nella Gazzetta Ufficiale n.</w:t>
      </w:r>
      <w:r>
        <w:rPr>
          <w:rFonts w:asciiTheme="minorHAnsi" w:hAnsiTheme="minorHAnsi"/>
          <w:b/>
          <w:color w:val="000000" w:themeColor="text1"/>
        </w:rPr>
        <w:t> </w:t>
      </w:r>
      <w:r>
        <w:rPr>
          <w:rFonts w:asciiTheme="minorHAnsi" w:hAnsiTheme="minorHAnsi"/>
          <w:b/>
          <w:color w:val="000000" w:themeColor="text1"/>
        </w:rPr>
        <w:t>113 del 17 maggio 2011» sono inserite le seguenti: «e del decreto del Presidente del Consiglio dei ministri del 14 gennaio 2015, pubblicato nella Gazzetta Ufficiale n.</w:t>
      </w:r>
      <w:r>
        <w:rPr>
          <w:rFonts w:asciiTheme="minorHAnsi" w:hAnsiTheme="minorHAnsi"/>
          <w:b/>
          <w:color w:val="000000" w:themeColor="text1"/>
        </w:rPr>
        <w:t> </w:t>
      </w:r>
      <w:r>
        <w:rPr>
          <w:rFonts w:asciiTheme="minorHAnsi" w:hAnsiTheme="minorHAnsi"/>
          <w:b/>
          <w:color w:val="000000" w:themeColor="text1"/>
        </w:rPr>
        <w:t>61 del 14 marzo 2015»;</w:t>
      </w:r>
    </w:p>
    <w:p w:rsidR="00B35C0B" w:rsidRDefault="00B35C0B" w:rsidP="00B35C0B">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0a-bis) al comma 2, lettera b), dopo le parole: «decreto del Presidente del Consiglio dei ministri del 5 maggio 2011» sono inserite le seguenti: «e del decreto del Presidente del Consiglio dei ministri del 14 gennaio 2015, pubblicato nella Gazzetta Ufficiale n.</w:t>
      </w:r>
      <w:r>
        <w:rPr>
          <w:rFonts w:asciiTheme="minorHAnsi" w:hAnsiTheme="minorHAnsi"/>
          <w:b/>
          <w:color w:val="000000" w:themeColor="text1"/>
        </w:rPr>
        <w:t> </w:t>
      </w:r>
      <w:r>
        <w:rPr>
          <w:rFonts w:asciiTheme="minorHAnsi" w:hAnsiTheme="minorHAnsi"/>
          <w:b/>
          <w:color w:val="000000" w:themeColor="text1"/>
        </w:rPr>
        <w:t>61 del 14 marzo 2015»;</w:t>
      </w:r>
    </w:p>
    <w:p w:rsidR="00B35C0B" w:rsidRDefault="00B35C0B" w:rsidP="00B35C0B">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0a-ter) al comma 2, lettera c), dopo le parole: «decreto del Presidente del Consiglio dei ministri del 5 maggio 2011» sono inserite le seguenti: «e del decreto del Presidente del Consiglio dei ministri del 14 gennaio 2015, pubblicato nella Gazzetta Ufficiale n.</w:t>
      </w:r>
      <w:r>
        <w:rPr>
          <w:rFonts w:asciiTheme="minorHAnsi" w:hAnsiTheme="minorHAnsi"/>
          <w:b/>
          <w:color w:val="000000" w:themeColor="text1"/>
        </w:rPr>
        <w:t> </w:t>
      </w:r>
      <w:r>
        <w:rPr>
          <w:rFonts w:asciiTheme="minorHAnsi" w:hAnsiTheme="minorHAnsi"/>
          <w:b/>
          <w:color w:val="000000" w:themeColor="text1"/>
        </w:rPr>
        <w:t>61 del 14 marzo 2015»;</w:t>
      </w:r>
      <w:r>
        <w:rPr>
          <w:rStyle w:val="Rimandonotaapidipagina"/>
          <w:rFonts w:asciiTheme="minorHAnsi" w:hAnsiTheme="minorHAnsi"/>
          <w:b/>
          <w:color w:val="000000" w:themeColor="text1"/>
        </w:rPr>
        <w:footnoteReference w:id="3"/>
      </w:r>
    </w:p>
    <w:p w:rsidR="00B35C0B" w:rsidRDefault="00B35C0B" w:rsidP="00B35C0B">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0a) dopo il comma 2-bis è inserito il seguente:</w:t>
      </w:r>
    </w:p>
    <w:p w:rsidR="00B35C0B" w:rsidRDefault="00B35C0B" w:rsidP="00B35C0B">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«2-ter. Nel caso in cui sul medesimo bene immobile insistano più proprietari o soggetti titolati ai sensi del comma 2, lettere a), b), c), d) ed e), la domanda di concessione dei contributi può essere presentata anche solo da uno dei comproprietari o dei soggetti titolati suddetti con modalità disciplinate ai sensi dell'articolo 2, comma 2. Resta a carico del comproprietario o altro soggetto titolato che presenta la pratica per la concessione del contributo l'obbligo di dimostrare di aver avvisato gli altri proprietari o soggetti titolati a mezzo di raccomandata con ricevuta di ritorno o a mezzo di posta elettronica certificata».</w:t>
      </w:r>
      <w:r>
        <w:rPr>
          <w:rStyle w:val="Rimandonotaapidipagina"/>
          <w:rFonts w:asciiTheme="minorHAnsi" w:hAnsiTheme="minorHAnsi"/>
          <w:b/>
          <w:color w:val="000000" w:themeColor="text1"/>
        </w:rPr>
        <w:footnoteReference w:id="4"/>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al comma 7, è aggiunto, in fine, il seguente periodo: «I provvedimenti di cui al primo periodo prevedono una maggiorazione del contributo per gli interventi relativi a murature portanti di elevato spessore e di bassa capacità strutturale</w:t>
      </w:r>
      <w:r>
        <w:rPr>
          <w:rFonts w:asciiTheme="minorHAnsi" w:hAnsiTheme="minorHAnsi"/>
          <w:b/>
          <w:color w:val="000000" w:themeColor="text1"/>
        </w:rPr>
        <w:t xml:space="preserve"> e a strutture in calcestruzzo armato, qualora le caratteristiche di resistenza del calcestruzzo risultino scadenti a seguito di indagini che ne certifichino le caratteristiche meccaniche</w:t>
      </w:r>
      <w:r>
        <w:rPr>
          <w:rFonts w:asciiTheme="minorHAnsi" w:hAnsiTheme="minorHAnsi"/>
          <w:color w:val="000000" w:themeColor="text1"/>
        </w:rPr>
        <w:t>.</w:t>
      </w:r>
      <w:r>
        <w:rPr>
          <w:rStyle w:val="Rimandonotaapidipagina"/>
          <w:rFonts w:asciiTheme="minorHAnsi" w:hAnsiTheme="minorHAnsi"/>
          <w:color w:val="000000" w:themeColor="text1"/>
        </w:rPr>
        <w:footnoteReference w:id="5"/>
      </w:r>
      <w:r>
        <w:rPr>
          <w:rFonts w:asciiTheme="minorHAnsi" w:hAnsiTheme="minorHAnsi"/>
          <w:b/>
          <w:color w:val="000000" w:themeColor="text1"/>
        </w:rPr>
        <w:t xml:space="preserve"> Nel caso di ricostruzione totale di edifici in muratura </w:t>
      </w:r>
      <w:r>
        <w:rPr>
          <w:rFonts w:asciiTheme="minorHAnsi" w:hAnsiTheme="minorHAnsi"/>
          <w:b/>
          <w:color w:val="000000" w:themeColor="text1"/>
        </w:rPr>
        <w:lastRenderedPageBreak/>
        <w:t>portante, con spessore medio delle pareti portanti maggiore di 30 cm, le superfici utili sono determinate considerando le pareti portanti di spessore pari a 30 cm.</w:t>
      </w:r>
      <w:r>
        <w:rPr>
          <w:rStyle w:val="Rimandonotaapidipagina"/>
          <w:rFonts w:asciiTheme="minorHAnsi" w:hAnsiTheme="minorHAnsi"/>
          <w:b/>
          <w:color w:val="000000" w:themeColor="text1"/>
        </w:rPr>
        <w:footnoteReference w:id="6"/>
      </w:r>
      <w:r>
        <w:rPr>
          <w:rFonts w:asciiTheme="minorHAnsi" w:hAnsiTheme="minorHAnsi"/>
          <w:color w:val="000000" w:themeColor="text1"/>
        </w:rPr>
        <w:t>»;</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i commi 10-bis e 10-quater sono abrogati.</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b/>
          <w:color w:val="000000" w:themeColor="text1"/>
        </w:rPr>
        <w:t>1-bis. All'articolo 14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al comma 1, lettera a-bis), le parole: «31 dicembre 2018» sono sostituite dalle seguenti: «31 dicembre 2020».</w:t>
      </w:r>
      <w:r>
        <w:rPr>
          <w:rStyle w:val="Rimandonotaapidipagina"/>
          <w:rFonts w:asciiTheme="minorHAnsi" w:hAnsiTheme="minorHAnsi"/>
          <w:b/>
          <w:color w:val="000000" w:themeColor="text1"/>
        </w:rPr>
        <w:footnoteReference w:id="7"/>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xml:space="preserve">2. All'articolo 14 del decreto-legge 17 ottobre 2016, n. 189, convertito, con modificazioni, dalla legge 15 dicembre 2016, n. 229, dopo il comma 3 è inserito il seguente: «3.1. Tra gli interventi sul patrimonio pubblico disposti dal commissario straordinario del Governo è data priorità a quelli concernenti la ricostruzione di edifici scolastici. Detti edifici, se ubicati nei centri storici, sono ripristinati o ricostruiti nel medesimo sito, salvo che per ragioni oggettive la ricostruzione in situ non sia possibile. In ogni caso, la destinazione urbanistica delle aree a ciò destinate </w:t>
      </w:r>
      <w:r>
        <w:rPr>
          <w:rFonts w:asciiTheme="minorHAnsi" w:hAnsiTheme="minorHAnsi"/>
          <w:strike/>
          <w:color w:val="000000" w:themeColor="text1"/>
          <w:highlight w:val="yellow"/>
        </w:rPr>
        <w:t>non può essere mutata</w:t>
      </w:r>
      <w:r>
        <w:rPr>
          <w:rFonts w:asciiTheme="minorHAnsi" w:hAnsiTheme="minorHAnsi"/>
          <w:color w:val="000000" w:themeColor="text1"/>
        </w:rPr>
        <w:t xml:space="preserve"> </w:t>
      </w:r>
      <w:r>
        <w:rPr>
          <w:rFonts w:asciiTheme="minorHAnsi" w:hAnsiTheme="minorHAnsi"/>
          <w:b/>
          <w:color w:val="000000" w:themeColor="text1"/>
        </w:rPr>
        <w:t>deve rimanere ad uso pubblico o comunque di pubblica utilità</w:t>
      </w:r>
      <w:r>
        <w:rPr>
          <w:rStyle w:val="Rimandonotaapidipagina"/>
          <w:rFonts w:asciiTheme="minorHAnsi" w:hAnsiTheme="minorHAnsi"/>
          <w:b/>
          <w:color w:val="000000" w:themeColor="text1"/>
        </w:rPr>
        <w:footnoteReference w:id="8"/>
      </w:r>
      <w:r>
        <w:rPr>
          <w:rFonts w:asciiTheme="minorHAnsi" w:hAnsiTheme="minorHAnsi"/>
          <w:color w:val="000000" w:themeColor="text1"/>
        </w:rPr>
        <w:t>.».</w:t>
      </w:r>
    </w:p>
    <w:p w:rsidR="00B35C0B" w:rsidRDefault="00B35C0B" w:rsidP="00B35C0B">
      <w:pPr>
        <w:pStyle w:val="NormaleWeb"/>
        <w:shd w:val="clear" w:color="auto" w:fill="FFFFFF"/>
        <w:jc w:val="both"/>
        <w:rPr>
          <w:rFonts w:asciiTheme="minorHAnsi" w:hAnsiTheme="minorHAnsi"/>
          <w:color w:val="000000" w:themeColor="text1"/>
        </w:rPr>
      </w:pPr>
      <w:r>
        <w:rPr>
          <w:rFonts w:asciiTheme="minorHAnsi" w:hAnsiTheme="minorHAnsi"/>
          <w:b/>
          <w:color w:val="000000" w:themeColor="text1"/>
        </w:rPr>
        <w:lastRenderedPageBreak/>
        <w:t>2-bis. All'articolo 14, comma 3-ter,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le parole: «31 dicembre 2018» sono sostituite dalle seguenti: «31 dicembre 2020».</w:t>
      </w:r>
      <w:r>
        <w:rPr>
          <w:rStyle w:val="Rimandonotaapidipagina"/>
          <w:rFonts w:asciiTheme="minorHAnsi" w:hAnsiTheme="minorHAnsi"/>
          <w:b/>
          <w:color w:val="000000" w:themeColor="text1"/>
        </w:rPr>
        <w:footnoteReference w:id="9"/>
      </w: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2-bis.</w:t>
      </w: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(Modifica all'articolo 8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8, comma 4,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dopo il secondo periodo è inserito il seguente: «Il Commissario straordinario può disporre un ulteriore differimento del termine di cui al periodo precedente al 31 marzo 2020».</w:t>
      </w:r>
      <w:r>
        <w:rPr>
          <w:rStyle w:val="Rimandonotaapidipagina"/>
          <w:rFonts w:asciiTheme="minorHAnsi" w:hAnsiTheme="minorHAnsi"/>
          <w:b/>
          <w:color w:val="000000" w:themeColor="text1"/>
        </w:rPr>
        <w:footnoteReference w:id="10"/>
      </w:r>
    </w:p>
    <w:p w:rsidR="00B35C0B" w:rsidRDefault="00B35C0B" w:rsidP="00B35C0B">
      <w:pPr>
        <w:pStyle w:val="NormaleWeb"/>
        <w:shd w:val="clear" w:color="auto" w:fill="FFFFFF"/>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xml:space="preserve"> </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3.</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(Introduzione dell'articolo 12-bis nel decreto-legge 17 ottobre 2016, n. 189)</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Dopo l'articolo 12 del decreto-legge 17 ottobre 2016, n. 189, convertito, con modificazioni, dalla legge 15 dicembre 2016, n. 229, è inserito il seguente:</w:t>
      </w:r>
    </w:p>
    <w:p w:rsidR="00B35C0B" w:rsidRDefault="00B35C0B" w:rsidP="00B35C0B">
      <w:pPr>
        <w:pStyle w:val="NormaleWeb"/>
        <w:shd w:val="clear" w:color="auto" w:fill="FFFFFF"/>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xml:space="preserve">«Articolo 12-bis. – (Semplificazione e accelerazione della ricostruzione privata). – 1. Qualora gli interventi di riparazione, ripristino e ricostruzione degli immobili privati rientrino nei limiti di importo definiti con i provvedimenti di cui all'articolo 2, comma 2, gli Uffici speciali per la ricostruzione, previa verifica della legittimazione del soggetto richiedente al momento della presentazione della domanda di contributo, adottano il provvedimento di concessione del contributo in deroga alla disciplina prevista dall'articolo 12 e con le modalità procedimentali stabilite con i medesimi provvedimenti di cui all'articolo 2, comma 2. La concessione avviene sulla base del progetto e della documentazione allegata alla domanda di contributo presentata dal professionista, che ne certifica la completezza e la regolarità amministrativa e tecnica, compresa la conformità edilizia e urbanistica, nonché sulla base dell'importo del contributo concedibile determinato dallo stesso professionista nei limiti del costo ammissibile, individuato con le modalità stabilite con le ordinanze di cui all'articolo 2, comma 2. Se gli interventi necessitano dell'acquisizione di pareri ambientali, paesaggistici, di tutela dei beni culturali o di quelli ricompresi nelle aree dei parchi </w:t>
      </w:r>
      <w:r>
        <w:rPr>
          <w:rFonts w:asciiTheme="minorHAnsi" w:hAnsiTheme="minorHAnsi"/>
          <w:color w:val="000000" w:themeColor="text1"/>
        </w:rPr>
        <w:lastRenderedPageBreak/>
        <w:t>nazionali o delle aree protette regionali, il professionista, nella domanda di contributo, chiede la convocazione della Conferenza regionale di cui all'articolo 16, commi 4 e 5. La Conferenza regionale è convocata dall'Ufficio Speciale per la ricostruzione, oltre che in esito alla predetta richiesta, anche al fine di acquisire</w:t>
      </w:r>
      <w:r>
        <w:rPr>
          <w:rFonts w:asciiTheme="minorHAnsi" w:hAnsiTheme="minorHAnsi"/>
          <w:b/>
          <w:color w:val="000000" w:themeColor="text1"/>
        </w:rPr>
        <w:t>, nel caso della mancata richiesta di convocazione di detta Conferenza da parte del professionista ai sensi del precedente periodo, i pareri ambientali e paesaggistici, ove occorrano per gli interventi riguardanti aree o beni tutelati ai sensi del codice dei beni culturali e del paesaggio, di cui al decreto legislativo 22 gennaio 2004, n.</w:t>
      </w:r>
      <w:r>
        <w:rPr>
          <w:rFonts w:asciiTheme="minorHAnsi" w:hAnsiTheme="minorHAnsi"/>
          <w:b/>
          <w:color w:val="000000" w:themeColor="text1"/>
        </w:rPr>
        <w:t> </w:t>
      </w:r>
      <w:r>
        <w:rPr>
          <w:rFonts w:asciiTheme="minorHAnsi" w:hAnsiTheme="minorHAnsi"/>
          <w:b/>
          <w:color w:val="000000" w:themeColor="text1"/>
        </w:rPr>
        <w:t>42, o compresi nelle aree dei parchi nazionali o delle aree protette regionali, e</w:t>
      </w:r>
      <w:r>
        <w:rPr>
          <w:rStyle w:val="Rimandonotaapidipagina"/>
          <w:rFonts w:asciiTheme="minorHAnsi" w:hAnsiTheme="minorHAnsi"/>
          <w:b/>
          <w:color w:val="000000" w:themeColor="text1"/>
        </w:rPr>
        <w:footnoteReference w:id="11"/>
      </w:r>
      <w:r>
        <w:rPr>
          <w:rFonts w:asciiTheme="minorHAnsi" w:hAnsiTheme="minorHAnsi"/>
          <w:color w:val="000000" w:themeColor="text1"/>
        </w:rPr>
        <w:t xml:space="preserve"> l'autorizzazione sismica nonché, ove occorra, i pareri degli enti competenti al fine del rilascio del permesso a costruire o del titolo unico ai sensi del decreto del Presidente della Repubblica 7 settembre 2010, n. 160, e comunque nei casi di cui all'articolo 1-sexies, comma 6, del decreto-legge 29 maggio 2018, n. 55, convertito, con modificazioni, dalla legge 24 luglio 2018, n. 89.</w:t>
      </w:r>
    </w:p>
    <w:p w:rsidR="00B35C0B" w:rsidRDefault="00B35C0B" w:rsidP="00B35C0B">
      <w:pPr>
        <w:pStyle w:val="NormaleWeb"/>
        <w:shd w:val="clear" w:color="auto" w:fill="FFFFFF"/>
        <w:ind w:left="30"/>
        <w:jc w:val="both"/>
        <w:rPr>
          <w:rFonts w:asciiTheme="minorHAnsi" w:hAnsiTheme="minorHAnsi"/>
          <w:strike/>
          <w:color w:val="000000" w:themeColor="text1"/>
          <w:highlight w:val="yellow"/>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strike/>
          <w:color w:val="000000" w:themeColor="text1"/>
          <w:highlight w:val="yellow"/>
        </w:rPr>
        <w:t>2. Gli uffici speciali per la ricostruzione provvedono alla concessione del contributo relativo agli interventi di cui al comma 1, secondo il seguente ordine di priorità:</w:t>
      </w:r>
    </w:p>
    <w:p w:rsidR="00B35C0B" w:rsidRDefault="00B35C0B" w:rsidP="00B35C0B">
      <w:pPr>
        <w:pStyle w:val="NormaleWeb"/>
        <w:shd w:val="clear" w:color="auto" w:fill="FFFFFF"/>
        <w:ind w:left="30"/>
        <w:jc w:val="both"/>
        <w:rPr>
          <w:rFonts w:asciiTheme="minorHAnsi" w:hAnsiTheme="minorHAnsi"/>
          <w:strike/>
          <w:color w:val="000000" w:themeColor="text1"/>
          <w:highlight w:val="yellow"/>
        </w:rPr>
      </w:pP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a) richieste di contributo relative a unità strutturali in cui sono ricomprese unità immobiliari destinate ad abitazione principale, anche se adibite a residenza anagrafica del conduttore, del comodatario o dell'assegnatario ai sensi dell'articolo 6, comma 2, lettere a) e b), per le quali i soggetti ivi residenti al momento del sisma beneficiano della provvidenza dell'autonoma sistemazione;</w:t>
      </w:r>
    </w:p>
    <w:p w:rsidR="00B35C0B" w:rsidRDefault="00B35C0B" w:rsidP="00B35C0B">
      <w:pPr>
        <w:pStyle w:val="NormaleWeb"/>
        <w:shd w:val="clear" w:color="auto" w:fill="FFFFFF"/>
        <w:ind w:left="30"/>
        <w:jc w:val="both"/>
        <w:rPr>
          <w:rFonts w:asciiTheme="minorHAnsi" w:hAnsiTheme="minorHAnsi"/>
          <w:strike/>
          <w:color w:val="000000" w:themeColor="text1"/>
          <w:highlight w:val="yellow"/>
        </w:rPr>
      </w:pP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b) richieste di contributo relative a unità strutturali in cui sono ricomprese unità immobiliari destinate ad abitazione principale, anche se adibite a residenza anagrafica del conduttore, del comodatario o dell'assegnatario ai sensi dell'articolo 6, comma 2, lettere a) e b), diverse da quelle di cui alla lettera a);</w:t>
      </w:r>
    </w:p>
    <w:p w:rsidR="00B35C0B" w:rsidRDefault="00B35C0B" w:rsidP="00B35C0B">
      <w:pPr>
        <w:pStyle w:val="NormaleWeb"/>
        <w:shd w:val="clear" w:color="auto" w:fill="FFFFFF"/>
        <w:ind w:left="30"/>
        <w:jc w:val="both"/>
        <w:rPr>
          <w:rFonts w:asciiTheme="minorHAnsi" w:hAnsiTheme="minorHAnsi"/>
          <w:strike/>
          <w:color w:val="000000" w:themeColor="text1"/>
          <w:highlight w:val="yellow"/>
        </w:rPr>
      </w:pP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c) richieste di contributo relative ad attività produttive in esercizio al momento del sisma che non hanno presentato la domanda di delocalizzazione temporanea;</w:t>
      </w:r>
    </w:p>
    <w:p w:rsidR="00B35C0B" w:rsidRDefault="00B35C0B" w:rsidP="00B35C0B">
      <w:pPr>
        <w:pStyle w:val="NormaleWeb"/>
        <w:shd w:val="clear" w:color="auto" w:fill="FFFFFF"/>
        <w:ind w:left="30"/>
        <w:jc w:val="both"/>
        <w:rPr>
          <w:rFonts w:asciiTheme="minorHAnsi" w:hAnsiTheme="minorHAnsi"/>
          <w:strike/>
          <w:color w:val="000000" w:themeColor="text1"/>
          <w:highlight w:val="yellow"/>
        </w:rPr>
      </w:pPr>
    </w:p>
    <w:p w:rsidR="00B35C0B" w:rsidRDefault="00B35C0B" w:rsidP="00B35C0B">
      <w:pPr>
        <w:pStyle w:val="NormaleWeb"/>
        <w:shd w:val="clear" w:color="auto" w:fill="FFFFFF"/>
        <w:ind w:left="30"/>
        <w:jc w:val="both"/>
        <w:rPr>
          <w:rFonts w:asciiTheme="minorHAnsi" w:hAnsiTheme="minorHAnsi"/>
          <w:strike/>
          <w:color w:val="000000" w:themeColor="text1"/>
        </w:rPr>
      </w:pP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d) richieste di contributo relative ad unità strutturali in cui sono ricomprese unità immobiliari destinate ad abitazione o ad attività produttive in esercizio diverse da quelle di cui alle lettere a), b) e c).</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2. Gli uffici speciali per la ricostruzione provvedono a definire elenchi separati delle richieste di contributo relative a unità strutturali in cui sono comprese unità immobiliari destinate ad abitazione, denominato «elenco A», e richieste di contributo relative a unità strutturali destinate ad attività produttive, denominato «elenco B». Il contributo relativo agli interventi di cui al comma 1 è concesso secondo il seguente ordine di priorità:</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a) con riferimento all'elenco A:</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lastRenderedPageBreak/>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richieste di contributo relative a unità strutturali in cui sono comprese unità immobiliari destinate ad abitazione principale, anche se adibite a residenza anagrafica del conduttore, del comodatario o dell'assegnatario ai sensi dell'articolo 6, comma 2, lettere a) e b), per le quali i soggetti ivi residenti al momento del sisma beneficiano della provvidenza dell'autonoma sistemazione;</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2) richieste di contributo relative a unità strutturali in cui sono comprese unità immobiliari destinate ad abitazione principale, anche se adibite a residenza anagrafica del conduttore, del comodatario o dell'assegnatario ai sensi dell'articolo 6, comma 2, lettere a) e b), diverse da quelle di cui al numero 1);</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3) richieste di contributo relative ad unità strutturali in cui sono comprese unità immobiliari destinate ad abitazione diverse da quelle di cui ai numeri 1) e 2);</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b) con riferimento all'elenco B:</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richieste di contributo relative ad attività produttive in esercizio al momento del sisma per le quali non è stata presentata la domanda di delocalizzazione temporanea;</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2) richieste di contributo relative ad unità strutturali in cui sono comprese unità immobiliari destinate ad attività produttive in esercizio diverse da quelle di cui al numero 1).</w:t>
      </w:r>
      <w:r>
        <w:rPr>
          <w:rStyle w:val="Rimandonotaapidipagina"/>
          <w:rFonts w:asciiTheme="minorHAnsi" w:hAnsiTheme="minorHAnsi"/>
          <w:b/>
          <w:color w:val="000000" w:themeColor="text1"/>
        </w:rPr>
        <w:footnoteReference w:id="12"/>
      </w:r>
    </w:p>
    <w:p w:rsidR="00B35C0B" w:rsidRDefault="00B35C0B" w:rsidP="00B35C0B">
      <w:pPr>
        <w:pStyle w:val="NormaleWeb"/>
        <w:shd w:val="clear" w:color="auto" w:fill="FFFFFF"/>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xml:space="preserve">3. Gli uffici speciali per la ricostruzione, sulla base dei provvedimenti di cui all'articolo 2, comma 2, provvedono con cadenza mensile a verifiche a campione </w:t>
      </w:r>
      <w:r>
        <w:rPr>
          <w:rFonts w:asciiTheme="minorHAnsi" w:hAnsiTheme="minorHAnsi"/>
          <w:strike/>
          <w:color w:val="000000" w:themeColor="text1"/>
          <w:highlight w:val="yellow"/>
        </w:rPr>
        <w:t>almeno sul 20 per cento</w:t>
      </w:r>
      <w:r>
        <w:rPr>
          <w:rFonts w:asciiTheme="minorHAnsi" w:hAnsiTheme="minorHAnsi"/>
          <w:b/>
          <w:color w:val="000000" w:themeColor="text1"/>
        </w:rPr>
        <w:t>, mediante sorteggio, in misura pari ad almeno il 20 per cento</w:t>
      </w:r>
      <w:r>
        <w:rPr>
          <w:rStyle w:val="Rimandonotaapidipagina"/>
          <w:rFonts w:asciiTheme="minorHAnsi" w:hAnsiTheme="minorHAnsi"/>
          <w:b/>
          <w:color w:val="000000" w:themeColor="text1"/>
        </w:rPr>
        <w:footnoteReference w:id="13"/>
      </w:r>
      <w:r>
        <w:rPr>
          <w:rFonts w:asciiTheme="minorHAnsi" w:hAnsiTheme="minorHAnsi"/>
          <w:b/>
          <w:color w:val="000000" w:themeColor="text1"/>
        </w:rPr>
        <w:t xml:space="preserve"> </w:t>
      </w:r>
      <w:r>
        <w:rPr>
          <w:rFonts w:asciiTheme="minorHAnsi" w:hAnsiTheme="minorHAnsi"/>
          <w:color w:val="000000" w:themeColor="text1"/>
        </w:rPr>
        <w:t>delle domande di contributo presentate ai sensi del presente articolo. L'effettuazione del controllo sospende i termini per l'adozione del provvedimento di concessione del contributo. Per i controlli successivi al provvedimento di concessione del contributo trova applicazione il secondo periodo del comma 5 dell'articolo 12.».</w:t>
      </w:r>
    </w:p>
    <w:p w:rsidR="00B35C0B" w:rsidRDefault="00B35C0B" w:rsidP="00B35C0B">
      <w:pPr>
        <w:pStyle w:val="NormaleWeb"/>
        <w:shd w:val="clear" w:color="auto" w:fill="FFFFFF"/>
        <w:jc w:val="both"/>
        <w:rPr>
          <w:rFonts w:asciiTheme="minorHAnsi" w:hAnsiTheme="minorHAnsi"/>
          <w:color w:val="000000" w:themeColor="text1"/>
        </w:rPr>
      </w:pPr>
    </w:p>
    <w:p w:rsidR="00B35C0B" w:rsidRDefault="00B35C0B" w:rsidP="00B35C0B">
      <w:pPr>
        <w:pStyle w:val="NormaleWeb"/>
        <w:shd w:val="clear" w:color="auto" w:fill="FFFFFF"/>
        <w:jc w:val="both"/>
        <w:rPr>
          <w:rFonts w:asciiTheme="minorHAnsi" w:hAnsiTheme="minorHAnsi"/>
          <w:color w:val="000000" w:themeColor="text1"/>
        </w:rPr>
      </w:pP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3-bis.</w:t>
      </w: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(Ambito di applicazione dell'articolo 17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lastRenderedPageBreak/>
        <w:t> </w:t>
      </w:r>
      <w:r>
        <w:rPr>
          <w:rFonts w:asciiTheme="minorHAnsi" w:hAnsiTheme="minorHAnsi"/>
          <w:b/>
          <w:color w:val="000000" w:themeColor="text1"/>
        </w:rPr>
        <w:t> </w:t>
      </w:r>
      <w:r>
        <w:rPr>
          <w:rFonts w:asciiTheme="minorHAnsi" w:hAnsiTheme="minorHAnsi"/>
          <w:b/>
          <w:color w:val="000000" w:themeColor="text1"/>
        </w:rPr>
        <w:t>1. Le disposizioni di cui all'articolo 17, comma 1,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in materia di erogazioni liberali per beni culturali, si applicano anche nei territori di cui alla legge 29 novembre 1984, n.</w:t>
      </w:r>
      <w:r>
        <w:rPr>
          <w:rFonts w:asciiTheme="minorHAnsi" w:hAnsiTheme="minorHAnsi"/>
          <w:b/>
          <w:color w:val="000000" w:themeColor="text1"/>
        </w:rPr>
        <w:t> </w:t>
      </w:r>
      <w:r>
        <w:rPr>
          <w:rFonts w:asciiTheme="minorHAnsi" w:hAnsiTheme="minorHAnsi"/>
          <w:b/>
          <w:color w:val="000000" w:themeColor="text1"/>
        </w:rPr>
        <w:t>798, recante nuovi interventi per la salvaguardia di Venezia. Alla copertura degli oneri derivanti dal primo periodo si provvede, quanto a 0,55 milioni di euro per l'anno 2020, mediante corrispondente riduzione del Fondo per interventi strutturali di politica economica, di cui all'articolo 10, comma 5, del decreto-legge 29 novembre 2004, n.</w:t>
      </w:r>
      <w:r>
        <w:rPr>
          <w:rFonts w:asciiTheme="minorHAnsi" w:hAnsiTheme="minorHAnsi"/>
          <w:b/>
          <w:color w:val="000000" w:themeColor="text1"/>
        </w:rPr>
        <w:t> </w:t>
      </w:r>
      <w:r>
        <w:rPr>
          <w:rFonts w:asciiTheme="minorHAnsi" w:hAnsiTheme="minorHAnsi"/>
          <w:b/>
          <w:color w:val="000000" w:themeColor="text1"/>
        </w:rPr>
        <w:t>282, convertito, con modificazioni, dalla legge 27 dicembre 2004, n.</w:t>
      </w:r>
      <w:r>
        <w:rPr>
          <w:rFonts w:asciiTheme="minorHAnsi" w:hAnsiTheme="minorHAnsi"/>
          <w:b/>
          <w:color w:val="000000" w:themeColor="text1"/>
        </w:rPr>
        <w:t> </w:t>
      </w:r>
      <w:r>
        <w:rPr>
          <w:rFonts w:asciiTheme="minorHAnsi" w:hAnsiTheme="minorHAnsi"/>
          <w:b/>
          <w:color w:val="000000" w:themeColor="text1"/>
        </w:rPr>
        <w:t>307, e, quanto a 1,05 milioni di euro per l'anno 2021, a 1,56 milioni di euro per l'anno 2022, a 0,97 milioni di euro per l'anno 2023 e a 0,47 milioni di euro per l'anno 2024, mediante corrispondente riduzione del Fondo di cui all'articolo 1, comma 200, della legge 23 dicembre 2014, n.</w:t>
      </w:r>
      <w:r>
        <w:rPr>
          <w:rFonts w:asciiTheme="minorHAnsi" w:hAnsiTheme="minorHAnsi"/>
          <w:b/>
          <w:color w:val="000000" w:themeColor="text1"/>
        </w:rPr>
        <w:t> </w:t>
      </w:r>
      <w:r>
        <w:rPr>
          <w:rFonts w:asciiTheme="minorHAnsi" w:hAnsiTheme="minorHAnsi"/>
          <w:b/>
          <w:color w:val="000000" w:themeColor="text1"/>
        </w:rPr>
        <w:t>190.</w:t>
      </w:r>
      <w:r>
        <w:rPr>
          <w:rStyle w:val="Rimandonotaapidipagina"/>
          <w:rFonts w:asciiTheme="minorHAnsi" w:hAnsiTheme="minorHAnsi"/>
          <w:b/>
          <w:color w:val="000000" w:themeColor="text1"/>
        </w:rPr>
        <w:footnoteReference w:id="14"/>
      </w:r>
    </w:p>
    <w:p w:rsidR="00B35C0B" w:rsidRDefault="00B35C0B" w:rsidP="00B35C0B">
      <w:pPr>
        <w:pStyle w:val="NormaleWeb"/>
        <w:shd w:val="clear" w:color="auto" w:fill="FFFFFF"/>
        <w:jc w:val="both"/>
        <w:rPr>
          <w:rFonts w:asciiTheme="minorHAnsi" w:hAnsiTheme="minorHAnsi"/>
          <w:b/>
          <w:color w:val="000000" w:themeColor="text1"/>
        </w:rPr>
      </w:pP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3-bis.</w:t>
      </w: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(Modifica all'articolo 19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19, comma 1, primo periodo,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la parola: «tre» è sostituita dalla seguente: «sei».</w:t>
      </w:r>
      <w:r>
        <w:rPr>
          <w:rStyle w:val="Rimandonotaapidipagina"/>
          <w:rFonts w:asciiTheme="minorHAnsi" w:hAnsiTheme="minorHAnsi"/>
          <w:b/>
          <w:color w:val="000000" w:themeColor="text1"/>
        </w:rPr>
        <w:footnoteReference w:id="15"/>
      </w: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3-bis.</w:t>
      </w: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(Modifica all'articolo 16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B35C0B" w:rsidRDefault="00B35C0B" w:rsidP="00B35C0B">
      <w:pPr>
        <w:pStyle w:val="NormaleWeb"/>
        <w:shd w:val="clear" w:color="auto" w:fill="FFFFFF"/>
        <w:jc w:val="both"/>
        <w:rPr>
          <w:rFonts w:asciiTheme="minorHAnsi" w:hAnsiTheme="minorHAnsi"/>
          <w:b/>
          <w:color w:val="000000" w:themeColor="text1"/>
        </w:rPr>
      </w:pP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16, comma 2,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dopo il primo periodo è inserito il seguente: «La partecipazione alla Conferenza permanente costituisce dovere d'ufficio».</w:t>
      </w:r>
      <w:r>
        <w:rPr>
          <w:rStyle w:val="Rimandonotaapidipagina"/>
          <w:rFonts w:asciiTheme="minorHAnsi" w:hAnsiTheme="minorHAnsi"/>
          <w:b/>
          <w:color w:val="000000" w:themeColor="text1"/>
        </w:rPr>
        <w:footnoteReference w:id="16"/>
      </w:r>
    </w:p>
    <w:p w:rsidR="00B35C0B" w:rsidRDefault="00B35C0B" w:rsidP="00B35C0B">
      <w:pPr>
        <w:pStyle w:val="NormaleWeb"/>
        <w:shd w:val="clear" w:color="auto" w:fill="FFFFFF"/>
        <w:jc w:val="center"/>
        <w:rPr>
          <w:rFonts w:asciiTheme="minorHAnsi" w:hAnsiTheme="minorHAnsi"/>
          <w:b/>
          <w:color w:val="000000" w:themeColor="text1"/>
        </w:rPr>
      </w:pP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lastRenderedPageBreak/>
        <w:t>Art. 3-bis.</w:t>
      </w: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(Ambito di applicazione dell'articolo 17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1. Le disposizioni di cui all'articolo 17, comma 1,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in materia di erogazioni liberali per beni culturali, si applicano anche nei territori di cui alla legge 29 novembre 1984, n.</w:t>
      </w:r>
      <w:r>
        <w:rPr>
          <w:rFonts w:asciiTheme="minorHAnsi" w:hAnsiTheme="minorHAnsi"/>
          <w:b/>
          <w:color w:val="000000" w:themeColor="text1"/>
        </w:rPr>
        <w:t> </w:t>
      </w:r>
      <w:r>
        <w:rPr>
          <w:rFonts w:asciiTheme="minorHAnsi" w:hAnsiTheme="minorHAnsi"/>
          <w:b/>
          <w:color w:val="000000" w:themeColor="text1"/>
        </w:rPr>
        <w:t xml:space="preserve">798, recante nuovi interventi per la salvaguardia di Venezia </w:t>
      </w:r>
      <w:r w:rsidRPr="00B35C0B">
        <w:rPr>
          <w:rFonts w:asciiTheme="minorHAnsi" w:hAnsiTheme="minorHAnsi"/>
          <w:b/>
        </w:rPr>
        <w:t>e nella città di Matera</w:t>
      </w:r>
      <w:r w:rsidRPr="00B35C0B">
        <w:rPr>
          <w:rStyle w:val="Rimandonotaapidipagina"/>
          <w:rFonts w:asciiTheme="minorHAnsi" w:hAnsiTheme="minorHAnsi"/>
          <w:b/>
          <w:color w:val="000000" w:themeColor="text1"/>
        </w:rPr>
        <w:footnoteReference w:id="17"/>
      </w:r>
      <w:r w:rsidRPr="00B35C0B">
        <w:rPr>
          <w:rFonts w:asciiTheme="minorHAnsi" w:hAnsiTheme="minorHAnsi"/>
          <w:b/>
          <w:color w:val="000000" w:themeColor="text1"/>
        </w:rPr>
        <w:t>.</w:t>
      </w:r>
      <w:bookmarkStart w:id="0" w:name="_GoBack"/>
      <w:bookmarkEnd w:id="0"/>
      <w:r>
        <w:rPr>
          <w:rFonts w:asciiTheme="minorHAnsi" w:hAnsiTheme="minorHAnsi"/>
          <w:b/>
          <w:color w:val="000000" w:themeColor="text1"/>
        </w:rPr>
        <w:t xml:space="preserve"> Alla copertura degli oneri derivanti dal primo periodo si provvede, quanto a 0,55 milioni di euro per l'anno 2020, mediante corrispondente riduzione del Fondo per interventi strutturali di politica economica, di cui all'articolo 10, comma 5, del decreto-legge 29 novembre 2004, n.</w:t>
      </w:r>
      <w:r>
        <w:rPr>
          <w:rFonts w:asciiTheme="minorHAnsi" w:hAnsiTheme="minorHAnsi"/>
          <w:b/>
          <w:color w:val="000000" w:themeColor="text1"/>
        </w:rPr>
        <w:t> </w:t>
      </w:r>
      <w:r>
        <w:rPr>
          <w:rFonts w:asciiTheme="minorHAnsi" w:hAnsiTheme="minorHAnsi"/>
          <w:b/>
          <w:color w:val="000000" w:themeColor="text1"/>
        </w:rPr>
        <w:t>282, convertito, con modificazioni, dalla legge 27 dicembre 2004, n.</w:t>
      </w:r>
      <w:r>
        <w:rPr>
          <w:rFonts w:asciiTheme="minorHAnsi" w:hAnsiTheme="minorHAnsi"/>
          <w:b/>
          <w:color w:val="000000" w:themeColor="text1"/>
        </w:rPr>
        <w:t> </w:t>
      </w:r>
      <w:r>
        <w:rPr>
          <w:rFonts w:asciiTheme="minorHAnsi" w:hAnsiTheme="minorHAnsi"/>
          <w:b/>
          <w:color w:val="000000" w:themeColor="text1"/>
        </w:rPr>
        <w:t>307, e, quanto a 1,05 milioni di euro per l'anno 2021, a 1,56 milioni di euro per l'anno 2022, a 0,97 milioni di euro per l'anno 2023 e a 0,47 milioni di euro per l'anno 2024, mediante corrispondente riduzione del Fondo di cui all'articolo 1, comma 200, della legge 23 dicembre 2014, n.</w:t>
      </w:r>
      <w:r>
        <w:rPr>
          <w:rFonts w:asciiTheme="minorHAnsi" w:hAnsiTheme="minorHAnsi"/>
          <w:b/>
          <w:color w:val="000000" w:themeColor="text1"/>
        </w:rPr>
        <w:t> </w:t>
      </w:r>
      <w:r>
        <w:rPr>
          <w:rFonts w:asciiTheme="minorHAnsi" w:hAnsiTheme="minorHAnsi"/>
          <w:b/>
          <w:color w:val="000000" w:themeColor="text1"/>
        </w:rPr>
        <w:t>190.</w:t>
      </w:r>
      <w:r>
        <w:rPr>
          <w:rStyle w:val="Rimandonotaapidipagina"/>
          <w:rFonts w:asciiTheme="minorHAnsi" w:hAnsiTheme="minorHAnsi"/>
          <w:b/>
          <w:color w:val="000000" w:themeColor="text1"/>
        </w:rPr>
        <w:footnoteReference w:id="18"/>
      </w: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4.</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(Urgente rimozione di materiali prodotti a seguito di eventi sismici)</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28 del decreto-legge 17 ottobre 2016, n. 189, convertito, con modificazioni, dalla legge 15 dicembre 2016, n. 229, sono apportate le seguenti modificazioni:</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dopo il comma 3 è inserito il seguente:</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«3-bis. Entro il 31 dicembre 2019, le regioni, sentito il commissario straordinario e fermo restando il limite delle risorse dallo stesso indicate ai sensi del comma 13, aggiornano i piani di cui al comma 2 individuando, in particolare, i siti di stoccaggio temporaneo. In difetto di conclusione del procedimento entro il termine di cui al presente comma il commissario straordinario può aggiornare comunque il piano, sentito il Presidente della regione interessata.»;</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al comma 6, dopo le parole «da essi incaricate», sono inserite le seguenti: «, o da imprese dai medesimi individuate con la procedura di cui all'articolo 63 del decreto legislativo 16 aprile 2016, n. 50»;</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lastRenderedPageBreak/>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c) dopo il comma 7 è inserito il seguente:</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«7-bis. Nel caso in cui nel sito temporaneo di deposito siano da effettuare operazioni di trattamento delle macerie con l'ausilio di impianti mobili, il termine di cui all'articolo 208, comma 15, secondo periodo, del decreto legislativo 3 aprile 2006, n. 152, è ridotto a quindici giorni.».</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c-bis) al comma 11, dopo il settimo periodo è inserito il seguente: «La verifica che le varie frazioni di rifiuto, derivanti dalla separazione e cernita di cui al quinto e al sesto periodo, siano private del materiale contenente amianto e delle altre sostanze pericolose è svolta con i metodi per la caratterizzazione previsti dalla normativa vigente sia per il campionamento sia per la valutazione dei limiti di concentrazione in peso delle sostanze pericolose presenti».</w:t>
      </w:r>
      <w:r>
        <w:rPr>
          <w:rStyle w:val="Rimandonotaapidipagina"/>
          <w:rFonts w:asciiTheme="minorHAnsi" w:hAnsiTheme="minorHAnsi"/>
          <w:b/>
          <w:color w:val="000000" w:themeColor="text1"/>
        </w:rPr>
        <w:footnoteReference w:id="19"/>
      </w: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4-bis.</w:t>
      </w: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(Modifica all'articolo 31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31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il comma 6 è sostituito dal seguente:</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«6. Nei contratti fra privati è possibile subappaltare lavorazioni previa autorizzazione del committente e nei limiti consentiti dalla vigente normativa. In tale ipotesi, il contratto deve contenere, a pena di nullità, la dichiarazione di voler procedere al subappalto, con l'indicazione delle opere e delle quantità da subappaltare. Prima dell'inizio delle lavorazioni deve essere in ogni caso trasmesso l’addendum al contratto di appalto contenente l'indicazione delle imprese subappaltatrici, le quali devono essere iscritte nell'Anagrafe di cui all'articolo 30, comma 6. Sono nulle tutte le clausole che dispongono il subappalto al di fuori dei casi e dei limiti sopra indicati».</w:t>
      </w:r>
      <w:r>
        <w:rPr>
          <w:rStyle w:val="Rimandonotaapidipagina"/>
          <w:rFonts w:asciiTheme="minorHAnsi" w:hAnsiTheme="minorHAnsi"/>
          <w:b/>
          <w:color w:val="000000" w:themeColor="text1"/>
        </w:rPr>
        <w:footnoteReference w:id="20"/>
      </w: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5.</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(Estensione al territorio dei comuni del cratere della misura a favore dei giovani imprenditori nel Mezzogiorno, denominata «Resto al Sud»)</w:t>
      </w:r>
    </w:p>
    <w:p w:rsidR="00B35C0B" w:rsidRDefault="00B35C0B" w:rsidP="00B35C0B">
      <w:pPr>
        <w:pStyle w:val="NormaleWeb"/>
        <w:shd w:val="clear" w:color="auto" w:fill="FFFFFF"/>
        <w:ind w:left="30"/>
        <w:jc w:val="both"/>
        <w:rPr>
          <w:rFonts w:asciiTheme="minorHAnsi" w:hAnsiTheme="minorHAnsi"/>
          <w:strike/>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strike/>
          <w:color w:val="000000" w:themeColor="text1"/>
          <w:highlight w:val="yellow"/>
        </w:rPr>
        <w:t>1. All'articolo 1, comma 1, del decreto-legge 20 giugno 2017, n. 91, aggiungere in fine il seguente periodo: «La predetta misura è estesa anche ai territori dei comuni delle Regioni Lazio, Marche e Umbria di cui agli allegati 1, 2 e 2-bis del decreto-legge 17 ottobre 2016, n. 189, convertito, con modificazioni, dalla legge 15 dicembre 2016, n. 229, a valere sulle risorse disponibili assegnate ai sensi dei commi 16 e 17.».</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1. All'articolo 1, comma 1, del decreto-legge 20 giugno 2017, n.</w:t>
      </w:r>
      <w:r>
        <w:rPr>
          <w:rFonts w:asciiTheme="minorHAnsi" w:hAnsiTheme="minorHAnsi"/>
          <w:b/>
          <w:color w:val="000000" w:themeColor="text1"/>
        </w:rPr>
        <w:t> </w:t>
      </w:r>
      <w:r>
        <w:rPr>
          <w:rFonts w:asciiTheme="minorHAnsi" w:hAnsiTheme="minorHAnsi"/>
          <w:b/>
          <w:color w:val="000000" w:themeColor="text1"/>
        </w:rPr>
        <w:t>91, convertito, con modificazioni, dalla legge 3 agosto 2017, n.</w:t>
      </w:r>
      <w:r>
        <w:rPr>
          <w:rFonts w:asciiTheme="minorHAnsi" w:hAnsiTheme="minorHAnsi"/>
          <w:b/>
          <w:color w:val="000000" w:themeColor="text1"/>
        </w:rPr>
        <w:t> </w:t>
      </w:r>
      <w:r>
        <w:rPr>
          <w:rFonts w:asciiTheme="minorHAnsi" w:hAnsiTheme="minorHAnsi"/>
          <w:b/>
          <w:color w:val="000000" w:themeColor="text1"/>
        </w:rPr>
        <w:t>123, è aggiunto, in fine, il seguente periodo: «La predetta misura è estesa, in deroga ai limiti di età previsti dall'alinea del comma 2 del presente articolo, anche ai territori dei comuni delle regioni Abruzzo, Lazio, Marche e Umbria di cui agli allegati 1, 2 e 2-bis al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che presentano una percentuale superiore al 50 per cento di edifici dichiarati inagibili con esito «E», a valere sulle risorse disponibili assegnate ai sensi dei commi 16 e 17 del presente articolo».</w:t>
      </w:r>
      <w:r>
        <w:rPr>
          <w:rStyle w:val="Rimandonotaapidipagina"/>
          <w:rFonts w:asciiTheme="minorHAnsi" w:hAnsiTheme="minorHAnsi"/>
          <w:b/>
          <w:color w:val="000000" w:themeColor="text1"/>
        </w:rPr>
        <w:footnoteReference w:id="21"/>
      </w: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5-bis.</w:t>
      </w:r>
    </w:p>
    <w:p w:rsidR="00B35C0B" w:rsidRDefault="00B35C0B" w:rsidP="00B35C0B">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(Incentivi per l'insediamento nei piccoli comuni colpiti da eventi sismici).</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 fine di favorire il riequilibrio demografico e la ripresa economica dei comuni colpiti dagli eventi sismici del 2016, le regioni possono predisporre, con oneri a proprio carico, incentivi finanziari e premi di insediamento a favore di coloro che trasferiscono la propria residenza e dimora abituale nei comuni con popolazione inferiore a 3.000 abitanti indicati negli allegati 1, 2 e 2-bis al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impegnandosi a non modificarla per un decennio.</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xml:space="preserve">2. Gli incentivi finanziari e i premi di insediamento di cui al comma 1 possono essere attribuiti a titolo di concorso per le spese di trasferimento e per quelle di acquisto, di ristrutturazione o di locazione di immobili da destinare ad abitazione principale del beneficiario. Le regioni possono </w:t>
      </w:r>
      <w:r>
        <w:rPr>
          <w:rFonts w:asciiTheme="minorHAnsi" w:hAnsiTheme="minorHAnsi"/>
          <w:b/>
          <w:color w:val="000000" w:themeColor="text1"/>
        </w:rPr>
        <w:lastRenderedPageBreak/>
        <w:t>predisporre ulteriori forme di agevolazione. I benefìci possono essere attribuiti anche ai soggetti già residenti nei comuni di cui al comma 1.</w:t>
      </w:r>
    </w:p>
    <w:p w:rsidR="00B35C0B" w:rsidRDefault="00B35C0B" w:rsidP="00B35C0B">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3. Le regioni individuano i comuni ai quali sono riservati i benefìci di cui al presente articolo, in ragione del patrimonio abitativo, della dotazione di servizi e dell'andamento demografico.</w:t>
      </w:r>
      <w:r>
        <w:rPr>
          <w:rStyle w:val="Rimandonotaapidipagina"/>
          <w:rFonts w:asciiTheme="minorHAnsi" w:hAnsiTheme="minorHAnsi"/>
          <w:b/>
          <w:color w:val="000000" w:themeColor="text1"/>
        </w:rPr>
        <w:footnoteReference w:id="22"/>
      </w:r>
    </w:p>
    <w:p w:rsidR="00B35C0B" w:rsidRDefault="00B35C0B" w:rsidP="00B35C0B">
      <w:pPr>
        <w:pStyle w:val="NormaleWeb"/>
        <w:shd w:val="clear" w:color="auto" w:fill="FFFFFF"/>
        <w:ind w:left="30"/>
        <w:jc w:val="center"/>
        <w:rPr>
          <w:rFonts w:asciiTheme="minorHAnsi" w:hAnsiTheme="minorHAnsi"/>
          <w:color w:val="000000" w:themeColor="text1"/>
          <w:sz w:val="20"/>
          <w:szCs w:val="20"/>
        </w:rPr>
      </w:pP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6.</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(Estensione dei contributi a comuni colpiti dal sisma)</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23, comma 1-bis, del decreto-legge 18 aprile 2019, n. 32, convertito, con modificazioni, dalla legge 14 giugno 2019, n. 55, sono apportate le seguenti modificazioni:</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al primo periodo le parole da «colpiti dal sisma» a «allegato 1» sono sostituite dalle seguenti: «inclusi negli elenchi di cui agli allegati 1 e 2»;</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è aggiunto, in fine, il seguente periodo: «Al riparto dei fondi si provvede con decreto del Ministro dell'interno, di concerto con il Ministro dell'economia e delle finanze sentita la Conferenza stato-città e autonomie locali.».</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7.</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(Modifiche agli articoli 4 e 34 del decreto-legge 17 ottobre 2016, n. 189)</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4, comma 3, primo periodo, del decreto-legge 17 ottobre 2016, n. 189, convertito, con modificazioni, dalla legge 15 dicembre 2016, n. 229, dopo le parole «per l'assistenza alla popolazione» sono aggiunte le seguenti: «, nonché per le anticipazioni ai professionisti di cui all'articolo 34 comma 7-bis».</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2. All'articolo 34, comma 7-bis, del decreto-legge 17 ottobre 2016, n. 189, convertito, con modificazioni, dalla legge 15 dicembre 2016, n. 229, è aggiunto, in fine, il seguente periodo: «Per le anticipazioni di cui al presente comma non può essere richiesta alcuna garanzia, fermo restando l'obbligo di avvio delle eventuali procedure di recupero anche tramite compensazione.».</w:t>
      </w: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8.</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(Proroga di termini)</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lastRenderedPageBreak/>
        <w:t> </w:t>
      </w:r>
      <w:r>
        <w:rPr>
          <w:rFonts w:asciiTheme="minorHAnsi" w:hAnsiTheme="minorHAnsi"/>
          <w:color w:val="000000" w:themeColor="text1"/>
        </w:rPr>
        <w:t> </w:t>
      </w:r>
      <w:r>
        <w:rPr>
          <w:rFonts w:asciiTheme="minorHAnsi" w:hAnsiTheme="minorHAnsi"/>
          <w:color w:val="000000" w:themeColor="text1"/>
        </w:rPr>
        <w:t>1. All'articolo 44 del decreto-legge 17 ottobre 2016, n. 189, convertito, con modificazioni, dalla legge 15 dicembre 2016, n. 229, sono apportate le seguenti modificazioni:</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al comma 1, terzo periodo, le parole: «al primo e al secondo anno» sono sostituite dalle seguenti: «al terzo e al quarto anno»;</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al comma 3, il secondo periodo è sostituito dal seguente: «Con decreto del Ministro dell'interno, di concerto con il Ministro dell'economia e delle finanze può essere disposta la proroga del periodo di sospensione, fino al 31 dicembre 2020.».</w:t>
      </w: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2. Gli adempimenti e i pagamenti delle ritenute fiscali e contributi previdenziali e assistenziali nonché dei premi per l'assicurazione obbligatoria di cui all'articolo 48, commi 11 e 13, del decreto-legge 17 ottobre 2016, n. 189, convertito, con modificazioni, dalla legge 15 dicembre 2016, n. 229, sono effettuati a decorrere dal 15 gennaio 2020 con le modalità e nei termini fissati dalle medesime disposizioni, ma nel limite del 40 per cento degli importi dovuti.</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3. All'articolo 2-bis, comma 24, primo periodo, del decreto-legge 16 ottobre 2017, n. 148, convertito, con modificazioni, dalla legge 4 dicembre 2017, n. 172, le parole «1° gennaio 2020» sono sostituite dalle seguenti: «1° gennaio 2021».</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4. Agli oneri derivanti dai commi 1, lettera a) e 2, pari complessivamente a 13,95 milioni di euro per l'anno 2020, a 14,39 milioni di euro per l'anno 2021, a 13,66 milioni di euro per l'anno 2022, a 13,88 milioni di euro per l'anno 2023, a 15,55 milioni di euro per l'anno 2024, a 14,61 milioni di euro per ciascuno degli anni dal 2025 al 2029 e a 1,27 milioni di euro annui a decorrere dall'anno 2030, si provvede:</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quanto a 0,61 milioni di euro per l'anno 2020, a 1,05 milioni di euro per l'anno 2021, a 0,32 milioni di euro per l'anno 2022, a 0,54 milioni di euro per l'anno 2023, a 2,21 milioni di euro per l'anno 2024 e a 1,27 milioni di euro annui a decorrere dall'anno 2025, mediante corrispondente riduzione del Fondo per interventi strutturali di politica economica, di cui all'articolo 10, comma 5, del decreto-legge 29 novembre 2004, n. 282, convertito, con modificazioni, dalla legge 27 dicembre 2004, n. 307;</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quanto a 13,34 milioni di euro per ciascuno degli anni dal 2020 al 2029, mediante utilizzo delle risorse di cui all'articolo 2, comma 107, della legge 24 dicembre 2007, n. 244.</w:t>
      </w: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9.</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(Misure e interventi finanziari a favore delle imprese agricole ubicate nei comuni del cratere)</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10, comma 1, secondo periodo, del decreto legislativo 21 aprile 2000, n. 185, dopo le parole «Nelle regioni Abruzzo, Basilicata, Calabria, Campania, Molise, Puglia, Sardegna e Sicilia» sono aggiunte le seguenti parole «nonché nei territori ricompresi nei comuni indicati negli allegati 1, 2 e 2-bis, di cui al decreto-legge 17 ottobre 2016, n. 189, convertito, con modificazioni, dalla legge 15 dicembre 2016, n. 229,».</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lastRenderedPageBreak/>
        <w:t> </w:t>
      </w:r>
      <w:r>
        <w:rPr>
          <w:rFonts w:asciiTheme="minorHAnsi" w:hAnsiTheme="minorHAnsi"/>
          <w:color w:val="000000" w:themeColor="text1"/>
        </w:rPr>
        <w:t> </w:t>
      </w:r>
      <w:r>
        <w:rPr>
          <w:rFonts w:asciiTheme="minorHAnsi" w:hAnsiTheme="minorHAnsi"/>
          <w:color w:val="000000" w:themeColor="text1"/>
        </w:rPr>
        <w:t>2. Per le finalità di cui al comma 1 sono destinate risorse nei limiti di due milioni di euro per ciascuno degli anni 2019 e 2020, mediante corrispondente utilizzo del Fondo per lo sviluppo e la coesione per il periodo di programmazione 2014-2020 di cui all'articolo 1, comma 6, della legge 27 dicembre 2013, n. 147.</w:t>
      </w:r>
    </w:p>
    <w:p w:rsidR="00B35C0B" w:rsidRDefault="00B35C0B" w:rsidP="00B35C0B">
      <w:pPr>
        <w:pStyle w:val="NormaleWeb"/>
        <w:shd w:val="clear" w:color="auto" w:fill="FFFFFF"/>
        <w:ind w:left="30"/>
        <w:jc w:val="both"/>
        <w:rPr>
          <w:rFonts w:asciiTheme="minorHAnsi" w:hAnsiTheme="minorHAnsi"/>
          <w:color w:val="000000" w:themeColor="text1"/>
        </w:rPr>
      </w:pP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10.</w:t>
      </w:r>
    </w:p>
    <w:p w:rsidR="00B35C0B" w:rsidRDefault="00B35C0B" w:rsidP="00B35C0B">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(Entrata in vigore)</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Il presente decreto entra in vigore il giorno successivo a quello della sua pubblicazione nella Gazzetta Ufficiale della Repubblica italiana e sarà presentato alle Camere per la conversione in legge.</w:t>
      </w:r>
    </w:p>
    <w:p w:rsidR="00B35C0B" w:rsidRDefault="00B35C0B" w:rsidP="00B35C0B">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Il presente decreto, munito del sigillo dello Stato, sarà inserito nella Raccolta ufficiale degli atti normativi della Repubblica italiana. È fatto obbligo a chiunque spetti di osservarlo e di farlo osservare.</w:t>
      </w:r>
    </w:p>
    <w:p w:rsidR="00B35C0B" w:rsidRDefault="00B35C0B"/>
    <w:sectPr w:rsidR="00B35C0B">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C0B" w:rsidRDefault="00B35C0B" w:rsidP="00B35C0B">
      <w:pPr>
        <w:spacing w:after="0" w:line="240" w:lineRule="auto"/>
      </w:pPr>
      <w:r>
        <w:separator/>
      </w:r>
    </w:p>
  </w:endnote>
  <w:endnote w:type="continuationSeparator" w:id="0">
    <w:p w:rsidR="00B35C0B" w:rsidRDefault="00B35C0B" w:rsidP="00B3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846184"/>
      <w:docPartObj>
        <w:docPartGallery w:val="Page Numbers (Bottom of Page)"/>
        <w:docPartUnique/>
      </w:docPartObj>
    </w:sdtPr>
    <w:sdtContent>
      <w:p w:rsidR="00B35C0B" w:rsidRDefault="00B35C0B">
        <w:pPr>
          <w:pStyle w:val="Pidipagina"/>
          <w:jc w:val="center"/>
        </w:pPr>
        <w:r>
          <w:fldChar w:fldCharType="begin"/>
        </w:r>
        <w:r>
          <w:instrText>PAGE   \* MERGEFORMAT</w:instrText>
        </w:r>
        <w:r>
          <w:fldChar w:fldCharType="separate"/>
        </w:r>
        <w:r>
          <w:t>2</w:t>
        </w:r>
        <w:r>
          <w:fldChar w:fldCharType="end"/>
        </w:r>
      </w:p>
    </w:sdtContent>
  </w:sdt>
  <w:p w:rsidR="00B35C0B" w:rsidRDefault="00B35C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C0B" w:rsidRDefault="00B35C0B" w:rsidP="00B35C0B">
      <w:pPr>
        <w:spacing w:after="0" w:line="240" w:lineRule="auto"/>
      </w:pPr>
      <w:r>
        <w:separator/>
      </w:r>
    </w:p>
  </w:footnote>
  <w:footnote w:type="continuationSeparator" w:id="0">
    <w:p w:rsidR="00B35C0B" w:rsidRDefault="00B35C0B" w:rsidP="00B35C0B">
      <w:pPr>
        <w:spacing w:after="0" w:line="240" w:lineRule="auto"/>
      </w:pPr>
      <w:r>
        <w:continuationSeparator/>
      </w:r>
    </w:p>
  </w:footnote>
  <w:footnote w:id="1">
    <w:p w:rsidR="00B35C0B" w:rsidRDefault="00B35C0B" w:rsidP="00B35C0B">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1. 04.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1. 05. Melilli, Braga, Buratti, Del Basso De Caro,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w:t>
      </w:r>
    </w:p>
    <w:p w:rsidR="00B35C0B" w:rsidRDefault="00B35C0B" w:rsidP="00B35C0B">
      <w:pPr>
        <w:pStyle w:val="Testonotaapidipagina"/>
      </w:pPr>
    </w:p>
  </w:footnote>
  <w:footnote w:id="2">
    <w:p w:rsidR="00B35C0B" w:rsidRDefault="00B35C0B" w:rsidP="00B35C0B">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1. 023. (Ulteriore nuova formulazione) Muroni,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1. 024. (Ulteriore nuova formulazione)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D'Alessandro,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1. 026. (Ulteriore nuova formulazione) Braga, Melilli, Buratti, Del Basso De Caro,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 xml:space="preserve">; 1. 028. (Ulteriore nuova formulazione)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Roberto Rossini.</w:t>
      </w:r>
    </w:p>
    <w:p w:rsidR="00B35C0B" w:rsidRDefault="00B35C0B" w:rsidP="00B35C0B">
      <w:pPr>
        <w:pStyle w:val="Testonotaapidipagina"/>
      </w:pPr>
    </w:p>
  </w:footnote>
  <w:footnote w:id="3">
    <w:p w:rsidR="00B35C0B" w:rsidRDefault="00B35C0B" w:rsidP="00B35C0B">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2. 1.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2. 2.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2. 3. Gallinella,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4.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Muroni.</w:t>
      </w:r>
    </w:p>
    <w:p w:rsidR="00B35C0B" w:rsidRDefault="00B35C0B" w:rsidP="00B35C0B">
      <w:pPr>
        <w:pStyle w:val="Testonotaapidipagina"/>
      </w:pPr>
    </w:p>
  </w:footnote>
  <w:footnote w:id="4">
    <w:p w:rsidR="00B35C0B" w:rsidRDefault="00B35C0B" w:rsidP="00B35C0B">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5. (Nuova formulazione) </w:t>
      </w:r>
      <w:proofErr w:type="spellStart"/>
      <w:r>
        <w:rPr>
          <w:rFonts w:asciiTheme="minorHAnsi" w:hAnsiTheme="minorHAnsi"/>
          <w:color w:val="000000" w:themeColor="text1"/>
          <w:sz w:val="20"/>
          <w:szCs w:val="20"/>
        </w:rPr>
        <w:t>Trancassini</w:t>
      </w:r>
      <w:proofErr w:type="spellEnd"/>
      <w:r>
        <w:rPr>
          <w:rFonts w:asciiTheme="minorHAnsi" w:hAnsiTheme="minorHAnsi"/>
          <w:color w:val="000000" w:themeColor="text1"/>
          <w:sz w:val="20"/>
          <w:szCs w:val="20"/>
        </w:rPr>
        <w:t xml:space="preserve">, Prisco, </w:t>
      </w:r>
      <w:proofErr w:type="spellStart"/>
      <w:r>
        <w:rPr>
          <w:rFonts w:asciiTheme="minorHAnsi" w:hAnsiTheme="minorHAnsi"/>
          <w:color w:val="000000" w:themeColor="text1"/>
          <w:sz w:val="20"/>
          <w:szCs w:val="20"/>
        </w:rPr>
        <w:t>Acquaroli</w:t>
      </w:r>
      <w:proofErr w:type="spellEnd"/>
      <w:r>
        <w:rPr>
          <w:rFonts w:asciiTheme="minorHAnsi" w:hAnsiTheme="minorHAnsi"/>
          <w:color w:val="000000" w:themeColor="text1"/>
          <w:sz w:val="20"/>
          <w:szCs w:val="20"/>
        </w:rPr>
        <w:t xml:space="preserve">, Butti; 2. 6. (Nuova formulazione) Mazzetti, Nevi, </w:t>
      </w:r>
      <w:proofErr w:type="spellStart"/>
      <w:r>
        <w:rPr>
          <w:rFonts w:asciiTheme="minorHAnsi" w:hAnsiTheme="minorHAnsi"/>
          <w:color w:val="000000" w:themeColor="text1"/>
          <w:sz w:val="20"/>
          <w:szCs w:val="20"/>
        </w:rPr>
        <w:t>Cortelazzo</w:t>
      </w:r>
      <w:proofErr w:type="spellEnd"/>
      <w:r>
        <w:rPr>
          <w:rFonts w:asciiTheme="minorHAnsi" w:hAnsiTheme="minorHAnsi"/>
          <w:color w:val="000000" w:themeColor="text1"/>
          <w:sz w:val="20"/>
          <w:szCs w:val="20"/>
        </w:rPr>
        <w:t xml:space="preserve">, Polidori, Gelmini, Baldelli, Polverini, Casino, </w:t>
      </w:r>
      <w:proofErr w:type="spellStart"/>
      <w:r>
        <w:rPr>
          <w:rFonts w:asciiTheme="minorHAnsi" w:hAnsiTheme="minorHAnsi"/>
          <w:color w:val="000000" w:themeColor="text1"/>
          <w:sz w:val="20"/>
          <w:szCs w:val="20"/>
        </w:rPr>
        <w:t>Giacometto</w:t>
      </w:r>
      <w:proofErr w:type="spellEnd"/>
      <w:r>
        <w:rPr>
          <w:rFonts w:asciiTheme="minorHAnsi" w:hAnsiTheme="minorHAnsi"/>
          <w:color w:val="000000" w:themeColor="text1"/>
          <w:sz w:val="20"/>
          <w:szCs w:val="20"/>
        </w:rPr>
        <w:t xml:space="preserve">, Labriola, Ruffino, Battilocchio, Barelli, Martino, Calabria, </w:t>
      </w:r>
      <w:proofErr w:type="spellStart"/>
      <w:r>
        <w:rPr>
          <w:rFonts w:asciiTheme="minorHAnsi" w:hAnsiTheme="minorHAnsi"/>
          <w:color w:val="000000" w:themeColor="text1"/>
          <w:sz w:val="20"/>
          <w:szCs w:val="20"/>
        </w:rPr>
        <w:t>Spena</w:t>
      </w:r>
      <w:proofErr w:type="spellEnd"/>
      <w:r>
        <w:rPr>
          <w:rFonts w:asciiTheme="minorHAnsi" w:hAnsiTheme="minorHAnsi"/>
          <w:color w:val="000000" w:themeColor="text1"/>
          <w:sz w:val="20"/>
          <w:szCs w:val="20"/>
        </w:rPr>
        <w:t xml:space="preserve">, Marrocco, Rotondi; 2. 7. (Nuova formulazione) Muroni,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2. 8. (Nuova formulazione)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9. (Nuova formulazione) D'Eramo,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Bellachioma</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Basini, Benvenuto, Caparvi, De Angelis, </w:t>
      </w:r>
      <w:proofErr w:type="spellStart"/>
      <w:r>
        <w:rPr>
          <w:rFonts w:asciiTheme="minorHAnsi" w:hAnsiTheme="minorHAnsi"/>
          <w:color w:val="000000" w:themeColor="text1"/>
          <w:sz w:val="20"/>
          <w:szCs w:val="20"/>
        </w:rPr>
        <w:t>Durigon</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Gerardi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Latini, Lucchini, Marchetti, Paolini, Parolo, Raffaelli, Saltamartini,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Zicchieri</w:t>
      </w:r>
      <w:proofErr w:type="spellEnd"/>
      <w:r>
        <w:rPr>
          <w:rFonts w:asciiTheme="minorHAnsi" w:hAnsiTheme="minorHAnsi"/>
          <w:color w:val="000000" w:themeColor="text1"/>
          <w:sz w:val="20"/>
          <w:szCs w:val="20"/>
        </w:rPr>
        <w:t xml:space="preserve">; 2. 10. (Nuova formulazione) Buratti,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Braga, Del Basso De Caro, Melilli,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w:t>
      </w:r>
    </w:p>
    <w:p w:rsidR="00B35C0B" w:rsidRDefault="00B35C0B" w:rsidP="00B35C0B">
      <w:pPr>
        <w:pStyle w:val="Testonotaapidipagina"/>
      </w:pPr>
    </w:p>
  </w:footnote>
  <w:footnote w:id="5">
    <w:p w:rsidR="00B35C0B" w:rsidRDefault="00B35C0B" w:rsidP="00B35C0B">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2. 1.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2. 2.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2. 3. Gallinella,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4.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Muroni.</w:t>
      </w:r>
    </w:p>
    <w:p w:rsidR="00B35C0B" w:rsidRDefault="00B35C0B" w:rsidP="00B35C0B">
      <w:pPr>
        <w:pStyle w:val="Testonotaapidipagina"/>
      </w:pPr>
    </w:p>
  </w:footnote>
  <w:footnote w:id="6">
    <w:p w:rsidR="00B35C0B" w:rsidRDefault="00B35C0B" w:rsidP="00B35C0B">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16. (Ulteriore nuova formulazione) Muroni,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2. 17. (Ulteriore nuova formulazione)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2. 18. (Ulteriore nuova formulazione)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2. 19. (Ulteriore nuova formulazione)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20. D'Eramo,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Bellachioma</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Basini, Benvenuto, Caparvi, De Angelis, </w:t>
      </w:r>
      <w:proofErr w:type="spellStart"/>
      <w:r>
        <w:rPr>
          <w:rFonts w:asciiTheme="minorHAnsi" w:hAnsiTheme="minorHAnsi"/>
          <w:color w:val="000000" w:themeColor="text1"/>
          <w:sz w:val="20"/>
          <w:szCs w:val="20"/>
        </w:rPr>
        <w:t>Durigon</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Gerardi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Latini, Lucchini, Marchetti, Paolini, Parolo, Raffaelli, Saltamartini,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Zicchieri</w:t>
      </w:r>
      <w:proofErr w:type="spellEnd"/>
      <w:r>
        <w:rPr>
          <w:rFonts w:asciiTheme="minorHAnsi" w:hAnsiTheme="minorHAnsi"/>
          <w:color w:val="000000" w:themeColor="text1"/>
          <w:sz w:val="20"/>
          <w:szCs w:val="20"/>
        </w:rPr>
        <w:t>.</w:t>
      </w:r>
    </w:p>
    <w:p w:rsidR="00B35C0B" w:rsidRDefault="00B35C0B" w:rsidP="00B35C0B">
      <w:pPr>
        <w:pStyle w:val="Testonotaapidipagina"/>
      </w:pPr>
    </w:p>
  </w:footnote>
  <w:footnote w:id="7">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2. 40.</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D'Alessandro,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2. 41. Gallinella,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2. 42.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Muroni; 2. 43. Braga, Melilli, Buratti, Del Basso De Caro,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 xml:space="preserve">; 2. 44. Gagliardi, Benigni, Pedrazzini, </w:t>
      </w:r>
      <w:proofErr w:type="spellStart"/>
      <w:r>
        <w:rPr>
          <w:rFonts w:asciiTheme="minorHAnsi" w:hAnsiTheme="minorHAnsi"/>
          <w:color w:val="000000" w:themeColor="text1"/>
          <w:sz w:val="20"/>
          <w:szCs w:val="20"/>
        </w:rPr>
        <w:t>Silli</w:t>
      </w:r>
      <w:proofErr w:type="spellEnd"/>
      <w:r>
        <w:rPr>
          <w:rFonts w:asciiTheme="minorHAnsi" w:hAnsiTheme="minorHAnsi"/>
          <w:color w:val="000000" w:themeColor="text1"/>
          <w:sz w:val="20"/>
          <w:szCs w:val="20"/>
        </w:rPr>
        <w:t xml:space="preserve">, Sorte; 2. 45. </w:t>
      </w:r>
      <w:proofErr w:type="spellStart"/>
      <w:r>
        <w:rPr>
          <w:rFonts w:asciiTheme="minorHAnsi" w:hAnsiTheme="minorHAnsi"/>
          <w:color w:val="000000" w:themeColor="text1"/>
          <w:sz w:val="20"/>
          <w:szCs w:val="20"/>
        </w:rPr>
        <w:t>Trancassini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Foti</w:t>
      </w:r>
      <w:proofErr w:type="spellEnd"/>
      <w:r>
        <w:rPr>
          <w:rFonts w:asciiTheme="minorHAnsi" w:hAnsiTheme="minorHAnsi"/>
          <w:color w:val="000000" w:themeColor="text1"/>
          <w:sz w:val="20"/>
          <w:szCs w:val="20"/>
        </w:rPr>
        <w:t>, Butti, Prisco.</w:t>
      </w:r>
    </w:p>
    <w:p w:rsidR="00B35C0B" w:rsidRDefault="00B35C0B" w:rsidP="00B35C0B">
      <w:pPr>
        <w:pStyle w:val="Testonotaapidipagina"/>
      </w:pPr>
    </w:p>
  </w:footnote>
  <w:footnote w:id="8">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58.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59. Mazzetti, </w:t>
      </w:r>
      <w:proofErr w:type="spellStart"/>
      <w:r>
        <w:rPr>
          <w:rFonts w:asciiTheme="minorHAnsi" w:hAnsiTheme="minorHAnsi"/>
          <w:color w:val="000000" w:themeColor="text1"/>
          <w:sz w:val="20"/>
          <w:szCs w:val="20"/>
        </w:rPr>
        <w:t>Cortelazzo</w:t>
      </w:r>
      <w:proofErr w:type="spellEnd"/>
      <w:r>
        <w:rPr>
          <w:rFonts w:asciiTheme="minorHAnsi" w:hAnsiTheme="minorHAnsi"/>
          <w:color w:val="000000" w:themeColor="text1"/>
          <w:sz w:val="20"/>
          <w:szCs w:val="20"/>
        </w:rPr>
        <w:t xml:space="preserve">, Polidori, Gelmini, Baldelli, Casino, </w:t>
      </w:r>
      <w:proofErr w:type="spellStart"/>
      <w:r>
        <w:rPr>
          <w:rFonts w:asciiTheme="minorHAnsi" w:hAnsiTheme="minorHAnsi"/>
          <w:color w:val="000000" w:themeColor="text1"/>
          <w:sz w:val="20"/>
          <w:szCs w:val="20"/>
        </w:rPr>
        <w:t>Giacometto</w:t>
      </w:r>
      <w:proofErr w:type="spellEnd"/>
      <w:r>
        <w:rPr>
          <w:rFonts w:asciiTheme="minorHAnsi" w:hAnsiTheme="minorHAnsi"/>
          <w:color w:val="000000" w:themeColor="text1"/>
          <w:sz w:val="20"/>
          <w:szCs w:val="20"/>
        </w:rPr>
        <w:t xml:space="preserve">, Labriola, Ruffino, Martino, Calabria, Nevi, </w:t>
      </w:r>
      <w:proofErr w:type="spellStart"/>
      <w:r>
        <w:rPr>
          <w:rFonts w:asciiTheme="minorHAnsi" w:hAnsiTheme="minorHAnsi"/>
          <w:color w:val="000000" w:themeColor="text1"/>
          <w:sz w:val="20"/>
          <w:szCs w:val="20"/>
        </w:rPr>
        <w:t>Spena</w:t>
      </w:r>
      <w:proofErr w:type="spellEnd"/>
      <w:r>
        <w:rPr>
          <w:rFonts w:asciiTheme="minorHAnsi" w:hAnsiTheme="minorHAnsi"/>
          <w:color w:val="000000" w:themeColor="text1"/>
          <w:sz w:val="20"/>
          <w:szCs w:val="20"/>
        </w:rPr>
        <w:t>, Polverini, Barelli, Battilocchio, Marrocco, Rotondi.</w:t>
      </w:r>
    </w:p>
    <w:p w:rsidR="00B35C0B" w:rsidRDefault="00B35C0B" w:rsidP="00B35C0B">
      <w:pPr>
        <w:pStyle w:val="Testonotaapidipagina"/>
      </w:pPr>
    </w:p>
  </w:footnote>
  <w:footnote w:id="9">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2. 40.</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D'Alessandro,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2. 41. Gallinella,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2. 42.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Muroni; 2. 43. Braga, Melilli, Buratti, Del Basso De Caro,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 xml:space="preserve">; 2. 44. Gagliardi, Benigni, Pedrazzini, </w:t>
      </w:r>
      <w:proofErr w:type="spellStart"/>
      <w:r>
        <w:rPr>
          <w:rFonts w:asciiTheme="minorHAnsi" w:hAnsiTheme="minorHAnsi"/>
          <w:color w:val="000000" w:themeColor="text1"/>
          <w:sz w:val="20"/>
          <w:szCs w:val="20"/>
        </w:rPr>
        <w:t>Silli</w:t>
      </w:r>
      <w:proofErr w:type="spellEnd"/>
      <w:r>
        <w:rPr>
          <w:rFonts w:asciiTheme="minorHAnsi" w:hAnsiTheme="minorHAnsi"/>
          <w:color w:val="000000" w:themeColor="text1"/>
          <w:sz w:val="20"/>
          <w:szCs w:val="20"/>
        </w:rPr>
        <w:t xml:space="preserve">, Sorte; 2. 45. </w:t>
      </w:r>
      <w:proofErr w:type="spellStart"/>
      <w:r>
        <w:rPr>
          <w:rFonts w:asciiTheme="minorHAnsi" w:hAnsiTheme="minorHAnsi"/>
          <w:color w:val="000000" w:themeColor="text1"/>
          <w:sz w:val="20"/>
          <w:szCs w:val="20"/>
        </w:rPr>
        <w:t>Trancassini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Foti</w:t>
      </w:r>
      <w:proofErr w:type="spellEnd"/>
      <w:r>
        <w:rPr>
          <w:rFonts w:asciiTheme="minorHAnsi" w:hAnsiTheme="minorHAnsi"/>
          <w:color w:val="000000" w:themeColor="text1"/>
          <w:sz w:val="20"/>
          <w:szCs w:val="20"/>
        </w:rPr>
        <w:t>, Butti, Prisco.</w:t>
      </w:r>
    </w:p>
    <w:p w:rsidR="00B35C0B" w:rsidRDefault="00B35C0B" w:rsidP="00B35C0B">
      <w:pPr>
        <w:pStyle w:val="Testonotaapidipagina"/>
      </w:pPr>
    </w:p>
  </w:footnote>
  <w:footnote w:id="10">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016.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017.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w:t>
      </w:r>
    </w:p>
    <w:p w:rsidR="00B35C0B" w:rsidRDefault="00B35C0B" w:rsidP="00B35C0B">
      <w:pPr>
        <w:pStyle w:val="Testonotaapidipagina"/>
      </w:pPr>
    </w:p>
  </w:footnote>
  <w:footnote w:id="11">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3. 22. Muroni,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Lorenzoni, Fontana.</w:t>
      </w:r>
    </w:p>
    <w:p w:rsidR="00B35C0B" w:rsidRDefault="00B35C0B" w:rsidP="00B35C0B">
      <w:pPr>
        <w:pStyle w:val="Testonotaapidipagina"/>
      </w:pPr>
    </w:p>
  </w:footnote>
  <w:footnote w:id="12">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3. 25. Buratti, Pellicani, Fontana, Lorenzoni,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w:t>
      </w:r>
    </w:p>
    <w:p w:rsidR="00B35C0B" w:rsidRDefault="00B35C0B" w:rsidP="00B35C0B">
      <w:pPr>
        <w:pStyle w:val="Testonotaapidipagina"/>
      </w:pPr>
    </w:p>
  </w:footnote>
  <w:footnote w:id="13">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3. 31.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Gallinella,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3. 32. (Nuova formulazione)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w:t>
      </w:r>
    </w:p>
    <w:p w:rsidR="00B35C0B" w:rsidRDefault="00B35C0B" w:rsidP="00B35C0B">
      <w:pPr>
        <w:pStyle w:val="Testonotaapidipagina"/>
      </w:pPr>
    </w:p>
  </w:footnote>
  <w:footnote w:id="14">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3. 069. Il Governo.</w:t>
      </w:r>
    </w:p>
    <w:p w:rsidR="00B35C0B" w:rsidRDefault="00B35C0B" w:rsidP="00B35C0B">
      <w:pPr>
        <w:pStyle w:val="Testonotaapidipagina"/>
      </w:pPr>
    </w:p>
  </w:footnote>
  <w:footnote w:id="15">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3. 049.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Cataldi,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D'Eramo,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Lucchini, Paolini, Parolo, Raffaelli,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w:t>
      </w:r>
    </w:p>
    <w:p w:rsidR="00B35C0B" w:rsidRDefault="00B35C0B" w:rsidP="00B35C0B">
      <w:pPr>
        <w:pStyle w:val="Testonotaapidipagina"/>
      </w:pPr>
    </w:p>
  </w:footnote>
  <w:footnote w:id="16">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3. 067. Le Relatrici.</w:t>
      </w:r>
    </w:p>
    <w:p w:rsidR="00B35C0B" w:rsidRDefault="00B35C0B" w:rsidP="00B35C0B">
      <w:pPr>
        <w:pStyle w:val="Testonotaapidipagina"/>
      </w:pPr>
    </w:p>
  </w:footnote>
  <w:footnote w:id="17">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0. 3. 069. 3.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Rospi, De Filippo, </w:t>
      </w:r>
      <w:proofErr w:type="spellStart"/>
      <w:r>
        <w:rPr>
          <w:rFonts w:asciiTheme="minorHAnsi" w:hAnsiTheme="minorHAnsi"/>
          <w:color w:val="000000" w:themeColor="text1"/>
          <w:sz w:val="20"/>
          <w:szCs w:val="20"/>
        </w:rPr>
        <w:t>Cillis</w:t>
      </w:r>
      <w:proofErr w:type="spellEnd"/>
      <w:r>
        <w:rPr>
          <w:rFonts w:asciiTheme="minorHAnsi" w:hAnsiTheme="minorHAnsi"/>
          <w:color w:val="000000" w:themeColor="text1"/>
          <w:sz w:val="20"/>
          <w:szCs w:val="20"/>
        </w:rPr>
        <w:t xml:space="preserve">, Gabriele Lorenzoni, Daga, Deiana, D'Ippolito, Federico, Ilaria Fontana,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Rospi,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Braga, Buratti, Del Basso De Caro, Orlando, Pellicani,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Muroni, </w:t>
      </w:r>
      <w:proofErr w:type="spellStart"/>
      <w:r>
        <w:rPr>
          <w:rFonts w:asciiTheme="minorHAnsi" w:hAnsiTheme="minorHAnsi"/>
          <w:color w:val="000000" w:themeColor="text1"/>
          <w:sz w:val="20"/>
          <w:szCs w:val="20"/>
        </w:rPr>
        <w:t>Cortelazzo</w:t>
      </w:r>
      <w:proofErr w:type="spellEnd"/>
      <w:r>
        <w:rPr>
          <w:rFonts w:asciiTheme="minorHAnsi" w:hAnsiTheme="minorHAnsi"/>
          <w:color w:val="000000" w:themeColor="text1"/>
          <w:sz w:val="20"/>
          <w:szCs w:val="20"/>
        </w:rPr>
        <w:t xml:space="preserve">, Casino, </w:t>
      </w:r>
      <w:proofErr w:type="spellStart"/>
      <w:r>
        <w:rPr>
          <w:rFonts w:asciiTheme="minorHAnsi" w:hAnsiTheme="minorHAnsi"/>
          <w:color w:val="000000" w:themeColor="text1"/>
          <w:sz w:val="20"/>
          <w:szCs w:val="20"/>
        </w:rPr>
        <w:t>Giacometto</w:t>
      </w:r>
      <w:proofErr w:type="spellEnd"/>
      <w:r>
        <w:rPr>
          <w:rFonts w:asciiTheme="minorHAnsi" w:hAnsiTheme="minorHAnsi"/>
          <w:color w:val="000000" w:themeColor="text1"/>
          <w:sz w:val="20"/>
          <w:szCs w:val="20"/>
        </w:rPr>
        <w:t xml:space="preserve">, Labriola, Mazzetti, Ruffino, </w:t>
      </w:r>
      <w:proofErr w:type="spellStart"/>
      <w:r>
        <w:rPr>
          <w:rFonts w:asciiTheme="minorHAnsi" w:hAnsiTheme="minorHAnsi"/>
          <w:color w:val="000000" w:themeColor="text1"/>
          <w:sz w:val="20"/>
          <w:szCs w:val="20"/>
        </w:rPr>
        <w:t>Trancassini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Foti</w:t>
      </w:r>
      <w:proofErr w:type="spellEnd"/>
      <w:r>
        <w:rPr>
          <w:rFonts w:asciiTheme="minorHAnsi" w:hAnsiTheme="minorHAnsi"/>
          <w:color w:val="000000" w:themeColor="text1"/>
          <w:sz w:val="20"/>
          <w:szCs w:val="20"/>
        </w:rPr>
        <w:t xml:space="preserve">, Butti; 0. 3. 069. 4. </w:t>
      </w:r>
      <w:proofErr w:type="spellStart"/>
      <w:r>
        <w:rPr>
          <w:rFonts w:asciiTheme="minorHAnsi" w:hAnsiTheme="minorHAnsi"/>
          <w:color w:val="000000" w:themeColor="text1"/>
          <w:sz w:val="20"/>
          <w:szCs w:val="20"/>
        </w:rPr>
        <w:t>Liuni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D'Eramo,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Basini,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Lucchini, Paolini, Parolo, Raffaelli,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w:t>
      </w:r>
    </w:p>
    <w:p w:rsidR="00B35C0B" w:rsidRDefault="00B35C0B" w:rsidP="00B35C0B">
      <w:pPr>
        <w:pStyle w:val="Testonotaapidipagina"/>
      </w:pPr>
    </w:p>
  </w:footnote>
  <w:footnote w:id="18">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3. 069. Il Governo.</w:t>
      </w:r>
    </w:p>
    <w:p w:rsidR="00B35C0B" w:rsidRDefault="00B35C0B" w:rsidP="00B35C0B">
      <w:pPr>
        <w:pStyle w:val="Testonotaapidipagina"/>
      </w:pPr>
    </w:p>
  </w:footnote>
  <w:footnote w:id="19">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4. 5.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Giacometto</w:t>
      </w:r>
      <w:proofErr w:type="spellEnd"/>
      <w:r>
        <w:rPr>
          <w:rFonts w:asciiTheme="minorHAnsi" w:hAnsiTheme="minorHAnsi"/>
          <w:color w:val="000000" w:themeColor="text1"/>
          <w:sz w:val="20"/>
          <w:szCs w:val="20"/>
        </w:rPr>
        <w:t xml:space="preserve">, Labriola, Mazzetti, Baldelli, Nevi, Polidori, Gelmini, </w:t>
      </w:r>
      <w:proofErr w:type="spellStart"/>
      <w:r>
        <w:rPr>
          <w:rFonts w:asciiTheme="minorHAnsi" w:hAnsiTheme="minorHAnsi"/>
          <w:color w:val="000000" w:themeColor="text1"/>
          <w:sz w:val="20"/>
          <w:szCs w:val="20"/>
        </w:rPr>
        <w:t>Spena</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Cortelazzo</w:t>
      </w:r>
      <w:proofErr w:type="spellEnd"/>
      <w:r>
        <w:rPr>
          <w:rFonts w:asciiTheme="minorHAnsi" w:hAnsiTheme="minorHAnsi"/>
          <w:color w:val="000000" w:themeColor="text1"/>
          <w:sz w:val="20"/>
          <w:szCs w:val="20"/>
        </w:rPr>
        <w:t>, Casino, Ruffino, Martino, Calabria, Polverini, Barelli, Battilocchio, Marrocco, Rotondi; 4. 6.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Muroni; 4. 7.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4. 8.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Ilaria Fontana,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Cataldi, Daga,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Roberto Rossini; 4. 9.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Braga, Buratti, Del Basso De Caro, Melilli,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 4. 13.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Gagliardi, Benigni, Pedrazzini, </w:t>
      </w:r>
      <w:proofErr w:type="spellStart"/>
      <w:r>
        <w:rPr>
          <w:rFonts w:asciiTheme="minorHAnsi" w:hAnsiTheme="minorHAnsi"/>
          <w:color w:val="000000" w:themeColor="text1"/>
          <w:sz w:val="20"/>
          <w:szCs w:val="20"/>
        </w:rPr>
        <w:t>Silli</w:t>
      </w:r>
      <w:proofErr w:type="spellEnd"/>
      <w:r>
        <w:rPr>
          <w:rFonts w:asciiTheme="minorHAnsi" w:hAnsiTheme="minorHAnsi"/>
          <w:color w:val="000000" w:themeColor="text1"/>
          <w:sz w:val="20"/>
          <w:szCs w:val="20"/>
        </w:rPr>
        <w:t>, Sorte.</w:t>
      </w:r>
    </w:p>
    <w:p w:rsidR="00B35C0B" w:rsidRDefault="00B35C0B" w:rsidP="00B35C0B">
      <w:pPr>
        <w:pStyle w:val="Testonotaapidipagina"/>
      </w:pPr>
    </w:p>
  </w:footnote>
  <w:footnote w:id="20">
    <w:p w:rsidR="00B35C0B" w:rsidRDefault="00B35C0B" w:rsidP="00B35C0B">
      <w:pPr>
        <w:pStyle w:val="NormaleWeb"/>
        <w:shd w:val="clear" w:color="auto" w:fill="FFFFFF"/>
        <w:jc w:val="both"/>
        <w:rPr>
          <w:rFonts w:asciiTheme="minorHAnsi" w:hAnsiTheme="minorHAnsi"/>
          <w:color w:val="000000" w:themeColor="text1"/>
        </w:rPr>
      </w:pPr>
      <w:r>
        <w:rPr>
          <w:rStyle w:val="Rimandonotaapidipagina"/>
        </w:rPr>
        <w:footnoteRef/>
      </w:r>
      <w:r>
        <w:t xml:space="preserve"> </w:t>
      </w:r>
      <w:r>
        <w:rPr>
          <w:rFonts w:asciiTheme="minorHAnsi" w:hAnsiTheme="minorHAnsi"/>
          <w:color w:val="000000" w:themeColor="text1"/>
          <w:sz w:val="20"/>
          <w:szCs w:val="20"/>
        </w:rPr>
        <w:t xml:space="preserve">4. 02. </w:t>
      </w:r>
      <w:proofErr w:type="spellStart"/>
      <w:r>
        <w:rPr>
          <w:rFonts w:asciiTheme="minorHAnsi" w:hAnsiTheme="minorHAnsi"/>
          <w:color w:val="000000" w:themeColor="text1"/>
          <w:sz w:val="20"/>
          <w:szCs w:val="20"/>
        </w:rPr>
        <w:t>Cortelazzo</w:t>
      </w:r>
      <w:proofErr w:type="spellEnd"/>
      <w:r>
        <w:rPr>
          <w:rFonts w:asciiTheme="minorHAnsi" w:hAnsiTheme="minorHAnsi"/>
          <w:color w:val="000000" w:themeColor="text1"/>
          <w:sz w:val="20"/>
          <w:szCs w:val="20"/>
        </w:rPr>
        <w:t xml:space="preserve">, Baldelli, Ruffino, Gelmini, Labriola, Mazzetti, Polidori, Casino, </w:t>
      </w:r>
      <w:proofErr w:type="spellStart"/>
      <w:r>
        <w:rPr>
          <w:rFonts w:asciiTheme="minorHAnsi" w:hAnsiTheme="minorHAnsi"/>
          <w:color w:val="000000" w:themeColor="text1"/>
          <w:sz w:val="20"/>
          <w:szCs w:val="20"/>
        </w:rPr>
        <w:t>Giacometto</w:t>
      </w:r>
      <w:proofErr w:type="spellEnd"/>
      <w:r>
        <w:rPr>
          <w:rFonts w:asciiTheme="minorHAnsi" w:hAnsiTheme="minorHAnsi"/>
          <w:color w:val="000000" w:themeColor="text1"/>
          <w:sz w:val="20"/>
          <w:szCs w:val="20"/>
        </w:rPr>
        <w:t xml:space="preserve">, Martino, Calabria, Nevi, </w:t>
      </w:r>
      <w:proofErr w:type="spellStart"/>
      <w:r>
        <w:rPr>
          <w:rFonts w:asciiTheme="minorHAnsi" w:hAnsiTheme="minorHAnsi"/>
          <w:color w:val="000000" w:themeColor="text1"/>
          <w:sz w:val="20"/>
          <w:szCs w:val="20"/>
        </w:rPr>
        <w:t>Spena</w:t>
      </w:r>
      <w:proofErr w:type="spellEnd"/>
      <w:r>
        <w:rPr>
          <w:rFonts w:asciiTheme="minorHAnsi" w:hAnsiTheme="minorHAnsi"/>
          <w:color w:val="000000" w:themeColor="text1"/>
          <w:sz w:val="20"/>
          <w:szCs w:val="20"/>
        </w:rPr>
        <w:t xml:space="preserve">, Polverini, Barelli, Battilocchio, Marrocco, Rotondi; 4. 03. Gagliardi, Benigni, Pedrazzini, </w:t>
      </w:r>
      <w:proofErr w:type="spellStart"/>
      <w:r>
        <w:rPr>
          <w:rFonts w:asciiTheme="minorHAnsi" w:hAnsiTheme="minorHAnsi"/>
          <w:color w:val="000000" w:themeColor="text1"/>
          <w:sz w:val="20"/>
          <w:szCs w:val="20"/>
        </w:rPr>
        <w:t>Silli</w:t>
      </w:r>
      <w:proofErr w:type="spellEnd"/>
      <w:r>
        <w:rPr>
          <w:rFonts w:asciiTheme="minorHAnsi" w:hAnsiTheme="minorHAnsi"/>
          <w:color w:val="000000" w:themeColor="text1"/>
          <w:sz w:val="20"/>
          <w:szCs w:val="20"/>
        </w:rPr>
        <w:t>, Sorte; 4. 04.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D'Eramo,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Latini, Paolini, </w:t>
      </w:r>
      <w:proofErr w:type="spellStart"/>
      <w:r>
        <w:rPr>
          <w:rFonts w:asciiTheme="minorHAnsi" w:hAnsiTheme="minorHAnsi"/>
          <w:color w:val="000000" w:themeColor="text1"/>
          <w:sz w:val="20"/>
          <w:szCs w:val="20"/>
        </w:rPr>
        <w:t>Bellachioma</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Basini, Benvenuto, Caparvi, De Angelis, </w:t>
      </w:r>
      <w:proofErr w:type="spellStart"/>
      <w:r>
        <w:rPr>
          <w:rFonts w:asciiTheme="minorHAnsi" w:hAnsiTheme="minorHAnsi"/>
          <w:color w:val="000000" w:themeColor="text1"/>
          <w:sz w:val="20"/>
          <w:szCs w:val="20"/>
        </w:rPr>
        <w:t>Durigon</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Gerardi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Lucchini, Marchetti, Parolo, Raffaelli, Saltamartini,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Zicchieri</w:t>
      </w:r>
      <w:proofErr w:type="spellEnd"/>
      <w:r>
        <w:rPr>
          <w:rFonts w:asciiTheme="minorHAnsi" w:hAnsiTheme="minorHAnsi"/>
          <w:color w:val="000000" w:themeColor="text1"/>
          <w:sz w:val="20"/>
          <w:szCs w:val="20"/>
        </w:rPr>
        <w:t>; 1. 038.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1. 046.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Roberto Rossini; 1. 047.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Braga, Buratti, Del Basso De Caro, Melilli,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w:t>
      </w:r>
    </w:p>
    <w:p w:rsidR="00B35C0B" w:rsidRDefault="00B35C0B" w:rsidP="00B35C0B">
      <w:pPr>
        <w:pStyle w:val="Testonotaapidipagina"/>
      </w:pPr>
    </w:p>
  </w:footnote>
  <w:footnote w:id="21">
    <w:p w:rsidR="00B35C0B" w:rsidRDefault="00B35C0B" w:rsidP="00B35C0B">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5. 13.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Daga, Deiana, D'Ippolito, Federico, Ilaria Fontana,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Rospi,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Muroni.</w:t>
      </w:r>
    </w:p>
    <w:p w:rsidR="00B35C0B" w:rsidRDefault="00B35C0B" w:rsidP="00B35C0B">
      <w:pPr>
        <w:pStyle w:val="Testonotaapidipagina"/>
      </w:pPr>
    </w:p>
  </w:footnote>
  <w:footnote w:id="22">
    <w:p w:rsidR="00B35C0B" w:rsidRDefault="00B35C0B" w:rsidP="00B35C0B">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5. 03.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Braga, Buratti, Del Basso De Caro, Orlando, Pellicani, Daga, Deiana, D'Ippolito, Federico, Ilaria Fontana,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Rospi,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Muroni, Gagliardi,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D'Eramo,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Lucchini, Paolini, Parolo, Raffaelli,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w:t>
      </w:r>
    </w:p>
    <w:p w:rsidR="00B35C0B" w:rsidRDefault="00B35C0B" w:rsidP="00B35C0B">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0B"/>
    <w:rsid w:val="00B35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9CA5"/>
  <w15:chartTrackingRefBased/>
  <w15:docId w15:val="{E335BAC9-343C-4755-A0FC-24C8CC47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5C0B"/>
    <w:pPr>
      <w:spacing w:after="200" w:line="276" w:lineRule="auto"/>
    </w:pPr>
    <w:rPr>
      <w:rFonts w:ascii="Calibri" w:eastAsia="Calibri" w:hAnsi="Calibri" w:cs="Calibri"/>
      <w:color w:val="878787"/>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35C0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B35C0B"/>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B35C0B"/>
    <w:rPr>
      <w:rFonts w:ascii="Calibri" w:eastAsia="Calibri" w:hAnsi="Calibri" w:cs="Calibri"/>
      <w:color w:val="878787"/>
      <w:sz w:val="20"/>
      <w:szCs w:val="20"/>
      <w:lang w:eastAsia="it-IT"/>
    </w:rPr>
  </w:style>
  <w:style w:type="character" w:styleId="Rimandonotaapidipagina">
    <w:name w:val="footnote reference"/>
    <w:basedOn w:val="Carpredefinitoparagrafo"/>
    <w:uiPriority w:val="99"/>
    <w:semiHidden/>
    <w:unhideWhenUsed/>
    <w:rsid w:val="00B35C0B"/>
    <w:rPr>
      <w:vertAlign w:val="superscript"/>
    </w:rPr>
  </w:style>
  <w:style w:type="paragraph" w:styleId="Intestazione">
    <w:name w:val="header"/>
    <w:basedOn w:val="Normale"/>
    <w:link w:val="IntestazioneCarattere"/>
    <w:uiPriority w:val="99"/>
    <w:unhideWhenUsed/>
    <w:rsid w:val="00B35C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5C0B"/>
    <w:rPr>
      <w:rFonts w:ascii="Calibri" w:eastAsia="Calibri" w:hAnsi="Calibri" w:cs="Calibri"/>
      <w:color w:val="878787"/>
      <w:sz w:val="20"/>
      <w:szCs w:val="20"/>
      <w:lang w:eastAsia="it-IT"/>
    </w:rPr>
  </w:style>
  <w:style w:type="paragraph" w:styleId="Pidipagina">
    <w:name w:val="footer"/>
    <w:basedOn w:val="Normale"/>
    <w:link w:val="PidipaginaCarattere"/>
    <w:uiPriority w:val="99"/>
    <w:unhideWhenUsed/>
    <w:rsid w:val="00B35C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5C0B"/>
    <w:rPr>
      <w:rFonts w:ascii="Calibri" w:eastAsia="Calibri" w:hAnsi="Calibri" w:cs="Calibri"/>
      <w:color w:val="878787"/>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3987</Words>
  <Characters>22726</Characters>
  <Application>Microsoft Office Word</Application>
  <DocSecurity>0</DocSecurity>
  <Lines>189</Lines>
  <Paragraphs>53</Paragraphs>
  <ScaleCrop>false</ScaleCrop>
  <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Alessandrini</dc:creator>
  <cp:keywords/>
  <dc:description/>
  <cp:lastModifiedBy>Paolo Alessandrini</cp:lastModifiedBy>
  <cp:revision>1</cp:revision>
  <dcterms:created xsi:type="dcterms:W3CDTF">2019-11-21T16:49:00Z</dcterms:created>
  <dcterms:modified xsi:type="dcterms:W3CDTF">2019-11-21T16:53:00Z</dcterms:modified>
</cp:coreProperties>
</file>