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3C8" w:rsidRDefault="004803C8" w:rsidP="004803C8">
      <w:pPr>
        <w:spacing w:after="160" w:line="256" w:lineRule="auto"/>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C 1807 - CONVERSIONE IN LEGGE DEL DECRETO-LEGGE 30 APRILE 2019, N. 34, RECANTE MISURE URGENTI DI CRESCITA ECONOMICA E PER LA RISOLUZIONE DI SPECIFICHE SITUAZIONI DI CRISI</w:t>
      </w:r>
    </w:p>
    <w:p w:rsidR="004803C8" w:rsidRDefault="004803C8" w:rsidP="004803C8">
      <w:pPr>
        <w:spacing w:after="160" w:line="256" w:lineRule="auto"/>
        <w:jc w:val="both"/>
        <w:rPr>
          <w:rFonts w:ascii="Times New Roman" w:hAnsi="Times New Roman" w:cs="Times New Roman"/>
          <w:i w:val="0"/>
          <w:color w:val="000000" w:themeColor="text1"/>
          <w:sz w:val="24"/>
          <w:szCs w:val="24"/>
        </w:rPr>
      </w:pPr>
    </w:p>
    <w:p w:rsidR="004803C8" w:rsidRDefault="004803C8" w:rsidP="004803C8">
      <w:pPr>
        <w:jc w:val="both"/>
        <w:rPr>
          <w:rFonts w:ascii="Times New Roman" w:hAnsi="Times New Roman" w:cs="Times New Roman"/>
          <w:sz w:val="24"/>
          <w:szCs w:val="24"/>
        </w:rPr>
      </w:pPr>
      <w:r>
        <w:rPr>
          <w:rFonts w:ascii="Times New Roman" w:hAnsi="Times New Roman" w:cs="Times New Roman"/>
          <w:sz w:val="24"/>
          <w:szCs w:val="24"/>
        </w:rPr>
        <w:t xml:space="preserve">Il </w:t>
      </w:r>
      <w:r w:rsidR="004266E6">
        <w:rPr>
          <w:rFonts w:ascii="Times New Roman" w:hAnsi="Times New Roman" w:cs="Times New Roman"/>
          <w:sz w:val="24"/>
          <w:szCs w:val="24"/>
        </w:rPr>
        <w:t>4</w:t>
      </w:r>
      <w:r>
        <w:rPr>
          <w:rFonts w:ascii="Times New Roman" w:hAnsi="Times New Roman" w:cs="Times New Roman"/>
          <w:sz w:val="24"/>
          <w:szCs w:val="24"/>
        </w:rPr>
        <w:t xml:space="preserve"> giugno 2019, le Commissioni riunite Bilancio e Finanze della Camera ha</w:t>
      </w:r>
      <w:r w:rsidR="00575394">
        <w:rPr>
          <w:rFonts w:ascii="Times New Roman" w:hAnsi="Times New Roman" w:cs="Times New Roman"/>
          <w:sz w:val="24"/>
          <w:szCs w:val="24"/>
        </w:rPr>
        <w:t>nno</w:t>
      </w:r>
      <w:r>
        <w:rPr>
          <w:rFonts w:ascii="Times New Roman" w:hAnsi="Times New Roman" w:cs="Times New Roman"/>
          <w:sz w:val="24"/>
          <w:szCs w:val="24"/>
        </w:rPr>
        <w:t xml:space="preserve"> approvat</w:t>
      </w:r>
      <w:r w:rsidR="004266E6">
        <w:rPr>
          <w:rFonts w:ascii="Times New Roman" w:hAnsi="Times New Roman" w:cs="Times New Roman"/>
          <w:sz w:val="24"/>
          <w:szCs w:val="24"/>
        </w:rPr>
        <w:t>o un</w:t>
      </w:r>
      <w:r>
        <w:rPr>
          <w:rFonts w:ascii="Times New Roman" w:hAnsi="Times New Roman" w:cs="Times New Roman"/>
          <w:sz w:val="24"/>
          <w:szCs w:val="24"/>
        </w:rPr>
        <w:t xml:space="preserve"> emendament</w:t>
      </w:r>
      <w:r w:rsidR="004266E6">
        <w:rPr>
          <w:rFonts w:ascii="Times New Roman" w:hAnsi="Times New Roman" w:cs="Times New Roman"/>
          <w:sz w:val="24"/>
          <w:szCs w:val="24"/>
        </w:rPr>
        <w:t>o</w:t>
      </w:r>
      <w:r>
        <w:rPr>
          <w:rFonts w:ascii="Times New Roman" w:hAnsi="Times New Roman" w:cs="Times New Roman"/>
          <w:sz w:val="24"/>
          <w:szCs w:val="24"/>
        </w:rPr>
        <w:t xml:space="preserve"> a firma dei Relatori riferit</w:t>
      </w:r>
      <w:r w:rsidR="00575394">
        <w:rPr>
          <w:rFonts w:ascii="Times New Roman" w:hAnsi="Times New Roman" w:cs="Times New Roman"/>
          <w:sz w:val="24"/>
          <w:szCs w:val="24"/>
        </w:rPr>
        <w:t>o</w:t>
      </w:r>
      <w:r>
        <w:rPr>
          <w:rFonts w:ascii="Times New Roman" w:hAnsi="Times New Roman" w:cs="Times New Roman"/>
          <w:sz w:val="24"/>
          <w:szCs w:val="24"/>
        </w:rPr>
        <w:t xml:space="preserve"> </w:t>
      </w:r>
      <w:r w:rsidR="004266E6">
        <w:rPr>
          <w:rFonts w:ascii="Times New Roman" w:hAnsi="Times New Roman" w:cs="Times New Roman"/>
          <w:sz w:val="24"/>
          <w:szCs w:val="24"/>
        </w:rPr>
        <w:t>all’art. 37</w:t>
      </w:r>
      <w:r>
        <w:rPr>
          <w:rFonts w:ascii="Times New Roman" w:hAnsi="Times New Roman" w:cs="Times New Roman"/>
          <w:sz w:val="24"/>
          <w:szCs w:val="24"/>
        </w:rPr>
        <w:t>, pagin</w:t>
      </w:r>
      <w:r w:rsidR="00575394">
        <w:rPr>
          <w:rFonts w:ascii="Times New Roman" w:hAnsi="Times New Roman" w:cs="Times New Roman"/>
          <w:sz w:val="24"/>
          <w:szCs w:val="24"/>
        </w:rPr>
        <w:t>a</w:t>
      </w:r>
      <w:r>
        <w:rPr>
          <w:rFonts w:ascii="Times New Roman" w:hAnsi="Times New Roman" w:cs="Times New Roman"/>
          <w:sz w:val="24"/>
          <w:szCs w:val="24"/>
        </w:rPr>
        <w:t xml:space="preserve"> </w:t>
      </w:r>
      <w:r w:rsidR="00575394">
        <w:rPr>
          <w:rFonts w:ascii="Times New Roman" w:hAnsi="Times New Roman" w:cs="Times New Roman"/>
          <w:sz w:val="24"/>
          <w:szCs w:val="24"/>
        </w:rPr>
        <w:t>45</w:t>
      </w:r>
      <w:r>
        <w:rPr>
          <w:rFonts w:ascii="Times New Roman" w:hAnsi="Times New Roman" w:cs="Times New Roman"/>
          <w:sz w:val="24"/>
          <w:szCs w:val="24"/>
        </w:rPr>
        <w:t xml:space="preserve"> del testo sotto riportato. Il prosieguo dell’esame è stato quindi rinviato ad altra seduta. Si riporta l’articolato con in evidenza le modifiche </w:t>
      </w:r>
      <w:r w:rsidR="00575394">
        <w:rPr>
          <w:rFonts w:ascii="Times New Roman" w:hAnsi="Times New Roman" w:cs="Times New Roman"/>
          <w:sz w:val="24"/>
          <w:szCs w:val="24"/>
        </w:rPr>
        <w:t>apportate fino alla seduta del 4 giugno 2019</w:t>
      </w:r>
      <w:bookmarkStart w:id="0" w:name="_GoBack"/>
      <w:bookmarkEnd w:id="0"/>
      <w:r>
        <w:rPr>
          <w:rFonts w:ascii="Times New Roman" w:hAnsi="Times New Roman" w:cs="Times New Roman"/>
          <w:sz w:val="24"/>
          <w:szCs w:val="24"/>
        </w:rPr>
        <w:t>.</w:t>
      </w:r>
    </w:p>
    <w:p w:rsidR="004803C8" w:rsidRDefault="004803C8" w:rsidP="004803C8">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Pr>
          <w:bCs/>
          <w:color w:val="000000" w:themeColor="text1"/>
        </w:rPr>
        <w:t xml:space="preserve">Le modifiche introdotte si riportano carattere </w:t>
      </w:r>
      <w:r>
        <w:rPr>
          <w:b/>
          <w:bCs/>
          <w:color w:val="000000" w:themeColor="text1"/>
        </w:rPr>
        <w:t>grassetto</w:t>
      </w:r>
      <w:r>
        <w:rPr>
          <w:bCs/>
          <w:color w:val="000000" w:themeColor="text1"/>
        </w:rPr>
        <w:t>, mentre le soppressioni (sostituzioni comprese) si riportano</w:t>
      </w:r>
      <w:r>
        <w:rPr>
          <w:rStyle w:val="apple-converted-space"/>
          <w:rFonts w:eastAsiaTheme="majorEastAsia"/>
          <w:bCs/>
          <w:color w:val="000000" w:themeColor="text1"/>
        </w:rPr>
        <w:t xml:space="preserve"> </w:t>
      </w:r>
      <w:r>
        <w:rPr>
          <w:strike/>
          <w:color w:val="000000" w:themeColor="text1"/>
          <w:bdr w:val="single" w:sz="4" w:space="0" w:color="auto" w:frame="1"/>
          <w:shd w:val="clear" w:color="auto" w:fill="FFFB01"/>
        </w:rPr>
        <w:t>evidenziate</w:t>
      </w:r>
      <w:r w:rsidR="00575394">
        <w:rPr>
          <w:rStyle w:val="apple-converted-space"/>
          <w:rFonts w:eastAsiaTheme="majorEastAsia"/>
          <w:color w:val="000000" w:themeColor="text1"/>
        </w:rPr>
        <w:t xml:space="preserve">. </w:t>
      </w:r>
      <w:r>
        <w:rPr>
          <w:bCs/>
          <w:color w:val="000000" w:themeColor="text1"/>
        </w:rPr>
        <w:t>A piè di pagina si riportano i riferimenti della proposta di modifica approvata.</w:t>
      </w:r>
    </w:p>
    <w:p w:rsidR="004803C8" w:rsidRDefault="004803C8" w:rsidP="004803C8">
      <w:pPr>
        <w:jc w:val="both"/>
        <w:rPr>
          <w:rFonts w:ascii="Times New Roman" w:hAnsi="Times New Roman" w:cs="Times New Roman"/>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DISEGNO DI LEGGE</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 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È convertito in legge il decreto-legge 30 aprile 2019, n. 34, recante misure urgenti di crescita economica e per la risoluzione di specifiche situazioni di crisi.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La presente legge entra in vigore il giorno successivo a quello della sua pubblicazione nella Gazzetta Ufficiale.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Capo 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MISURE FISCALI PER LA CRESCITA ECONOMICA</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(Maggiorazione dell'ammortamento per i beni strumentali nuovi)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Ai fini delle imposte sui redditi, per i soggetti titolari di reddito d'impresa e per gli esercenti arti e professioni che effettuano investimenti in beni materiali strumentali nuovi, esclusi i veicoli e gli altri mezzi di trasporto di cui all'articolo 164, comma 1, del testo unico delle imposte sui redditi, di cui al decreto del Presidente della Repubblica 22 dicembre 1986, n. 917, dal 1° aprile 2019 al 31 dicembre 2019, ovvero entro il 30 giugno 2020, a condizione che entro la data del 31 dicembre 2019 il relativo ordine risulti accettato dal venditore e sia avvenuto il pagamento di acconti in misura almeno pari al 20 per cento del costo di acquisizione, con esclusivo riferimento alla determinazione </w:t>
      </w:r>
      <w:r>
        <w:rPr>
          <w:rFonts w:ascii="Times New Roman" w:eastAsia="Calibri" w:hAnsi="Times New Roman" w:cs="Times New Roman"/>
          <w:i w:val="0"/>
          <w:iCs w:val="0"/>
          <w:color w:val="000000"/>
          <w:sz w:val="24"/>
          <w:szCs w:val="24"/>
        </w:rPr>
        <w:lastRenderedPageBreak/>
        <w:t>delle quote di ammortamento e dei canoni di locazione finanziaria, il costo di acquisizione è maggiorato del 30 per cento. La maggiorazione del costo non si applica sulla parte di investimenti complessivi eccedenti il limite di 2,5 milioni di euro. Resta ferma l'applicazione delle disposizioni di cui all'articolo 1, commi 93 e 97, della legge 28 dicembre 2015, n. 208.</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(Revisione mini-IRES)</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 decorrere dal periodo d'imposta successivo a quello in corso al 31 dicembre 2021, il reddito d'impresa dichiarato dalle società e dagli enti di cui all'articolo 73, comma 1, del testo unico delle imposte sui redditi, di cui al decreto del Presidente della Repubblica 22 dicembre 1986, n. 917, fino a concorrenza dell'importo corrispondente agli utili di esercizio accantonati a riserve diverse da quelle di utili non disponibili, nei limiti dell'incremento di patrimonio netto, è assoggettato all'aliquota di cui all'articolo 77 del predetto testo unico ridotta di 3,5 punti percentuali; per il periodo d'imposta successivo a quello in corso al 31 dicembre 2018 e per i due successivi la stessa aliquota è ridotta, rispettivamente, di 1,5 punti percentuali, di 2,5 punti percentuali, di 3 punti percentuali. Alla quota di reddito assoggettata all'aliquota ridotta di cui al periodo precedente, l'addizionale di cui all'articolo 1, comma 65, della legge 28 dicembre 2015, n. 208, si applica in misura corrispondentemente aumentata.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Ai fini del comma 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si considerano riserve di utili non disponibili le riserve formate con utili diversi da quelli realmente conseguiti ai sensi dell'articolo 2433 del codice civile in quanto derivanti da processi di valutazione. Rilevano gli utili realizzati a decorrere dal periodo d'imposta in corso al 31 dicembre 2018 e accantonati a riserva, ad esclusione di quelli destinati a riserve non disponibili;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l'incremento di patrimonio netto è dato dalla differenza tra il patrimonio netto risultante dal bilancio d'esercizio del periodo d'imposta di riferimento, senza considerare il risultato del medesimo esercizio, al netto degli utili accantonati a riserva, agevolati nei periodi di imposta precedenti, e il patrimonio netto risultante dal bilancio d'esercizio del periodo d'imposta in corso al 31 dicembre 2018, senza considerare il risultato del medesimo esercizio.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Per ciascun periodo d'imposta, la parte degli utili accantonati a riserva agevolabili che eccede l'ammontare del reddito complessivo netto dichiarato è computata in aumento degli utili accantonati a riserva agevolabili dell'esercizio successivo.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Per le società e per gli enti indicati nell'articolo 73, comma 1, lettere a), b) e d), del testo unico delle imposte sui redditi, che partecipano al consolidato nazionale di cui agli articoli da 117 a 129 del medesimo testo unico, l'importo su cui spetta l'aliquota ridotta, determinato ai sensi del comma 1 da ciascun soggetto partecipante al consolidato, è utilizzato dalla società o ente controllante, ai fini della liquidazione dell'imposta dovuta, fino a concorrenza del reddito eccedente le perdite computate in diminuzione. Le disposizioni del presente comma si applicano anche all'importo determinato dalle </w:t>
      </w:r>
      <w:r>
        <w:rPr>
          <w:rFonts w:ascii="Times New Roman" w:eastAsia="Calibri" w:hAnsi="Times New Roman" w:cs="Times New Roman"/>
          <w:i w:val="0"/>
          <w:iCs w:val="0"/>
          <w:color w:val="000000"/>
          <w:sz w:val="24"/>
          <w:szCs w:val="24"/>
        </w:rPr>
        <w:lastRenderedPageBreak/>
        <w:t xml:space="preserve">società e dagli enti indicati nell'articolo 73, comma 1, lettere a) e b), del testo unico che esercitano l'opzione per il consolidato mondiale di cui ai successivi articoli da 130 a 142 del medesimo testo unico.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 In caso di opzione per la trasparenza fiscale di cui all'articolo 115 del testo unico delle imposte sui redditi, l'importo su cui spetta l'aliquota ridotta determinato dalla società partecipata ai sensi del comma 1 è attribuito a ciascun socio in misura proporzionale alla sua quota di partecipazione agli utili. La quota attribuita non utilizzata dal socio è computata in aumento dell'importo su cui spetta l'aliquota ridotta dell'esercizio successivo, determinato ai sensi del presente comma.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6. Le disposizioni dei commi 1, 2, 3, 4, 5 sono applicabili anche ai fini dell'imposta sul reddito delle persone fisiche, al reddito d'impresa dichiarato dagli imprenditori individuali e dalle società in nome collettivo e in accomandita semplice in regime di contabilità ordinaria.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7. L'agevolazione di cui ai commi 1, 2, 3, 4, 5, 6 è cumulabile con altri benefìci eventualmente concessi, ad eccezione di quelli che prevedono regimi forfetari di determinazione del reddito e di quelli di cui all'articolo 6 del decreto del Presidente della Repubblica 29 settembre 1973, n. 601.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8. Con decreto del Ministro dell'economia e delle finanze sono adottate le disposizioni di attuazione del presente articolo.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9. All'articolo 1 della legge 30 dicembre 2018, n. 145, i commi da 28 a 34 sono abrogati.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(Maggiorazione deducibilità IMU dalle imposte sui redditi)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14, comma 1, del decreto legislativo 14 marzo 2011, n. 23, le parole «nella misura del 40 per cento» sono sostituite dalle seguenti: «a decorrere dal periodo d'imposta successivo a quello in corso al 31 dicembre 2021 nella misura del 70 per cento; per il periodo d'imposta successivo a quello in corso al 31 dicembre 2018 tale deduzione è applicata nella misura del 50 per cento e per il periodo d'imposta successivo a quello in corso al 31 dicembre 2019 e al 31 dicembre 2020 nella misura del 60 per cento».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(Modifiche alla disciplina del Patent box)</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 decorrere dal periodo di imposta in corso alla data di entrata in vigore del presente decreto, i soggetti titolari di reddito di impresa che optano per il regime agevolativo di cui all'articolo 1, commi da 37 a 45, della legge 23 dicembre 2014, n. 190, possono scegliere, in alternativa alla procedura di cui articolo 31-ter del decreto del Presidente della Repubblica 29 settembre 1973, n. 600, ove applicabile, di determinare e dichiarare il reddito agevolabile, indicando le informazioni necessarie alla predetta determinazione in idonea documentazione predisposta secondo quanto previsto da un provvedimento del Direttore dell'Agenzia delle entrate da emanare entro novanta giorni dalla data di entrata in vigore del presente decreto, con il quale sono, altresì, definite le ulteriori disposizioni attuative del presente articolo. I soggetti che esercitano l'opzione prevista dal presente comma </w:t>
      </w:r>
      <w:r>
        <w:rPr>
          <w:rFonts w:ascii="Times New Roman" w:eastAsia="Calibri" w:hAnsi="Times New Roman" w:cs="Times New Roman"/>
          <w:i w:val="0"/>
          <w:iCs w:val="0"/>
          <w:color w:val="000000"/>
          <w:sz w:val="24"/>
          <w:szCs w:val="24"/>
        </w:rPr>
        <w:lastRenderedPageBreak/>
        <w:t xml:space="preserve">ripartiscono la variazione in diminuzione in tre quote annuali di pari importo da indicare nella dichiarazione dei redditi e dell'imposta regionale sulle attività produttive relativa al periodo di imposta in cui viene esercitata tale opzione e in quelle relative ai due periodi d'imposta successivi.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In caso di rettifica del reddito escluso dal concorso alla formazione del reddito d'impresa ai sensi del regime agevolativo di cui al comma 1, determinato direttamente dai soggetti ivi indicati, da cui derivi una maggiore imposta o una differenza del credito, la sanzione di cui all'articolo 1, comma 2, del decreto legislativo 18 dicembre 1997, n. 471 non si applica qualora, nel corso di accessi, ispezioni, verifiche o di altra attività istruttoria, il contribuente consegni all'Amministrazione finanziaria la documentazione indicata nel provvedimento del Direttore dell'Agenzia delle entrate di cui al comma 1 idonea a consentire il riscontro della corretta determinazione della quota di reddito escluso, sia con riferimento all'ammontare dei componenti positivi di reddito, ivi inclusi quelli impliciti derivanti dall'utilizzo diretto dei beni indicati, sia con riferimento ai criteri e alla individuazione dei componenti negativi riferibili ai predetti componenti positivi.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Il contribuente che detiene la documentazione prevista dal provvedimento, di cui al comma 1, deve darne comunicazione all'Amministrazione finanziaria nella dichiarazione relativa al periodo d'imposta per il quale si beneficia dell'agevolazione.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Le disposizioni di cui al presente articolo si applicano anche in caso di attivazione delle procedure previste dall'articolo 31-ter del decreto del Presidente della Repubblica 29 settembre 1973, n. 600, a condizione che non sia stato concluso il relativo accordo, previa comunicazione all'Agenzia delle entrate dell'espressa volontà di rinuncia alla medesima procedura. I soggetti che esercitano l'opzione prevista dal presente comma ripartiscono la somma delle variazioni in diminuzione, relative ai periodi di imposta di applicazione dell'agevolazione, in tre quote annuali di pari importo da indicare nella dichiarazione dei redditi e dell'imposta regionale sulle attività produttive relativa al periodo di imposta in cui viene esercitata tale opzione e in quelle relative ai due periodi d'imposta successivi.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Resta ferma la facoltà, per tutti i soggetti che intendano beneficiare dell'agevolazione, di applicare le disposizioni previste nel comma 2, mediante la presentazione di una dichiarazione integrativa ai sensi dell'articolo 2, comma 8, del decreto del Presidente della Repubblica 22 luglio 1998, n. 322, nella quale deve essere data indicazione del possesso della documentazione idonea di cui al comma 1 per ciascun periodo d'imposta oggetto di integrazione, purché tale dichiarazione integrativa sia presentata prima della formale conoscenza dell'inizio di qualunque attività di controllo relativa al regime previsto dai commi da 37 a 45 dell'articolo 1 della legge 23 dicembre 2014, n. 190.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In assenza, nei casi previsti dal presente articolo, della comunicazione attestante il possesso della documentazione idonea di cui al comma 1, in caso di rettifica del reddito ai sensi del comma 2, si applica la sanzione di cui all'articolo 1, comma 2, del decreto legislativo 18 dicembre 1997, n. 471.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5.</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(Rientro dei cervelli)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16 del decreto legislativo 14 settembre 2015, n. 147,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il comma 1 è sostituito dal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I redditi di lavoro dipendente, i redditi assimilati a quelli di lavoro dipendente e i redditi di lavoro autonomo prodotti in Italia da lavoratori che trasferiscono la residenza nel territorio dello Stato ai sensi dell'articolo 2 del decreto del Presidente della Repubblica 22 dicembre 1986, n. 917, concorrono alla formazione del reddito complessivo limitatamente al 30 per cento del loro ammontare al ricorrere delle seguenti condizioni: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i lavoratori non sono stati residenti in Italia nei due periodi d'imposta precedenti il predetto trasferimento e si impegnano a risiedere in Italia per almeno due anni;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l'attività lavorativa è prestata prevalentemente nel territorio italiano.»;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il comma 1-bis è sostituito dal seguente: «1-bis. Il regime di cui al comma 1 si applica anche ai redditi d'impresa prodotti dai soggetti identificati dal comma 1 o dal comma 2 che avviano un'attività d'impresa in Italia, a partire dal periodo d'imposta successivo a quello in corso al 31 dicembre 2019.»;</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dopo il comma 3 è inserito il seguente: «3-bis. Le disposizioni del presente articolo si applicano per ulteriori cinque periodi di imposta ai lavoratori con almeno un figlio minorenne o a carico, anche in affido preadottivo. Le disposizioni del presente articolo si applicano per ulteriori cinque periodi di imposta anche nel caso in cui i lavoratori diventino proprietari di almeno un'unità immobiliare di tipo residenziale in Italia, successivamente al trasferimento in Italia o nei dodici mesi precedenti al trasferimento; l'unità immobiliare può essere acquistata direttamente dal lavoratore oppure dal coniuge, dal convivente o dai figli, anche in comproprietà. In entrambi i casi, i redditi di cui al comma 1, negli ulteriori cinque periodi di imposta, concorrono alla formazione del reddito complessivo limitatamente al 50 per cento del loro ammontare. Per i lavoratori che abbiano almeno tre figli minorenni o a carico, anche in affido preadottivo, i redditi di cui al comma 1, negli ulteriori cinque periodi di imposta, concorrono alla formazione del reddito complessivo limitatamente al 10 per cento del loro ammontare.»;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dopo il comma 5 sono aggiunti 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«5-bis. La percentuale di cui al comma 1 è ridotta al 10 per cento per i soggetti che trasferiscono la residenza in una delle seguenti regioni: Abruzzo, Molise, Campania, Puglia, Basilicata, Calabria, Sardegna, Sicilia.»;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5-ter. I cittadini italiani non iscritti all'Anagrafe degli italiani residenti all'estero (AIRE) rientrati in Italia a decorrere dal periodo d'imposta successivo a quello in corso al 31 dicembre 2019 possono </w:t>
      </w:r>
      <w:r>
        <w:rPr>
          <w:rFonts w:ascii="Times New Roman" w:eastAsia="Calibri" w:hAnsi="Times New Roman" w:cs="Times New Roman"/>
          <w:i w:val="0"/>
          <w:iCs w:val="0"/>
          <w:color w:val="000000"/>
          <w:sz w:val="24"/>
          <w:szCs w:val="24"/>
        </w:rPr>
        <w:lastRenderedPageBreak/>
        <w:t xml:space="preserve">accedere ai benefìci fiscali di cui al presente articolo purché abbiano avuto la residenza in un altro Stato ai sensi di una convenzione contro le doppie imposizioni sui redditi per il periodo di cui al comma 1, lettera a).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cittadini italiani non iscritti all'AIRE rientrati in Italia entro il 31 dicembre 2019 spettano i benefìci fiscali di cui al presente articolo nel testo vigente al 31 dicembre 2018, purché abbiano avuto la residenza in un altro Stato ai sensi di una convenzione contro le doppie imposizioni sui redditi per il periodo di cui al, comma 1, lettera a). Non si fa luogo, in ogni caso, al rimborso delle imposte versate in adempimento spontaneo.».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Le disposizioni di cui al comma 1, lettere a), b), c), e d) si applicano ai soggetti che trasferiscono la residenza in Italia ai sensi dell'articolo 2 del decreto del Presidente della Repubblica 22 dicembre 1986, n. 917 a partire dal periodo d'imposta successivo a quello in corso alla data di entrata in vigore del presente decreto.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All'articolo 8-bis del decreto-legge 16 ottobre 2017, n. 148, convertito, con modificazioni, dalla legge 4 dicembre 2017, n. 172, il comma 2 è sostituito dal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Le disposizioni contenute nell'articolo 44 del decreto-legge 31 maggio 2010, n. 78, convertito, con modificazioni, dalla legge 30 luglio 2010, n. 122, e nell'articolo 16 del decreto legislativo 14 settembre 2015, n. 147, si applicano nel rispetto delle condizioni e dei limiti del regolamento (UE) 1407/2013 della Commissione, del 18 dicembre 2013, relativo all'applicazione degli articoli 107 e 108 del Trattato sul funzionamento dell'Unione europea agli aiuti de minimis, del regolamento (UE) 1408/2013 della Commissione, del 18 dicembre 2013, relativo all'applicazione degli articoli 107 e 108 del Trattato sul funzionamento dell'Unione europea agli aiuti de minimis nel settore agricolo, e del regolamento (UE) 717/2014 della Commissione, del 27 giugno 2014, relativo all'applicazione degli articoli 107 e 108 del Trattato sul funzionamento dell'Unione europea agli aiuti de minimis nel settore della pesca e dell'acquacoltura.».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All'articolo 44 del decreto-legge 31 maggio 2010, n. 78, convertito, con modificazioni, dalla legge 30 luglio 2010, n. 122,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comma 3, le parole: «nei tre periodi d'imposta successivi» sono sostituite dalle seguenti: «nei cinque periodi d'imposta successivi»;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dopo il comma 3-bis sono inseriti 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«3-ter. Le disposizioni di cui ai commi 1 e 2 si applicano nel periodo d'imposta in cui il ricercatore o docente trasferisce la residenza ai sensi dell'articolo 2 del decreto del Presidente della Repubblica 22 dicembre 1986, n. 917 nel territorio dello Stato e nei sette periodi d'imposta successivi, sempre che permanga la residenza fiscale in Italia, nel caso di docenti o ricercatori con un figlio minorenne o a carico, anche in affido preadottivo e nel caso di docenti e ricercatori che diventino </w:t>
      </w:r>
      <w:r>
        <w:rPr>
          <w:rFonts w:ascii="Times New Roman" w:eastAsia="Calibri" w:hAnsi="Times New Roman" w:cs="Times New Roman"/>
          <w:i w:val="0"/>
          <w:iCs w:val="0"/>
          <w:color w:val="000000"/>
          <w:sz w:val="24"/>
          <w:szCs w:val="24"/>
        </w:rPr>
        <w:lastRenderedPageBreak/>
        <w:t xml:space="preserve">proprietari di almeno un'unità immobiliare di tipo residenziale in Italia, successivamente al trasferimento in Italia della residenza ai sensi dell'articolo 2 del d.P.R n. 917/1986 o nei dodici mesi precedenti al trasferimento; l'unità immobiliare può essere acquistata direttamente dal docente e ricercatore oppure dal coniuge, dal convivente o dai figli, anche in comproprietà. Per i docenti e ricercatori che abbiano almeno due figli minorenni o a carico, anche in affido preadottivo, le disposizioni di cui ai commi 1 e 2 si applicano nel periodo d'imposta in cui il ricercatore o docente diviene residente, ai sensi dell'articolo 2 del d.P.R. n. 917/1986, nel territorio dello Stato e nei dieci periodi d'imposta successivi, sempre che permanga la residenza fiscale nel territorio dello Stato. Per i docenti o ricercatori che abbiano almeno tre figli minorenni o a carico, anche in affido preadottivo, le disposizioni di cui ai commi 1 e 2 si applicano nel periodo d'imposta in cui il ricercatore o docente diviene residente, ai sensi dell'articolo 2 del d.P.R n. 917/1986, nel territorio dello Stato e nei dodici periodi d'imposta successivi, sempre che permanga la residenza fiscale nel territorio dello Stato.»;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3-quater. I docenti o ricercatori italiani non iscritti all'Anagrafe degli italiani residenti all'estero (AIRE) rientrati in Italia a decorrere dal periodo d'imposta successivo a quello in corso al 31 dicembre 2019 possono accedere ai benefìci fiscali di cui al presente articolo purché abbiano avuto la residenza in un altro Stato ai sensi di una convenzione contro le doppie imposizioni sui redditi per il periodo di cui all'articolo 16, comma 1, lettera a), del decreto legislativo 14 settembre 2015, n. 147.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docenti e ricercatori italiani non iscritti all'AIRE rientrati in Italia entro il 31 dicembre 2019 spettano i benefìci fiscali di cui al presente articolo nel testo vigente al 31 dicembre 2018, purché abbiano avuto la residenza in un altro Stato ai sensi di una convenzione contro le doppie imposizioni sui redditi per il periodo di cui all'articolo 16, comma 1, lettera a), del decreto legislativo 14 settembre 2015, n. 147. Non si fa luogo, in ogni caso, al rimborso delle imposte versate in adempimento spontaneo.».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 Le disposizioni di cui al comma 4, lettere a) e b), si applicano ai soggetti che trasferiscono la residenza in Italia ai sensi dell'articolo 2 del decreto del Presidente della Repubblica 22 dicembre 1986, n. 917 a partire dal periodo d'imposta successivo a quello in corso alla data di entrata in vigore del presente decreto.».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6.</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(Modifiche al regime dei forfetari)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All'articolo 1, comma 69, terzo periodo, della legge 23 dicembre 2014, n. 190, dopo le parole: «e successive modificazioni» sono inserite le seguenti: «, ad eccezione delle ritenute di cui agli articoli 23 e 24 del medesimo decreto».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In deroga all'articolo 3 della legge 27 luglio 2000, n. 212, le disposizioni di cui al comma 1 hanno effetto a decorrere dal 1° gennaio 2019. L'ammontare complessivo delle ritenute di cui al comma 1, relative alle somme già corrisposte precedentemente alla data di entrata in vigore del presente decreto, è trattenuto, a valere sulle retribuzioni corrisposte a partire dal terzo mese successivo </w:t>
      </w:r>
      <w:r>
        <w:rPr>
          <w:rFonts w:ascii="Times New Roman" w:eastAsia="Calibri" w:hAnsi="Times New Roman" w:cs="Times New Roman"/>
          <w:i w:val="0"/>
          <w:iCs w:val="0"/>
          <w:color w:val="000000"/>
          <w:sz w:val="24"/>
          <w:szCs w:val="24"/>
        </w:rPr>
        <w:lastRenderedPageBreak/>
        <w:t xml:space="preserve">alla data di entrata in vigore del presente decreto, in tre rate mensili di uguale importo, e versato nei termini di cui all'articolo 8 del decreto del Presidente della Repubblica 29 settembre 1973, n. 602.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All'articolo 1, comma 21, della legge 30 dicembre 2018, n. 145, dopo le parole «decreto del Presidente della Repubblica 29 settembre 1973, n. 600» sono aggiunte le seguenti: «, ad eccezione delle ritenute di cui all'articolo 23 e 24 del medesimo decreto».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7.</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(Incentivi per la valorizzazione edilizia)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Sino al 31 dicembre 2021, per i trasferimenti di interi fabbricati, a favore di imprese di costruzione o di ristrutturazione immobiliare che, entro i successivi dieci anni, provvedano alla demolizione e ricostruzione degli stessi, conformemente alla normativa antisismica e con il conseguimento della classe energetica A o B, anche con variazione volumetrica rispetto al fabbricato preesistente ove consentita dalle vigenti norme urbanistiche, nonché all'alienazione degli stessi, si applicano l'imposta di registro e le imposte ipotecaria e catastale nella misura fissa di euro 200 ciascuna. Nel caso in cui non si verificano le condizioni di cui al primo periodo, sono dovute le imposte di registro, ipotecaria e catastale nella misura ordinaria, nonché una sanzione pari al 30 per cento delle stesse imposte. Sono altresì dovuti gli interessi di mora a decorrere dall'acquisto dell'immobile di cui al secondo periodo.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8.</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(Sisma bonus)</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16, comma 1-septies, del decreto-legge 4 giugno 2013, n. 63, convertito, con modificazioni, dalla legge 3 agosto 2013, n. 90, le parole «zone classificate a rischio sismico 1» sono sostituite dalle seguenti: «zone classificate a rischio sismico 1, 2 e 3».</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9.</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(Trattamento fiscale di strumenti finanziari convertibili)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I maggiori o minori valori che derivano dall'attuazione di specifiche previsioni contrattuali che governano gli strumenti finanziari, diversi da azioni e titoli similari, con le caratteristiche indicate al comma 2 non concorrono alla formazione del reddito imponibile degli emittenti ai fini dell'imposta sul reddito delle società e del valore della produzione netta.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Ai fini del comma 1, gli strumenti finanziari devono presentare le seguenti caratteristiche: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gli strumenti sono stati emessi ed il corrispettivo è stato integralmente versato;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gli strumenti non sono stati sottoscritti o acquistati né dalla società emittente né da società da essa controllate o nelle quali essa detenga almeno il 20 per cento dei diritti di voto o del capitale;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l'acquisto degli strumenti non è stato finanziato, né direttamente né indirettamente, dalla società emittente;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nell'ordine di distribuzione delle somme ricavate dalla liquidazione dell'attivo gli strumenti hanno lo stesso rango, o un rango superiore, rispetto alle azioni e sono subordinati alla soddisfazione dei diritti di tutti gli altri creditori;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e) gli strumenti non sono oggetto di alcuna disposizione, contrattuale o di altra natura, che ne migliori il grado di subordinazione rispetto agli altri creditori in caso di risoluzione, assoggettamento a procedura concorsuale o liquidazione;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f) gli strumenti sono perpetui e le disposizioni che li governano non prevedono alcun incentivo al rimborso per l'emittente;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g) gli strumenti non possono essere rimborsati o riacquistati dall'emittente prima di cinque anni dalla data di emissione;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h) se le disposizioni che governano gli strumenti includono una o più opzioni di rimborso anticipato o di riacquisto, l'opzione può essere esercitata unicamente dall'emittente;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i) le disposizioni che governano gli strumenti non contengono indicazioni, né esplicite né implicite, che gli strumenti saranno rimborsati, anche anticipatamente, o riacquistati, o che l'emittente intende rimborsarli, anche anticipatamente, o riacquistarli, ad eccezione dei seguenti casi: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liquidazione della società;</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operazioni discrezionali di riacquisto degli strumenti;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l) le disposizioni che governano gli strumenti prevedono che la società emittente abbia la piena discrezionalità, in qualsiasi momento, di annullare le distribuzioni relative agli strumenti. Le distribuzioni annullate non sono cumulabili e l'annullamento delle distribuzioni non costituisce un caso di insolvenza da parte della società emittente;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m) le disposizioni che governano gli strumenti prescrivono, alternativamente, che al verificarsi di un determinato evento connesso al livello di patrimonializzazione della società:</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il valore nominale degli strumenti sia svalutato in via permanente o temporanea;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gli strumenti siano convertiti in 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si attivi un meccanismo che produca effetti equivalenti a quelli di cui ai precedenti due punti.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Le disposizioni del comma 1 si applicano a condizione che gli emittenti indichino di aver emesso gli strumenti finanziari di cui al comma 2 nella dichiarazione dei redditi relativa al periodo d'imposta in cui è avvenuta l'emissione e forniscano separata evidenza, nella relativa dichiarazione dei redditi, dei maggiori o minori valori che ai sensi del comma 1 non concorrono alla formazione del reddito imponibile degli emittenti ai fini dell'imposta sul reddito delle società e del valore della produzione netta al fine di consentire l'accertamento della conformità dell'operazione con le disposizioni dell'articolo 10-bis della legge 27 luglio 2000, n. 212.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Il comma 22-bis dell'articolo 2 del decreto-legge 13 agosto 2011, n. 138, convertito, con modificazioni, dalla legge 14 settembre 2011, n. 148 è abrogato; per gli strumenti finanziari di cui al comma 22 del citato articolo 2, emessi nei periodi di imposta precedenti a quello in corso alla data di entrata in vigore del presente decreto, gli obblighi di indicazione di cui al comma 3 si considerano assolti nella dichiarazione dei redditi relativa al periodo d'imposta in corso alla data di entrata in vigore del presente decreto.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10.</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(Modifiche alla disciplina degli incentivi per gli interventi di efficienza energetica e rischio sismico)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14 del decreto-legge 4 giugno 2013, n. 63, convertito, con modificazioni, dalla legge 3 agosto 2013, n. 90, dopo il comma 3, è inserito il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«3.1. Per gli interventi di efficienza energetica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esclusivamente in compensazione, in cinque quote annuali di pari importo, ai sensi dell'articolo 17 del decreto legislativo 9 luglio 1997, n. 241, senza l'applicazione dei limiti di cui all'articolo 34 della legge 23 dicembre 2000, n. 388, e all'articolo 1, comma 53, della legge 24 dicembre 2007, n. 244.».</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All'articolo 16 del decreto-legge 4 giugno 2013, n. 63, convertito, con modificazioni, dalla legge 3 agosto 2013, n. 90, dopo il comma 1-septies, è inserito il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«1-octies. Per gli interventi di adozione di misure antisismiche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esclusivamente in compensazione, in cinque quote annuali di pari importo, ai sensi dell'articolo 17 del decreto legislativo 9 luglio 1997, n. 241, senza l'applicazione dei limiti di cui all'articolo 34 della legge 23 dicembre 2000, n. 388, e all'articolo 1, comma 53, della legge 24 dicembre 2007, n. 244.».</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Con provvedimento del direttore dell'Agenzia delle entrate, da emanare entro trenta giorni dalla data di entrata in vigore della legge di conversione del presente decreto, sono definite le modalità attuative delle disposizioni di cui ai commi 1 e 2, comprese quelle relative all'esercizio dell'opzione da effettuarsi d'intesa con il fornitore.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11.</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(Aggregazioni d'imprese)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Per i soggetti indicati nell'articolo 73, comma 1, lettera a), del Presidente della Repubblica 22 dicembre 1986, n. 917, che risultano da operazioni di aggregazione aziendale, realizzate attraverso fusione o scissione effettuate a decorrere dalla data di entrata in vigore del presente decreto fino al 31 dicembre 2022, si considera riconosciuto, ai fini fiscali, il valore di avviamento e quello attribuito ai beni strumentali materiali e immateriali, per effetto della imputazione su tali poste di bilancio del disavanzo da concambio, per un ammontare complessivo non eccedente l'importo di 5 milioni di euro.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Nel caso di operazioni di conferimento di azienda effettuate ai sensi dell'articolo 176 del decreto del Presidente della Repubblica 22 dicembre 1986, n. 917, a decorrere dalla data di entrata in vigore del presente decreto fino al 31 dicembre 2022, si considerano riconosciuti, ai fini fiscali, i maggiori valori iscritti dal soggetto conferitario di cui al comma 1 a titolo di avviamento o sui beni strumentali materiali e immateriali, per un ammontare complessivo non eccedente l'importo di 5 milioni di euro.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Le disposizioni dei commi 1 e 2 si applicano qualora alle operazioni di aggregazione aziendale partecipino esclusivamente imprese operative da almeno due anni. Le medesime disposizioni non si applicano qualora le imprese che partecipano alle predette operazioni facciano parte dello stesso gruppo societario. Sono in ogni caso esclusi i soggetti legati tra loro da un rapporto di partecipazione superiore al 20 per cento ovvero controllati anche indirettamente dallo stesso soggetto ai sensi dell'articolo 2359, primo comma, n. 1), del codice civile. Il maggior valore attribuito ai beni ai sensi dei commi precedenti è riconosciuto ai fini delle imposte sui redditi e dell'imposta regionale sulle attività produttive a decorrere dall'esercizio successivo a quello in cui ha avuto luogo l'operazione di aggregazione aziendale.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Le disposizioni dei commi 1, 2 e 3 si applicano qualora le imprese interessate dalle operazioni di aggregazione aziendale si trovino o si siano trovate ininterrottamente, nei due anni precedenti l'operazione, nelle condizioni che consentono il riconoscimento fiscale di cui ai commi 1 e 2.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Per la liquidazione, l'accertamento, la riscossione, i rimborsi, le sanzioni e il contenzioso si applicano le disposizioni previste per le imposte sui redditi.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6. La società risultante dall'aggregazione, che nei primi quattro periodi d'imposta dalla effettuazione dell'operazione pone in essere ulteriori operazioni straordinarie, di cui al titolo III, capi III e IV, del decreto del Presidente della Repubblica 22 dicembre 1986, n. 917, ovvero cede i beni iscritti o rivalutati ai sensi dei commi da 1 a 5, decade dall'agevolazione, fatta salva l'attivazione della procedura di cui all'articolo 11, comma 2, della legge 27 luglio 2000, n. 212.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7. Nella dichiarazione dei redditi del periodo d'imposta in cui si verifica la decadenza prevista al comma 6, la società è tenuta a liquidare e versare l'imposta sul reddito delle società e l'imposta regionale sulle attività produttive dovute sul maggior reddito, relativo anche ai periodi di imposta precedenti, determinato senza tenere conto dei maggiori valori riconosciuti fiscalmente ai sensi dei commi 1 e 2. Sulle maggiori imposte liquidate non sono dovute sanzioni e interessi.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12.</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(Fatturazione elettronica Repubblica di San Marino)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Gli adempimenti relativi ai rapporti di scambio con la Repubblica di San Marino, previsti dal decreto del Ministro delle Finanze 24 dicembre 1993, pubblicato nella Gazzetta Ufficiale della Repubblica italiana n. 305 del 30 dicembre 1993, sono eseguiti in via elettronica secondo modalità stabilite con decreto del ministro dell'Economia e delle Finanze in conformità ad accordi con detto Stato. Sono fatti salvi gli esoneri dall'obbligo generalizzato di fatturazione elettronica previsti da specifiche disposizioni di legge. Con provvedimento del direttore dell'Agenzia delle entrate sono emanate le regole tecniche necessarie per l'attuazione del presente articolo.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13.</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(Vendita di beni tramite piattaforme digitali)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Il soggetto passivo che facilita, tramite l'uso di un'interfaccia elettronica quale un mercato virtuale, una piattaforma, un portale o mezzi analoghi, le vendite a distanza di beni importati o le vendite a distanza di beni all'interno dell'Unione europea è tenuto a trasmettere entro il mese successivo a ciascun trimestre, secondo modalità stabilite con provvedimento del direttore dell'Agenzia delle entrate, per ciascun fornitore i seguenti dati: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la denominazione, la residenza o il domicilio, l'indirizzo di posta elettronica;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il numero totale delle unità vendute in Italia;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 scelta del soggetto passivo, per le unità vendute in Italia l'ammontare totale dei prezzi di vendita o il prezzo medio di vendita.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Il primo invio di dati deve essere effettuato nel mese di luglio 2019.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Il soggetto passivo di cui al comma 1 è considerato debitore d'imposta per le vendite a distanza per le quali non ha trasmesso, o ha trasmesso in modo incompleto, i dati di cui al comma 1, presenti sulla piattaforma, se non dimostra che l'imposta è stata assolta dal fornitore.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Le disposizioni di cui all'articolo 11-bis, commi da 11 a 15, del decreto-legge 14 dicembre 2018, n. 135, convertito, con modificazioni, dalla legge 11 febbraio 2019, n. 12, acquistano efficacia a decorrere dal 1° gennaio 2021. Il soggetto passivo che ha facilitato tramite l'uso di un'interfaccia elettronica, quale un mercato virtuale, una piattaforma, un portale o mezzi analoghi, le vendite a distanza di cui di cui all'articolo 11-bis, commi da 11 a 15, del decreto-legge 14 dicembre 2018, n. 135, convertito, con modificazioni, dalla legge 11 febbraio 2019, n. 12, nel periodo compreso tra il 13 febbraio 2019 e la data di entrata in vigore delle disposizioni di cui ai commi 1, 2, 3, 4, invia i dati relativi a dette operazioni nel mese di luglio 2019, secondo modalità che saranno determinate con il provvedimento dell'Agenzia delle entrate di cui al comma 1.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 Le disposizioni dei commi 1, 2 e 3 si applicano fino al 31 dicembre 2020.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14.</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(Enti associativi assistenziali)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148, del decreto del Presidente della Repubblica 22 dicembre 1986, n. 917, al comma 3, dopo la parola: «religiose,» è inserita la seguente: «assistenziali,».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15.</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(Estensione della definizione agevolata delle entrate regionali e degli enti locali)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Con riferimento alle entrate, anche tributarie, delle regioni, delle province, delle città metropolitane e dei comuni, non riscosse a seguito di provvedimenti di ingiunzione fiscale ai sensi del testo unico delle disposizioni di legge relative alla riscossione delle entrate patrimoniali dello Stato, approvato con Regio decreto 14 aprile 1910, n. 639, notificati, negli anni dal 2000 al 2017, dagli enti stessi e dai concessionari della riscossione di cui all'articolo 53 del decreto legislativo 15 dicembre 1997, n. 446, i predetti enti territoriali possono stabilire, entro sessanta giorni dalla data di entrata in vigore del presente decreto, con le forme previste dalla legislazione vigente per l'adozione dei propri atti destinati a disciplinare le entrate stesse, l'esclusione delle sanzioni relative alle predette entrate. Gli enti territoriali, entro trenta giorni, danno notizia dell'adozione dell'atto di cui al primo periodo mediante pubblicazione nel proprio sito internet istituzionale.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Con il provvedimento di cui al comma 1 gli enti territoriali stabiliscono anche: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il numero di rate e la relativa scadenza, che non può superare il 30 settembre 2021;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le modalità con cui il debitore manifesta la sua volontà di avvalersi della definizione agevolata;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i termini per la presentazione dell'istanza in cui il debitore indica il numero di rate con il quale intende effettuare il pagamento, nonché la pendenza di giudizi aventi a oggetto i debiti cui si riferisce l'istanza stessa, assumendo l'impegno a rinunciare agli stessi giudizi;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il termine entro il quale l'ente territoriale o il concessionario della riscossione trasmette ai debitori la comunicazione nella quale sono indicati l'ammontare complessivo delle somme dovute per la definizione agevolata, quello delle singole rate e la scadenza delle stesse.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A seguito della presentazione dell'istanza sono sospesi i termini di prescrizione e di decadenza per il recupero delle somme oggetto di tale istanza.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In caso di mancato, insufficiente o tardivo versamento dell'unica rata ovvero di una delle rate in cui è stato dilazionato il pagamento delle somme, la definizione non produce effetti e riprendono a decorrere i termini di prescrizione e di decadenza per il recupero delle somme oggetto dell'istanza. In tale caso, i versamenti effettuati sono acquisiti a titolo di acconto dell'importo complessivamente dovuto.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Si applicano i commi 16 e 17 dell'articolo 3 del decreto-legge 23 ottobre 2018, n. 119 convertito, con modificazioni, dalla legge 17 dicembre 2018, n. 136.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Per le regioni a statuto speciale e per le province autonome di Trento e di Bolzano l'attuazione delle disposizioni del presente articolo avviene in conformità e compatibilmente con le forme e con le condizioni di speciale autonomia previste dai rispettivi statuti.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16.</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(Credito d'imposta per le commissioni riferite a pagamenti elettronici da parte di distributori di carburante)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Le disposizioni di cui all'articolo 1, comma 924, della legge 27 dicembre 2017, n. 205 valgono con riferimento alle cessioni di carburanti effettuate nei confronti sia di esercenti attività d'impresa, arte e professioni sia di consumatori finali. Nel caso in cui gli esercenti di impianti di distribuzione di carburante non contabilizzino separatamente le commissioni addebitate per le transazioni effettuate diverse da quelle per cessioni di carburante, il credito d'imposta di cui al citato 1, comma 924, della legge n. 205 del 2017, spetta per la quota parte delle commissioni calcolata in base al rapporto tra il volume d'affari annuo derivante da cessioni di carburante e il volume d'affari annuo complessivo.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Capo II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MISURE PER IL RILANCIO DEGLI INVESTIMENTI PRIVATI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17.</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(Garanzia sviluppo media impresa)</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Nell'ambito del Fondo di garanzia di cui all'articolo 2, comma 100, lettera a), della legge 23 dicembre 1996, n. 662, è istituita, nel rispetto della disciplina dell'Unione europea, una sezione speciale destinata alla concessione, a titolo oneroso, di garanzie a copertura di singoli finanziamenti e portafogli di finanziamenti di importo massimo garantito di euro 5 milioni e di durata ultradecennale e fino a 30 anni erogati alle imprese con un numero di dipendenti non superiore a 499 da banche e intermediari finanziari e finalizzati per almeno il 60 per cento a investimenti in beni materiali. A tal fine, la dotazione del fondo è incrementata di 150 milioni per l'anno 2019. Con decreto del Ministro dello sviluppo economico, di concerto con il Ministro dell'economia e delle finanze, sono disciplinate le tipologie di operazioni ammissibili, le condizioni i criteri e le modalità di accesso alla garanzia della sezione speciale.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All'articolo 39, comma 4, del decreto-legge 6 dicembre 2011, n. 201, convertito, con modificazioni, dalla legge 22 dicembre 2011, n. 214, dopo il primo periodo è aggiunto il seguente periodo: «Per le garanzie concesse nell'ambito di portafogli di finanziamenti l'importo massimo garantito dal Fondo per singola impresa è elevato, nel rispetto della disciplina dell'Unione europea, a 3,5 milioni di euro.».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Le risorse del Fondo di garanzia di cui all'articolo 2, comma 100, lettera a), della legge 23 dicembre 1996, n. 662 non utilizzate a valere sulla la sezione speciale di cui al decreto del Ministro delle attività produttive e Ministro per l'innovazione e le tecnologie del 15 giugno 2004, sulle risorse assegnate al Fondo con la delibera CIPE del 21 Aprile 1999 n. 47, sulla riserva di cui al Decreto del Ministro dello sviluppo economico di concerto con il Ministro dell'economia e delle finanze del 15 gennaio 2014, sono utilizzate per le finalità generali del predetto Fondo.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Agli oneri derivanti dal comma 1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18.</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(Norme in materia di semplificazione per la gestione del Fondo di garanzia per le PMI)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All'articolo 18, comma 1, del decreto legislativo 31 marzo 1998, n. 112, alla lettera r) il secondo periodo è soppresso.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Nelle regioni sul cui territorio, alla data di entrata in vigore del presente decreto, è già disposta la limitazione dell'intervento del predetto Fondo di garanzia per le piccole e medie imprese di cui all'articolo 2, comma 100, lettera a), della legge 23 dicembre 1996, n. 662, alla sola controgaranzia dei fondi di garanzia regionali e dei consorzi di garanzia collettiva, la predetta limitazione rimane in </w:t>
      </w:r>
      <w:r>
        <w:rPr>
          <w:rFonts w:ascii="Times New Roman" w:eastAsia="Calibri" w:hAnsi="Times New Roman" w:cs="Times New Roman"/>
          <w:i w:val="0"/>
          <w:iCs w:val="0"/>
          <w:color w:val="000000"/>
          <w:sz w:val="24"/>
          <w:szCs w:val="24"/>
        </w:rPr>
        <w:lastRenderedPageBreak/>
        <w:t xml:space="preserve">vigore fino al termine di sei mesi dalla data di conversione del presente decreto o il minor termine previsto dalla delibera.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Al fine di sostenere lo sviluppo di canali alternativi di finanziamento delle imprese, la garanzia del Fondo di garanzia di cui all'articolo 2, comma 100, lettera a), della legge 23 dicembre 1996, n. 662, può essere concessa, a valere sulle ordinarie disponibilità del predetto Fondo, in favore dei soggetti che finanziano, per il tramite di piattaforme di social lending e di crowdfunding, progetti di investimento realizzati da micro, piccole e medie imprese, come definite dalla normativa dell'Unione europea, operanti nei settori di attività ammissibili all'intervento del Fondo.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Ai fini di cui al comma 3:</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per social lending si intende lo strumento attraverso il quale una pluralità di soggetti può richiedere a una pluralità di potenziali finanziatori, tramite piattaforme on-line, fondi rimborsabili per uso personale o per finanziare un progetto;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per crowdfunding si intende lo strumento attraverso il quale famiglie e imprese sono finanziate direttamente, tramite piattaforme on-line, da una pluralità di investitori.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La garanzia di cui al comma 3 è richiesta, per conto e nell'interesse dei soggetti finanziatori di cui al medesimo comma 3, dai gestori di piattaforme di social lending o di crowdfunding preventivamente accreditati, a seguito di apposita valutazione effettuata dal Consiglio di gestione del Fondo di cui all'articolo 1, comma 48, lettera a), della legge 27 dicembre 2013, n. 147.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Con decreto del Ministro dello sviluppo economico, di concerto con il Ministro dell'economia e delle finanze, sono stabilite le modalità e le condizioni di accesso al Fondo per i finanziamenti di cui ai commi 3 e 5, la misura massima della garanzia concedibile, che deve comunque assicurare un significativo coinvolgimento del soggetto finanziatore nel rischio dell'operazione, le modalità di retrocessione ai soggetti finanziatori delle somme derivanti dalla eventuali escussione e liquidazione della garanzia, nonché i criteri per l'accreditamento dei gestori e delle piattaforme di cui al comma 5, tra i quali rientrano la trasparenza della modalità di determinazione del prezzo dei finanziamenti, l'affidabilità del modello di valutazione della rischiosità dei prenditori, il rispetto delle norme che regolano le attività riservate dalla legge a particolari categorie di soggetti, ivi inclusa la raccolta del risparmio tra il pubblico sulla base di quanto previsto dalla normativa tecnica della Banca d'Italia.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19.</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(Rifinanziamento del Fondo di garanzia per la prima casa)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 Fondo di garanzia per la prima casa, di cui all'articolo 1, comma 48, lettera c), della legge 27 dicembre 2013, n. 147, sono assegnati 100 milioni di euro nell'anno 2019.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Per ogni finanziamento ammesso alla garanzia del Fondo di cui all'articolo 1, comma 48, lettera c), della legge 27 dicembre 2013, n. 147, viene accantonato a copertura del rischio un importo non inferiore all'8 per cento dell'importo garantito.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Agli oneri derivanti dal comma 1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20.</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(Modifiche alla misura Nuova Sabatini)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2, del decreto-legge 21 giugno 2013, n. 69, convertito, con modificazioni, dalla legge 9 agosto 2013, n. 98,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comma 3, le parole «2 milioni di euro» sono sostituite dalle parole «4 milioni di euro»;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al comma 4, dopo le parole «L'erogazione del predetto contributo è effettuata» sono inserite le seguenti: «, sulla base delle dichiarazioni prodotte dalle imprese in merito alla realizzazione dell'investimento,» e, dopo il secondo periodo, è aggiunto il seguente: «In caso di finanziamento di importo non superiore a 100.000,00 euro, il contributo viene erogato in un'unica soluzione.».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21.</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(Sostegno alla capitalizzazione)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I contributi di cui all'articolo 2, comma 5, del decreto-legge 21 giugno 2013, n. 69, convertito, con modificazioni dalla legge 9 agosto 2013, n. 98, sono altresì riconosciuti, alle condizioni di cui al presente articolo, in favore delle micro, piccole e medie imprese, costituite in forma societaria, impegnate in processi di capitalizzazione, che intendono realizzare un programma di investimento.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Le agevolazioni di cui all'articolo 2 del decreto-legge n. 69 del 2013 sono concesse nel caso di sostegno a processi di capitalizzazione delle imprese, a fronte dell'impegno dei soci a sottoscrivere un aumento di capitale sociale dell'impresa, da versare in più quote, in corrispondenza delle scadenze del piano di ammortamento del predetto finanziamento.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Per le finalità di cui al presente articolo, i contributi di cui all'articolo 2, comma 5, del decreto- legge n. 69 del 2013, fermo restando il rispetto delle intensità massime previste dalla applicabile normativa comunitaria in materia di aiuti di Stato, sono rapportati agli interessi calcolati, in via convenzionale, sul finanziamento a un tasso annuo del:</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5 per cento, per le micro e piccole imprese;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3,575 per cento, per le medie imprese.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Per la concessione del contributo di cui presente articolo, l'autorizzazione di spesa di cui all'articolo 1, comma 200, della legge 30 dicembre 2018, n. 145 è integrata per euro 10 milioni per l'anno 2019, per euro 15 milioni per ciascuno degli anni dal 2020 al 2023 e per euro 10 milioni per l'anno 2024. Al fine di assicurare l'operatività della misura, le predette risorse sono trasferite al Ministero dello sviluppo economico a inizio di ciascuna delle annualità previste.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Con decreto del Ministro dello sviluppo economico, di concerto con il Ministro dell'economia e delle finanze, da adottare ai sensi dell'articolo 17, comma 3 della legge 23 agosto 1988, n. 400, sono stabiliti i requisiti e le condizioni di accesso al contributo di cui al comma 3, le caratteristiche del programma di investimento, le modalità e i termini per l'esecuzione del piano di capitalizzazione dell'impresa beneficiaria da parte dei soci della medesima, nonché le cause e le modalità di revoca del contributo nel caso di mancato rispetto degli impegni assunti, ivi incluso la realizzazione del predetto piano di capitalizzazione.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Agli oneri derivanti dal comma 4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22.</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(Tempi di pagamento tra le imprese)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Dopo l'articolo 7-bis del decreto legislativo 9 ottobre 2002, n. 231 è inserito il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Art. 7-ter. – (Evidenza nel bilancio sociale) – A decorrere dall'esercizio 2019, nel bilancio sociale le società danno evidenza dei tempi medi di pagamento delle transazioni effettuate nell'anno, individuando altresì gli eventuali ritardi medi tra i termini pattuiti e quelli effettivamente praticati. I medesimi soggetti danno conto nel bilancio sociale anche delle politiche commerciali adottate con riferimento alle suddette transazioni, nonché delle eventuali azioni poste in essere in relazione ai termini di pagamento.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23.</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(Cartolarizzazioni)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 legge 30 aprile 1999, n. 130,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all'articolo 4, comma 4-ter:</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dopo le parole «aperture di credito» sono inserite le seguenti: «in qualunque forma»;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sono aggiunti, in fine, i seguenti periodi «Nel caso di cessione di crediti aventi le caratteristiche di cui al successivo articolo 7.1, comma 1, la banca cedente può, altresì, trasferire ad </w:t>
      </w:r>
      <w:r>
        <w:rPr>
          <w:rFonts w:ascii="Times New Roman" w:eastAsia="Calibri" w:hAnsi="Times New Roman" w:cs="Times New Roman"/>
          <w:i w:val="0"/>
          <w:iCs w:val="0"/>
          <w:color w:val="000000"/>
          <w:sz w:val="24"/>
          <w:szCs w:val="24"/>
        </w:rPr>
        <w:lastRenderedPageBreak/>
        <w:t>una banca o intermediario finanziario di cui all'articolo 106 del decreto legislativo 1&amp;#176; settembre 1993, n. 385, ai sensi dell'articolo 58 del medesimo decreto legislativo n. 385 del 1993, gli impegni o la facoltà di erogazione derivanti dal relativo contratto di apertura di credito o affidamento, separatamente dal conto cui l'apertura di credito è collegata e mantenendo la domiciliazione del conto medesimo. A seguito della cessione, gli incassi registrati su tale conto continuano a essere imputati ai debiti nascenti dai contratti di apertura di credito o di affidamento, anche se sorti successivamente alla cessione, secondo le modalità contrattualmente previste. Gli incassi costituiscono patrimonio separato a tutti gli effetti da quello della banca cedente domiciliataria del conto e da quello relativo ad altre operazioni. Su ciascun patrimonio separato non sono ammesse azioni da parte di creditori diversi dai portatori dei titoli ovvero dalla banca o dalla società finanziaria di cui al citato articolo 106 del decreto legislativo n. 385 del 1993 cessionarie degli impegni o delle facoltà di erogazione. Si applicano in quanto compatibili le disposizioni dell'articolo 3, commi 2 e 2-bis.»;</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all'articolo 7, comma 1, lettera b-bis), dopo le parole «derivanti dalla titolarità» sono inerite le seguenti: «, in capo alla società di cui all'articolo 7.2»;</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all'articolo 7.1: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 comma 3:</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1.1) le parole «degli articoli 124, 160, 182-bis e 186-bis del Regio decreto 16 marzo 1942, n. 267» sono sostituite dalle seguenti «degli articoli 57, 60, 84, 85 e 240 del decreto legislativo 12 gennaio 2019, n. 14»;</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1.2) è aggiunto, in fine, il seguente periodo: «Il finanziamento può essere concesso anche ad assuntori di passività dei debitori ceduti ovvero a soggetti con i quali i medesimi debitori hanno rapporti di controllo o di collegamento ai sensi dell'articolo 2359 del codice civile.»;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il comma 4 è sostituito dal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Possono essere costituite una o più società veicolo d'appoggio, nella forma di società di capitali, aventi come oggetto sociale esclusivo il compito di acquisire, gestire e valorizzare, nell'interesse esclusivo dell'operazione di cartolarizzazione, direttamente o attraverso una o più ulteriori società veicolo d'appoggio, autorizzate ad assumere, totalmente o parzialmente, il debito originario, i beni immobili e mobili registrati nonché gli altri beni e diritti concessi o costituiti, in qualunque forma, a garanzia dei crediti oggetto di cartolarizzazione, ivi compresi i beni oggetto di contratti di locazione finanziaria, anche se risolti, eventualmente insieme con i rapporti derivanti da tali contratti. Il trasferimento dei suddetti beni e diritti può avvenire anche ai sensi dei commi 2 e 3 dell'articolo 58 del testo unico bancario, nonché dei commi 4, 5 e 6 del medesimo articolo, anche se non avente a oggetto beni o rapporti giuridici individuabili in blocco. Le stesse modalità si applicano </w:t>
      </w:r>
      <w:r>
        <w:rPr>
          <w:rFonts w:ascii="Times New Roman" w:eastAsia="Calibri" w:hAnsi="Times New Roman" w:cs="Times New Roman"/>
          <w:i w:val="0"/>
          <w:iCs w:val="0"/>
          <w:color w:val="000000"/>
          <w:sz w:val="24"/>
          <w:szCs w:val="24"/>
        </w:rPr>
        <w:lastRenderedPageBreak/>
        <w:t>ai trasferimenti ai sensi del comma 5 del presente articolo. Le somme in qualsiasi modo rivenienti dalla detenzione, gestione o dismissione di tali beni e diritti sono dovute dalla società veicolo d'appoggio alla società di cartolarizzazione di cui all'articolo 3, sono assimilate, agli effetti della presente legge, ai pagamenti effettuati dai debitori ceduti e sono destinate in via esclusiva al soddisfacimento dei diritti incorporati nei titoli emessi e al pagamento dei costi dell'operazione. I beni, diritti e le somme in qualsiasi modo derivanti dai medesimi nonché ogni altro diritto acquisito nell'ambito dell'operazione di cui al presente comma, o al successivo comma 5, costituiscono patrimonio separato a tutti gli effetti da quello delle società stesse e da quello relativo alle altre operazioni. Sul patrimonio separato non sono ammesse azioni da parte di creditori diversi dalla società di cartolarizzazione nell'interesse dei portatori dei titoli emessi dalla società per la cartolarizzazione dei crediti.».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dopo il comma 4 sono inseriti i seguenti commi: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«4-bis. Si applicano le imposte di registro, ipotecaria e catastale in misura fissa sugli atti e le operazioni inerenti il trasferimento a qualsiasi titolo, anche in sede giudiziale o concorsuale, dei beni e diritti di cui ai commi 4 e 5, in favore della società veicolo d'appoggio, inclusi eventuali accolli di debito, e le garanzie di qualunque tipo, da chiunque e in qualsiasi momento prestate, in favore della società di cartolarizzazione o altro finanziatore ed in relazione all'operazione di cartolarizzazione, a valere sui beni e diritti acquistati dalle società veicolo d'appoggio ai sensi del comma 4, le relative eventuali surroghe, postergazioni, frazionamenti e cancellazioni anche parziali, ivi comprese le relative cessioni di credito.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4-ter. Alla società veicolo d'appoggio cessionaria dei contratti e rapporti di locazione finanziaria e dei beni derivanti da tale attività si applicano le disposizioni in materia fiscale applicabili alle società che esercitano attività di locazione finanziaria. Alle cessioni di immobili oggetto di contratti di leasing risolti o altrimenti cessati per fatto dell'utilizzatore effettuate alla e dalla medesima società si applica l'articolo 35, comma 10-ter.1, del decreto-legge 4 luglio 2006, n. 223, convertito, con modificazioni, dalla legge 4 agosto 2006, n. 248. Per le trascrizioni nei pubblici registri e volture catastali effettuate a qualunque titolo in relazione ai beni e diritti acquisiti dalla società veicolo d'appoggio le imposte di registro, ipotecaria e catastale sono dovute in misura fissa.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4-quater. Per gli atti e i provvedimenti recanti il successivo trasferimento, a favore di soggetti che svolgono attività d'impresa, della proprietà o di diritti reali, anche di garanzia, sui beni immobili acquistati dalle società veicolo d'appoggio in relazione all'operazione di cartolarizzazione, le imposte di registro, ipotecaria e catastale sono dovute in misura fissa, a condizione che l'acquirente dichiari, nel relativo atto, che intende trasferirli entro cinque anni dalla data di acquisto. Ove non si realizzi tale condizione entro il quinquennio successivo, le imposte di registro, ipotecaria e catastale sono dovute dall'acquirente nella misura ordinaria e si applica una sanzione amministrativa del 30 per cento, oltre agli interessi di mora di cui all'articolo 55, comma 3, del testo unico delle disposizioni concernenti l'imposta di registro, approvato con decreto del Presidente della Repubblica 26 aprile 1986, n. 131. Dalla scadenza del quinquennio decorre il termine per il recupero delle imposte ordinarie da parte dell'amministrazione finanziaria. Resta fermo quanto previsto dal comma 5.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4-quinquies. Gli atti e i provvedimenti di cui al comma 4-quater emessi a favore di soggetti che non svolgono attività d'impresa sono assoggettati alle imposte di registro, ipotecaria e catastale nella misura fissa di 200 euro ciascuna sempre che in capo all'acquirente ricorrano le condizioni previste </w:t>
      </w:r>
      <w:r>
        <w:rPr>
          <w:rFonts w:ascii="Times New Roman" w:eastAsia="Calibri" w:hAnsi="Times New Roman" w:cs="Times New Roman"/>
          <w:i w:val="0"/>
          <w:iCs w:val="0"/>
          <w:color w:val="000000"/>
          <w:sz w:val="24"/>
          <w:szCs w:val="24"/>
        </w:rPr>
        <w:lastRenderedPageBreak/>
        <w:t>alla nota II-bis) all'articolo 1 della tariffa, parte prima, allegata al testo unico delle disposizioni concernenti l'imposta di registro, approvato con decreto del Presidente della Repubblica 26 aprile 1986, n. 131. In caso di dichiarazione mendace nell'atto di acquisto, ovvero di rivendita nel quinquennio dalla data dell'atto, si applicano le disposizioni indicate nella predetta nota.».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al comma 5:</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1.1) le parole «di tali contratti, la società veicolo» sono sostituite dalle seguenti: «di tali contratti, la società veicolo d'appoggio»;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1.2) le parole «nel bilancio di una banca» sono sostituite dalle seguenti: «nel bilancio di una banca o di un intermediario finanziario di cui all'articolo 106 del decreto legislativo 1&amp;#176; settembre 1993, n. 385»;</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1.3) dopo le parole «si applicano integralmente alla società veicolo» è inserita la seguente: «d'appoggio».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dopo l'articolo 7.1, è aggiunto il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«Art. 7.2. – (Cartolarizzazioni Immobiliari e di beni mobili registrati) – 1. Le società che effettuano le operazioni di cui all'articolo 7, comma 1, lettera b-bis, non possono svolgere operazioni di cartolarizzazione di natura diversa da quelle indicate dall'articolo 7, comma 1, lettera b-bis. Delle obbligazioni nei confronti dei portatori dei titoli, nonché di ogni altro creditore nell'ambito di ciascuna operazione di cartolarizzazione, risponde esclusivamente il patrimonio separato con i beni e diritti di cui al comma 2 del presente articolo. A tali operazioni si applicano le disposizioni di cui all'articolo 7.1, comma 8, primo periodo.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Per ogni operazione sono individuati i beni ed i diritti destinati al soddisfacimento dei diritti dei portatori dei titoli e delle controparti dei contratti derivati con finalità di copertura dei rischi insiti nei crediti e nei titoli ceduti. I beni e i diritti individuati, le somme in qualsiasi modo derivanti dai medesimi beni, nonché ogni altro diritto acquisito nell'ambito dell'operazione di cartolarizzazione dalle società di cui al comma 1 costituiscono patrimonio separato a tutti gli effetti da quello delle società stesse e da quello relativo alle altre operazioni. Su ciascun patrimonio separato non sono ammesse azioni da parte di qualsiasi creditore diverso dai portatori dei titoli emessi dalle società ovvero dai concedenti i finanziamenti da esse reperiti ovvero dalle controparti dei contratti derivati con finalità di copertura dei rischi insiti nei crediti e nei titoli ceduti.».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Agli oneri derivanti dal comma 1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24.</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(Sblocca investimenti idrici nel sud)</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 fine di completare il processo di liquidazione dell'Ente per lo sviluppo dell'irrigazione e la trasformazione fondiaria in Puglia, Lucania e Irpinia (EIPLI) e accelerare la costituzione della società di cui all'articolo 21, comma 11, del decreto-legge 6 dicembre 2011, n. 201, convertito, con modificazioni, dalla legge 22 dicembre 2011, n. 214, al predetto comma 11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primo periodo, le parole «e sottoposta alla vigilanza del dipartimento delegato all'Autorità politica per le politiche di coesione e per il Mezzogiorno e del Ministero delle politiche agricole alimentari, forestali e del turismo e del Ministero delle infrastrutture e dei trasporti» sono sostituite dalle seguenti: «che esercita i diritti del socio di concerto, per quanto di rispettiva competenza, con il dipartimento delegato all'Autorità politica per le politiche di coesione e per il Mezzogiorno, il Ministero per le politiche agricole, alimentari, forestali e del turismo e il Ministero delle infrastrutture e dei trasporti»;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il quarto periodo è sostituito dai seguenti: «La tutela occupazionale è garantita con riferimento al personale titolare di rapporto di lavoro a tempo indeterminato con l'Ente soppresso. Le passività di natura contributiva, previdenziale e assistenziale maturate sino alla data della costituzione della società di cui al primo periodo del presente comma sono estinte dall'Ente in liquidazione, che vi provvede con risorse proprie. A decorrere dalla data del trasferimento delle funzioni di cui al primo periodo del presente comma, i diritti su beni demaniali già attribuiti all'Ente di cui al comma 10 in forza di provvedimenti concessori si intendono attribuiti alla società di nuova costituzione. Al fine di accelerare le procedure per la liquidazione dell'Ente e snellire il contenzioso in essere, agevolando il Commissario liquidatore nella definizione degli accordi transattivi di cui al comma 10, i crediti e i debiti sorti in capo all'Ente, unitamente ai beni immobili diversi da quelli aventi natura strumentale all'esercizio delle relative funzioni sono esclusi dalle operazioni di trasferimento al patrimonio della società medesima. I rapporti giuridici attivi e passivi, anche processuali, sorti in capo all'Ente, producono effetti esclusivamente nei confronti dell'Ente posto in liquidazione. Il Commissario liquidatore presenta il bilancio finale di liquidazione dell'Ente al Ministero per le politiche agricole, alimentari, forestali e del turismo, che lo approva con decreto del Ministro delle politiche agricole, alimentari, forestali e del turismo, di concerto con il Ministro delegato all'Autorità politica per le politiche di coesione e per il Mezzogiorno.»;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il penultimo periodo è soppresso.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25.</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(Dismissioni immobiliari enti territoriali)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 comma 423, lettera d) della legge 30 dicembre 2018 n. 145,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dopo la parola «proprietà» sono aggiunte le seguenti: «degli Enti territoriali 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dopo la parola «Pubbliche amministrazioni», le parole «diverse dagli Enti territoriali» sono soppresse.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All'articolo 1, comma 425 della legge 30 dicembre 2018, n. 145, le parole «e, in assenza del debito, o comunque per la parte eventualmente eccedente, al Fondo per ammortamento dei titoli di Stato» sono sostituite dalle seguenti: «e, limitatamente agli enti non territoriali, in assenza del debito, o comunque per la parte eventualmente eccedente, al Fondo per ammortamento dei titoli di Stato».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26.</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(Agevolazioni a sostegno di progetti di ricerca e sviluppo per la riconversione dei processi produttivi nell'ambito dell'economia circolare)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 fine di favorire la transizione delle attività economiche verso un modello di economia circolare, finalizzata alla riconversione produttiva del tessuto industriale, con decreto del Ministero dello sviluppo economico, previa intesa in Conferenza unificata ai sensi dell'articolo 3 del decreto legislativo 28 agosto 1997, n. 281, sono stabiliti i criteri, le condizioni e le procedure per la concessione ed erogazione delle agevolazioni finanziarie, nei limiti delle intensità massime di aiuto stabilite dagli articoli 4 e 25 del regolamento (UE) 651/2014 della Commissione del 17 giugno 2014, a sostegno di progetti di ricerca e sviluppo finalizzati ad un uso più efficiente e sostenibile delle risorse.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Possono beneficiare delle agevolazioni di cui al comma 1, le imprese ed i centri di ricerca che, alla data di presentazione della domanda di agevolazione, soddisfano le seguenti caratteristiche: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essere iscritte nel Registro delle imprese e risultare in regola con gli adempimenti di cui all'articolo 9 terzo comma, primo periodo, del decreto del Presidente della Repubblica 7 dicembre 1995, n. 581;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operare in via prevalente nel settore manifatturiero ovvero in quello dei servizi diretti alle imprese manifatturiere;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aver approvato e depositato almeno due bilanci;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non essere sottoposto a procedura concorsuale e non trovarsi in stato di fallimento, di liquidazione anche volontaria, di amministrazione controllata, di concordato preventivo o in qualsiasi altra situazione equivalente secondo la normativa vigente.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I soggetti di cui al comma 2 possono presentare progetti anche congiuntamente tra loro o con organismi di ricerca, fino ad un massimo di tre soggetti co-proponenti. In tali casi i progetti congiunti devono essere realizzati mediante il ricorso allo strumento del contratto di rete o ad altre forme contrattuali di collaborazione, quali, a titolo esemplificativo, il consorzio e l'accordo di partenariato.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Ai fini dell'ammissibilità alle agevolazioni di cui al comma 1, i progetti di ricerca e sviluppo devono: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essere realizzati nell'ambito di una o più unità locali ubicate nel territorio nazionale;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prevedere, anche in deroga agli importi minimi previsti per l'utilizzo delle risorse di cui al comma 6, lettera b), spese e costi ammissibili non inferiori a euro 500 mila e non superiori a euro 2 milioni;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avere una durata non inferiore a dodici mesi e non superiore a trentasei mesi;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prevedere attività di ricerca e sviluppo, strettamente connesse tra di loro in relazione all'obiettivo previsto dal progetto, finalizzate alla riconversione produttiva delle attività economiche attraverso la realizzazione di nuovi prodotti, processi o servizi o al notevole miglioramento di prodotti, processi o servizi esistenti, tramite lo sviluppo delle tecnologie abilitanti fondamentali Key Enabling Technologies (KETs), relative 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innovazioni di prodotto e di processo in tema di utilizzo efficiente delle risorse e di trattamento e trasformazione dei rifiuti, compreso il riuso dei materiali in un'ottica di economia circolare o a «rifiuto zero» e di compatibilità ambientale (innovazioni eco-compatibili);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progettazione e sperimentazione prototipale di modelli tecnologici integrati finalizzati al rafforzamento dei percorsi di simbiosi industriale, attraverso, ad esempio, la definizione di un approccio sistemico alla riduzione, riciclo e riuso degli scarti alimentari, allo sviluppo di sistemi di ciclo integrato delle acque e al riciclo delle materie prime;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sistemi, strumenti e metodologie per lo sviluppo delle tecnologie per la fornitura, l'uso razionale e la sanificazione dell'acqua;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strumenti tecnologici innovativi in grado di aumentare il tempo di vita dei prodotti e di efficientare il ciclo produttivo;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 sperimentazione di nuovi modelli di packaging intelligente (smart packaging) che prevedano anche l'utilizzo di materiali recuperati;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 Le agevolazioni di cui al comma 1 sono concesse secondo le seguenti modalità:</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finanziamento agevolato per una percentuale nominale delle spese e dei costi ammissibili pari al 50 per cento;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contributo diretto alla spesa fino al 20 per cento delle spese e dei costi ammissibili.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Le risorse finanziarie disponibili per la concessione delle agevolazioni di cui al comma 1 ammontano complessivamente a euro 140 milioni di cui: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40 milioni per la concessione delle agevolazioni nella forma del contributo diretto alla spesa, a valere sulle disponibilità per il 2020 del Fondo per lo Sviluppo e la Coesione di cui all'articolo 1, comma 6, della legge 27 dicembre 2013, 147, ferma restando l'applicazione dell'articolo 1, comma 703, della legge 23 dicembre 2014, n. 190;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100 milioni per la concessione delle agevolazioni nella forma del finanziamento agevolato a valere sulle risorse del Fondo rotativo per il sostegno alle imprese e gli investimenti in ricerca (FRI) di cui all'articolo 1, comma 354, della legge 30 dicembre 2004 n. 311, utilizzando le risorse di cui all'articolo 30 del decreto-legge 22 giugno 2012, n. 83, convertito con modificazioni dalla legge 7 agosto 2012 n. 134.</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27.</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(Società di investimento semplice – SIS)</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 comma 1, del decreto legislativo 24 febbraio 1998, n. 58, dopo la lettera i-ter) è inserita la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«i-quater) società di investimento semplice (SiS): il FIA italiano, riservato a investitori professionali, costituito in forma di Sicaf che gestisce direttamente il proprio patrimonio e che rispetta tutte le seguenti condizioni: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il patrimonio netto non eccede euro 25 milioni;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ha per oggetto esclusivo l'investimento diretto del patrimonio raccolto in PMI non quotate su mercati regolamentati di cui all'articolo 2 paragrafo 1, lettera f), primo alinea, del regolamento (UE) 2017/1129 del Parlamento europeo e del Consiglio del 14 giugno 2017 che si trovano nella fase di sperimentazione, di costituzione e di avvio dell'attività, in deroga all'articolo 35-bis, comma 1, lettera f);</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non ricorre alla leva finanziaria;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dispone di un capitale sociale almeno pari a quello previsto dall'articolo 2327 del codice civile, in deroga all'articolo 35-bis, comma 1, lettera c).».</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All'articolo 35-undecies del decreto legislativo 24 febbraio 1998, n. 58, dopo il comma 1 sono aggiunti 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«1-bis. Le SiS non applicano le disposizioni attuative dell'articolo 6, commi 1, 2 e 2-bis). Il sistema di governo e controllo è adeguato per assicurare la sana e prudente gestione delle SiS e l'osservanza delle disposizioni loro applicabili. Le SiS stipulano un'assicurazione sulla responsabilità civile professionale adeguata ai rischi derivanti dall'attività svolta. Le SiS applicano le disposizioni dettate dalla Consob in materia di commercializzazione di OICR.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1-ter. In deroga all'articolo 35-bis, comma 1, lettera e), i titolari di partecipazioni indicati all'articolo 15, comma 1, rispettano i soli requisiti di onorabilità previsti dall'articolo 14. In deroga all'articolo 35-bis, comma 5, la denominazione sociale della SiS contiene l'indicazione di società di investimento semplice per azioni a capitale fisso.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1-quater. I soggetti che controllano una SiS, i soggetti da questi direttamente o indirettamente controllati o controllanti, ovvero sottoposti a comune controllo anche in virtù di patti parasociali o vincoli contrattuali ai sensi dell'articolo 2359 del codice civile, nonché i soggetti che svolgono funzioni di amministrazione, direzione e controllo presso una o più SiS possono procedere alla costituzione di una o più SiS, nel rispetto del limite complessivo di euro 25 milioni.».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28.</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(Semplificazioni per la definizione dei patti territoriali e dei contratti d'area)</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Per la definitiva chiusura dei procedimenti relativi alle agevolazioni concesse nell'ambito dei patti territoriali e dei contratti d'area di cui all'articolo 2, comma 203, lettere d) e f), della legge 23 dicembre 1996, n. 662, le imprese beneficiarie presentano dichiarazioni sostitutive ai sensi degli articoli 46 e 47 del decreto del Presidente della Repubblica 28 dicembre 2000, n. 445, attestanti in particolare l'ultimazione dell'intervento agevolato e le spese sostenute per la realizzazione dello stesso. I contenuti specifici, i termini, le modalità e gli schemi per la presentazione delle predette dichiarazioni sono individuati con decreto del Ministro dello sviluppo economico da emanare entro </w:t>
      </w:r>
      <w:r>
        <w:rPr>
          <w:rFonts w:ascii="Times New Roman" w:eastAsia="Calibri" w:hAnsi="Times New Roman" w:cs="Times New Roman"/>
          <w:i w:val="0"/>
          <w:iCs w:val="0"/>
          <w:color w:val="000000"/>
          <w:sz w:val="24"/>
          <w:szCs w:val="24"/>
        </w:rPr>
        <w:lastRenderedPageBreak/>
        <w:t xml:space="preserve">sessanta giorni dalla data di entrata in vigore del presente decreto. L'erogazione degli importi spettanti è autorizzata sulla base delle predette dichiarazioni nei limiti del contributo concesso e delle disposizioni di cui all'articolo 40, comma 9-ter, del decreto-legge 6 dicembre 2011, n. 201, convertito con modificazioni dalla legge 22 dicembre 2011, n. 214. Sono fatti salvi i provvedimenti adottati fino alla data di emanazione </w:t>
      </w:r>
      <w:r>
        <w:rPr>
          <w:rFonts w:ascii="Times New Roman" w:eastAsia="Calibri" w:hAnsi="Times New Roman" w:cs="Times New Roman"/>
          <w:i w:val="0"/>
          <w:iCs w:val="0"/>
          <w:strike/>
          <w:color w:val="000000"/>
          <w:sz w:val="24"/>
          <w:szCs w:val="24"/>
          <w:highlight w:val="yellow"/>
          <w:bdr w:val="single" w:sz="4" w:space="0" w:color="auto" w:frame="1"/>
        </w:rPr>
        <w:t>della predetta direttiva</w:t>
      </w:r>
      <w:r>
        <w:rPr>
          <w:rFonts w:ascii="Times New Roman" w:eastAsia="Calibri" w:hAnsi="Times New Roman" w:cs="Times New Roman"/>
          <w:i w:val="0"/>
          <w:iCs w:val="0"/>
          <w:color w:val="000000"/>
          <w:sz w:val="24"/>
          <w:szCs w:val="24"/>
        </w:rPr>
        <w:t xml:space="preserve"> </w:t>
      </w:r>
      <w:r>
        <w:rPr>
          <w:rFonts w:ascii="Times New Roman" w:hAnsi="Times New Roman" w:cs="Times New Roman"/>
          <w:b/>
          <w:i w:val="0"/>
          <w:sz w:val="24"/>
          <w:szCs w:val="24"/>
        </w:rPr>
        <w:t xml:space="preserve">del decreto di cui al secondo periodo </w:t>
      </w:r>
      <w:r>
        <w:rPr>
          <w:rStyle w:val="Rimandonotaapidipagina"/>
          <w:rFonts w:ascii="Times New Roman" w:hAnsi="Times New Roman" w:cs="Times New Roman"/>
          <w:b/>
          <w:i w:val="0"/>
          <w:sz w:val="24"/>
          <w:szCs w:val="24"/>
        </w:rPr>
        <w:footnoteReference w:id="1"/>
      </w:r>
      <w:r>
        <w:rPr>
          <w:rFonts w:ascii="Times New Roman" w:eastAsia="Calibri" w:hAnsi="Times New Roman" w:cs="Times New Roman"/>
          <w:i w:val="0"/>
          <w:iCs w:val="0"/>
          <w:color w:val="000000"/>
          <w:sz w:val="24"/>
          <w:szCs w:val="24"/>
        </w:rPr>
        <w:t xml:space="preserve">ai sensi della normativa previgente. Per l'insieme delle imprese che non presentano le dichiarazioni sostitutive sopra indicate, entro sessanta giorni dalla data di pubblicazione del predetto decreto, il Ministero dello sviluppo economico accerta la decadenza dai benefìci con provvedimento da pubblicare nella Gazzetta Ufficiale della Repubblica italiana, con salvezza degli importi già erogati sulla base dei costi e delle spese sostenute.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Il Ministero dello sviluppo economico, anche per il tramite del nucleo speciale spesa pubblica e repressione frodi comunitarie della Guardia di finanza, ai sensi dell'articolo 25, comma 1, del decreto-legge 22 giugno 2012, n. 83, convertito, con modificazioni, dalla legge 7 agosto 2012, n. 134, effettua controlli e ispezioni, anche a campione, sugli interventi agevolati volti a verificare l'attuazione degli interventi medesimi nonché la veridicità delle dichiarazioni sostitutive presentate ai sensi del comma 1. Il predetto Ministero redige entro il 31 dicembre di ciascun anno una relazione di sintesi annuale circa gli esiti dei controlli da pubblicare sul sito istituzionale. Agli oneri per i precitati controlli ed ispezioni si provvede, nel limite massimo di 500 mila euro, a valere sulle risorse residue disponibili dei patti territoriali. Eventuali irregolarità emerse nell'ambito dei predetti controlli comportano la revoca del contributo erogato e l'irrogazione di una sanzione amministrativa pecuniaria ai sensi della legge 24 novembre 1981, n. 689, consistente nel pagamento di una somma in misura da due a quattro volte l'importo dell'aiuto fruito.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Fatti salvi gli impegni già assunti in favore delle imprese benefìciarie ovvero relativi alle rimodulazioni già autorizzate, nonché le risorse necessarie per la copertura degli oneri per i controlli e le ispezioni le risorse residue dei patti territoriali, ove non costituiscano residui perenti, sono utilizzate per il finanziamento di progetti volti allo sviluppo del tessuto imprenditoriale territoriale, anche mediante la sperimentazione di servizi innovativi a supporto delle imprese. Con decreto del Ministro dello sviluppo economico, di concerto con il Ministro dell'economia e delle finanze, d'intesa con la Conferenza permanente per i rapporti tra lo Stato, le Regioni e le Province autonome di Trento e Bolzano, sono stabiliti i criteri per la ripartizione e il trasferimento delle predette risorse, nonché la disciplina per l'attuazione dei precitati progetti, anche valorizzando modelli gestionali efficienti e pregresse esperienze positive dei soggetti che hanno dimostrato capacità operativa di carattere continuativo nell'ambito della gestione dei Patti territoriali.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Alla compensazione degli effetti finanziari in termini di fabbisogno e indebitamento netto, pari a 12,75 milioni di euro per l'anno 2019, a 29,75 milioni di euro per l'anno 2020 e a 10 milioni di euro per ciascuno degli anni 2022 al 2025,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29.</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(Nuove imprese a tasso zero, Smart &amp; Start e Digital Transformation)</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 decreto legislativo 21 aprile 2000, n. 185 sono apportate le seguenti modifiche: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all'articolo 2, comma 1, le parole: «della durata massima di otto anni» sono sostituite dalle seguenti: «della durata massima di dieci anni» e, infine, è aggiunto il seguente periodo: «Nel caso di imprese costituite da almeno trentasei mesi e da non oltre sessanta mesi, la percentuale di copertura delle spese ammissibili è innalzata al 90 per cento del totale e le agevolazioni possono essere concesse ai sensi dell'articolo 17 del regolamento (UE) n. 651/2014 della Commissione del 17 giugno 2014 che dichiara alcune categorie di aiuti compatibili con il mercato interno in applicazione degli articoli 107 e 108 del Trattato sul funzionamento dell'Unione europea»;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all'articolo 3, comma 1, lettera a) le parole: «dodici mesi» sono sostituite dalle seguenti: «sessanta mesi»;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all'articolo 4, le parole: «e fatti salvi le esclusioni e i limiti previsti dal regolamento e dalle relative disposizioni modificative di cui all'articolo 2, comma 1» sono soppresse e, in fine, è aggiunto il seguente periodo: «L'importo massimo delle spese ammissibili è innalzato a 3 milioni di euro per le imprese costituite da almeno trentasei mesi e da non oltre sessanta mesi. Sono fatte salve le limitazioni derivanti dall'applicazione della disciplina europea in materia di aiuti di Stato di riferimento.»;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dopo l'articolo 4-bis è inserito il seguente: «Art. 4-ter. – (Cumulo) – 1. Le agevolazioni di cui al presente Capo possono essere cumulate con altri aiuti di Stato anche de minimis, nei limiti previsti dalla disciplina europea in materia di aiuti di Stato di riferimento.».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Per garantire il tempestivo adeguamento alle disposizioni di cui al comma 1 e individuare modalità atte a consentire la maggiore efficacia dell'intervento, con decreto del Ministro dello sviluppo economico, di concerto con il Ministro dell'economia e delle finanze, da adottare entro novanta giorni dalla data di entrata in vigore del presente decreto, è ridefinita la disciplina di attuazione della misura di cui al Capo 0I del decreto legislativo 21 aprile 2000, n. 185, prevedendo anche, per le imprese di più recente costituzione, l'offerta di servizi di tutoraggio e la copertura dei costi iniziali di gestione, per una percentuale comunque non superiore al 20 per cento del totale delle spese ammissibili. Fino all'entrata in vigore delle predette disposizioni attuative, alle iniziative agevolate ai sensi del medesimo decreto legislativo continua ad applicarsi la disciplina vigente alla data di entrata in vigore del presente decreto.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Al fine di garantire la piena accessibilità agli interventi per l'incentivazione delle attività imprenditoriali e il contenimento degli oneri amministrativi e finanziari a carico delle imprese beneficiarie, il Ministro dello sviluppo economico procede con propri decreti, entro novanta giorni dalla data di entrata in vigore del presente decreto e sulla base dei criteri di cui al comma 4, alla revisione della disciplina attuativa degli strumenti di competenza, con particolare riferimento agli interventi per le aree di crisi industriale agevolati ai sensi della legge 15 maggio 1989, n. 181, e all'intervento in favore delle start-up innovative di cui al decreto del Ministro dello sviluppo economico 24 settembre 2014, pubblicato nella Gazzetta Ufficiale della Repubblica italiana n. 264 </w:t>
      </w:r>
      <w:r>
        <w:rPr>
          <w:rFonts w:ascii="Times New Roman" w:eastAsia="Calibri" w:hAnsi="Times New Roman" w:cs="Times New Roman"/>
          <w:i w:val="0"/>
          <w:iCs w:val="0"/>
          <w:color w:val="000000"/>
          <w:sz w:val="24"/>
          <w:szCs w:val="24"/>
        </w:rPr>
        <w:lastRenderedPageBreak/>
        <w:t xml:space="preserve">del 13 novembre 2014. Ai medesimi fini il Ministero dello sviluppo economico fornisce, ove necessario, specifiche direttive ai soggetti gestori dei singoli interventi.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La revisione di cui al comma 3 è improntata alla semplificazione e accelerazione delle procedure di accesso, concessione e erogazione delle agevolazioni, anche attraverso l'aggiornamento delle modalità di valutazione delle iniziative e di rendicontazione delle spese sostenute dai beneficiari, nonché all'incremento dell'efficacia degli interventi, con l'individuazione di modalità di intervento più adeguate al contesto di riferimento e idonee a consentire l'ampia partecipazione dei soggetti interessati, anche mediante una revisione degli impegni finanziari richiesti ai proponenti, nonché, per gli interventi di riqualificazione delle aree di crisi industriale, atte a favorire la partecipazione anche finanziaria degli enti e soggetti del territorio.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Al fine di favorire la trasformazione tecnologica e digitale dei processi produttivi delle imprese, di micro, piccola e media dimensione, con decreto del Ministero dello sviluppo economico sono stabiliti i criteri, le condizioni e le modalità per la concessione di agevolazioni finanziarie nella misura massima del 50 per cento dei costi ammissibili definite nei limiti stabiliti dal Regolamento (UE) 1407/2013 della Commissione del 18 dicembre 2013 ovvero dell'articolo 29 del Regolamento UE 651/2014 della Commissione del 17 giugno 2014.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Le agevolazioni di cui al comma 5 sono dirette a sostenere la realizzazione dei progetti di trasformazione tecnologia e digitale aventi le seguenti caratteristiche: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essere diretti all'implementazione delle tecnologie abilitanti individuate nel piano Impresa 4.0 (advanced manufacturing solutions, addittive manufacturing, realtà aumentata, simulation, integrazione orizzontale e verticale, industrial internet, cloud, cybersecuruty, big data e analytics);</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presentare un importo di spesa almeno pari a 200 mila euro.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7. Per l'accesso alle agevolazioni di cui al comma 5 le imprese devono possedere, alla data di presentazione della domanda di agevolazione, le seguenti caratteristiche: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essere iscritte e risultare attive nel Registro delle imprese;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operare in via prevalente/primaria nel settore manifatturiero e/o in quello dei servizi diretti alle imprese manifatturiere;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avere conseguito nell'esercizio cui si riferisce l'ultimo bilancio approvato e depositato un importo dei ricavi delle vendite e delle prestazioni pari almeno a euro 500 mila;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aver approvato e depositato almeno due bilanci;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e) non essere sottoposto a procedura concorsuale e non trovarsi in stato di fallimento, di liquidazione anche volontaria, di amministrazione controllata, di concordato preventivo o in qualsiasi altra situazione equivalente secondo la normativa vigente.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8. Per la concessione delle agevolazioni di cui ai commi da 5 a 7 è autorizzata la spesa di 10 milioni di euro per ciascuno degli anni 2019 e 2020 per la concessione di contributi a fondo perduto e sono destinati 80 milioni di euro a valere sulle disponibilità del Fondo per la crescita sostenibile di cui all'articolo 23 del decreto-legge 22 giugno 2012, n. 83, convertito, con modificazioni, con legge 7 agosto 2012, n. 134, per la concessione di finanziamenti agevolati.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9. Agli oneri derivanti dai commi 2 e 8, pari a 10 milioni di euro per ciascuno degli anni 2019 e 2020, e in termini di fabbisogno e indebitamento netto pari a 10 milioni di euro per l'anno 2019, a 10,5 milioni di euro per l'anno 2020 e a 1,5 milioni di euro per ciascuno degli anni dal 2021 al 2023,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30.</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(Contributi ai comuni per interventi di efficientamento energetico e sviluppo territoriale sostenibile)</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Con decreto del Ministero dello sviluppo economico, da emanarsi entro venti giorni dalla data di entrata in vigore del presente decreto, sono assegnati, sulla base dei criteri di cui al comma 2, contributi in favore dei Comuni, nel limite massimo di 500 milioni di euro per l'anno 2019 a valere sul Fondo Sviluppo e Coesione (FSC), di cui all'articolo 1, comma 6, della legge 27 dicembre 2013, n. 147, per la realizzazione di progetti relativi a investimenti nel campo dell'efficientamento energetico e dello sviluppo territoriale sostenibile.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Il contributo di cui al comma 1 è attribuito a ciascun Comune sulla base della popolazione residente alla data del 1° gennaio 2018, secondo i dati pubblicati dall'Istituto nazionale di statistica (ISTAT), come di seguito indicato: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ai Comuni con popolazione inferiore o uguale a 5.000 abitanti è assegnato un contributo pari ad euro 50.000,00;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ai Comuni con popolazione compresa tra 5.001 e 10.000 abitanti è assegnato un contributo pari ad euro 70.000,00;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ai Comuni con popolazione compresa tra 10.001 e 20.000 abitanti è assegnato un contributo pari ad euro 90.000,00;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ai Comuni con popolazione compresa tra 20.001 e 50.000 abitanti è assegnato un contributo pari ad euro 130.000,00;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e) ai Comuni con popolazione compresa tra 50.001 e 100.000 abitanti è assegnato un contributo pari ad euro 170.000,00;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f) ai Comuni con popolazione superiore compresa tra 100.001 e 250.000 abitanti è assegnato un contributo pari ad euro 210.000,00;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g) ai Comuni con popolazione superiore a 250.000 abitanti è assegnato un contributo pari ad euro 250.000,00.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I contributi di cui al comma 1 sono destinati ad opere pubbliche in materia di: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efficientamento energetico, ivi compresi interventi volti all'efficientamento dell'illuminazione pubblica, al risparmio energetico degli edifici di proprietà pubblica, nonché all'installazione di impianti per la produzione di energia da fonti rinnovabili;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sviluppo territoriale sostenibile, ivi compresi interventi in materia di mobilità sostenibile, nonché interventi per l'adeguamento e la messa in sicurezza di scuole, edifici pubblici e patrimonio comunale e per l'abbattimento delle barriere architettoniche.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Il Comune beneficiario del contributo può finanziare una o più opere pubbliche di cui al comma 3, a condizione che esse: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non abbiano già ottenuto un finanziamento a valere su fondi pubblici o privati, nazionali, regionali, provinciali o strutturali di investimento europeo;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siano aggiuntive rispetto a quelle già programmate sulla base degli stanziamenti contenuti nel bilancio di previsione dell'anno 2019.</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Il Comune beneficiario del contributo di cui al comma 1 è tenuto ad iniziare l'esecuzione dei lavori di cui al comma 3 entro il 31 ottobre 2019.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6. Il contributo è corrisposto ai Comuni beneficiari dal Ministero dell'economia e delle finanze, su richiesta del Ministero dello sviluppo economico.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7. L'erogazione avviene, per il 50 per cento, previa richiesta da parte del Ministero dello sviluppo economico sulla base dell'attestazione dell'ente beneficiario dell'avvenuto inizio dell'esecuzione dei lavori entro il termine di cui al comma 5. Il saldo, determinato come differenza tra la spesa </w:t>
      </w:r>
      <w:r>
        <w:rPr>
          <w:rFonts w:ascii="Times New Roman" w:eastAsia="Calibri" w:hAnsi="Times New Roman" w:cs="Times New Roman"/>
          <w:i w:val="0"/>
          <w:iCs w:val="0"/>
          <w:color w:val="000000"/>
          <w:sz w:val="24"/>
          <w:szCs w:val="24"/>
        </w:rPr>
        <w:lastRenderedPageBreak/>
        <w:t xml:space="preserve">effettivamente sostenuta per la realizzazione del progetto e la quota già erogata, nel limite dell'importo del contributo di cui al comma 2, è corrisposto su autorizzazione del Ministero dello sviluppo economico anche sulla base dei dati inseriti, nel sistema di monitoraggio di cui al comma 11 dall'ente beneficiario, in ordine al collaudo e alla regolare esecuzione dei lavori.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8. Per i Comuni delle regioni Friuli-Venezia Giulia e Valle d'Aosta e delle Province autonome di Trento e di Bolzano i contributi sono erogati per il tramite delle Autonomie speciali.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9. I Comuni che non rispettano il termine di cui al comma 5 decadono automaticamente dall'assegnazione del contributo di cui al comma 1. Le relative risorse rientrano nella disponibilità del Fondo per lo Sviluppo e la Coesione.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10. Il Comune beneficiario dà pubblicità dell'importo concesso dal Ministero dello sviluppo economico nella sezione «Amministrazione trasparente» di cui al decreto legislativo 14 marzo 2013, n. 33, sottosezione Opere pubbliche.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11. I Comuni beneficiari monitorano la realizzazione finanziaria, fisica e procedurale delle opere pubbliche attraverso il sistema di monitoraggio, di cui al all'articolo 1, comma 703, della legge 23 dicembre 2014, n. 190, classificando le opere sotto la voce «Contributo comuni per efficientamento energetico e sviluppo territoriale sostenibile – DL crescita».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 Considerata l'esigenza di semplificazione procedimentale, il Comune beneficiario che ottemperi agli adempimenti informativi di cui al comma 10 è esonerato dall'obbligo di presentazione del rendiconto dei contributi straordinari di cui all'articolo 158 del decreto legislativo 18 agosto 2000, n. 267.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13. Oltre ai controlli istruttori finalizzati ad attivare il flusso dei trasferimenti in favore dei Comuni, il Ministero dello sviluppo economico, anche avvalendosi di società in house, effettua, in collaborazione con il Ministero delle infrastrutture e dei trasporti, controlli a campione sulle attività realizzate con i contributi di cui al presente articolo, secondo modalità definite con apposito decreto ministeriale.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14. Agli oneri relativi alle attività istruttorie e di controllo derivanti dal presente articolo si provvede a valere sulle risorse di cui al comma 1, fino all'importo massimo di euro 1.760.000,00.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hd w:val="clear" w:color="auto" w:fill="FFFFFF"/>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TABELLA DI RIPARTO</w:t>
      </w:r>
    </w:p>
    <w:tbl>
      <w:tblPr>
        <w:tblW w:w="5000" w:type="pct"/>
        <w:tblCellSpacing w:w="15" w:type="dxa"/>
        <w:shd w:val="clear" w:color="auto" w:fill="FFFFFF"/>
        <w:tblLook w:val="04A0" w:firstRow="1" w:lastRow="0" w:firstColumn="1" w:lastColumn="0" w:noHBand="0" w:noVBand="1"/>
      </w:tblPr>
      <w:tblGrid>
        <w:gridCol w:w="4187"/>
        <w:gridCol w:w="1202"/>
        <w:gridCol w:w="1690"/>
        <w:gridCol w:w="2559"/>
      </w:tblGrid>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Tipologia</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Enti</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Importo</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Totale</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&gt; 250.000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12</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250.000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3.000.000</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100.001-250.000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33</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210.000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6.930.000</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50.001-100.000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100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170.000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17.000.000</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20.001-50.000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379</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130.000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49.270.000</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10.001-20.000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707</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90.000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63.630.000</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5.001-10.000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1.183</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70.000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82.810.000</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2.001-5.000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2.050</w:t>
            </w:r>
          </w:p>
        </w:tc>
        <w:tc>
          <w:tcPr>
            <w:tcW w:w="0" w:type="auto"/>
            <w:vMerge w:val="restart"/>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50.000</w:t>
            </w:r>
          </w:p>
        </w:tc>
        <w:tc>
          <w:tcPr>
            <w:tcW w:w="0" w:type="auto"/>
            <w:vMerge w:val="restart"/>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275.600.000</w:t>
            </w: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 </w:t>
            </w:r>
            <w:r>
              <w:rPr>
                <w:rFonts w:ascii="Times New Roman" w:eastAsia="Times New Roman" w:hAnsi="Times New Roman" w:cs="Times New Roman"/>
                <w:i w:val="0"/>
                <w:color w:val="000000" w:themeColor="text1"/>
                <w:lang w:eastAsia="it-IT"/>
              </w:rPr>
              <w:t>&lt; 2.000</w:t>
            </w: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3.462</w:t>
            </w:r>
          </w:p>
        </w:tc>
        <w:tc>
          <w:tcPr>
            <w:tcW w:w="0" w:type="auto"/>
            <w:vMerge/>
            <w:shd w:val="clear" w:color="auto" w:fill="FFFFFF"/>
            <w:vAlign w:val="center"/>
            <w:hideMark/>
          </w:tcPr>
          <w:p w:rsidR="004803C8" w:rsidRDefault="004803C8">
            <w:pPr>
              <w:spacing w:after="0"/>
              <w:rPr>
                <w:rFonts w:ascii="Times New Roman" w:eastAsia="Times New Roman" w:hAnsi="Times New Roman" w:cs="Times New Roman"/>
                <w:i w:val="0"/>
                <w:color w:val="000000" w:themeColor="text1"/>
                <w:lang w:eastAsia="it-IT"/>
              </w:rPr>
            </w:pPr>
          </w:p>
        </w:tc>
        <w:tc>
          <w:tcPr>
            <w:tcW w:w="0" w:type="auto"/>
            <w:vMerge/>
            <w:shd w:val="clear" w:color="auto" w:fill="FFFFFF"/>
            <w:vAlign w:val="center"/>
            <w:hideMark/>
          </w:tcPr>
          <w:p w:rsidR="004803C8" w:rsidRDefault="004803C8">
            <w:pPr>
              <w:spacing w:after="0"/>
              <w:rPr>
                <w:rFonts w:ascii="Times New Roman" w:eastAsia="Times New Roman" w:hAnsi="Times New Roman" w:cs="Times New Roman"/>
                <w:i w:val="0"/>
                <w:color w:val="000000" w:themeColor="text1"/>
                <w:lang w:eastAsia="it-IT"/>
              </w:rPr>
            </w:pPr>
          </w:p>
        </w:tc>
      </w:tr>
      <w:tr w:rsidR="004803C8" w:rsidTr="004803C8">
        <w:trPr>
          <w:tblCellSpacing w:w="15" w:type="dxa"/>
        </w:trPr>
        <w:tc>
          <w:tcPr>
            <w:tcW w:w="0" w:type="auto"/>
            <w:shd w:val="clear" w:color="auto" w:fill="FFFFFF"/>
            <w:tcMar>
              <w:top w:w="15" w:type="dxa"/>
              <w:left w:w="15" w:type="dxa"/>
              <w:bottom w:w="15" w:type="dxa"/>
              <w:right w:w="15" w:type="dxa"/>
            </w:tcMar>
            <w:vAlign w:val="center"/>
            <w:hideMark/>
          </w:tcPr>
          <w:p w:rsidR="004803C8" w:rsidRDefault="004803C8">
            <w:pPr>
              <w:rPr>
                <w:rFonts w:ascii="Times New Roman" w:eastAsia="Times New Roman" w:hAnsi="Times New Roman" w:cs="Times New Roman"/>
                <w:i w:val="0"/>
                <w:color w:val="000000" w:themeColor="text1"/>
                <w:lang w:eastAsia="it-IT"/>
              </w:rPr>
            </w:pP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7.926</w:t>
            </w:r>
          </w:p>
        </w:tc>
        <w:tc>
          <w:tcPr>
            <w:tcW w:w="0" w:type="auto"/>
            <w:shd w:val="clear" w:color="auto" w:fill="FFFFFF"/>
            <w:tcMar>
              <w:top w:w="15" w:type="dxa"/>
              <w:left w:w="15" w:type="dxa"/>
              <w:bottom w:w="15" w:type="dxa"/>
              <w:right w:w="15" w:type="dxa"/>
            </w:tcMar>
            <w:vAlign w:val="center"/>
            <w:hideMark/>
          </w:tcPr>
          <w:p w:rsidR="004803C8" w:rsidRDefault="004803C8">
            <w:pPr>
              <w:rPr>
                <w:rFonts w:ascii="Times New Roman" w:eastAsia="Times New Roman" w:hAnsi="Times New Roman" w:cs="Times New Roman"/>
                <w:i w:val="0"/>
                <w:color w:val="000000" w:themeColor="text1"/>
                <w:lang w:eastAsia="it-IT"/>
              </w:rPr>
            </w:pPr>
          </w:p>
        </w:tc>
        <w:tc>
          <w:tcPr>
            <w:tcW w:w="0" w:type="auto"/>
            <w:shd w:val="clear" w:color="auto" w:fill="FFFFFF"/>
            <w:tcMar>
              <w:top w:w="15" w:type="dxa"/>
              <w:left w:w="15" w:type="dxa"/>
              <w:bottom w:w="15" w:type="dxa"/>
              <w:right w:w="15" w:type="dxa"/>
            </w:tcMar>
            <w:vAlign w:val="center"/>
            <w:hideMark/>
          </w:tcPr>
          <w:p w:rsidR="004803C8" w:rsidRDefault="004803C8">
            <w:pPr>
              <w:spacing w:before="100" w:beforeAutospacing="1" w:after="100" w:afterAutospacing="1" w:line="240" w:lineRule="auto"/>
              <w:jc w:val="center"/>
              <w:rPr>
                <w:rFonts w:ascii="Times New Roman" w:eastAsia="Times New Roman" w:hAnsi="Times New Roman" w:cs="Times New Roman"/>
                <w:i w:val="0"/>
                <w:color w:val="000000" w:themeColor="text1"/>
                <w:lang w:eastAsia="it-IT"/>
              </w:rPr>
            </w:pPr>
            <w:r>
              <w:rPr>
                <w:rFonts w:ascii="Times New Roman" w:eastAsia="Times New Roman" w:hAnsi="Times New Roman" w:cs="Times New Roman"/>
                <w:i w:val="0"/>
                <w:color w:val="000000" w:themeColor="text1"/>
                <w:lang w:eastAsia="it-IT"/>
              </w:rPr>
              <w:t>498.240.000</w:t>
            </w:r>
          </w:p>
        </w:tc>
      </w:tr>
    </w:tbl>
    <w:p w:rsidR="004803C8" w:rsidRDefault="004803C8" w:rsidP="004803C8">
      <w:pPr>
        <w:spacing w:after="160" w:line="256" w:lineRule="auto"/>
        <w:jc w:val="both"/>
        <w:rPr>
          <w:rFonts w:ascii="Times New Roman" w:eastAsia="Calibri" w:hAnsi="Times New Roman" w:cs="Times New Roman"/>
          <w:i w:val="0"/>
          <w:iCs w:val="0"/>
          <w:color w:val="000000" w:themeColor="text1"/>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Capo III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TUTELA DEL MADE IN ITALY</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31.</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(Marchi storici)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 decreto legislativo 10 febbraio 2005, n. 30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dopo l'articolo 11-bis è inserito il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«Art. 11-ter (Marchio storico di interesse nazionale). – 1. I titolari o licenziatari esclusivi di marchi d'impresa registrati da almeno cinquanta anni o per i quali sia possibile dimostrare l'uso continuativo da almeno cinquanta anni, utilizzati per la commercializzazione di prodotti o servizi realizzati in un'impresa produttiva nazionale di eccellenza storicamente collegata al territorio nazionale, possono ottenere l'iscrizione del marchio nel registro dei marchi storici di interesse nazionale di cui all'articolo 185-bis.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Con decreto del Ministro dello sviluppo economico è istituito il logo “Marchio storico di interesse nazionale” che le imprese iscritte nel registro di cui all'articolo 185-bis, possono utilizzare per le finalità commerciali e promozionali. Con il decreto di cui al primo periodo sono altresì specificati i criteri per l'utilizzo del logo “Marchio storico di interesse nazionale”.»;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dopo l'articolo 185 sono inseriti 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«Art. 185-bis. – (Registro speciale dei marchi storici di interesse nazionale). – 1. È istituito, presso l'Ufficio italiano brevetti e marchi, il registro speciale dei marchi storici come definiti dall'articolo 11-ter.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L'iscrizione al registro speciale dei marchi storici è effettuata su istanza del titolare o del licenziatario esclusivo del marchio.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Art. 185-ter. – (Valorizzazione dei marchi storici nelle crisi di impresa). – 1. Al fine di salvaguardare i livelli occupazionali e la prosecuzione dell'attività produttiva sul territorio nazionale, è istituito presso il Ministero dello sviluppo economico il Fondo per la tutela dei marchi storici di interesse nazionale. Il predetto Fondo opera mediante interventi nel capitale di rischio delle imprese di cui al comma 2. Tali interventi sono effettuati a condizioni di mercato, nel rispetto di quanto previsto dalla Comunicazione della Commissione recante gli “Orientamenti sugli aiuti di Stato destinati a promuovere gli investimenti per il finanziamento del rischio (2014/C 19/04). Con decreto del Ministro dello sviluppo economico, di concerto con il Ministro del lavoro e delle politiche sociali, adottato ai sensi dell'articolo 17, comma 3 della legge 23 agosto 1988, n. 400, sono stabilite le modalità e i criteri di gestione e di funzionamento del Fondo di cui al primo periodo.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L'impresa titolare o licenziataria di un marchio iscritto nel registro speciale di cui all'articolo 185-bis che intenda chiudere il sito produttivo di origine o comunque quello principale, per cessazione dell'attività svolta o per delocalizzazione della stessa al di fuori del territorio nazionale, con conseguente licenziamento collettivo, notifica senza ritardo al Ministero dello sviluppo economico le informazioni relative al progetto di chiusura o delocalizzazione dello stabilimento e, in particolare: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i motivi economici, finanziari o tecnici del progetto di chiusura o delocalizzazione;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le azioni tese a ridurre gli impatti occupazionali attraverso, incentivi all'uscita, prepensionamenti, ricollocazione di dipendenti all'interno del gruppo;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le azioni che intende intraprendere per trovare un acquirente;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le opportunità per i dipendenti di presentare un'offerta pubblica di acquisto ed ogni altra possibilità di recupero degli asset da parte degli stessi.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A seguito dell'informativa di cui al comma 2, il Ministero dello sviluppo economico avvia il procedimento per l'individuazione degli interventi mediante le risorse del Fondo di cui al comma 1.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La violazione degli obblighi informativi di cui al comma 2 comporta l'applicazione di una sanzione amministrativa pecuniaria nei confronti del titolare dell'impresa titolare o licenziataria esclusiva del marchio da 5.000 euro ad 50.000 euro.».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Per le finalità di cui al presente articolo sono destinati 30 milioni di euro per l'anno 2020. Per le medesime finalità di cui al presente articolo, relativamente alle operazioni finalizzate al finanziamento di progetti di valorizzazione economica dei marchi storici di interesse nazionale, le PMI proprietarie o licenziatarie del marchio storico possono accedere alla garanzia del Fondo di garanzia per le piccole e medie imprese di cui all'articolo 2, comma 100, lettera a), della legge 23 dicembre 1996, n. 662. Con decreto del Ministero dello sviluppo economico, di concerto col Ministero dell'economia e delle finanze, sono stabiliti le modalità, le condizioni e i limiti per la concessione della garanzia.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Al fine dello svolgimento dei nuovi incrementali adempimenti, il Ministero dello sviluppo economico è autorizzato, nei limiti della vigente dotazione organica, ad assumere a tempo indeterminato dieci unità da inquadrare nell'area III, posizione economica F1, selezionate attraverso apposito concorso pubblico, in possesso dei specifici requisiti professionali necessari all'espletamento dei nuovi compiti operativi. Le assunzioni sono effettuate in deroga agli articoli 30, comma 2-bis e 35, comma 4, del decreto legislativo 30 marzo 2001, n. 165, e all'articolo 4, commi 3 e 3-quinquies, del decreto-legge 31 agosto 2013, n. 101, convertito con modificazioni, dalla legge 30 ottobre 2013, n. 125. Per l'attuazione del presente comma è autorizzata la spesa di 400.000 euro annui a decorrere dall'anno 2020.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Agli oneri derivanti dai commi 2 e 3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32.</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(Contrasto all’Italian sounding e incentivi al deposito di brevetti e marchi)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Ai consorzi nazionali che operano nei mercati esteri al fine di assicurare la tutela dell'originalità dei prodotti italiani, ivi inclusi quelli agroalimentari, venduti all'estero, è concessa un'agevolazione pari al 50 per cento delle spese sostenute per la tutela legale dei propri prodotti colpiti dal fenomeno dell’Italian Sounding, di cui all'articolo 144 del decreto legislativo 10 febbraio 2005, n. 30, recante Codice della proprietà industriale. L'agevolazione è concessa fino ad un importo massimo annuale per soggetto beneficiario di euro 30.000,00 e comunque nel limite annuo di cui al comma 3.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Con decreto del Ministro dello sviluppo economico di concerto con il Ministro dell'economia e delle finanze sono stabilite le disposizioni di attuazione, ivi inclusa l'indicazione delle spese ammissibili, le procedure per l'ammissione al beneficio, che avviene secondo l'ordine cronologico di presentazione delle relative domande, nel rispetto dei limiti di cui al comma 3, nonché le modalità di verifica e controllo dell'effettività delle spese sostenute, le cause di decadenza e revoca del beneficio, le modalità di restituzione delle agevolazioni fruite indebitamente.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Per l'attuazione del comma 1 è autorizzata la spesa di 1,5 milioni di euro a decorrere dall'anno 2019. Agli oneri derivanti dal presente comma si provvede ai sensi dell'articolo 50.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All'articolo 10, del Codice della proprietà industriale, di cui al decreto legislativo 10 febbraio 2005, n. 30, sono apportate le seguenti modifiche: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comma 1, dopo le parole «simboli, emblemi e stemmi che rivestano un interesse pubblico» sono aggiunte le seguenti: «inclusi i segni riconducibili alle forze dell'ordine e alle forze armate e i nomi di Stati e di enti pubblici territoriali italiani».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dopo il comma 1, è aggiunto il seguente comma 1-bis: «Non possono altresì formare oggetto di registrazione parole, figure o segni lesivi dell'immagine o della reputazione dell'Italia».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 All'articolo 144 del Codice della proprietà industriale sono apportate le seguenti modifiche: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alla rubrica sono aggiunte infine le seguenti parole: «e pratiche di Italian Sounding»;</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dopo il comma 1 è aggiunto il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«1-bis. Agli effetti delle norme contenute nella presente sezione sono pratiche di Italian Sounding le pratiche finalizzate alla falsa evocazione dell'origine italiana di prodotti»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All'articolo 145 del codice di proprietà industriale,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comma 1 sono in fine aggiunte le seguenti parole: «e della falsa evocazione dell'origine italiana»;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ovunque ricorrano le parole «Consiglio Nazionale Anticontraffazione» sono sostituite dalle parole: «Consiglio nazionale per la lotta alla contraffazione e all’Italian Sounding»;</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al comma 2, dopo le parole «funzione pubblica» sono aggiunte le seguenti: «, da un rappresentante del Ministero dell'istruzione, dell'università e della ricerca,».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7. Alle start-up innovative di cui al decreto-legge 18 ottobre 2012, n. 179 convertito, con modificazioni, dalla legge 17 dicembre 2012, n. 221 è concesso il Voucher 3I – Investire In Innovazione – al fine di supportare la valorizzazione del processo di innovazione delle predette imprese, nel periodo 2019-2021.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8. Il voucher 3I può essere utilizzato dalle imprese </w:t>
      </w:r>
      <w:r>
        <w:rPr>
          <w:rFonts w:ascii="Times New Roman" w:eastAsia="Calibri" w:hAnsi="Times New Roman" w:cs="Times New Roman"/>
          <w:i w:val="0"/>
          <w:iCs w:val="0"/>
          <w:strike/>
          <w:color w:val="000000"/>
          <w:sz w:val="24"/>
          <w:szCs w:val="24"/>
          <w:highlight w:val="yellow"/>
          <w:bdr w:val="single" w:sz="4" w:space="0" w:color="auto" w:frame="1"/>
        </w:rPr>
        <w:t>di cui al comma 10</w:t>
      </w:r>
      <w:r>
        <w:rPr>
          <w:rFonts w:ascii="Times New Roman" w:eastAsia="Calibri" w:hAnsi="Times New Roman" w:cs="Times New Roman"/>
          <w:i w:val="0"/>
          <w:iCs w:val="0"/>
          <w:color w:val="000000"/>
          <w:sz w:val="24"/>
          <w:szCs w:val="24"/>
        </w:rPr>
        <w:t xml:space="preserve"> </w:t>
      </w:r>
      <w:r>
        <w:rPr>
          <w:rFonts w:ascii="Times New Roman" w:hAnsi="Times New Roman" w:cs="Times New Roman"/>
          <w:b/>
          <w:i w:val="0"/>
          <w:sz w:val="24"/>
          <w:szCs w:val="24"/>
        </w:rPr>
        <w:t>di cui al comma 7</w:t>
      </w:r>
      <w:r>
        <w:rPr>
          <w:rStyle w:val="Rimandonotaapidipagina"/>
          <w:rFonts w:ascii="Times New Roman" w:hAnsi="Times New Roman" w:cs="Times New Roman"/>
          <w:b/>
          <w:i w:val="0"/>
          <w:sz w:val="24"/>
          <w:szCs w:val="24"/>
        </w:rPr>
        <w:footnoteReference w:id="2"/>
      </w:r>
      <w:r>
        <w:rPr>
          <w:rFonts w:ascii="Times New Roman" w:hAnsi="Times New Roman" w:cs="Times New Roman"/>
          <w:b/>
          <w:sz w:val="24"/>
          <w:szCs w:val="24"/>
        </w:rPr>
        <w:t xml:space="preserve"> </w:t>
      </w:r>
      <w:r>
        <w:rPr>
          <w:rFonts w:ascii="Times New Roman" w:eastAsia="Calibri" w:hAnsi="Times New Roman" w:cs="Times New Roman"/>
          <w:i w:val="0"/>
          <w:iCs w:val="0"/>
          <w:color w:val="000000"/>
          <w:sz w:val="24"/>
          <w:szCs w:val="24"/>
        </w:rPr>
        <w:t xml:space="preserve">per l'acquisizione di servizi di consulenza relativi alla verifica della brevettabilità dell'invenzione e all'effettuazione delle ricerche di anteriorità preventive, alla stesura della domanda di brevetto e di deposito presso l'Ufficio italiano brevetti e marchi, all'estensione all'estero della domanda nazionale.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9. I criteri e le modalità di attuazione del voucher 3I sono definiti con decreto </w:t>
      </w:r>
      <w:r>
        <w:rPr>
          <w:rFonts w:ascii="Times New Roman" w:eastAsia="Calibri" w:hAnsi="Times New Roman" w:cs="Times New Roman"/>
          <w:i w:val="0"/>
          <w:iCs w:val="0"/>
          <w:strike/>
          <w:color w:val="000000"/>
          <w:sz w:val="24"/>
          <w:szCs w:val="24"/>
          <w:highlight w:val="yellow"/>
          <w:bdr w:val="single" w:sz="4" w:space="0" w:color="auto" w:frame="1"/>
        </w:rPr>
        <w:t>di natura non regolamentare dal</w:t>
      </w:r>
      <w:r>
        <w:rPr>
          <w:rFonts w:ascii="Times New Roman" w:eastAsia="Calibri" w:hAnsi="Times New Roman" w:cs="Times New Roman"/>
          <w:i w:val="0"/>
          <w:iCs w:val="0"/>
          <w:color w:val="000000"/>
          <w:sz w:val="24"/>
          <w:szCs w:val="24"/>
        </w:rPr>
        <w:t xml:space="preserve"> </w:t>
      </w:r>
      <w:r>
        <w:rPr>
          <w:rFonts w:ascii="Times New Roman" w:eastAsia="Calibri" w:hAnsi="Times New Roman" w:cs="Times New Roman"/>
          <w:b/>
          <w:i w:val="0"/>
          <w:iCs w:val="0"/>
          <w:color w:val="000000"/>
          <w:sz w:val="24"/>
          <w:szCs w:val="24"/>
        </w:rPr>
        <w:t>del</w:t>
      </w:r>
      <w:r>
        <w:rPr>
          <w:rStyle w:val="Rimandonotaapidipagina"/>
          <w:rFonts w:ascii="Times New Roman" w:eastAsia="Calibri" w:hAnsi="Times New Roman" w:cs="Times New Roman"/>
          <w:b/>
          <w:i w:val="0"/>
          <w:iCs w:val="0"/>
          <w:color w:val="000000"/>
          <w:sz w:val="24"/>
          <w:szCs w:val="24"/>
        </w:rPr>
        <w:footnoteReference w:id="3"/>
      </w:r>
      <w:r>
        <w:rPr>
          <w:rFonts w:ascii="Times New Roman" w:eastAsia="Calibri" w:hAnsi="Times New Roman" w:cs="Times New Roman"/>
          <w:b/>
          <w:i w:val="0"/>
          <w:iCs w:val="0"/>
          <w:color w:val="000000"/>
          <w:sz w:val="24"/>
          <w:szCs w:val="24"/>
        </w:rPr>
        <w:t xml:space="preserve"> </w:t>
      </w:r>
      <w:r>
        <w:rPr>
          <w:rFonts w:ascii="Times New Roman" w:eastAsia="Calibri" w:hAnsi="Times New Roman" w:cs="Times New Roman"/>
          <w:i w:val="0"/>
          <w:iCs w:val="0"/>
          <w:color w:val="000000"/>
          <w:sz w:val="24"/>
          <w:szCs w:val="24"/>
        </w:rPr>
        <w:t xml:space="preserve">Ministero dello sviluppo economico, in piena coerenza con le altre misure di aiuto in favore delle imprese di cui al comma 10, attivate dal Ministero stesso. Per lo svolgimento delle attività inerenti l'attuazione del voucher 3I, il Ministero dello sviluppo economico può avvalersi di un soggetto gestore e dei soggetti di cui al capo VI del decreto legislativo 10 febbraio 2005, n. 30 e successive modificazioni ed integrazioni.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10. Agli oneri derivanti dall'attuazione dei commi 7, 8 e 9 del presente articolo, fissati in misura massima di 6,5 milioni di euro per ciascun anno del triennio 2019-2021 si provvede ai sensi dell'articolo 50.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11. Al fine di stabilizzare il sostegno alle piccole e medie imprese per la valorizzazione dei titoli di proprietà industriale, il Ministero dello sviluppo economico provvede annualmente, con decreto del direttore generale per la lotta alla contraffazione - Ufficio italiano brevetti e marchi alla definizione di un atto di programmazione dell'apertura dei bandi relativi alle misure già operanti denominate brevetti, marchi e disegni, attuate tramite soggetti gestori in modo tale da rendere le misure rispondenti ai fabbisogni del tessuto imprenditoriale, in particolare delle start up e delle imprese giovanili, anche apportando le necessarie modifiche per rendere le misure eleggibili </w:t>
      </w:r>
      <w:r>
        <w:rPr>
          <w:rFonts w:ascii="Times New Roman" w:eastAsia="Calibri" w:hAnsi="Times New Roman" w:cs="Times New Roman"/>
          <w:i w:val="0"/>
          <w:iCs w:val="0"/>
          <w:color w:val="000000"/>
          <w:sz w:val="24"/>
          <w:szCs w:val="24"/>
        </w:rPr>
        <w:lastRenderedPageBreak/>
        <w:t xml:space="preserve">all'interno degli interventi che possono essere cofinanziati dall'Unione europea, al fine di incrementarne la relativa dotazione finanziaria.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 Al fine di assicurare la piena informazione dei consumatori in ordine al ciclo produttivo e favorire le esportazioni di prodotti di qualità, il Ministero dello sviluppo economico concede un'agevolazione diretta a sostenere la promozione all'estero di marchi collettivi o di certificazione volontari italiani, ai sensi degli articoli 11 ed 11-bis del decreto legislativo 19 marzo 2005, n. 30, da parte di associazioni rappresentative di categoria fissata nella misura massima di euro 1 milione per anno.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13. Con decreto del Ministero dello sviluppo economico sono fissati i criteri e le modalità di concessione dell'agevolazione di cui al comma 12, nonché i requisiti minimi dei disciplinari d'uso, determinati d'intesa con le associazioni rappresentative delle categorie produttive, le disposizioni minime relative all'adesione, alle verifiche, ai controlli e alle sanzioni per uso non conforme, cui devono essere soggetti i licenziatari dei marchi, i criteri per la composizione e le modalità di funzionamento degli organismi cui i titolari affideranno la gestione dei marchi.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14. Il Ministero dello sviluppo economico esercita la supervisione sull'attività dei titolari dei marchi collettivi e di certificazione ammessi alle agevolazioni, vigilando sul corretto uso del marchio e sull'espletamento dei controlli previsti dai rispettivi disciplinari, anche ai fini della promozione coordinata e coerente di tali marchi. Agli adempimenti previsti il Ministero dello sviluppo economico provvede con le risorse umane, finanziarie e strumentali disponibili a legislazione vigente, senza nuovi o maggiori oneri a carico della finanza pubblica.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15. Agli oneri derivanti dai commi 12 e 13, pari a 1 milione di euro per ciascun anno, a decorrere dal 2019 si provvede ai sensi dell'articolo 50.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16. All'articolo 55 del Codice della proprietà industriale sono apportate le seguenti modifiche: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il comma 1 è sostituito dal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La domanda internazionale depositata ai sensi del Trattato di cooperazione in materia di brevetti, ratificato con legge 26 maggio 1978, n. 260, contenente la designazione o l'elezione dell'Italia, indipendentemente dalla designazione dell'Organizzazione europea dei brevetti per la concessione di un brevetto europeo, equivale ad una domanda di brevetto per invenzione industriale o per modello di utilità depositata in Italia alla stessa data, e ne produce gli effetti, se entro trenta mesi dalla data di deposito, o di priorità, ove rivendicata, viene depositata presso l'Ufficio italiano brevetti e marchi una richiesta di apertura della procedura nazionale di concessione del brevetto italiano ai sensi dell'articolo 160-bis, comma 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dopo il comma 1 sono inseriti 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«1-bis. La protezione conferita dalla domanda ai sensi del comma 1 decorre dalla data in cui il titolare della medesima abbia reso accessibile al pubblico, tramite l'Ufficio italiano brevetti e marchi, una traduzione in lingua italiana della domanda ovvero l'abbia notificata direttamente al presunto contraffattore. La designazione dell'Italia nella domanda internazionale è considerata priva di effetti </w:t>
      </w:r>
      <w:r>
        <w:rPr>
          <w:rFonts w:ascii="Times New Roman" w:eastAsia="Calibri" w:hAnsi="Times New Roman" w:cs="Times New Roman"/>
          <w:i w:val="0"/>
          <w:iCs w:val="0"/>
          <w:color w:val="000000"/>
          <w:sz w:val="24"/>
          <w:szCs w:val="24"/>
        </w:rPr>
        <w:lastRenderedPageBreak/>
        <w:t xml:space="preserve">sin dall'origine, salvo per quanto disposto dall'articolo 46, comma 3, quando la domanda stessa sia stata ritirata o considerata ritirata o quando la designazione dell'Italia sia stata ritirata o respinta, o quando la domanda presso l'Ufficio italiano brevetti e marchi non sia stata depositata entro il termine stabilito dal comma 1.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1-ter. Le modalità di applicazione del presente articolo e dell'articolo 160-bis sono determinate con decreto del Ministero dello sviluppo economico.».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17. Dopo l'articolo 160 del Codice della proprietà industriale è inserito il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«Art. 160-bis. – (Procedura nazionale della domanda internazionale). – 1. La richiesta di apertura della procedura nazionale di cui al comma 1 dell'articolo 55, da presentare all'Ufficio italiano brevetti e marchi per la concessione del brevetto italiano per invenzione industriale o modello di utilità, deve essere accompagnata da: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una traduzione italiana completa della domanda internazionale come pubblicata;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i diritti di deposito previsti dalla Tabella A allegata al decreto 2 aprile 2007 del Ministro dello sviluppo economico, di concerto con il Ministro dell'economia e finanze.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Alla richiesta di cui al comma 1 si applicano le norme del presente codice, dei regolamenti attuativi e dei decreti sul pagamento dei diritti, in particolare in relazione alla ricevibilità e integrazione delle domande, alla data attribuita alla domanda, alla presentazione di ulteriori documenti e traduzioni che potranno essere richiesti al fine delle procedure di esame e del mantenimento in vita dei titoli.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Per la richiesta di brevetto italiano per invenzione industriale basata su una domanda internazionale ai sensi del comma 1 dell'articolo 55 la ricerca di anteriorità effettuata nella fase internazionale sostituisce la corrispondente ricerca prevista per la domanda nazionale, ferme restando le altre norme sull'esame previste dal presente codice.».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Capo IV</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ULTERIORI MISURE PER LA CRESCITA</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33.</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(Assunzione di personale nelle regioni a statuto ordinario e nei comuni in base alla sostenibilità finanziaria)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 decorrere dalla data individuata dal decreto di cui al presente comma, anche al fine di consentire l'accelerazione degli investimenti pubblici, con particolare riferimento in materia di mitigazione rischio idrogeologico, ambientale, manutenzione di scuole e strade, opere infrastrutturali, edilizia sanitaria e gli altri programmi previsti dalla legge 30 dicembre 2018, n. 145, le regioni a statuto ordinario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anche differenziata per fascia demografica, delle entrate relative ai primi tre titoli delle entrate del rendiconto dell'anno precedente a quello in cui viene prevista l'assunzione, considerate al netto di quelle la cui destinazione è vincolata, ivi incluse, per le finalità di cui al presente comma, quelle relative al servizio sanitario nazionale ed al netto del fondo crediti di dubbia esigibilità stanziato in bilancio di previsione. Con decreto del Ministro della pubblica amministrazione, di concerto con il Ministro dell'economia e delle finanze, previa intesa in Conferenza permanente per i rapporti tra lo Stato, le regioni e le Province autonome di Trento e Bolzano, entro sessanta giorni dalla data di entrata in vigore del presente decreto, sono individuate le fasce demografiche, i relativi valori soglia prossimi al valore medio per fascia demografica e le relative percentuali massime annuali di incremento del personale in servizio per le regioni che si collocano al di sotto del predetto valore soglia. I predetti parametri possono essere aggiornati con le modalità di cui al secondo periodo ogni cinque anni. Le regioni in cui il rapporto fra la spesa di personale, al lordo degli oneri riflessi a carico dell'amministrazione, e le predette entrate 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le regioni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A decorrere dalla data individuata dal decreto di cui al presente comma, anche per le finalità di cui al comma 1, i comuni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differenziata per fascia demografica, delle entrate relative ai primi tre titoli delle entrate del rendiconto dell'anno precedente a quello in cui viene prevista l'assunzione, considerate al netto del fondo crediti dubbia esigibilità stanziato in bilancio di previsione. Con decreto del Ministro della pubblica amministrazione, di concerto con il Ministro dell'economia e delle finanze e il Ministro dell'interno, previa intesa in sede di Conferenza Stato-città ed autonomie locali, entro sessanta giorni dalla data di entrata in vigore del presente decreto sono individuate le fasce demografiche, i relativi valori soglia prossimi al valore medio per fascia demografica e le relative percentuali massime annuali di incremento del personale in servizio per i comuni che si collocano al di sotto del predetto valore soglia. I predetti parametri possono essere aggiornati con le modalità di cui al secondo periodo ogni cinque anni. I comuni in cui il rapporto fra la spesa di personale, al lordo degli oneri riflessi a carico dell'amministrazione, e le predette entrate </w:t>
      </w:r>
      <w:r>
        <w:rPr>
          <w:rFonts w:ascii="Times New Roman" w:eastAsia="Calibri" w:hAnsi="Times New Roman" w:cs="Times New Roman"/>
          <w:i w:val="0"/>
          <w:iCs w:val="0"/>
          <w:color w:val="000000"/>
          <w:sz w:val="24"/>
          <w:szCs w:val="24"/>
        </w:rPr>
        <w:lastRenderedPageBreak/>
        <w:t>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i comuni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xml:space="preserve">Articolo 34.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(Piano grandi investimenti nelle zone economiche speciali)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Ai fini dello sviluppo di grandi investimenti delle imprese insediate nelle Zone economiche speciali di cui all'articolo 4 del decreto-legge 20 giugno 2017, n. 91, convertito, con modificazioni, dalla legge 3 agosto 2017, n. 123, nonché per l'attrazione di ulteriori nuove iniziative imprenditoriali, il Presidente del Consiglio dei ministri o, se nominata, l'Autorità politica delegata per la coesione, definisce le linee di intervento denominate «Piano grandi investimenti – ZES» a cui sono destinati 50 milioni di euro per il 2019, 150 milioni di euro per il 2020 e 100 milioni di euro per il 2021 a valere sulle risorse del Fondo sviluppo e coesione (FSC), di cui all'articolo 1, comma 6, della legge 27 dicembre 2013, n. 147.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Il Piano può essere utilizzato per investimenti, in forma di debito o di capitale di rischio, ovvero per sottoscrivere quote di fondi di investimento o fondi di fondi o di altri veicoli previsti dalla normativa europea che abbiano quale oggetto di investimento in forma di debito o di capitale di rischio.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Possono essere stipulate convenzioni per la gestione del Piano o di una sua parte con soggetti individuati nel risetto della disciplina europea e nazionale in materia.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Entro trenta giorni dalla data di entrata in vigore del presente decreto, con decreto il Presidente del Consiglio dei ministri o, se nominata, dell'Autorità politica delegata per la coesione, sentito il Ministro dell'economia e delle finanze e sentito il Ministro per gli affari regionali, sono disciplinate le linee di attività del Piano di cui al comma 1, nonché l'ammontare degli investimenti, le modalità di individuazione del soggetto gestore, gli obiettivi e le specifiche di investimento oggetto di intervento da parte dello stesso Piano, stabilendo il minimo ammontare dell'investimento.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35.</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(Obblighi informativi erogazioni pubbliche)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 della legge 4 agosto 2017, n. 124, i commi da 125 a 129 sono sostituiti dai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«125. A partire dall'esercizio finanziario 2018, i soggetti di cui al secondo periodo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all'articolo 1, comma 2, del decreto legislativo 30 marzo 2001, n. 165 e dai soggetti di cui all'articolo 2-bis del decreto legislativo 14 marzo 2013, n. 33. Il presente comma si applica: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ai soggetti di cui all'articolo 13 della legge 8 luglio 1986, n. 349;</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ai soggetti di cui all'articolo 137 del decreto legislativo 6 settembre 2005, n. 206;</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alle associazioni, Onlus e fondazioni;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alle cooperative sociali che svolgono attività a favore degli stranieri di cui al decreto legislativo 25 luglio 1998, n. 286.</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125-bis. I soggetti che esercitano le attività di cui all'articolo 2195 del codice civile 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all'articolo 1, comma 2, del decreto legislativo 30 marzo 2001, n. 165 e dai soggetti di cui all'articolo 2-bis del decreto legislativo 14 marzo 2013, n. 33. I soggetti che redigono il bilancio ai sensi dell'articolo 2435-bis del codice civile e quelli comunque non tenuti alla redazione della nota integrativa assolvono all'obbligo di cui al primo periodo mediante pubblicazione delle medesime informazioni e importi, entro il 30 giugno di ogni anno, su propri siti internet, secondo modalità liberamente accessibili al pubblico o, in mancanza di questi ultimi, sui portali digitali delle associazioni di categoria di appartenenza.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125-ter. A partire dal 1° gennaio 2020, l'inosservanza degli obblighi di cui ai commi 125 e 125-bis comporta una sanzione pari all'1 per cento degli importi ricevuti con un importo minimo di 2.000 euro, nonché la sanzione accessoria dell'adempimento agli obblighi di pubblicazione. Decorsi 90 giorni dalla contestazione senza che il trasgressore abbia ottemperato agli obblighi di pubblicazione, si applica la sanzione della restituzione integrale del beneficio ai soggetti eroganti. Le sanzioni di cui al presente comma sono irrogate dalle pubbliche amministrazioni di cui all'articolo 1, comma 2, del decreto legislativo 30 marzo 2001, n. 165, che hanno erogato il beneficio oppure, negli altri casi, dall'amministrazione vigilante o competente per materia. Si applica la legge 24 novembre 1981, n. 689, in quanto compatibile.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125-quater. Qualora i soggetti eroganti sovvenzioni, sussidi, vantaggi, contributi o aiuti, in denaro o in natura, privi di natura corrispettiva, retributiva o risarcitoria di cui ai commi 125 e 125-bis siano amministrazioni centrali dello Stato ed abbiano adempiuto agli obblighi di pubblicazione </w:t>
      </w:r>
      <w:r>
        <w:rPr>
          <w:rFonts w:ascii="Times New Roman" w:eastAsia="Calibri" w:hAnsi="Times New Roman" w:cs="Times New Roman"/>
          <w:i w:val="0"/>
          <w:iCs w:val="0"/>
          <w:color w:val="000000"/>
          <w:sz w:val="24"/>
          <w:szCs w:val="24"/>
        </w:rPr>
        <w:lastRenderedPageBreak/>
        <w:t xml:space="preserve">previsti dall'articolo 26 del decreto legislativo 14 marzo 2013, n. 33, le somme di cui al comma 125-ter sono versate ad apposito capitolo dell'entrata del bilancio dello Stato per essere riassegnate ai pertinenti capitoli degli stati di previsione delle amministrazioni originariamente competenti per materia. Nel caso in cui i soggetti eroganti di cui al primo periodo non abbiano adempiuto agli obblighi di pubblicazione di cui all'articolo 26 del decreto legislativo 14 marzo 2013, n. 33, le somme di cui al comma 125-ter sono versate all'entrata del bilancio dello Stato per essere riassegnate al Fondo per la lotta alla povertà e all'esclusione sociale di cui all'articolo 1, comma 386, della legge 8 dicembre 2015, n. 208.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125-quinquies. Per gli aiuti di Stato e gli aiuti de minimis 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125-bis,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125-sexies. Le cooperative sociali di cui al comma 125, lettera d), sono altresì tenute a pubblicare trimestralmente nei propri siti internet o portali digitali l'elenco dei soggetti a cui sono versate somme per lo svolgimento di servizi finalizzati ad attività di integrazione, assistenza e protezione sociale.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126. A decorrere dal 1° gennaio 2018, gli obblighi di pubblicazione di cui all'articolo 26 del decreto legislativo 14 marzo 2013, n. 33, si applicano anche agli enti e alle società controllati di diritto o di fatto, direttamente o indirettamente, dalle amministrazioni dello Stato, mediante pubblicazione nei propri documenti contabili annuali, nella nota integrativa del bilancio. In caso di inosservanza di tale obbligo si applica una sanzione amministrativa pari alle somme erogate.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127. Al fine di evitare la pubblicazione di informazioni non rilevanti, l'obbligo di pubblicazione di cui ai commi 125, 125-bis e 126 non si applica ove l'importo monetario di sovvenzioni, sussidi, vantaggi, contributi o aiuti, in denaro o in natura, privi di natura corrispettiva, retributiva o risarcitoria effettivamente erogati al soggetto beneficiario sia inferiore a 10.000 euro nel periodo considerato.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128. All'articolo 26, comma 2, del decreto legislativo 14 marzo 2013, n. 33, dopo il secondo periodo, è aggiunto il seguente: “Ove i soggetti beneficiari siano controllati di diritto o di fatto dalla stessa persona fisica o giuridica ovvero dagli stessi gruppi di persone fisiche o giuridiche, vengono altresì pubblicati i dati consolidati di gruppo.”.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129. All'attuazione delle disposizioni previste dai commi da 125 a 128 le amministrazioni, gli enti e le società di cui ai predetti commi provvedono nell'ambito delle risorse umane, finanziarie e strumentali previste a legislazione vigente e, comunque, senza nuovi o maggiori oneri a carico della finanza pubblica.».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Il comma 2 dell'articolo 3-quater del decreto-legge 14 dicembre 2018, n. 135, convertito, con modificazioni, dalla legge 11 febbraio 2019, n. 12, è abrogato.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Articolo 36.</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(Banche popolari e Fondo indennizzo risparmiatori)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All'articolo 1, comma 2, del decreto-legge 24 gennaio 2015, n. 3, convertito, con modificazioni, dalla legge 24 marzo 2015, n. 33, la parola: «2019» è sostituita dalla seguente: «2020».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All'articolo 1 della legge 30 dicembre 2018, n. 145, sono apportate le seguenti modifiche: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comma 494, le parole «e aventi causa» sono sostituite dalle seguenti: «mortis causa, o il coniuge, il soggetto legato da unione civile, il convivente more uxorio o di fatto di cui alla legge 20 maggio 2016, n. 76, i parenti entro il secondo grado, ove siano succeduti nel possesso dei predetti strumenti finanziari in forza di trasferimento a titolo particolare per atto tra vivi»;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al comma 496, primo periodo, dopo le parole «costo di acquisto,» sono inserite le seguenti: «inclusi gli oneri fiscali,»;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al comma 497, primo periodo, dopo le parole «costo di acquisto,» sono inserite le seguenti: «inclusi gli oneri fiscali,»;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al comma 500, secondo periodo, dopo le parole «titoli di Stato con scadenza equivalente» sono aggiunte le seguenti: «determinato ai sensi dei commi 3, 4 e 5 dell'articolo 9 del decreto-legge 3 maggio 2016, n. 59, convertito, con modificazioni, dalla legge 30 giugno 2016, n. 119»;</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e) al comma 501, i periodi secondo, terzo, quarto, quinto e sesto sono sostituiti dai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«Con decreto del Ministro dell'economia e delle finanze sono definite le modalità di presentazione della domanda di indennizzo nonché i piani di riparto delle risorse disponibili. Con il medesimo decreto è istituita e disciplinata una Commissione tecnica per: l'esame e l'ammissione delle domande all'indennizzo del FIR; la verifica delle violazioni massive, nonché della sussistenza del nesso di causalità tra le medesime e il danno subìto dai risparmiatori; l'erogazione dell'indennizzo da parte del FIR. Le suddette verifiche possono avvenire anche attraverso la preventiva tipizzazione delle violazioni massive e la corrispondente identificazione degli elementi oggettivi e/o soggettivi in presenza dei quali l'indennizzo può essere direttamente erogato. Il decreto indica i tempi delle procedure di definizione delle istanze presentate entro il termine di cui al penultimo periodo e, in modo non tassativo, le fattispecie di violazioni massive. Il suddetto procedimento non si applica ai casi di cui al comma 502-bis. La citata Commissione è composta da nove membri in possesso di idonei requisiti di competenza, indipendenza, onorabilità e probità. Con successivo decreto del Ministro dell'economia e delle finanze sono nominati i componenti della Commissione tecnica e determinati gli emolumenti da attribuire ai medesimi, nel limite massimo di 1,2 milioni di euro per ciascuno degli anni 2019, 2020 e 2021. Ai relativi oneri si provvede mediante la corrispondente </w:t>
      </w:r>
      <w:r>
        <w:rPr>
          <w:rFonts w:ascii="Times New Roman" w:eastAsia="Calibri" w:hAnsi="Times New Roman" w:cs="Times New Roman"/>
          <w:i w:val="0"/>
          <w:iCs w:val="0"/>
          <w:color w:val="000000"/>
          <w:sz w:val="24"/>
          <w:szCs w:val="24"/>
        </w:rPr>
        <w:lastRenderedPageBreak/>
        <w:t>riduzione della dotazione del FIR. Qualora l'importo dei compensi da attribuire ai componenti della Commissione tecnica risulti inferiore al predetto limite massimo, con decreto del Ministro dell'economia e delle finanze, l'importo eccedente confluisce nel FIR. Il Ministro dell'economia e delle finanze è autorizzato ad apportare le occorrenti variazioni di bilancio. La domanda di indennizzo, corredata di idonea documentazione attestante i requisiti di cui al comma 494, è inviata entro il termine di centottanta giorni decorrenti dalla data individuata con apposito decreto del Ministro dell'economia e delle finanze.»;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f) dopo il comma 501 è inserito il seguente comma: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«501-bis. Le attività di supporto per l'espletamento delle funzioni della Commissione tecnica di cui al comma 501 sono affidate dal Ministero dell'economia e delle finanze, nel rispetto dei princìpi comunitari e nazionali conferenti, a società a capitale interamente pubblico, su cui l'amministrazione dello Stato esercita un controllo analogo a quello esercitato su propri servizi e che svolge la propria attività quasi esclusivamente nei confronti della predetta amministrazione. Gli oneri e le spese relative alle predette attività sono a carico delle risorse finanziarie del FIR non oltre il limite massimo complessivo di 12,5 milioni di euro.»;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g) il comma 502 è sostituito dal seguente: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«502. I risparmiatori di cui al comma 502-bis sono soddisfatti con priorità a valere sulla dotazione del FIR.»;</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h) dopo il comma 502, sono aggiunti i seguenti: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«502-bis. Previo accertamento da parte della Commissione tecnica di cui al comma 501 esclusivamente dei requisiti soggettivi e oggettivi previsti nel presente comma, hanno diritto all'erogazione da parte del FIR di un indennizzo forfettario dell'ammontare determinato ai sensi dei precedenti commi 496 e 497 i risparmiatori persone fisiche, imprenditori individuali, anche agricoli, coltivatori diretti, in possesso delle azioni e delle obbligazioni subordinate delle banche di cui al comma 493 alla data del provvedimento di messa in liquidazione coatta amministrativa – ovvero i loro successori mortis causa o il coniuge, il soggetto legato da unione civile, il convivente more uxorio o di fatto, i parenti entro il secondo grado in possesso dei suddetti strumenti finanziari a seguito di trasferimento con atto tra vivi – che soddisfano una delle seguenti condizioni: a) patrimonio mobiliare di proprietà del risparmiatore di valore inferiore a 100.000 euro; b) ammontare del reddito complessivo del risparmiatore ai fini dell'imposta sul reddito delle persone fisiche inferiore a 35.000 euro nell'anno 2018. Il valore del patrimonio mobiliare di cui alla suddetta lettera a) risulta dal patrimonio mobiliare posseduto al 31 dicembre 2018, esclusi gli strumenti finanziari di cui al comma 494, calcolato secondo i criteri e le istruzioni approvati con decreto del Ministero del lavoro e delle politiche sociali, Direzione generale per l'inclusione e le politiche sociali, di concerto con il Ministero dell'economia e delle finanze, Dipartimento delle finanze del 13 aprile 2017, n. 138, recante </w:t>
      </w:r>
      <w:r>
        <w:rPr>
          <w:rFonts w:ascii="Times New Roman" w:eastAsia="Calibri" w:hAnsi="Times New Roman" w:cs="Times New Roman"/>
          <w:i w:val="0"/>
          <w:iCs w:val="0"/>
          <w:color w:val="000000"/>
          <w:sz w:val="24"/>
          <w:szCs w:val="24"/>
        </w:rPr>
        <w:lastRenderedPageBreak/>
        <w:t xml:space="preserve">approvazione del modello tipo di dichiarazione sostitutiva unica (DSU), nonché delle relative istruzioni per la compilazione, ai sensi dell'articolo 10, comma 3, del decreto del Presidente del Consiglio dei ministri del 5 dicembre 2013, n. 159. Con il decreto del Ministro dell'economia e delle finanze previsto dal precedente comma 501 sono stabilite le modalità di presentazione dell'istanza di erogazione del menzionato indennizzo forfettario.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502-ter. Il limite di valore del patrimonio mobiliare di proprietà del risparmiatore, di cui al comma 502-bis, lettera a), può essere elevato fino a 200.000 euro con decreto del Presidente del Consiglio dei ministri, su proposta del Ministro dell'economia e delle finanze, previo assenso della Commissione europea. Il decreto del Ministro dell'economia e delle finanze di cui al comma 501, secondo periodo, è conseguentemente adeguato.».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37.</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(Ingresso del Ministero dell'economia e delle finanze nel capitale sociale della NewCo Nuova Alitalia)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sidRPr="004803C8">
        <w:rPr>
          <w:i w:val="0"/>
          <w:iCs w:val="0"/>
        </w:rPr>
        <w:t>Al comma 1, secondo periodo, sopprimere le parole:</w:t>
      </w:r>
      <w:r w:rsidRPr="004803C8">
        <w:t xml:space="preserve"> di natura non regolamentare e. </w:t>
      </w:r>
      <w:r w:rsidRPr="004803C8">
        <w:br/>
      </w:r>
      <w:r w:rsidRPr="004803C8">
        <w:rPr>
          <w:b/>
          <w:bCs/>
        </w:rPr>
        <w:t>37. 2.</w:t>
      </w:r>
      <w:r w:rsidRPr="004803C8">
        <w:t xml:space="preserve"> I Relatori.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 fine del rilancio del settore del trasporto aereo e per il rafforzamento del trasporto intermodale, il Ministero dell'economia e delle finanze è autorizzato a sottoscrivere, nel limite dell'importo maturato a titolo di interessi ai sensi del comma 3, quote di partecipazione al capitale della società di nuova costituzione cui saranno trasferiti i compendi aziendali oggetto delle procedure di cui all'articolo 50, comma 2, del decreto-legge 24 aprile 2017, n. 50, convertito, con modificazioni, dalla legge 21 giugno 2017, n. 96. I criteri e le modalità dell'operazione di cui al primo periodo sono determinati con decreto del Presidente del Consiglio dei ministri su proposta del Ministro dell'economia e delle finanze, </w:t>
      </w:r>
      <w:r w:rsidRPr="004803C8">
        <w:rPr>
          <w:rFonts w:ascii="Times New Roman" w:eastAsia="Calibri" w:hAnsi="Times New Roman" w:cs="Times New Roman"/>
          <w:i w:val="0"/>
          <w:iCs w:val="0"/>
          <w:color w:val="000000"/>
          <w:sz w:val="24"/>
          <w:szCs w:val="24"/>
          <w:highlight w:val="yellow"/>
          <w:bdr w:val="single" w:sz="4" w:space="0" w:color="auto"/>
        </w:rPr>
        <w:t>di natura non regolamentare</w:t>
      </w:r>
      <w:r w:rsidRPr="004803C8">
        <w:rPr>
          <w:rFonts w:ascii="Times New Roman" w:eastAsia="Calibri" w:hAnsi="Times New Roman" w:cs="Times New Roman"/>
          <w:i w:val="0"/>
          <w:iCs w:val="0"/>
          <w:color w:val="000000"/>
          <w:sz w:val="24"/>
          <w:szCs w:val="24"/>
          <w:bdr w:val="single" w:sz="4" w:space="0" w:color="auto"/>
        </w:rPr>
        <w:t xml:space="preserve"> </w:t>
      </w:r>
      <w:r w:rsidRPr="004803C8">
        <w:rPr>
          <w:rFonts w:ascii="Times New Roman" w:eastAsia="Calibri" w:hAnsi="Times New Roman" w:cs="Times New Roman"/>
          <w:i w:val="0"/>
          <w:iCs w:val="0"/>
          <w:color w:val="000000"/>
          <w:sz w:val="24"/>
          <w:szCs w:val="24"/>
          <w:highlight w:val="yellow"/>
          <w:bdr w:val="single" w:sz="4" w:space="0" w:color="auto"/>
        </w:rPr>
        <w:t>e</w:t>
      </w:r>
      <w:r>
        <w:rPr>
          <w:rFonts w:ascii="Times New Roman" w:eastAsia="Calibri" w:hAnsi="Times New Roman" w:cs="Times New Roman"/>
          <w:i w:val="0"/>
          <w:iCs w:val="0"/>
          <w:color w:val="000000"/>
          <w:sz w:val="24"/>
          <w:szCs w:val="24"/>
        </w:rPr>
        <w:t xml:space="preserve"> sottoposto alla registrazione della Corte dei Conti. A tal fine, il Ministero dell'economia e delle finanze è autorizzato ad avvalersi di primarie istituzioni finanziarie e legali a valere sulle risorse di cui al comma 4, nel limite di euro 200.000,00.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Alla società di nuova costituzione di cui al presente articolo, partecipata dal Ministero dell'economia e delle finanze, non si applicano le disposizioni del decreto legislativo 19 agosto 2016, n. 175.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Alitalia – Società Aerea Italiana S.p.A. in amministrazione straordinaria corrisponde gli interessi maturati sul finanziamento a titolo oneroso – di cui all'articolo 50, comma 1, del decreto-legge 24 aprile 2017, n. 50, convertito, con modificazioni, dalla legge 21 giugno 2017, n. 96, come integrato ai sensi dell'articolo 12 del decreto-legge 16 ottobre 2017, n. 148, convertito, con modificazioni, dalla legge 4 dicembre 2017, n. 172, – dalla data di effettiva erogazione alla data del decreto del Ministro dello sviluppo economico di autorizzazione alla cessione dei complessi aziendali oggetto delle procedure e, comunque, sino a non oltre il 31 maggio 2019.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Gli interessi di cui al comma 3 sono versati all'entrata del bilancio dello Stato entro sessanta giorni dalla data del predetto decreto del Ministro dello sviluppo economico per essere riassegnati ad uno o più capitoli dello stato di previsione della spesa del Ministero dell'economia e delle finanze per le finalità di cui al comma 1.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All'articolo 50, comma 1, del citato decreto-legge n. 50 del 2017, le parole al terzo periodo «, ed è restituito entro sei mesi dall'erogazione in prededuzione, con priorità rispetto a ogni altro debito della procedura» sono soppresse.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6. All'articolo 2, comma 1, del decreto-legge 14 dicembre 2018, n. 135, convertito con modificazione con legge 11 febbraio 2019, n. 12, le parole «entro trenta giorni dall'intervenuta efficacia della cessione dei complessi aziendali oggetto delle procedure di cui all'articolo 50, comma 2, del decreto-legge n. 50 del 2017 e, in ogni caso, non oltre il termine del 30 giugno 2019» sono sostituite con le seguenti: «, nell'ambito della procedura di ripartizione dell'attivo dell'amministrazione straordinaria a valere e nei limiti dell'attivo disponibile di Alitalia – Società Aerea Italiana S.p.A. in amministrazione straordinaria».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7. Agli oneri derivanti dai commi 5 e 6, pari a 900 milioni di euro per l'anno 2019 in termini di solo fabbisogno, si provvede ai sensi dell'articolo 50.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8. Tutti gli atti e le operazioni posti in essere dal Ministero dell'economia e delle finanze per l'operazione di cui al presente articolo sono esenti da imposizione fiscale, diretta e indiretta e da tasse.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38.</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(Debiti enti locali)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1 della legge 30 dicembre 2018, n. 145, dopo il comma 932 è inserito il seguente: «932-bis. A seguito della conclusione delle attività straordinarie della gestione commissariale di cui al comma 932:</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Roma capitale provvede alla cancellazione dei residui attivi e passivi nei confronti della gestione commissariale;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sono trasferiti a Roma Capitale i crediti di competenza della stessa gestione commissariale iscritti nella massa attiva del piano di rientro dall'indebitamento pregresso di cui all'articolo 78 del decreto-legge 25 giugno 2008, n. 112, convertito, con modificazioni, dalla legge 6 agosto 2008, n. 133, come definito in attuazione del comma 930, iscrivendo in bilancio un adeguato fondo crediti di dubbia esigibilità, destinato ad essere conservato fino alla riscossione o cancellazione degli stessi crediti; la differenza è finalizzata alla copertura dell'eventuale disavanzo derivante dalla lettera 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è trasferita a Roma capitale la titolarità del piano di estinzione dei debiti, ivi inclusi quelli finanziari, oggetto di ricognizione, come approvato con il decreto del Presidente del Consiglio dei ministri di cui al comma 930, unitamente alle risorse di cui al comma 14 dell'articolo 14 del decreto-legge 31 maggio 2010, n. 78, convertito con modificazioni dalla legge 30 luglio 2010, n. 122, non destinate annualmente all'ammortamento del debito finanziario a carico del Ministero dell'economia e delle finanze individuati dallo stesso decreto del Presidente del Consiglio dei ministri di cui al comma 930;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le posizioni debitorie derivanti da obbligazioni contratte in data anteriore al 28 aprile 2008 non inserite nella definitiva rilevazione della massa passiva di cui al comma 930, rientrano nella competenza di Roma Capitale.».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Fino alla conclusione delle attività straordinarie della Gestione commissariale di cui all'articolo 78 del decreto-legge del 25 giugno 2008, n. 112, convertito con modificazioni dalla legge 6 agosto 2008, n. 133, al fine di sopperire a temporanee carenze di liquidità della Gestione stessa il comune di Roma Capitale è autorizzato a concedere alla stessa anticipazioni di liquidità. Le modalità di concessione, la misura dell'eventuale tasso di interesse e la restituzione delle anticipazioni di liquidità di cui al periodo precedente, sono disciplinate con apposita convenzione tra Roma Capitale e la Gestione Commissariale.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39.</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(Modifica al decreto-legge 28 gennaio 2019, n. 4)</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6, comma 8, del decreto-legge 28 gennaio 2019, n. 4, convertito, con modificazioni, dalla legge 28 marzo 2019, n. 26, le parole da: «il Ministero del lavoro e delle politiche sociali» sino alla fine del comma sono sostituite dalle seguenti: «attesa la situazione di necessità e di urgenza, limitatamente al triennio 2019-2021, l'Anpal, previa convenzione approvata con decreto del Ministero del lavoro e delle politiche sociali, può avvalersi di società in house al Ministero medesimo già esistenti, le quali possono servirsi degli strumenti di acquisto e negoziazione messi a disposizione da Consip S.p.A.».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40.</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(Misure di sostegno al reddito per chiusura della strada SS 3-bis Tiberina E45)</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È concessa, ai sensi del comma 3, un'indennità pari al trattamento massimo di integrazione salariale, con la relativa contribuzione figurativa, a decorrere dal 16 gennaio 2019, per un massimo di sei mesi, in favore dei lavoratori del settore privato, compreso quello agricolo, impossibilitati a prestare l'attività lavorativa, in tutto o in parte, a seguito della chiusura della strada SS 3bis Tiberina E45 Orte Ravenna dal Km. 168+200 al Km 162+698, per il sequestro del viadotto Puleto con relativa interdizione totale della circolazione, dipendenti da aziende, o da soggetti diversi dalle imprese, coinvolti dalla predetta chiusura, che hanno subìto un impatto economico negativo e per i quali non trovano applicazione le vigenti disposizioni in materia di ammortizzatori sociali in costanza di rapporto di lavoro o che hanno esaurito le tutele previste dalla normativa vigente.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In favore dei titolari di rapporti di collaborazione coordinata e continuativa, di agenzia e di rappresentanza commerciale, dei lavoratori autonomi, ivi compresi i titolari di attività di impresa e professionali, iscritti a qualsiasi forma obbligatoria di previdenza e assistenza, che abbiano dovuto sospendere l'attività a causa dell'evento di cui al comma 1, è riconosciuta, ai sensi del comma 3, un'indennità una tantum pari a 15.000 euro, nel rispetto della normativa dell'Unione europea e nazionale in materia di aiuti di Stato.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Le indennità di cui ai commi 1 e 2 sono concesse con decreto delle regioni Emilia Romagna, Toscana e Umbria, nel limite di spesa complessivo di 10 milioni di euro per l'anno 2019. La ripartizione del limite di spesa complessivo di cui al primo periodo del presente comma tra le regioni </w:t>
      </w:r>
      <w:r>
        <w:rPr>
          <w:rFonts w:ascii="Times New Roman" w:eastAsia="Calibri" w:hAnsi="Times New Roman" w:cs="Times New Roman"/>
          <w:i w:val="0"/>
          <w:iCs w:val="0"/>
          <w:color w:val="000000"/>
          <w:sz w:val="24"/>
          <w:szCs w:val="24"/>
        </w:rPr>
        <w:lastRenderedPageBreak/>
        <w:t xml:space="preserve">interessate e le modalità ai fini del rispetto del limite di spesa medesimo sono disciplinati con decreto del Ministro del lavoro e delle politiche sociali, di concerto con il Ministro dell'economia e delle finanze, da adottare entro trenta giorni dall'entrata in vigore del presente decreto. Le regioni, insieme al decreto di concessione, inviano la lista dei beneficiari all'Istituto nazionale della previdenza sociale (INPS), che provvede all'erogazione delle indennità. Le domande sono presentate alla regione, che le istruisce secondo l'ordine cronologico di presentazione delle stesse. L'INPS provvede al monitoraggio del rispetto del limite di spesa, con le risorse umane, strumentali e finanziarie disponibili a legislazione vigente e senza nuovi o maggiori oneri a carico della finanza pubblica, fornendo i risultati dell'attività di monitoraggio al Ministero del lavoro e delle politiche sociali, al Ministero dell'economia e delle finanze e alle regioni Emilia Romagna, Toscana e Umbria.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Per l'indennità pari al trattamento massimo di integrazione salariale di cui al comma 1, è prevista la modalità di pagamento diretto della prestazione da parte dell'INPS. Il datore di lavoro è obbligato ad inviare all'Istituto tutti i dati necessari per il pagamento dell'integrazione salariale, secondo le modalità stabilite dall'Istituto, entro sei mesi dalla fine del periodo di paga in corso alla scadenza del termine di durata della concessione o dalla data del provvedimento di autorizzazione al pagamento da parte dell'INPS se successivo. Trascorso inutilmente tale periodo, il pagamento della prestazione e gli oneri ad essa connessi, rimangono a carico del datore di lavoro inadempiente.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5. All'onere derivante dal presente articolo, pari a 10 milioni di euro per l'anno 2019, si provvede a valere sulle disponibilità in conto residui iscritte sul Fondo sociale per occupazione e formazione, di cui all'articolo 18, comma 1, lettera a) del decreto-legge 29 novembre 2008, n. 185, convertito, con modificazioni, dalla legge 28 gennaio 2009, n. 2. Alla compensazione degli effetti finanziari in termini di fabbisogno e indebitamento netto, pari a 6 milioni di euro per l'anno 2019,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41.</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(Misure in materia di aree di crisi industriale complessa)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Le disposizioni di cui all'articolo 25-ter del decreto-legge 23 ottobre 2018, n. 119, convertito, con modificazioni, dalla legge 17 dicembre 2018, n. 136, sono prorogate nel 2019, alle medesime condizioni, per ulteriori dodici mesi e si applicano, altresì, anche ai lavoratori che hanno cessato o cessano la mobilità ordinaria o in deroga entro il 31 dicembre 2019 nel limite di spesa di 16 milioni di euro per l'anno 2019 e di 10 milioni di euro per l'anno 2020.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All'onere derivante dall'applicazione del comma 1 pari a 16 milioni di euro per l'anno 2019 e a 10 milioni di euro per l'anno 2020 si provvede a valere sulle disponibilità in conto residui iscritte sul Fondo sociale per occupazione e formazione, di cui all'articolo 18, comma 1, lettera a) del decreto-legge 29 novembre 2008, n. 185, convertito, con modificazioni, dalla legge 28 gennaio 2009, n. 2. Alla compensazione degli effetti finanziari in termini di fabbisogno e indebitamento netto, pari a 9,6 milioni di euro per l'anno 2019 e 6 milioni di euro per l'anno 2020,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42.</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(Controllo degli strumenti di misura in servizio e sulla vigilanza sugli strumenti di misura conformi alla normativa nazionale ed europea)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Il periodo transitorio previsto all'articolo 18, comma 2, secondo periodo del decreto del Ministro delle sviluppo economico 21 aprile 2017, n. 93, è prorogato al 30 giugno 2020, per gli organismi abilitati ad effettuare verificazioni periodiche in conformità alle disposizioni abrogate dall'articolo 17 del predetto decreto, che, alla data del 18 marzo 2019, dimostrino l'avvenuta accettazione formale dell'offerta economica di accreditamento.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Gli organismi che non hanno presentato domanda di accreditamento entro il 18 marzo 2019 possono continuare ad operare fino al 30 giugno 2020 a decorrere dalla data della domanda, da presentarsi entro il termine del 30 settembre 2019, dimostrando l'avvenuta accettazione formale dell'offerta economica relativa all'accreditamento.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Le disposizioni di cui al comma 1, sono applicate fino al nuovo esercizio delle competenze regolamentari del Ministro dello sviluppo economico, ai sensi dell'articolo 17, comma 3, della legge 23 agosto 1988, n. 400, nella materia disciplinata dal citato decreto del Ministro dello sviluppo economico n. 93 del 2017.</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43.</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(Semplificazione degli adempimenti per la gestione degli enti del Terzo settore)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5 del decreto-legge 28 dicembre 2013, n. 149, convertito, con modificazioni, dalla legge 21 febbraio 2014, n. 13,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comma 3, secondo periodo, le parole «del finanziamento o del contributo» sono sostituite dalle seguenti: «ovvero, in caso di finanziamenti o contributi di importo unitario inferiore o uguale a euro 500, entro il mese di marzo dell'anno solare successivo se complessivamente superiori nell'anno a tale importo»;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al comma 3, quarto periodo, dopo le parole «contestualmente alla sua trasmissione» sono aggiunte le seguenti: «, anche tramite PEC,»;</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il comma 4 è sostituito dal seguente: «4. Ai sensi e per gli effetti del presente articolo, sono equiparati ai partiti e movimenti politici: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le fondazioni, le associazioni e i comitati la composizione dei cui organi direttivi o di gestione è determinata in tutto o in parte da deliberazioni di partiti o movimenti politici, o l'attività dei quali si coordina con questi ultimi anche in conformità a previsioni contenute nei rispettivi statuti o atti costitutivi;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le fondazioni, le associazioni e i comitati i cui organi direttivi o di gestione sono composti per almeno un terzo da membri di organi di partiti o movimenti politici ovvero persone che sono o sono state, nei sei anni precedenti, membri del Parlamento nazionale o europeo o di assemblee elettive regionali o locali di comuni con più di 15.000 abitanti, ovvero che ricoprono o hanno ricoperto, nei sei anni precedenti, incarichi di governo al livello nazionale, regionale o locale, in comuni con più di 15.000 abitanti;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le fondazioni, le associazioni e i comitati che erogano somme a titolo di liberalità o contribuiscono in misura pari o superiore a euro 5.000 l'anno al finanziamento di iniziative o servizi a titolo gratuito in favore di partiti, movimenti politici o loro articolazioni, di membri di organi o articolazioni comunque denominate di partiti o movimenti politici ovvero di persone titolari di cariche istituzionali nell'ambito di organi elettivi o di governo.»;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dopo il comma 4, è aggiunto il seguente: «4-bis. Il comma 4, lettera b), non si applica agli enti del Terzo settore iscritti nel Registro unico nazionale di cui all'articolo 45 del decreto legislativo 3 luglio 2017, n. 117. Il comma 4, lettera b), non si applica altresì alle fondazioni, alle associazioni, ai comitati appartenenti alle confessioni religiose con le quali lo Stato ha stipulato patti, accordi o intese».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Fino all'operatività del Registro unico nazionale del Terzo settore di cui all'articolo 45 del decreto legislativo 3 luglio 2017, n. 117, il requisito dell'iscrizione nel predetto registro previsto dall'articolo 5, comma 4-bis, del decreto-legge 28 dicembre 2013, n. 149, convertito, con modificazioni, dalla legge 21 febbraio 2014, n. 13, s'intende soddisfatto con l'iscrizione in uno dei registri previsti dalle normative di settore, ai sensi dell'articolo 101, comma 3, del decreto legislativo 3 luglio 2017, n. 117.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All'articolo 1 della legge 19 gennaio 2019, n. 3, sono apportate le seguenti modificazioni: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comma 11, terzo periodo, le parole «entro il mese solare successivo a quello di percezione, in apposito registro» sono sostituite dalle seguenti: «entro il mese solare successivo a quello di percezione ovvero, in caso di contributi, prestazioni o altre forme di sostegno di importo unitario inferiore o uguale a euro 500, entro il mese di marzo dell'anno solare successivo se complessivamente superiori nell'anno a tale importo, in apposito registro numerato progressivamente e firmato su ogni foglio dal rappresentante legale o dal tesoriere,»; al quarto periodo, le parole «e in ogni caso l'annotazione deve essere eseguita entro il mese solare successivo a quello di percezione» sono soppresse;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b) al comma 21 dopo le parole «e 12» sono aggiunte le seguenti: «, primo periodo,»; alla fine del primo periodo sono aggiunte le seguenti parole: «, se entro tre mesi dal ricevimento non ha provveduto al versamento del corrispondente importo alla cassa delle ammende in conformità al comma 13» e, in fine, dopo il primo periodo, è aggiunto il seguente: «In caso di violazione del divieto </w:t>
      </w:r>
      <w:r>
        <w:rPr>
          <w:rFonts w:ascii="Times New Roman" w:eastAsia="Calibri" w:hAnsi="Times New Roman" w:cs="Times New Roman"/>
          <w:i w:val="0"/>
          <w:iCs w:val="0"/>
          <w:color w:val="000000"/>
          <w:sz w:val="24"/>
          <w:szCs w:val="24"/>
        </w:rPr>
        <w:lastRenderedPageBreak/>
        <w:t>di cui al comma 12, secondo periodo, si applicano le sanzioni di cui al primo periodo del presente comma se entro tre mesi dalla piena conoscenza della sussistenza delle condizioni ostative di cui al comma 12, secondo periodo, il partito o movimento politico non ha provveduto al versamento del corrispondente importo alla cassa delle ammende in conformità al comma 13.»;</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al comma 28, dopo il primo periodo, è aggiunto in fine il seguente: «È fatto salvo quanto disposto all'articolo 5, comma 4-bis, del decreto-legge 28 dicembre 2013, n. 149, convertito, con modificazioni, dalla legge 21 febbraio 2014, n. 13.»;</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dopo il comma 28 è aggiunto il seguente: «28-bis. In deroga al comma 28, alle fondazioni, alle associazioni e ai comitati di cui all'articolo 5, comma 4, del decreto-legge 28 dicembre 2013, n. 149, convertito, con modificazioni, dalla legge 21 febbraio 2014, n. 13, i termini fissati al mese solare successivo dal comma 11, terzo periodo, del presente articolo e dall'articolo 5, comma 3, del citato decreto-legge n. 149 del 2013, si intendono fissati, salvo che per i comitati elettorali, al secondo mese solare successivo. Alle fondazioni, alle associazioni e ai comitati di cui al primo periodo non si applica il comma 12, primo periodo; ai medesimi enti il comma 12, secondo periodo, non si applica in caso di elargizioni disposte da persone fisiche maggiorenni straniere. Agli enti di cui al secondo periodo, in caso di violazione degli ulteriori divieti di cui al comma 12 del presente articolo, il comma 21 si applica solo in relazione a contributi, prestazioni o altre forme di sostegno di importo superiore nell'anno a euro 500.».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I termini di cui all'articolo 1, comma 28-bis, primo periodo, della legge 19 gennaio 2019, n. 3, si applicano agli adempimenti relativi ad elargizioni, finanziamenti e contributi ricevuti a partire dal centoventesimo giorno successivo alla data di entrata in vigore della medesima legge.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44.</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(Semplificazione ed efficientamento dei processi di programmazione, vigilanza ed attuazione degli interventi finanziati dal Fondo per lo sviluppo e la coesione)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 fine di migliorare il coordinamento unitario e la qualità degli interventi infrastrutturali finanziati con le risorse nazionali destinate alle politiche di coesione dei cicli di programmazione 2000/2006, 2007/2013 e 2014/2020, nonché di accelerarne la spesa, per ciascuna Amministrazione centrale, Regione o Città metropolitana titolare di risorse a valere sul Fondo per lo sviluppo e coesione di cui all'articolo 4, del decreto legislativo 31 maggio 2011, n. 88, in sostituzione della pluralità degli attuali documenti programmatori variamente denominati e tenendo conto degli interventi ivi inclusi, l'Agenzia per la coesione territoriale procede ad una riclassificazione di tali strumenti al fine di sottoporre all'approvazione del CIPE, su proposta del Ministro per il Sud, autorità delegata per la coesione, entro quattro mesi dall'entrata in vigore della presente disposizione, un unico Piano operativo denominato «Piano sviluppo e coesione», con modalità unitarie di gestione e monitoraggio.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Al fine di rafforzare il carattere unitario delle politiche di coesione e della relativa programmazione e di valorizzarne la simmetria con i Programmi Operativi Europei, ciascun Piano è </w:t>
      </w:r>
      <w:r>
        <w:rPr>
          <w:rFonts w:ascii="Times New Roman" w:eastAsia="Calibri" w:hAnsi="Times New Roman" w:cs="Times New Roman"/>
          <w:i w:val="0"/>
          <w:iCs w:val="0"/>
          <w:color w:val="000000"/>
          <w:sz w:val="24"/>
          <w:szCs w:val="24"/>
        </w:rPr>
        <w:lastRenderedPageBreak/>
        <w:t xml:space="preserve">articolato per aree tematiche, in analogia agli obiettivi tematici dell'Accordo di Partenariato, con conseguente trasferimento delle funzioni attribuite ai rispettivi strumenti di governance, istituiti con delibere del CIPE o comunque previsti dai documenti di programmazione oggetto di riclassificazione, ad appositi Comitati di Sorveglianza, costituiti dalle Amministrazioni titolari dei Piani operativi, ai quali partecipano rappresentanti del Dipartimento per le politiche di coesione, dell'Agenzia per la coesione territoriale, del Dipartimento per la programmazione e il coordinamento della politica economica e dei Ministeri competenti per area tematica, nonché del partenariato economico e sociale, relativamente agli ambiti di cui alle lettere d) ed e) del comma 3. Per la partecipazione ai Comitati di sorveglianza non sono dovuti gettoni di presenza, compensi, rimborsi spese o altri emolumenti comunque denominati.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I Comitati di sorveglianza di cui al comma 2, ferme restando le competenze specifiche normativamente attribuite alle amministrazioni centrali e alle Agenzie nazionali: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approvano la metodologia e i criteri usati per la selezione delle operazioni;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approvano le relazioni di attuazione annuali e finali;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esaminano eventuali proposte di modifiche al Piano operativo, con facoltà di approvazione delle stesse ai sensi del numero 2, lettera g) della delibera CIPE 10 agosto 2016, n. 25, ovvero esprimendo un parere ai fini della sottoposizione delle modifiche stesse al CIPE;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esaminano ogni aspetto che incida sui risultati comprese le verifiche di efficacia dell'attuazione;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e) esaminano i risultati delle valutazioni.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4. I Comitati di sorveglianza dei programmi attuativi regionali FSC 2007-2013 integrano la propria composizione e disciplina secondo quanto previsto dai commi 2 e 3.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Le Amministrazioni titolari dei Piani sviluppo e coesione monitorano gli interventi sul proprio sistema gestionale e rendono disponibili, con periodicità bimestrale, i dati di avanzamento finanziario, fisico e procedurale alla Banca dati Unitaria del Ministero dell'economia e delle finanze – Dipartimento della ragioneria generale dello Stato secondo le disposizioni normative di cui di cui all'articolo 1, comma 703, lettera l), legge 23 dicembre 2014, n. 190. Gli interventi, pena esclusione dal finanziamento, sono identificati con il Codice Unico di Progetto (CUP).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6. Restano in ogni caso fermi le dotazioni finanziarie degli strumenti di programmazione oggetto di riclassificazione, come determinate alla data di entrata in vigore del presente decreto, gli interventi individuati e il relativo finanziamento, le appostazioni programmatiche ove non declinate in specifici interventi, la titolarità dei programmi o delle assegnazioni deliberate dal CIPE, i soggetti attuatori, ove individuati anche nei documenti attuativi.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7. In sede di prima approvazione, il Piano sviluppo e coesione di cui al comma 1 può contenere: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gli interventi dotati di progettazione esecutiva o con procedura di aggiudicazione avviata alla data di entrata in vigore del presente decreto;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gli interventi che, pur non rientrando nella casistica di cui alla lettera a), siano valutati favorevolmente da parte del Dipartimento per le politiche di coesione, dell'Agenzia per la coesione territoriale, sentite le Amministrazioni titolari delle risorse di cui al comma 1, in ragione dello stato di avanzamento della progettazione, dell'effettiva rispondenza e sinergia con le priorità di sviluppo dei territori e con gli obiettivi strategici del nuovo ciclo di programmazione dei fondi europei, nonché della concomitante possibilità di generare obbligazioni giuridicamente vincolanti entro il 31 dicembre 2021.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8. L'Amministrazione titolare del Piano operativo oggetto della riclassificazione, prevista al comma 1, è responsabile della individuazione degli interventi, comprensivi di quelli previsti in sostituzione degli interventi già finanziati alla data di entrata in vigore del presente decreto, inclusa la vigilanza sulla attuazione dei singoli interventi, l'approvazione di varianti, la presentazione degli stati di avanzamento, nonché delle richieste di erogazione delle risorse ai beneficiari.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9. Per gli interventi di cui al comma 7, lettera b), il CIPE, con la medesima delibera di approvazione del Piano sviluppo e coesione, stabilisce, a fini di accelerarne la realizzazione e la spesa, le misure di accompagnamento alla progettazione e all'attuazione da parte del Dipartimento per le politiche di coesione, dell'Agenzia per la coesione territoriale e della Struttura per la progettazione di beni ed edifici pubblici di cui all'articolo 1, comma 162, della legge 30 dicembre 2018, n. 145.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10. Le risorse di cui al comma 1, eventualmente non rientranti nel Piano sviluppo e coesione, sono riprogrammate con delibera CIPE su proposta del Ministro per il Sud al fine di contribuire: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finanziamento dei Piani sviluppo e coesione relativi alle Amministrazioni di cui al comma 2 per le quali le risorse di cui al comma 1 di cui risultino titolari al momento di entrata in vigore del presente decreto non siano superiori alle risorse assegnate al Piano sviluppo e coesione relativo alle medesime Amministrazioni ai sensi del comma 7;</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al finanziamento di «Programmi di piccole opere e manutenzioni straordinarie» per infrastrutture stradali, ferroviarie, aeroportuali, idriche, nonché per fronteggiare il dissesto idrogeologico e per la messa in sicurezza di scuole, ospedali ed altre strutture pubbliche, da attuare attraverso lo strumento del Contratto istituzionale di sviluppo di cui all'articolo 6 del decreto legislativo 31 maggio 2011, n. 88 da stipulare per singola area tematica;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al finanziamento della progettazione degli interventi infrastrutturali.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11. Resta in ogni caso fermo il vincolo di destinazione territoriale di cui all'articolo 1, comma 6, della legge 27 dicembre 2013, n. 147. Restano, altresì, ferme le norme di legge relative alle risorse di cui al comma 1, in quanto compatibili.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12. In relazione alle nuove risorse del Fondo sviluppo e coesione attribuite con la legge 30 dicembre 2018, n. 145 e non ancora programmate alla data di entrata in vigore della presente disposizione, le proposte di assegnazione di risorse da sottoporre al CIPE per il finanziamento di interventi infrastrutturali devono essere corredate della positiva valutazione tecnica da parte del Dipartimento per le politiche di coesione. Salvo diversa e motivata previsione nella delibera di assegnazione del CIPE, tali assegnazioni decadono ove non diano luogo a obbligazioni giuridicamente vincolanti entro tre anni dalla pubblicazione nella Gazzetta Ufficiale della Repubblica italiana della medesima delibera. Le relative risorse non possono essere riassegnate alla medesima Amministrazione.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13. Al fine di supportare le Amministrazioni di cui al comma 2 nella progettazione e realizzazione di interventi infrastrutturali le risorse destinate alla progettazione di cui al comma 10, lettera c) finanziano i costi della progettazione tecnica dei progetti infrastrutturali che abbiano avuto la valutazione positiva da parte delle strutture tecniche della Presidenza del Consiglio dei ministri, sulla base dell'effettiva rispondenza alle priorità di sviluppo e ai fabbisogni del territorio, dell'eventuale necessità di fronteggiare situazioni emergenziali, da sostenere da parte delle Amministrazioni titolari dei Piani operativi di cui al comma 1, anche attraverso il ricorso alla Struttura per la progettazione di beni ed edifici pubblici di cui all'articolo 1, comma 162, della legge 30 dicembre 2018, n. 145. I progetti per i quali sia completata positivamente la progettazione esecutiva accedono prioritariamente ai finanziamenti che si renderanno disponibili per la realizzazione. Alle risorse del Fondo e sviluppo e coesione assegnate alle finalità specifiche di cui al presente comma non si applica il vincolo di destinazione territoriale di cui all'articolo 1, comma 6, della legge 27 dicembre 2013, n. 147.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14. Ai Piani operativi redatti a seguito della riclassificazione di cui al comma 1 si applicano i princìpi di cui alla delibera CIPE n. 25/2016. Il CIPE, su proposta del Ministro per il Sud, d'intesa con il Ministro per gli affari regionali, previa intesa con la Conferenza Stato-Regioni, adotta una apposita delibera per assicurare la fase transitoria della disciplina dei cicli di programmazione 2000-2006 e 2007-2013. Nelle more dell'approvazione dei singoli Piani di sviluppo e coesione, si applicano le regole di programmazione vigenti.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15. Il Ministro per il Sud presenta al CIPE: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entro il 31 marzo 2020 una relazione sull'attuazione delle disposizioni del presente articolo;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entro il 31 marzo di ogni anno, a partire dall'anno 2020, una relazione annuale sull'andamento degli interventi ricompresi nei Piani operativi di cui al comma 1 riferita all'anno precedente.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45.</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(Proroga del termine per la rideterminazione dei vitalizi regionali e correzione di errori formali)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All'articolo 1, comma 965, primo periodo, della legge 30 dicembre 2018, n. 145, le parole «entro quattro mesi dalla data di entrata in vigore della presente legge, ovvero entro sei mesi dalla medesima data» sono sostituite dalle seguenti: «entro il 30 maggio 2019, ovvero entro sei mesi dalla data di entrata in vigore della presente legge».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All'articolo 194-quater, comma 1, del decreto legislativo 24 febbraio 1998, n. 58, come modificato dal decreto legislativo 13 febbraio 2019, n. 19, le lettere «c-ter)» e «c-quater» sono, rispettivamente, ridenominate come segue: «c-quater)» e «c-quinquies)»; all'articolo 194-septies, comma 1, dello stesso decreto legislativo n. 58 del 1998, come modificato dal decreto legislativo 13 febbraio 2019, n. 19, le lettere «e-bis» ed «e-ter)» sono, rispettivamente, ridenominate come segue: «e-ter» ed «e-quater)».</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46.</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(Modifiche all'articolo 2, comma 6 del decreto-legge 5 gennaio 2015, n. 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All'articolo 2, comma 6, del decreto-legge 5 gennaio 2015, n. 1, convertito, con modificazioni, dalla legge 4 marzo 2015, n. 20: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al primo periodo, dopo la parola «Piano» è inserita la parola «Ambientale», le parole «nei termini previsti dai commi 4 e 5 del presente articolo» sono sostituite dalle parole «come modificato e integrato con il decreto del Presidente del Consiglio dei ministri 29 settembre 2017&amp;#187; e le parole «e delle altre norme a tutela dell'ambiente, della salute e dell'incolumità pubblica» sono abrogate;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al secondo periodo, dopo la parola «Piano» è inserita la parola: «Ambientale», dopo le parole «periodo precedente» sono inserite le parole: «, nel rispetto dei termini e delle modalità ivi stabiliti,» e le parole «, di tutela della salute e dell'incolumità pubblica e di sicurezza sul lavoro» sono abrogate;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il terzo periodo è sostituito dal seguente: «La disciplina di cui al periodo precedente si applica con riferimento alle condotte poste in essere fino al 6 settembre 2019».</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47.</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(Alte professionalità esclusivamente tecniche per opere pubbliche, gare e contratti)</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 fine di consentire il più celere ed efficace svolgimento dei compiti dei Provveditorati interregionali alle opere pubbliche del Ministero delle infrastrutture e dei trasporti, è autorizzata l'assunzione a tempo indeterminato, a partire dal 1° dicembre 2019, di cento unità di personale di alta specializzazione ed elevata professionalità, da individuare tra ingegneri, architetti e geologi e, nella misura del 20 per cento, di personale amministrativo, da inquadrare nel livello iniziale dell'Area III del comparto delle funzioni centrali, con contestuale incremento della dotazione organica del </w:t>
      </w:r>
      <w:r>
        <w:rPr>
          <w:rFonts w:ascii="Times New Roman" w:eastAsia="Calibri" w:hAnsi="Times New Roman" w:cs="Times New Roman"/>
          <w:i w:val="0"/>
          <w:iCs w:val="0"/>
          <w:color w:val="000000"/>
          <w:sz w:val="24"/>
          <w:szCs w:val="24"/>
        </w:rPr>
        <w:lastRenderedPageBreak/>
        <w:t>Ministero delle infrastrutture e dei trasporti. Con decreto del Ministro delle infrastrutture e dei trasporti, di concerto con il Ministro per la pubblica amministrazione, da adottarsi entro trenta giorni dalla data di entrata in vigore del presente decreto, sono definiti gli specifici requisiti di cui il personale deve essere in possesso. Ai fini dell'espletamento delle procedure concorsuali per l'individuazione del personale di cui al presente comma, effettuate in deroga alle procedure di mobilità di cui all'articolo 30 del decreto legislativo 30 marzo 2001, n. 165, si procede nelle forme del concorso unico di cui all'articolo 4, comma 3-quinquies, del decreto-legge 31 agosto 2013, n. 101, convertito, con modificazioni, dalla legge 30 ottobre 2013, n. 125 e all'articolo 35 del citato decreto legislativo n. 165 del 2001, mediante richiesta alla Presidenza del Consiglio dei ministri, Dipartimento della funzione pubblica, che provvede al loro svolgimento secondo le modalità previste dal decreto di cui all'articolo 1, comma 300, della legge 30 dicembre 2018, n. 145. Per le procedure concorsuali bandite anteriormente all'entrata in vigore del decreto di cui al precedente periodo, la Presidenza del Consiglio dei ministri, Dipartimento della funzione pubblica, provvede al loro svolgimento con modalità semplificate, anche in deroga alla disciplina prevista dal decreto del Presidente della Repubblica 9 maggio 1994, n. 487, per quanto concerne in particolare: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la nomina e la composizione della commissione d'esame, prevedendo la costituzione di sottocommissioni anche per le prove scritte e stabilendo che a ciascuna delle sottocommissioni non può essere assegnato un numero di candidati inferiore a duecentocinquanta;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la tipologia e le modalità di svolgimento delle prove di esame, prevedendo: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la facoltà di far precedere le prove di esame da una prova preselettiva, qualora le domande di partecipazione al concorso siano in numero superiore a due volte il numero dei posti banditi;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la possibilità di svolgere prove preselettive consistenti nella risoluzione di quesiti a risposta multipla, gestite con l'ausilio di enti o istituti specializzati pubblici e privati e con possibilità di predisposizione dei quesiti da parte degli stessi. Agli oneri per le assunzioni di cui al presente articolo, pari a euro 325.000 per l'anno 2019 e pari a euro 3.891.000 a decorrere dall'anno 2020,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48.</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(Disposizioni in materia di energia)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Per gli interventi connessi al rispetto degli impegni assunti dal Governo italiano con l'iniziativa Mission Innovation adottata durante la Cop 21 di Parigi, finalizzati a raddoppiare la quota pubblica degli investimenti dedicati alle attività di ricerca, sviluppo e innovazione delle tecnologie energetiche pulite, nonché gli impegni assunti nell'ambito della Proposta di Piano Nazionale Integrato Energia Clima, è autorizzata la spesa di 10 milioni per ciascuno degli anni 2019 e 2020 e di 20 milioni per l'anno 2021. All'onere del presente comma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49.</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(Credito d'imposta per la partecipazione di PMI a fiere internazionali)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Al fine di migliorare il livello e la qualità di internazionalizzazione delle PMI italiane, alle imprese esistenti alla data del 1° gennaio 2019 è riconosciuto, per il periodo d'imposta in corso alla data di entrata in vigore del presente decreto, un credito d'imposta nella misura del 30 per cento delle spese di cui al comma 2 fino ad un massimo di 60.000 euro. Il credito d'imposta è riconosciuto fino all'esaurimento dell'importo massimo pari a 5 milioni per l'anno 2020.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2. Il credito d'imposta di cui al comma 1 è riconosciuto per le spese di partecipazione a manifestazioni fieristiche internazionali di settore che si svolgono all'estero, relativamente alle spese per l'affitto degli spazi espositivi; per l'allestimento dei medesimi spazi; per le attività pubblicitarie, di promozione e di comunicazione, connesse alla partecipazione.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3. Il credito d'imposta è riconosciuto nel rispetto delle condizioni e dei limiti di cui al regolamento (UE) n. 1407/2013 della Commissione, del 18 dicembre 2013, relativo all'applicazione degli articoli 107 e 108 del Trattato sul funzionamento dell'Unione europea agli aiuti de minimis, al regolamento (UE) n. 1408/2013 della Commissione, del 18 dicembre 2013, relativo all'applicazione degli articoli 107 e 108 del Trattato sul funzionamento dell'Unione europea agli aiuti de minimis nel settore agricolo e al regolamento (UE) n. 717/2014 della commissione, del 27 giugno 2014, relativo all'applicazione degli articoli 107 e 108 del Trattato sul funzionamento dell'Unione europea agli aiuti de minimis nel settore della pesca e dell'acquacoltura. Il credito d'imposta è ripartito in tre quote annuali di pari importo ed è utilizzabile, esclusivamente in compensazione, ai sensi dell'articolo 17 del decreto legislativo 9 luglio 1997, n. 241.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4. Con decreto del Ministro dello sviluppo economico, di concerto con il Ministro dell'economia e delle finanze, da adottare entro sessanta giorni dalla data di entrata in vigore del presente decreto, sono stabilite le disposizioni applicative del presente articolo, con riferimento, in particolare, 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le tipologie di spese ammesse al beneficio, nell'ambito di quelle di cui al comma 2;</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le procedure per l'ammissione al beneficio, che avviene secondo l'ordine cronologico di presentazione delle relative domande, nel rispetto dei limiti di cui al comma 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l'elenco delle manifestazioni fieristiche internazionali di settore per cui è ammesso il credito di imposta;</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e) le procedure di recupero nei casi di utilizzo illegittimo dei crediti d'imposta, secondo quanto stabilito dall'articolo 1, comma 6, del decreto-legge 25 marzo 2010, n. 40, convertito, con modificazioni, dalla legge 22 maggio 2010, n. 73.</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5. Qualora l'Agenzia delle entrate accerti, nell'ambito dell'ordinaria attività di controllo, l'eventuale indebita fruizione, totale o parziale, del credito d'imposta, la stessa ne dà comunicazione al Ministero dello sviluppo economico che, ai sensi dell'articolo 1, comma 6, del citato decreto-legge n. 40 del 2010, provvede al recupero del relativo importo, maggiorato di interessi e sanzioni secondo legge.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6. All'onere di cui al comma 1, pari a 5 milioni di euro per l'anno 2020, si provvede ai sensi dell'articolo 50.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50.</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(Disposizioni finanziarie)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1. Il Fondo per interventi strutturali di politica economica, di cui all'articolo 10, comma 5, del decreto-legge 29 novembre 2004, n. 282, convertito, con modificazioni, dalla legge 27 dicembre 2004, n. 307, è incrementato di 42 milioni di euro per l'anno 2026, di 111 euro per l'anno 2027, di 47 milioni di per l'anno 2028, di 52 milioni di euro per l'anno 2029, di 40 milioni di euro per l'anno 2030, di 39 milioni di euro per l'anno 2031 e di 37,5 milioni di euro annui a decorrere dall'anno 2032. </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2. Agli oneri derivanti dagli articoli 1, 3, 5, 7, 8, 10, 11, 13, 17, 19, 21, 23, comma 1, 28, 29, commi 2 e 8, 31, commi 2 e 3, 32, commi 3, 10 e 15, 37, 40, comma 5, 41, comma 2, 47, 48, 49 e dal comma 1 del presente articolo e dal secondo periodo della lettera n) del presente comma, pari a 400,625 milioni di euro per l'anno 2019, a 518,891 milioni di euro per l'anno 2020, a 638,491 milioni di euro per l'anno 2021, a 525,991 milioni di euro per l'anno 2022, a 663,591 milioni di euro per l'anno 2023, a 552,791 milioni di euro per l'anno 2024, a 468,891 milioni di euro per l'anno 2025, a 334,691 milioni di euro per l'anno 2026, a 381,791 milioni di euro per l'anno 2027, a 314,091 euro per l'anno 2028, a 317,891 euro per l'anno 2029, a 307,791 euro per l'anno 2030, a 304,891 milioni di euro per l'anno 2031, a 304,691 milioni di euro per l'anno 2032 e a 303,391 milioni di euro annui a decorrere dall'anno 2033, che aumentano, ai fini della compensazione degli effetti in termini di fabbisogno per 1.078,975 milioni di euro e in termini di indebitamento netto per 428,975 milioni di euro per l'anno 2019 e, ai fini della compensazione degli effetti in termini di fabbisogno e indebitamento netto, a 555,141 milioni di euro per l'anno 2020, a 639,991 milioni di euro per l'anno 2021, a 537,491 milioni di euro per l'anno 2022, a 675,091 milioni di euro per l'anno 2023, a 562,791 milioni di euro per l'anno 2024, a 478,891 milioni di euro per l'anno 2025, si provvede: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a) quanto a 2,2 milioni di euro per l'anno 2019, a 234,2 milioni di euro per l'anno 2020, a 274 milioni di euro per l'anno 2021, a 184,6 milioni di euro per l'anno 2022, a 385 milioni di euro per l'anno 2023, a 302,6 milioni di euro per l'anno 2024, a 298,1 milioni di euro per l'anno 2025, a 297 milioni di euro per l'anno 2026, a 369,9 milioni di euro per l'anno 2027, a 301,4 milioni di euro per l'anno 2028, a 305,1 milioni di euro per l'anno 2029, a 295,1 milioni di euro per l'anno 2030, a 292,9 milioni di euro per l'anno 2031 e a 292,4 milioni di euro annui decorrere dall'anno 2032, che aumentano, in termini di fabbisogno e indebitamento netto, a 236,087 milioni di euro per l'anno 2020, a 275,887 milioni di euro per l'anno 2021, a 186,487 milioni di euro per l'anno 2022, a 386,887 milioni di euro per l'anno 2023, mediante corrispondente utilizzo delle maggiori entrate e delle minori spese derivanti dagli articoli 1, 2, 8, 10, 11 e 47;</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b) quanto a 50 milioni di euro per l'anno 2019 e 30 milioni di euro 2020, mediante corrispondente riduzione del Fondo per lo sviluppo e la coesione – programmazione 2014-2020 di cui alla legge all'articolo 1, comma 6 della legge 27 dicembre 2013 n. 47;</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c) quanto a 34 milioni di euro per l'anno 2019, a 34,46 milioni di euro per l'anno 2020, a 92,46 milioni di euro per l'anno 2021, a 133,96 milioni di euro per l'anno 2022, a 123,96 milioni di euro per l'anno 2023, a 72,5 milioni di euro per l'anno 2024 e a 108 milioni di euro per l'anno 2025, mediante corrispondente riduzione del Fondo per interventi strutturali di politica economica, di cui all'articolo 10, comma 5, del decreto-legge 29 novembre 2004, n. 282, convertito, con modificazioni, dalla legge 27 dicembre 2004, n. 307;</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d) quanto a 23 milioni di euro per l'anno 2019 e a 10 milioni di euro per l'anno 2021, mediante corrispondente riduzione del Fondo di cui all'articolo 1, comma 748, della legge 30 dicembre 2018, n. 145;</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e) quanto a 6 milioni di euro per l'anno 2019, a 80 milioni di euro per l'anno 2021 e a 150 milioni di euro per l'anno 2022, a 77 milioni di euro per l'anno 2023, a 100 milioni di euro per l'anno 2024, a 25 milioni di euro per l'anno 2025, mediante corrispondente riduzione del Fondo di cui all'articolo 1, comma 200, della legge 23 dicembre 2014, n. 190;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f) quanto a 20 milioni euro per l'anno 2019, a 50 milioni di euro per ciascuno degli anni 2020 e 2021, a 20 milioni euro per l'anno 2022 e a 40 milioni di euro per ciascuno degli anni 2023 e 2024, mediante corrispondente utilizzo del Fondo di cui al comma 5 dell'articolo 34-ter della legge 31 dicembre 2009, n. 196, iscritto nello stato di previsione del Ministero dell'economia e delle finanze;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g) quanto a 20 milioni di euro per ciascuno degli anni dal 2019 e 2021, mediante corrispondente utilizzo del Fondo di cui al comma 5 dell'articolo 34-ter della legge 31 dicembre 2009, n. 196, iscritto nello stato di previsione del Ministero dello sviluppo economico;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h) quanto a 100 milioni di euro per l'anno 2019, mediante corrispondente riduzione dell'autorizzazione di spesa di cui all'articolo 1, comma 979, della legge 28 dicembre 2015, n. 208;</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xml:space="preserve">i) quanto a 9,324 milioni di euro per l'anno 2019, a 10,833 milioni di euro per l'anno 2020 e a 12,833 milioni di euro a decorrere dall'anno 2021,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dello sviluppo economico per 9 milioni di euro per l'anno 2019 e 9,4 milioni di euro a decorrere dall'anno 2020 e l'accantonamento </w:t>
      </w:r>
      <w:r>
        <w:rPr>
          <w:rFonts w:ascii="Times New Roman" w:eastAsia="Calibri" w:hAnsi="Times New Roman" w:cs="Times New Roman"/>
          <w:i w:val="0"/>
          <w:iCs w:val="0"/>
          <w:color w:val="000000"/>
          <w:sz w:val="24"/>
          <w:szCs w:val="24"/>
        </w:rPr>
        <w:lastRenderedPageBreak/>
        <w:t>relativo al Ministero dei trasporti per 0,324 milioni di euro per l'anno 2019, 1,433 milioni di euro per anno 2020 e 3,433 milioni di euro a decorrere dall'anno 2021;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l) quanto a 25 milioni di euro per ciascuno degli anni dal 2020 al 2026, si provvede mediante corrispondente riduzione delle proiezioni dello stanziamento del fondo speciale di conto capitale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dello sviluppo economico;</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m) quanto a 30 milioni di euro per l'anno 2019, a 35 milioni di euro per l'anno 2020, a 10 milioni di euro per ciascuno degli anni dal 2022 al 2025, si provvede mediante corrispondente riduzione del Fondo per la compensazione degli effetti finanziari non previsti a legislazione vigente di cui all'articolo 6, comma 2, del decreto-legge 7 ottobre 2008, n. 154, convertito, con modificazioni, dalla legge 4 dicembre 2008, n. 189;</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n) quanto a 50 milioni di euro per l'anno 2019, a 80 milioni di euro per l'anno 2020 e a 45 milioni di euro per l'anno 2021, mediante corrisponde utilizzo delle risorse di cui all'articolo 20 della legge 11 marzo 1988, n. 67, e successive modificazioni. Conseguentemente, le risorse di cui all'articolo 20 della legge n. 67 de 1988, sono incrementate di 50 milioni di euro per ciascuno degli anni dal 2022 e 2024 e di 25 milioni di euro per l'anno 2025;</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o) quanto a 50 milioni di euro per l'anno 2019, mediante corrispondente utilizzo delle risorse di cui all'articolo 70, comma 2, del decreto legislativo 30 luglio 1999, n. 300;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p) quanto a 37 milioni di euro per l'anno 2019 e a 30 milioni di euro per ciascuno degli anni 2020 e 2021, mediante corrispondente riduzione dell'autorizzazione di spesa di cui all'articolo 1, comma 361, della legge 30 dicembre 2004, n. 311;</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q) quanto a 650 milioni di euro, in termini di fabbisogno, per l'anno 2019, mediante versamento per un corrispondente importo, da effettuare entro il 31 dicembre 2019, delle somme gestite presso il sistema bancario dalla Cassa servizi energetici e ambientali a favore del conto corrente di tesoreria centrale di cui all'articolo 2, comma 2, del decreto-legge 9 giugno 2016, n. 98, convertito, con modificazioni, dalla legge 1&amp;#176; agosto 2016, n. 151. La predetta giacenza è mantenuta in deposito alla fine di ciascun anno a decorrere dal 2019 sul conto corrente di tesoreria di cui al primo periodo ed è ridotta in misura corrispondente alla quota rimborsata del finanziamento di cui all'articolo 50, comma 1, del decreto-legge 24 aprile 2017, n. 50, convertito, con modificazioni, dalla legge 21 giugno 2017, n. 96;</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lastRenderedPageBreak/>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r) quanto a 5 milioni per l'anno 2020, si provvede mediante corrispondente utilizzo di quota parte delle entrate previste dall'articolo 1, comma 851, della legge 27 dicembre 2006, n. 296. A tal fine, all'articolo 1, comma 851, ultimo periodo, della legge n. 296 del 2006, le parole «di 51,2 milioni di euro per l'anno 2020» sono sostituite dalle seguenti: «di 56,2 milioni di euro per l'anno 2020».</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3. Ai fini dell'immediata attuazione delle disposizioni recate dal presente decreto, il Ministro dell'economia e delle finanze è autorizzato ad apportare con propri decreti, le occorrenti variazioni di bilancio, anche in conto residui.</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Articolo 51.</w:t>
      </w:r>
    </w:p>
    <w:p w:rsidR="004803C8" w:rsidRDefault="004803C8" w:rsidP="004803C8">
      <w:pPr>
        <w:spacing w:after="160" w:line="256" w:lineRule="auto"/>
        <w:jc w:val="center"/>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(Entrata in vigore)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1. Il presente decreto entra in vigore il giorno successivo a quello della sua pubblicazione nella Gazzetta Ufficiale della Repubblica italiana e sarà presentato alle Camere per la conversione in legge.</w:t>
      </w: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p>
    <w:p w:rsidR="004803C8" w:rsidRDefault="004803C8" w:rsidP="004803C8">
      <w:pPr>
        <w:spacing w:after="160" w:line="256" w:lineRule="auto"/>
        <w:jc w:val="both"/>
        <w:rPr>
          <w:rFonts w:ascii="Times New Roman" w:eastAsia="Calibri" w:hAnsi="Times New Roman" w:cs="Times New Roman"/>
          <w:i w:val="0"/>
          <w:iCs w:val="0"/>
          <w:color w:val="000000"/>
          <w:sz w:val="24"/>
          <w:szCs w:val="24"/>
        </w:rPr>
      </w:pP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 </w:t>
      </w:r>
      <w:r>
        <w:rPr>
          <w:rFonts w:ascii="Times New Roman" w:eastAsia="Calibri" w:hAnsi="Times New Roman" w:cs="Times New Roman"/>
          <w:i w:val="0"/>
          <w:iCs w:val="0"/>
          <w:color w:val="000000"/>
          <w:sz w:val="24"/>
          <w:szCs w:val="24"/>
        </w:rPr>
        <w:t>Il presente decreto, munito del sigillo dello Stato, sarà inserito nella Raccolta ufficiale degli atti normativi della Repubblica italiana. È fatto obbligo a chiunque spetti di osservarlo e di farlo osservare.</w:t>
      </w:r>
    </w:p>
    <w:p w:rsidR="004803C8" w:rsidRDefault="004803C8" w:rsidP="004803C8">
      <w:pPr>
        <w:jc w:val="both"/>
        <w:rPr>
          <w:rFonts w:ascii="Times New Roman" w:hAnsi="Times New Roman" w:cs="Times New Roman"/>
          <w:sz w:val="24"/>
          <w:szCs w:val="24"/>
        </w:rPr>
      </w:pPr>
    </w:p>
    <w:p w:rsidR="004803C8" w:rsidRDefault="004803C8"/>
    <w:sectPr w:rsidR="004803C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3C8" w:rsidRDefault="004803C8" w:rsidP="004803C8">
      <w:pPr>
        <w:spacing w:after="0" w:line="240" w:lineRule="auto"/>
      </w:pPr>
      <w:r>
        <w:separator/>
      </w:r>
    </w:p>
  </w:endnote>
  <w:endnote w:type="continuationSeparator" w:id="0">
    <w:p w:rsidR="004803C8" w:rsidRDefault="004803C8" w:rsidP="0048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452477"/>
      <w:docPartObj>
        <w:docPartGallery w:val="Page Numbers (Bottom of Page)"/>
        <w:docPartUnique/>
      </w:docPartObj>
    </w:sdtPr>
    <w:sdtEndPr/>
    <w:sdtContent>
      <w:p w:rsidR="004266E6" w:rsidRDefault="004266E6">
        <w:pPr>
          <w:pStyle w:val="Pidipagina"/>
          <w:jc w:val="center"/>
        </w:pPr>
        <w:r>
          <w:fldChar w:fldCharType="begin"/>
        </w:r>
        <w:r>
          <w:instrText>PAGE   \* MERGEFORMAT</w:instrText>
        </w:r>
        <w:r>
          <w:fldChar w:fldCharType="separate"/>
        </w:r>
        <w:r>
          <w:t>2</w:t>
        </w:r>
        <w:r>
          <w:fldChar w:fldCharType="end"/>
        </w:r>
      </w:p>
    </w:sdtContent>
  </w:sdt>
  <w:p w:rsidR="004266E6" w:rsidRDefault="004266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3C8" w:rsidRDefault="004803C8" w:rsidP="004803C8">
      <w:pPr>
        <w:spacing w:after="0" w:line="240" w:lineRule="auto"/>
      </w:pPr>
      <w:r>
        <w:separator/>
      </w:r>
    </w:p>
  </w:footnote>
  <w:footnote w:type="continuationSeparator" w:id="0">
    <w:p w:rsidR="004803C8" w:rsidRDefault="004803C8" w:rsidP="004803C8">
      <w:pPr>
        <w:spacing w:after="0" w:line="240" w:lineRule="auto"/>
      </w:pPr>
      <w:r>
        <w:continuationSeparator/>
      </w:r>
    </w:p>
  </w:footnote>
  <w:footnote w:id="1">
    <w:p w:rsidR="004803C8" w:rsidRDefault="004803C8" w:rsidP="004803C8">
      <w:pPr>
        <w:pStyle w:val="Testonotaapidipagina"/>
        <w:rPr>
          <w:i w:val="0"/>
        </w:rPr>
      </w:pPr>
      <w:r>
        <w:rPr>
          <w:rStyle w:val="Rimandonotaapidipagina"/>
          <w:i w:val="0"/>
        </w:rPr>
        <w:footnoteRef/>
      </w:r>
      <w:r>
        <w:rPr>
          <w:i w:val="0"/>
        </w:rPr>
        <w:t xml:space="preserve"> </w:t>
      </w:r>
      <w:r>
        <w:rPr>
          <w:rFonts w:cs="Times New Roman"/>
          <w:i w:val="0"/>
        </w:rPr>
        <w:t>28. 2. I Relatori</w:t>
      </w:r>
    </w:p>
  </w:footnote>
  <w:footnote w:id="2">
    <w:p w:rsidR="004803C8" w:rsidRDefault="004803C8" w:rsidP="004803C8">
      <w:pPr>
        <w:jc w:val="both"/>
        <w:rPr>
          <w:rFonts w:cs="Times New Roman"/>
          <w:i w:val="0"/>
        </w:rPr>
      </w:pPr>
      <w:r>
        <w:rPr>
          <w:rStyle w:val="Rimandonotaapidipagina"/>
          <w:i w:val="0"/>
        </w:rPr>
        <w:footnoteRef/>
      </w:r>
      <w:r>
        <w:rPr>
          <w:i w:val="0"/>
        </w:rPr>
        <w:t xml:space="preserve"> </w:t>
      </w:r>
      <w:r>
        <w:rPr>
          <w:rFonts w:cs="Times New Roman"/>
          <w:i w:val="0"/>
        </w:rPr>
        <w:t>32. 15. I Relatori.</w:t>
      </w:r>
    </w:p>
    <w:p w:rsidR="004803C8" w:rsidRDefault="004803C8" w:rsidP="004803C8">
      <w:pPr>
        <w:pStyle w:val="Testonotaapidipagina"/>
      </w:pPr>
    </w:p>
  </w:footnote>
  <w:footnote w:id="3">
    <w:p w:rsidR="004803C8" w:rsidRDefault="004803C8" w:rsidP="004803C8">
      <w:pPr>
        <w:jc w:val="both"/>
        <w:rPr>
          <w:rFonts w:cs="Times New Roman"/>
          <w:i w:val="0"/>
        </w:rPr>
      </w:pPr>
      <w:r>
        <w:rPr>
          <w:rStyle w:val="Rimandonotaapidipagina"/>
          <w:i w:val="0"/>
        </w:rPr>
        <w:footnoteRef/>
      </w:r>
      <w:r>
        <w:rPr>
          <w:i w:val="0"/>
        </w:rPr>
        <w:t xml:space="preserve"> </w:t>
      </w:r>
      <w:r>
        <w:rPr>
          <w:rFonts w:cs="Times New Roman"/>
          <w:i w:val="0"/>
        </w:rPr>
        <w:t>32. 16. I Relatori.</w:t>
      </w:r>
    </w:p>
    <w:p w:rsidR="004803C8" w:rsidRDefault="004803C8" w:rsidP="004803C8">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C8"/>
    <w:rsid w:val="004266E6"/>
    <w:rsid w:val="004803C8"/>
    <w:rsid w:val="00575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F8C4"/>
  <w15:chartTrackingRefBased/>
  <w15:docId w15:val="{913BD88B-893D-477A-8233-399EE6EB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3C8"/>
    <w:pPr>
      <w:spacing w:after="200" w:line="288" w:lineRule="auto"/>
    </w:pPr>
    <w:rPr>
      <w:i/>
      <w:iCs/>
      <w:sz w:val="20"/>
      <w:szCs w:val="20"/>
    </w:rPr>
  </w:style>
  <w:style w:type="paragraph" w:styleId="Titolo1">
    <w:name w:val="heading 1"/>
    <w:basedOn w:val="Normale"/>
    <w:next w:val="Normale"/>
    <w:link w:val="Titolo1Carattere"/>
    <w:uiPriority w:val="9"/>
    <w:qFormat/>
    <w:rsid w:val="004803C8"/>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8"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olo2">
    <w:name w:val="heading 2"/>
    <w:basedOn w:val="Normale"/>
    <w:next w:val="Normale"/>
    <w:link w:val="Titolo2Carattere"/>
    <w:uiPriority w:val="9"/>
    <w:semiHidden/>
    <w:unhideWhenUsed/>
    <w:qFormat/>
    <w:rsid w:val="004803C8"/>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8"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olo3">
    <w:name w:val="heading 3"/>
    <w:basedOn w:val="Normale"/>
    <w:next w:val="Normale"/>
    <w:link w:val="Titolo3Carattere"/>
    <w:uiPriority w:val="9"/>
    <w:semiHidden/>
    <w:unhideWhenUsed/>
    <w:qFormat/>
    <w:rsid w:val="004803C8"/>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4803C8"/>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olo5">
    <w:name w:val="heading 5"/>
    <w:basedOn w:val="Normale"/>
    <w:next w:val="Normale"/>
    <w:link w:val="Titolo5Carattere"/>
    <w:uiPriority w:val="9"/>
    <w:semiHidden/>
    <w:unhideWhenUsed/>
    <w:qFormat/>
    <w:rsid w:val="004803C8"/>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4803C8"/>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olo7">
    <w:name w:val="heading 7"/>
    <w:basedOn w:val="Normale"/>
    <w:next w:val="Normale"/>
    <w:link w:val="Titolo7Carattere"/>
    <w:uiPriority w:val="9"/>
    <w:semiHidden/>
    <w:unhideWhenUsed/>
    <w:qFormat/>
    <w:rsid w:val="004803C8"/>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olo8">
    <w:name w:val="heading 8"/>
    <w:basedOn w:val="Normale"/>
    <w:next w:val="Normale"/>
    <w:link w:val="Titolo8Carattere"/>
    <w:uiPriority w:val="9"/>
    <w:semiHidden/>
    <w:unhideWhenUsed/>
    <w:qFormat/>
    <w:rsid w:val="004803C8"/>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olo9">
    <w:name w:val="heading 9"/>
    <w:basedOn w:val="Normale"/>
    <w:next w:val="Normale"/>
    <w:link w:val="Titolo9Carattere"/>
    <w:uiPriority w:val="9"/>
    <w:semiHidden/>
    <w:unhideWhenUsed/>
    <w:qFormat/>
    <w:rsid w:val="004803C8"/>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03C8"/>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olo2Carattere">
    <w:name w:val="Titolo 2 Carattere"/>
    <w:basedOn w:val="Carpredefinitoparagrafo"/>
    <w:link w:val="Titolo2"/>
    <w:uiPriority w:val="9"/>
    <w:semiHidden/>
    <w:rsid w:val="004803C8"/>
    <w:rPr>
      <w:rFonts w:asciiTheme="majorHAnsi" w:eastAsiaTheme="majorEastAsia" w:hAnsiTheme="majorHAnsi" w:cstheme="majorBidi"/>
      <w:b/>
      <w:bCs/>
      <w:i/>
      <w:iCs/>
      <w:color w:val="C45911" w:themeColor="accent2" w:themeShade="BF"/>
    </w:rPr>
  </w:style>
  <w:style w:type="character" w:customStyle="1" w:styleId="Titolo3Carattere">
    <w:name w:val="Titolo 3 Carattere"/>
    <w:basedOn w:val="Carpredefinitoparagrafo"/>
    <w:link w:val="Titolo3"/>
    <w:uiPriority w:val="9"/>
    <w:semiHidden/>
    <w:rsid w:val="004803C8"/>
    <w:rPr>
      <w:rFonts w:asciiTheme="majorHAnsi" w:eastAsiaTheme="majorEastAsia" w:hAnsiTheme="majorHAnsi" w:cstheme="majorBidi"/>
      <w:b/>
      <w:bCs/>
      <w:i/>
      <w:iCs/>
      <w:color w:val="C45911" w:themeColor="accent2" w:themeShade="BF"/>
    </w:rPr>
  </w:style>
  <w:style w:type="character" w:customStyle="1" w:styleId="Titolo4Carattere">
    <w:name w:val="Titolo 4 Carattere"/>
    <w:basedOn w:val="Carpredefinitoparagrafo"/>
    <w:link w:val="Titolo4"/>
    <w:uiPriority w:val="9"/>
    <w:semiHidden/>
    <w:rsid w:val="004803C8"/>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semiHidden/>
    <w:rsid w:val="004803C8"/>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4803C8"/>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4803C8"/>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4803C8"/>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4803C8"/>
    <w:rPr>
      <w:rFonts w:asciiTheme="majorHAnsi" w:eastAsiaTheme="majorEastAsia" w:hAnsiTheme="majorHAnsi" w:cstheme="majorBidi"/>
      <w:i/>
      <w:iCs/>
      <w:color w:val="ED7D31" w:themeColor="accent2"/>
      <w:sz w:val="20"/>
      <w:szCs w:val="20"/>
    </w:rPr>
  </w:style>
  <w:style w:type="character" w:styleId="Enfasicorsivo">
    <w:name w:val="Emphasis"/>
    <w:uiPriority w:val="20"/>
    <w:qFormat/>
    <w:rsid w:val="004803C8"/>
    <w:rPr>
      <w:rFonts w:asciiTheme="majorHAnsi" w:eastAsiaTheme="majorEastAsia" w:hAnsiTheme="majorHAnsi" w:cstheme="majorBidi" w:hint="default"/>
      <w:b/>
      <w:bCs/>
      <w:i/>
      <w:iCs/>
      <w:color w:val="ED7D31" w:themeColor="accent2"/>
      <w:bdr w:val="single" w:sz="18" w:space="0" w:color="FBE4D5" w:themeColor="accent2" w:themeTint="33" w:frame="1"/>
      <w:shd w:val="clear" w:color="auto" w:fill="FBE4D5" w:themeFill="accent2" w:themeFillTint="33"/>
    </w:rPr>
  </w:style>
  <w:style w:type="character" w:styleId="Enfasigrassetto">
    <w:name w:val="Strong"/>
    <w:uiPriority w:val="22"/>
    <w:qFormat/>
    <w:rsid w:val="004803C8"/>
    <w:rPr>
      <w:b/>
      <w:bCs/>
      <w:spacing w:val="0"/>
    </w:rPr>
  </w:style>
  <w:style w:type="paragraph" w:customStyle="1" w:styleId="msonormal0">
    <w:name w:val="msonormal"/>
    <w:basedOn w:val="Normale"/>
    <w:uiPriority w:val="99"/>
    <w:rsid w:val="004803C8"/>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NormaleWeb">
    <w:name w:val="Normal (Web)"/>
    <w:basedOn w:val="Normale"/>
    <w:uiPriority w:val="99"/>
    <w:semiHidden/>
    <w:unhideWhenUsed/>
    <w:rsid w:val="004803C8"/>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Testonotaapidipagina">
    <w:name w:val="footnote text"/>
    <w:basedOn w:val="Normale"/>
    <w:link w:val="TestonotaapidipaginaCarattere"/>
    <w:uiPriority w:val="99"/>
    <w:semiHidden/>
    <w:unhideWhenUsed/>
    <w:rsid w:val="004803C8"/>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4803C8"/>
    <w:rPr>
      <w:i/>
      <w:iCs/>
      <w:sz w:val="20"/>
      <w:szCs w:val="20"/>
    </w:rPr>
  </w:style>
  <w:style w:type="paragraph" w:styleId="Intestazione">
    <w:name w:val="header"/>
    <w:basedOn w:val="Normale"/>
    <w:link w:val="IntestazioneCarattere"/>
    <w:uiPriority w:val="99"/>
    <w:unhideWhenUsed/>
    <w:rsid w:val="004803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03C8"/>
    <w:rPr>
      <w:i/>
      <w:iCs/>
      <w:sz w:val="20"/>
      <w:szCs w:val="20"/>
    </w:rPr>
  </w:style>
  <w:style w:type="paragraph" w:styleId="Pidipagina">
    <w:name w:val="footer"/>
    <w:basedOn w:val="Normale"/>
    <w:link w:val="PidipaginaCarattere"/>
    <w:uiPriority w:val="99"/>
    <w:unhideWhenUsed/>
    <w:rsid w:val="004803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03C8"/>
    <w:rPr>
      <w:i/>
      <w:iCs/>
      <w:sz w:val="20"/>
      <w:szCs w:val="20"/>
    </w:rPr>
  </w:style>
  <w:style w:type="paragraph" w:styleId="Didascalia">
    <w:name w:val="caption"/>
    <w:basedOn w:val="Normale"/>
    <w:next w:val="Normale"/>
    <w:uiPriority w:val="35"/>
    <w:semiHidden/>
    <w:unhideWhenUsed/>
    <w:qFormat/>
    <w:rsid w:val="004803C8"/>
    <w:rPr>
      <w:b/>
      <w:bCs/>
      <w:color w:val="C45911" w:themeColor="accent2" w:themeShade="BF"/>
      <w:sz w:val="18"/>
      <w:szCs w:val="18"/>
    </w:rPr>
  </w:style>
  <w:style w:type="paragraph" w:styleId="Titolo">
    <w:name w:val="Title"/>
    <w:basedOn w:val="Normale"/>
    <w:next w:val="Normale"/>
    <w:link w:val="TitoloCarattere"/>
    <w:uiPriority w:val="10"/>
    <w:qFormat/>
    <w:rsid w:val="004803C8"/>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4803C8"/>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ttotitolo">
    <w:name w:val="Subtitle"/>
    <w:basedOn w:val="Normale"/>
    <w:next w:val="Normale"/>
    <w:link w:val="SottotitoloCarattere"/>
    <w:uiPriority w:val="11"/>
    <w:qFormat/>
    <w:rsid w:val="004803C8"/>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ttotitoloCarattere">
    <w:name w:val="Sottotitolo Carattere"/>
    <w:basedOn w:val="Carpredefinitoparagrafo"/>
    <w:link w:val="Sottotitolo"/>
    <w:uiPriority w:val="11"/>
    <w:rsid w:val="004803C8"/>
    <w:rPr>
      <w:rFonts w:asciiTheme="majorHAnsi" w:eastAsiaTheme="majorEastAsia" w:hAnsiTheme="majorHAnsi" w:cstheme="majorBidi"/>
      <w:i/>
      <w:iCs/>
      <w:color w:val="823B0B" w:themeColor="accent2" w:themeShade="7F"/>
      <w:sz w:val="24"/>
      <w:szCs w:val="24"/>
    </w:rPr>
  </w:style>
  <w:style w:type="paragraph" w:styleId="Nessunaspaziatura">
    <w:name w:val="No Spacing"/>
    <w:basedOn w:val="Normale"/>
    <w:uiPriority w:val="1"/>
    <w:qFormat/>
    <w:rsid w:val="004803C8"/>
    <w:pPr>
      <w:spacing w:after="0" w:line="240" w:lineRule="auto"/>
    </w:pPr>
  </w:style>
  <w:style w:type="paragraph" w:styleId="Paragrafoelenco">
    <w:name w:val="List Paragraph"/>
    <w:basedOn w:val="Normale"/>
    <w:uiPriority w:val="34"/>
    <w:qFormat/>
    <w:rsid w:val="004803C8"/>
    <w:pPr>
      <w:ind w:left="720"/>
      <w:contextualSpacing/>
    </w:pPr>
  </w:style>
  <w:style w:type="paragraph" w:styleId="Citazione">
    <w:name w:val="Quote"/>
    <w:basedOn w:val="Normale"/>
    <w:next w:val="Normale"/>
    <w:link w:val="CitazioneCarattere"/>
    <w:uiPriority w:val="29"/>
    <w:qFormat/>
    <w:rsid w:val="004803C8"/>
    <w:rPr>
      <w:i w:val="0"/>
      <w:iCs w:val="0"/>
      <w:color w:val="C45911" w:themeColor="accent2" w:themeShade="BF"/>
    </w:rPr>
  </w:style>
  <w:style w:type="character" w:customStyle="1" w:styleId="CitazioneCarattere">
    <w:name w:val="Citazione Carattere"/>
    <w:basedOn w:val="Carpredefinitoparagrafo"/>
    <w:link w:val="Citazione"/>
    <w:uiPriority w:val="29"/>
    <w:rsid w:val="004803C8"/>
    <w:rPr>
      <w:color w:val="C45911" w:themeColor="accent2" w:themeShade="BF"/>
      <w:sz w:val="20"/>
      <w:szCs w:val="20"/>
    </w:rPr>
  </w:style>
  <w:style w:type="paragraph" w:styleId="Citazioneintensa">
    <w:name w:val="Intense Quote"/>
    <w:basedOn w:val="Normale"/>
    <w:next w:val="Normale"/>
    <w:link w:val="CitazioneintensaCarattere"/>
    <w:uiPriority w:val="30"/>
    <w:qFormat/>
    <w:rsid w:val="004803C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zioneintensaCarattere">
    <w:name w:val="Citazione intensa Carattere"/>
    <w:basedOn w:val="Carpredefinitoparagrafo"/>
    <w:link w:val="Citazioneintensa"/>
    <w:uiPriority w:val="30"/>
    <w:rsid w:val="004803C8"/>
    <w:rPr>
      <w:rFonts w:asciiTheme="majorHAnsi" w:eastAsiaTheme="majorEastAsia" w:hAnsiTheme="majorHAnsi" w:cstheme="majorBidi"/>
      <w:b/>
      <w:bCs/>
      <w:i/>
      <w:iCs/>
      <w:color w:val="ED7D31" w:themeColor="accent2"/>
      <w:sz w:val="20"/>
      <w:szCs w:val="20"/>
    </w:rPr>
  </w:style>
  <w:style w:type="paragraph" w:styleId="Titolosommario">
    <w:name w:val="TOC Heading"/>
    <w:basedOn w:val="Titolo1"/>
    <w:next w:val="Normale"/>
    <w:uiPriority w:val="39"/>
    <w:semiHidden/>
    <w:unhideWhenUsed/>
    <w:qFormat/>
    <w:rsid w:val="004803C8"/>
    <w:pPr>
      <w:outlineLvl w:val="9"/>
    </w:pPr>
    <w:rPr>
      <w:lang w:bidi="en-US"/>
    </w:rPr>
  </w:style>
  <w:style w:type="paragraph" w:customStyle="1" w:styleId="center">
    <w:name w:val="center"/>
    <w:basedOn w:val="Normale"/>
    <w:uiPriority w:val="99"/>
    <w:rsid w:val="004803C8"/>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ipologia">
    <w:name w:val="tipologia"/>
    <w:basedOn w:val="Normale"/>
    <w:uiPriority w:val="99"/>
    <w:rsid w:val="004803C8"/>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sottotitolo0">
    <w:name w:val="sottotitolo"/>
    <w:basedOn w:val="Normale"/>
    <w:uiPriority w:val="99"/>
    <w:rsid w:val="004803C8"/>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estojustify">
    <w:name w:val="testojustify"/>
    <w:basedOn w:val="Normale"/>
    <w:uiPriority w:val="99"/>
    <w:rsid w:val="004803C8"/>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num">
    <w:name w:val="num"/>
    <w:next w:val="Normale"/>
    <w:autoRedefine/>
    <w:uiPriority w:val="99"/>
    <w:rsid w:val="004803C8"/>
    <w:pPr>
      <w:keepNext/>
      <w:widowControl w:val="0"/>
      <w:spacing w:before="720" w:after="0" w:line="240" w:lineRule="auto"/>
      <w:outlineLvl w:val="4"/>
    </w:pPr>
    <w:rPr>
      <w:rFonts w:eastAsia="Times New Roman" w:cs="Times New Roman"/>
      <w:noProof/>
      <w:color w:val="000000" w:themeColor="text1"/>
      <w:sz w:val="20"/>
      <w:szCs w:val="20"/>
      <w:lang w:eastAsia="it-IT"/>
    </w:rPr>
  </w:style>
  <w:style w:type="paragraph" w:customStyle="1" w:styleId="testocenter">
    <w:name w:val="testocenter"/>
    <w:basedOn w:val="Normale"/>
    <w:uiPriority w:val="99"/>
    <w:rsid w:val="004803C8"/>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a6">
    <w:name w:val="a6"/>
    <w:uiPriority w:val="99"/>
    <w:rsid w:val="004803C8"/>
    <w:pPr>
      <w:spacing w:before="120" w:after="0" w:line="240" w:lineRule="auto"/>
      <w:jc w:val="both"/>
    </w:pPr>
    <w:rPr>
      <w:rFonts w:ascii="Times New Roman" w:eastAsia="Times New Roman" w:hAnsi="Times New Roman" w:cs="Times New Roman"/>
      <w:sz w:val="24"/>
      <w:szCs w:val="20"/>
      <w:lang w:eastAsia="it-IT"/>
    </w:rPr>
  </w:style>
  <w:style w:type="paragraph" w:customStyle="1" w:styleId="art">
    <w:name w:val="art"/>
    <w:uiPriority w:val="99"/>
    <w:rsid w:val="004803C8"/>
    <w:pPr>
      <w:spacing w:after="0" w:line="240" w:lineRule="auto"/>
      <w:jc w:val="center"/>
    </w:pPr>
    <w:rPr>
      <w:rFonts w:ascii="Times New Roman" w:eastAsia="Times New Roman" w:hAnsi="Times New Roman" w:cs="Times New Roman"/>
      <w:b/>
      <w:noProof/>
      <w:sz w:val="24"/>
      <w:szCs w:val="20"/>
      <w:lang w:eastAsia="it-IT"/>
    </w:rPr>
  </w:style>
  <w:style w:type="paragraph" w:customStyle="1" w:styleId="rubr">
    <w:name w:val="rubr"/>
    <w:uiPriority w:val="99"/>
    <w:rsid w:val="004803C8"/>
    <w:pPr>
      <w:spacing w:after="0" w:line="240" w:lineRule="auto"/>
      <w:jc w:val="center"/>
    </w:pPr>
    <w:rPr>
      <w:rFonts w:ascii="Times New Roman" w:eastAsia="Times New Roman" w:hAnsi="Times New Roman" w:cs="Times New Roman"/>
      <w:i/>
      <w:noProof/>
      <w:sz w:val="24"/>
      <w:szCs w:val="20"/>
      <w:lang w:eastAsia="it-IT"/>
    </w:rPr>
  </w:style>
  <w:style w:type="character" w:styleId="Rimandonotaapidipagina">
    <w:name w:val="footnote reference"/>
    <w:basedOn w:val="Carpredefinitoparagrafo"/>
    <w:uiPriority w:val="99"/>
    <w:semiHidden/>
    <w:unhideWhenUsed/>
    <w:rsid w:val="004803C8"/>
    <w:rPr>
      <w:vertAlign w:val="superscript"/>
    </w:rPr>
  </w:style>
  <w:style w:type="character" w:styleId="Enfasidelicata">
    <w:name w:val="Subtle Emphasis"/>
    <w:uiPriority w:val="19"/>
    <w:qFormat/>
    <w:rsid w:val="004803C8"/>
    <w:rPr>
      <w:rFonts w:asciiTheme="majorHAnsi" w:eastAsiaTheme="majorEastAsia" w:hAnsiTheme="majorHAnsi" w:cstheme="majorBidi" w:hint="default"/>
      <w:i/>
      <w:iCs/>
      <w:color w:val="ED7D31" w:themeColor="accent2"/>
    </w:rPr>
  </w:style>
  <w:style w:type="character" w:styleId="Enfasiintensa">
    <w:name w:val="Intense Emphasis"/>
    <w:uiPriority w:val="21"/>
    <w:qFormat/>
    <w:rsid w:val="004803C8"/>
    <w:rPr>
      <w:rFonts w:asciiTheme="majorHAnsi" w:eastAsiaTheme="majorEastAsia" w:hAnsiTheme="majorHAnsi" w:cstheme="majorBidi" w:hint="default"/>
      <w:b/>
      <w:bCs/>
      <w:i/>
      <w:iCs/>
      <w:strike w:val="0"/>
      <w:dstrike w:val="0"/>
      <w:color w:val="FFFFFF" w:themeColor="background1"/>
      <w:u w:val="none"/>
      <w:effect w:val="none"/>
      <w:bdr w:val="single" w:sz="18" w:space="0" w:color="ED7D31" w:themeColor="accent2" w:frame="1"/>
      <w:shd w:val="clear" w:color="auto" w:fill="ED7D31" w:themeFill="accent2"/>
      <w:vertAlign w:val="baseline"/>
    </w:rPr>
  </w:style>
  <w:style w:type="character" w:styleId="Riferimentodelicato">
    <w:name w:val="Subtle Reference"/>
    <w:uiPriority w:val="31"/>
    <w:qFormat/>
    <w:rsid w:val="004803C8"/>
    <w:rPr>
      <w:i/>
      <w:iCs/>
      <w:smallCaps/>
      <w:color w:val="ED7D31" w:themeColor="accent2"/>
      <w:u w:color="ED7D31" w:themeColor="accent2"/>
    </w:rPr>
  </w:style>
  <w:style w:type="character" w:styleId="Riferimentointenso">
    <w:name w:val="Intense Reference"/>
    <w:uiPriority w:val="32"/>
    <w:qFormat/>
    <w:rsid w:val="004803C8"/>
    <w:rPr>
      <w:b/>
      <w:bCs/>
      <w:i/>
      <w:iCs/>
      <w:smallCaps/>
      <w:color w:val="ED7D31" w:themeColor="accent2"/>
      <w:u w:color="ED7D31" w:themeColor="accent2"/>
    </w:rPr>
  </w:style>
  <w:style w:type="character" w:styleId="Titolodellibro">
    <w:name w:val="Book Title"/>
    <w:uiPriority w:val="33"/>
    <w:qFormat/>
    <w:rsid w:val="004803C8"/>
    <w:rPr>
      <w:rFonts w:asciiTheme="majorHAnsi" w:eastAsiaTheme="majorEastAsia" w:hAnsiTheme="majorHAnsi" w:cstheme="majorBidi" w:hint="default"/>
      <w:b/>
      <w:bCs/>
      <w:i/>
      <w:iCs/>
      <w:smallCaps/>
      <w:color w:val="C45911" w:themeColor="accent2" w:themeShade="BF"/>
      <w:u w:val="single"/>
    </w:rPr>
  </w:style>
  <w:style w:type="character" w:customStyle="1" w:styleId="apple-converted-space">
    <w:name w:val="apple-converted-space"/>
    <w:basedOn w:val="Carpredefinitoparagrafo"/>
    <w:rsid w:val="00480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61</Pages>
  <Words>26252</Words>
  <Characters>149640</Characters>
  <Application>Microsoft Office Word</Application>
  <DocSecurity>0</DocSecurity>
  <Lines>1247</Lines>
  <Paragraphs>351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3</cp:revision>
  <dcterms:created xsi:type="dcterms:W3CDTF">2019-06-05T08:14:00Z</dcterms:created>
  <dcterms:modified xsi:type="dcterms:W3CDTF">2019-06-05T09:03:00Z</dcterms:modified>
</cp:coreProperties>
</file>