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46BB9" w:rsidRPr="00EE4D49" w:rsidRDefault="00F46BB9" w:rsidP="00113CFE">
      <w:pPr>
        <w:spacing w:after="140"/>
        <w:rPr>
          <w:rFonts w:asciiTheme="minorHAnsi" w:hAnsiTheme="minorHAnsi"/>
        </w:rPr>
      </w:pPr>
      <w:bookmarkStart w:id="0" w:name="_GoBack"/>
      <w:bookmarkEnd w:id="0"/>
    </w:p>
    <w:p w:rsidR="00F6661B" w:rsidRPr="00EE4D49" w:rsidRDefault="00F6661B" w:rsidP="00E257C8">
      <w:pPr>
        <w:spacing w:after="140"/>
        <w:jc w:val="center"/>
        <w:rPr>
          <w:rFonts w:asciiTheme="minorHAnsi" w:hAnsiTheme="minorHAnsi"/>
          <w:color w:val="1D4387"/>
          <w:sz w:val="28"/>
          <w:szCs w:val="28"/>
        </w:rPr>
      </w:pPr>
    </w:p>
    <w:p w:rsidR="00EE4D49" w:rsidRPr="00EE4D49" w:rsidRDefault="00EE4D49" w:rsidP="00EE4D49">
      <w:pPr>
        <w:shd w:val="clear" w:color="auto" w:fill="FFFFFF"/>
        <w:spacing w:after="120" w:line="240" w:lineRule="auto"/>
        <w:jc w:val="both"/>
        <w:rPr>
          <w:rFonts w:asciiTheme="minorHAnsi" w:eastAsia="Times New Roman" w:hAnsiTheme="minorHAnsi" w:cs="Times New Roman"/>
          <w:b/>
          <w:bCs/>
          <w:color w:val="000000"/>
          <w:sz w:val="24"/>
          <w:szCs w:val="24"/>
        </w:rPr>
      </w:pPr>
    </w:p>
    <w:p w:rsidR="00EE4D49" w:rsidRPr="009F3802" w:rsidRDefault="00EE4D49" w:rsidP="00EE4D49">
      <w:pPr>
        <w:shd w:val="clear" w:color="auto" w:fill="FFFFFF"/>
        <w:spacing w:after="120" w:line="240" w:lineRule="auto"/>
        <w:jc w:val="both"/>
        <w:rPr>
          <w:rFonts w:asciiTheme="minorHAnsi" w:eastAsia="Times New Roman" w:hAnsiTheme="minorHAnsi" w:cs="Times New Roman"/>
          <w:b/>
          <w:bCs/>
          <w:color w:val="000000" w:themeColor="text1"/>
          <w:sz w:val="24"/>
          <w:szCs w:val="24"/>
        </w:rPr>
      </w:pPr>
      <w:r w:rsidRPr="009F3802">
        <w:rPr>
          <w:rFonts w:asciiTheme="minorHAnsi" w:eastAsia="Times New Roman" w:hAnsiTheme="minorHAnsi" w:cs="Times New Roman"/>
          <w:b/>
          <w:bCs/>
          <w:color w:val="000000" w:themeColor="text1"/>
          <w:sz w:val="24"/>
          <w:szCs w:val="24"/>
        </w:rPr>
        <w:t xml:space="preserve">Le modifiche introdotte dagli emendamenti approvati si riportano in grassetto, mentre le soppressioni (sostituzioni comprese) si riportano </w:t>
      </w:r>
      <w:r w:rsidRPr="009F3802">
        <w:rPr>
          <w:rFonts w:asciiTheme="minorHAnsi" w:eastAsia="Times New Roman" w:hAnsiTheme="minorHAnsi" w:cs="Times New Roman"/>
          <w:strike/>
          <w:color w:val="000000" w:themeColor="text1"/>
          <w:sz w:val="24"/>
          <w:szCs w:val="24"/>
          <w:shd w:val="clear" w:color="auto" w:fill="FFFB01"/>
        </w:rPr>
        <w:t>evidenziate</w:t>
      </w:r>
      <w:r w:rsidRPr="009F3802">
        <w:rPr>
          <w:rFonts w:asciiTheme="minorHAnsi" w:eastAsia="Times New Roman" w:hAnsiTheme="minorHAnsi" w:cs="Times New Roman"/>
          <w:color w:val="000000" w:themeColor="text1"/>
          <w:sz w:val="24"/>
          <w:szCs w:val="24"/>
        </w:rPr>
        <w:t xml:space="preserve"> </w:t>
      </w:r>
      <w:r w:rsidRPr="009F3802">
        <w:rPr>
          <w:rFonts w:asciiTheme="minorHAnsi" w:eastAsia="Times New Roman" w:hAnsiTheme="minorHAnsi" w:cs="Times New Roman"/>
          <w:b/>
          <w:bCs/>
          <w:color w:val="000000" w:themeColor="text1"/>
          <w:sz w:val="24"/>
          <w:szCs w:val="24"/>
        </w:rPr>
        <w:t xml:space="preserve">vergate e facendo uso del colore giallo. I subemendamenti approvati si evidenziano facendo uso del colore </w:t>
      </w:r>
      <w:r w:rsidRPr="009F3802">
        <w:rPr>
          <w:rFonts w:asciiTheme="minorHAnsi" w:eastAsia="Times New Roman" w:hAnsiTheme="minorHAnsi" w:cs="Times New Roman"/>
          <w:b/>
          <w:bCs/>
          <w:color w:val="000000" w:themeColor="text1"/>
          <w:sz w:val="24"/>
          <w:szCs w:val="24"/>
          <w:shd w:val="clear" w:color="auto" w:fill="FF2500"/>
        </w:rPr>
        <w:t>rosso</w:t>
      </w:r>
      <w:r w:rsidRPr="009F3802">
        <w:rPr>
          <w:rFonts w:asciiTheme="minorHAnsi" w:eastAsia="Times New Roman" w:hAnsiTheme="minorHAnsi" w:cs="Times New Roman"/>
          <w:b/>
          <w:bCs/>
          <w:color w:val="000000" w:themeColor="text1"/>
          <w:sz w:val="24"/>
          <w:szCs w:val="24"/>
        </w:rPr>
        <w:t>. A piè di pagina si riportano i riferimenti della proposta di modifica approvata.</w:t>
      </w:r>
    </w:p>
    <w:p w:rsidR="00EE4D49" w:rsidRPr="009F3802" w:rsidRDefault="00EE4D49" w:rsidP="00EE4D49">
      <w:pPr>
        <w:shd w:val="clear" w:color="auto" w:fill="FFFFFF"/>
        <w:spacing w:after="120" w:line="240" w:lineRule="auto"/>
        <w:jc w:val="both"/>
        <w:rPr>
          <w:rFonts w:asciiTheme="minorHAnsi" w:eastAsia="Times New Roman" w:hAnsiTheme="minorHAnsi" w:cs="Times New Roman"/>
          <w:b/>
          <w:bCs/>
          <w:color w:val="000000" w:themeColor="text1"/>
          <w:sz w:val="24"/>
          <w:szCs w:val="24"/>
        </w:rPr>
      </w:pPr>
    </w:p>
    <w:p w:rsidR="00EE4D49" w:rsidRPr="009F3802" w:rsidRDefault="00EE4D49" w:rsidP="00EE4D49">
      <w:pPr>
        <w:shd w:val="clear" w:color="auto" w:fill="FFFFFF"/>
        <w:spacing w:after="75" w:line="240" w:lineRule="auto"/>
        <w:ind w:left="300"/>
        <w:jc w:val="center"/>
        <w:rPr>
          <w:rFonts w:asciiTheme="minorHAnsi" w:eastAsia="Times New Roman" w:hAnsiTheme="minorHAnsi" w:cs="Times New Roman"/>
          <w:bCs/>
          <w:iCs/>
          <w:color w:val="000000" w:themeColor="text1"/>
          <w:sz w:val="24"/>
          <w:szCs w:val="24"/>
        </w:rPr>
      </w:pPr>
      <w:r w:rsidRPr="009F3802">
        <w:rPr>
          <w:rFonts w:asciiTheme="minorHAnsi" w:eastAsia="Times New Roman" w:hAnsiTheme="minorHAnsi" w:cs="Times New Roman"/>
          <w:bCs/>
          <w:iCs/>
          <w:color w:val="000000" w:themeColor="text1"/>
          <w:sz w:val="24"/>
          <w:szCs w:val="24"/>
        </w:rPr>
        <w:t>***</w:t>
      </w:r>
    </w:p>
    <w:p w:rsidR="009F3802" w:rsidRPr="009F3802" w:rsidRDefault="009F3802" w:rsidP="009F3802">
      <w:pPr>
        <w:pStyle w:val="center"/>
        <w:shd w:val="clear" w:color="auto" w:fill="FFFFFF"/>
        <w:spacing w:before="0" w:beforeAutospacing="0" w:after="0" w:afterAutospacing="0"/>
        <w:jc w:val="center"/>
        <w:rPr>
          <w:rFonts w:asciiTheme="minorHAnsi" w:hAnsiTheme="minorHAnsi" w:cs="Arial"/>
          <w:color w:val="000000" w:themeColor="text1"/>
        </w:rPr>
      </w:pPr>
      <w:r w:rsidRPr="009F3802">
        <w:rPr>
          <w:rFonts w:asciiTheme="minorHAnsi" w:hAnsiTheme="minorHAnsi" w:cs="Arial"/>
          <w:color w:val="000000" w:themeColor="text1"/>
        </w:rPr>
        <w:t>DISEGNO DI LEGGE: DELEGA AL GOVERNO IN MATERIA DI TURISMO (A.C. 1698-A)</w:t>
      </w:r>
    </w:p>
    <w:p w:rsidR="009F3802" w:rsidRDefault="009F3802" w:rsidP="009F3802">
      <w:pPr>
        <w:pStyle w:val="center"/>
        <w:shd w:val="clear" w:color="auto" w:fill="FFFFFF"/>
        <w:spacing w:before="0" w:beforeAutospacing="0" w:after="0" w:afterAutospacing="0"/>
        <w:jc w:val="both"/>
        <w:rPr>
          <w:rFonts w:asciiTheme="minorHAnsi" w:hAnsiTheme="minorHAnsi" w:cs="Arial"/>
          <w:i/>
          <w:color w:val="000000" w:themeColor="text1"/>
        </w:rPr>
      </w:pPr>
    </w:p>
    <w:p w:rsidR="009F3802" w:rsidRDefault="009F3802" w:rsidP="009F3802">
      <w:pPr>
        <w:pStyle w:val="center"/>
        <w:shd w:val="clear" w:color="auto" w:fill="FFFFFF"/>
        <w:spacing w:before="0" w:beforeAutospacing="0" w:after="0" w:afterAutospacing="0"/>
        <w:jc w:val="both"/>
        <w:rPr>
          <w:rFonts w:asciiTheme="minorHAnsi" w:hAnsiTheme="minorHAnsi" w:cs="Arial"/>
          <w:i/>
          <w:color w:val="000000" w:themeColor="text1"/>
        </w:rPr>
      </w:pPr>
      <w:r>
        <w:rPr>
          <w:rFonts w:asciiTheme="minorHAnsi" w:hAnsiTheme="minorHAnsi" w:cs="Arial"/>
          <w:i/>
          <w:color w:val="000000" w:themeColor="text1"/>
        </w:rPr>
        <w:t>Si riporta copia della ricostruzione del provvedimento così come approvato dall’Aula di Montecitorio nella giornata di ieri, mercoledì 10 luglio.</w:t>
      </w:r>
    </w:p>
    <w:p w:rsidR="009F3802" w:rsidRPr="009F3802" w:rsidRDefault="009F3802" w:rsidP="009F3802">
      <w:pPr>
        <w:pStyle w:val="center"/>
        <w:shd w:val="clear" w:color="auto" w:fill="FFFFFF"/>
        <w:spacing w:before="0" w:beforeAutospacing="0" w:after="0" w:afterAutospacing="0"/>
        <w:jc w:val="both"/>
        <w:rPr>
          <w:rFonts w:asciiTheme="minorHAnsi" w:hAnsiTheme="minorHAnsi" w:cs="Arial"/>
          <w:i/>
          <w:color w:val="000000" w:themeColor="text1"/>
        </w:rPr>
      </w:pPr>
    </w:p>
    <w:p w:rsidR="009F3802" w:rsidRPr="009F3802" w:rsidRDefault="009F3802" w:rsidP="009F3802">
      <w:pPr>
        <w:pStyle w:val="center"/>
        <w:shd w:val="clear" w:color="auto" w:fill="FFFFFF"/>
        <w:spacing w:before="0" w:beforeAutospacing="0" w:after="0" w:afterAutospacing="0"/>
        <w:jc w:val="center"/>
        <w:rPr>
          <w:rFonts w:asciiTheme="minorHAnsi" w:hAnsiTheme="minorHAnsi" w:cs="Arial"/>
          <w:color w:val="000000" w:themeColor="text1"/>
        </w:rPr>
      </w:pPr>
    </w:p>
    <w:p w:rsidR="009F3802" w:rsidRPr="009F3802" w:rsidRDefault="009F3802" w:rsidP="009F3802">
      <w:pPr>
        <w:pStyle w:val="center"/>
        <w:shd w:val="clear" w:color="auto" w:fill="FFFFFF"/>
        <w:spacing w:before="0" w:beforeAutospacing="0" w:after="0" w:afterAutospacing="0"/>
        <w:jc w:val="center"/>
        <w:rPr>
          <w:rFonts w:asciiTheme="minorHAnsi" w:hAnsiTheme="minorHAnsi" w:cs="Arial"/>
          <w:color w:val="000000" w:themeColor="text1"/>
        </w:rPr>
      </w:pPr>
      <w:r w:rsidRPr="009F3802">
        <w:rPr>
          <w:rFonts w:asciiTheme="minorHAnsi" w:hAnsiTheme="minorHAnsi" w:cs="Arial"/>
          <w:color w:val="000000" w:themeColor="text1"/>
        </w:rPr>
        <w:t>Art. 1. </w:t>
      </w:r>
    </w:p>
    <w:p w:rsidR="009F3802" w:rsidRPr="009F3802" w:rsidRDefault="009F3802" w:rsidP="009F3802">
      <w:pPr>
        <w:pStyle w:val="center"/>
        <w:shd w:val="clear" w:color="auto" w:fill="FFFFFF"/>
        <w:spacing w:before="0" w:beforeAutospacing="0" w:after="0" w:afterAutospacing="0"/>
        <w:jc w:val="center"/>
        <w:rPr>
          <w:rFonts w:asciiTheme="minorHAnsi" w:hAnsiTheme="minorHAnsi" w:cs="Arial"/>
          <w:color w:val="000000" w:themeColor="text1"/>
        </w:rPr>
      </w:pPr>
      <w:r w:rsidRPr="009F3802">
        <w:rPr>
          <w:rStyle w:val="Enfasicorsivo"/>
          <w:rFonts w:asciiTheme="minorHAnsi" w:hAnsiTheme="minorHAnsi" w:cs="Arial"/>
          <w:color w:val="000000" w:themeColor="text1"/>
        </w:rPr>
        <w:t>(Delega al Governo)</w:t>
      </w:r>
    </w:p>
    <w:p w:rsidR="009F3802" w:rsidRPr="009F3802" w:rsidRDefault="009F3802" w:rsidP="009F3802">
      <w:pPr>
        <w:pStyle w:val="NormaleWeb"/>
        <w:shd w:val="clear" w:color="auto" w:fill="FFFFFF"/>
        <w:spacing w:before="0" w:beforeAutospacing="0" w:after="0" w:afterAutospacing="0"/>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1. Il Governo è delegato ad adottare, entro due anni dalla data di entrata in vigore della presente legge, uno o più decreti legislativi in materia di turismo.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2. Nell'esercizio della delega di cui al comma 1, il Governo si attiene ai seguenti princìpi e criteri direttivi: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a)</w:t>
      </w:r>
      <w:r w:rsidRPr="009F3802">
        <w:rPr>
          <w:rFonts w:asciiTheme="minorHAnsi" w:hAnsiTheme="minorHAnsi" w:cs="Arial"/>
          <w:color w:val="000000" w:themeColor="text1"/>
        </w:rPr>
        <w:t xml:space="preserve"> organizzare le disposizioni per settori omogenei o per specifiche attività o gruppi di attività, </w:t>
      </w:r>
      <w:r w:rsidRPr="009F3802">
        <w:rPr>
          <w:rFonts w:asciiTheme="minorHAnsi" w:hAnsiTheme="minorHAnsi"/>
          <w:b/>
          <w:color w:val="000000" w:themeColor="text1"/>
        </w:rPr>
        <w:t>assicurando forme di integrazione e connessione tra i vari ambiti turistici,</w:t>
      </w:r>
      <w:r w:rsidRPr="009F3802">
        <w:rPr>
          <w:rStyle w:val="Rimandonotaapidipagina"/>
          <w:rFonts w:asciiTheme="minorHAnsi" w:hAnsiTheme="minorHAnsi"/>
          <w:b/>
          <w:color w:val="000000" w:themeColor="text1"/>
        </w:rPr>
        <w:footnoteReference w:id="1"/>
      </w:r>
      <w:r w:rsidRPr="009F3802">
        <w:rPr>
          <w:rFonts w:asciiTheme="minorHAnsi" w:hAnsiTheme="minorHAnsi"/>
          <w:b/>
          <w:color w:val="000000" w:themeColor="text1"/>
        </w:rPr>
        <w:t xml:space="preserve"> </w:t>
      </w:r>
      <w:r w:rsidRPr="009F3802">
        <w:rPr>
          <w:rFonts w:asciiTheme="minorHAnsi" w:hAnsiTheme="minorHAnsi" w:cs="Arial"/>
          <w:color w:val="000000" w:themeColor="text1"/>
        </w:rPr>
        <w:t>mediante la revisione e l'aggiornamento del codice della normativa statale in tema di ordinamento e mercato del turismo, di cui al decreto legislativo 23 maggio 2011, n.</w:t>
      </w:r>
      <w:r w:rsidRPr="009F3802">
        <w:rPr>
          <w:rFonts w:asciiTheme="minorHAnsi" w:hAnsiTheme="minorHAnsi" w:cs="Arial"/>
          <w:color w:val="000000" w:themeColor="text1"/>
        </w:rPr>
        <w:t> </w:t>
      </w:r>
      <w:r w:rsidRPr="009F3802">
        <w:rPr>
          <w:rFonts w:asciiTheme="minorHAnsi" w:hAnsiTheme="minorHAnsi" w:cs="Arial"/>
          <w:color w:val="000000" w:themeColor="text1"/>
        </w:rPr>
        <w:t>79, e, ove necessario, prevedere nuove disposizioni</w:t>
      </w:r>
      <w:r w:rsidRPr="009F3802">
        <w:rPr>
          <w:rFonts w:asciiTheme="minorHAnsi" w:hAnsiTheme="minorHAnsi" w:cs="Arial"/>
          <w:b/>
          <w:color w:val="000000" w:themeColor="text1"/>
        </w:rPr>
        <w:t>, anche in attuazione del Piano Strategico del Turismo 2017-2022, approvato il 17 febbraio 2017,</w:t>
      </w:r>
      <w:r w:rsidRPr="009F3802">
        <w:rPr>
          <w:rStyle w:val="Rimandonotaapidipagina"/>
          <w:rFonts w:asciiTheme="minorHAnsi" w:hAnsiTheme="minorHAnsi" w:cs="Arial"/>
          <w:b/>
          <w:color w:val="000000" w:themeColor="text1"/>
        </w:rPr>
        <w:footnoteReference w:id="2"/>
      </w:r>
      <w:r w:rsidRPr="009F3802">
        <w:rPr>
          <w:rFonts w:asciiTheme="minorHAnsi" w:hAnsiTheme="minorHAnsi" w:cs="Arial"/>
          <w:color w:val="000000" w:themeColor="text1"/>
        </w:rPr>
        <w:t xml:space="preserve"> per la regolamentazione di settori turistici emergenti, quali tra gli altri: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1) il turismo sostenibile, basato su un'offerta turistica in cui l'attrattiva sia fondata sul mantenimento dell'integrità culturale, dei processi ecologici essenziali, della diversità biologica e dei sistemi di vita dei territori interessati;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lastRenderedPageBreak/>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2) il turismo sanitario e termale, basato su un'offerta di viaggio e di permanenza finalizzata alla cura della salute e alla ricerca del benessere, che prevede trattamenti sanitari specifici e l'assistenza di personale medico professionalmente qualificato;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3) il turismo rurale, inteso come sviluppo di un'attrattiva fondata sulla riscoperta delle aree rurali caratterizzate dalla coltivazione, dall'allevamento e dalla produzione di prodotti locali enogastronomici, in particolare di prodotti a denominazione di origine protetta (DOP), a indicazione geografica protetta (IGP), a specialità tradizionale garantita (STG), di prodotti di montagna, di prodotti che rientrano nei sistemi di certificazione regionali riconosciuti dall'Unione europea </w:t>
      </w:r>
      <w:r w:rsidRPr="009F3802">
        <w:rPr>
          <w:rFonts w:asciiTheme="minorHAnsi" w:hAnsiTheme="minorHAnsi" w:cs="Arial"/>
          <w:strike/>
          <w:color w:val="000000" w:themeColor="text1"/>
        </w:rPr>
        <w:t>e</w:t>
      </w:r>
      <w:r w:rsidRPr="009F3802">
        <w:rPr>
          <w:rFonts w:asciiTheme="minorHAnsi" w:hAnsiTheme="minorHAnsi" w:cs="Arial"/>
          <w:color w:val="000000" w:themeColor="text1"/>
        </w:rPr>
        <w:t> di prodotti agroalimentari tradizionali inseriti nell'elenco nazionale dei prodotti agroalimentari tradizionali, di cui al decreto del Ministero delle politiche agricole alimentari e forestali 18 luglio 2000, pubblicato nel supplemento ordinario alla </w:t>
      </w:r>
      <w:r w:rsidRPr="009F3802">
        <w:rPr>
          <w:rStyle w:val="Enfasicorsivo"/>
          <w:rFonts w:asciiTheme="minorHAnsi" w:hAnsiTheme="minorHAnsi" w:cs="Arial"/>
          <w:color w:val="000000" w:themeColor="text1"/>
        </w:rPr>
        <w:t>Gazzetta Ufficiale</w:t>
      </w:r>
      <w:r w:rsidRPr="009F3802">
        <w:rPr>
          <w:rFonts w:asciiTheme="minorHAnsi" w:hAnsiTheme="minorHAnsi" w:cs="Arial"/>
          <w:color w:val="000000" w:themeColor="text1"/>
        </w:rPr>
        <w:t> n.</w:t>
      </w:r>
      <w:r w:rsidRPr="009F3802">
        <w:rPr>
          <w:rFonts w:asciiTheme="minorHAnsi" w:hAnsiTheme="minorHAnsi" w:cs="Arial"/>
          <w:color w:val="000000" w:themeColor="text1"/>
        </w:rPr>
        <w:t> </w:t>
      </w:r>
      <w:r w:rsidRPr="009F3802">
        <w:rPr>
          <w:rFonts w:asciiTheme="minorHAnsi" w:hAnsiTheme="minorHAnsi" w:cs="Arial"/>
          <w:color w:val="000000" w:themeColor="text1"/>
        </w:rPr>
        <w:t>194 del 21 agosto 2000, aggiornato annualmente ai sensi dell'articolo 12, comma 1, della legge 12 dicembre 2016, n.</w:t>
      </w:r>
      <w:r w:rsidRPr="009F3802">
        <w:rPr>
          <w:rFonts w:asciiTheme="minorHAnsi" w:hAnsiTheme="minorHAnsi" w:cs="Arial"/>
          <w:color w:val="000000" w:themeColor="text1"/>
        </w:rPr>
        <w:t> </w:t>
      </w:r>
      <w:r w:rsidRPr="009F3802">
        <w:rPr>
          <w:rFonts w:asciiTheme="minorHAnsi" w:hAnsiTheme="minorHAnsi" w:cs="Arial"/>
          <w:color w:val="000000" w:themeColor="text1"/>
        </w:rPr>
        <w:t>238;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strike/>
          <w:color w:val="000000" w:themeColor="text1"/>
          <w:highlight w:val="yellow"/>
        </w:rPr>
        <w:t>4) l'ittiturismo, inteso come un'offerta turistica fondata sulla valorizzazione delle tradizioni e della cultura del mare, dei laghi, dei fiumi e delle lagune, anche attraverso l'enogastronomia, nell'ambito dei territori costieri che presentano caratteri comuni sotto il profilo naturale, culturale, marittimo e ambientale</w:t>
      </w:r>
      <w:r w:rsidRPr="009F3802">
        <w:rPr>
          <w:rFonts w:asciiTheme="minorHAnsi" w:hAnsiTheme="minorHAnsi" w:cs="Arial"/>
          <w:color w:val="000000" w:themeColor="text1"/>
        </w:rPr>
        <w:t>;</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b/>
          <w:color w:val="000000" w:themeColor="text1"/>
        </w:rPr>
      </w:pPr>
      <w:r w:rsidRPr="009F3802">
        <w:rPr>
          <w:rFonts w:asciiTheme="minorHAnsi" w:hAnsiTheme="minorHAnsi" w:cs="Arial"/>
          <w:color w:val="000000" w:themeColor="text1"/>
        </w:rPr>
        <w:t>    </w:t>
      </w:r>
      <w:r w:rsidRPr="009F3802">
        <w:rPr>
          <w:rFonts w:asciiTheme="minorHAnsi" w:hAnsiTheme="minorHAnsi" w:cs="Arial"/>
          <w:b/>
          <w:color w:val="000000" w:themeColor="text1"/>
        </w:rPr>
        <w:t>4) il turismo legato all'esercizio della pesca, inteso come un'offerta turistica fondata sulla valorizzazione delle tradizioni e della cultura del mare, dei laghi, dei fiumi e delle lagune, anche attraverso l'enogastronomia o mediante progetti turistici ricreativi che favoriscano lo sviluppo socioeconomico dei territori costieri e delle vie d'acqua navigabili e non;</w:t>
      </w:r>
      <w:r w:rsidRPr="009F3802">
        <w:rPr>
          <w:rStyle w:val="Rimandonotaapidipagina"/>
          <w:rFonts w:asciiTheme="minorHAnsi" w:hAnsiTheme="minorHAnsi" w:cs="Arial"/>
          <w:b/>
          <w:color w:val="000000" w:themeColor="text1"/>
        </w:rPr>
        <w:footnoteReference w:id="3"/>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b/>
          <w:color w:val="000000" w:themeColor="text1"/>
        </w:rPr>
        <w:t xml:space="preserve">          4-bis) il turismo nautico fondato su iniziative in favore del diportista a difesa della fruibilità e dell'accessibilità dell'attività nautica a mare e nelle acque interne dei laghi, dei fiumi e delle lagune,</w:t>
      </w:r>
      <w:r w:rsidRPr="009F3802">
        <w:rPr>
          <w:rFonts w:asciiTheme="minorHAnsi" w:hAnsiTheme="minorHAnsi" w:cs="Arial"/>
          <w:color w:val="000000" w:themeColor="text1"/>
        </w:rPr>
        <w:t xml:space="preserve"> </w:t>
      </w:r>
      <w:r w:rsidRPr="009F3802">
        <w:rPr>
          <w:rFonts w:asciiTheme="minorHAnsi" w:hAnsiTheme="minorHAnsi" w:cs="Arial"/>
          <w:b/>
          <w:color w:val="000000" w:themeColor="text1"/>
        </w:rPr>
        <w:t>anche attraverso la riqualificazione dei sistemi idroviari e della navigabilità dei corsi d'acqua e della promozione delle attività produttive, sociali, culturali, ludiche e sportive connesse alle attività nautiche;</w:t>
      </w:r>
      <w:r w:rsidRPr="009F3802">
        <w:rPr>
          <w:rStyle w:val="Rimandonotaapidipagina"/>
          <w:rFonts w:asciiTheme="minorHAnsi" w:hAnsiTheme="minorHAnsi" w:cs="Arial"/>
          <w:b/>
          <w:color w:val="000000" w:themeColor="text1"/>
        </w:rPr>
        <w:footnoteReference w:id="4"/>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5) il turismo esperienziale, basato su un'attività connessa allo sviluppo di una specifica forma di offerta turistica finalizzata, tramite l'esperienza diretta, alla promozione e alla valorizzazione dei mestieri che caratterizzano l'identità di ciascun territorio e che sono riconosciuti per il loro alto valore artistico, ingegneristico e di tradizione;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6) il turismo delle radici, basato sullo sviluppo di un'offerta turistica di ritorno volta a promuovere e a favorire la riscoperta delle proprie radici da parte delle comunità di italiani residenti all'estero;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b/>
          <w:color w:val="000000" w:themeColor="text1"/>
        </w:rPr>
      </w:pPr>
      <w:r w:rsidRPr="009F3802">
        <w:rPr>
          <w:rFonts w:asciiTheme="minorHAnsi" w:hAnsiTheme="minorHAnsi" w:cs="Arial"/>
          <w:color w:val="000000" w:themeColor="text1"/>
        </w:rPr>
        <w:t xml:space="preserve">      </w:t>
      </w:r>
      <w:r w:rsidRPr="009F3802">
        <w:rPr>
          <w:rFonts w:asciiTheme="minorHAnsi" w:hAnsiTheme="minorHAnsi" w:cs="Arial"/>
          <w:b/>
          <w:color w:val="000000" w:themeColor="text1"/>
        </w:rPr>
        <w:t xml:space="preserve">       7) il turismo religioso, legato alla fede, che ha come obiettivo la visita ai luoghi di culto, la partecipazione a manifestazioni, nonché l'utilizzo di percorsi e luoghi di accoglienza aventi valenza religiosa;</w:t>
      </w:r>
      <w:r w:rsidRPr="009F3802">
        <w:rPr>
          <w:rStyle w:val="Rimandonotaapidipagina"/>
          <w:rFonts w:asciiTheme="minorHAnsi" w:hAnsiTheme="minorHAnsi" w:cs="Arial"/>
          <w:b/>
          <w:color w:val="000000" w:themeColor="text1"/>
        </w:rPr>
        <w:footnoteReference w:id="5"/>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b/>
          <w:color w:val="000000" w:themeColor="text1"/>
        </w:rPr>
      </w:pPr>
      <w:r w:rsidRPr="009F3802">
        <w:rPr>
          <w:rFonts w:asciiTheme="minorHAnsi" w:hAnsiTheme="minorHAnsi" w:cs="Arial"/>
          <w:b/>
          <w:color w:val="000000" w:themeColor="text1"/>
        </w:rPr>
        <w:lastRenderedPageBreak/>
        <w:t> </w:t>
      </w:r>
      <w:r w:rsidRPr="009F3802">
        <w:rPr>
          <w:rFonts w:asciiTheme="minorHAnsi" w:hAnsiTheme="minorHAnsi" w:cs="Arial"/>
          <w:b/>
          <w:color w:val="000000" w:themeColor="text1"/>
        </w:rPr>
        <w:t xml:space="preserve">         7) turismo sportivo, inteso come sviluppo di un'attrattiva fondata sulla presenza o sulla partecipazione ad una esperienza sportiva;</w:t>
      </w:r>
      <w:r w:rsidRPr="009F3802">
        <w:rPr>
          <w:rStyle w:val="Rimandonotaapidipagina"/>
          <w:rFonts w:asciiTheme="minorHAnsi" w:hAnsiTheme="minorHAnsi" w:cs="Arial"/>
          <w:b/>
          <w:color w:val="000000" w:themeColor="text1"/>
        </w:rPr>
        <w:footnoteReference w:id="6"/>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b)</w:t>
      </w:r>
      <w:r w:rsidRPr="009F3802">
        <w:rPr>
          <w:rFonts w:asciiTheme="minorHAnsi" w:hAnsiTheme="minorHAnsi" w:cs="Arial"/>
          <w:color w:val="000000" w:themeColor="text1"/>
        </w:rPr>
        <w:t> coordinare, sotto il profilo formale e sostanziale, il testo delle disposizioni legislative vigenti, anche adottate per il recepimento e l'attuazione della normativa europea, apportando le opportune modifiche volte a garantire o migliorare la coerenza giuridica, logica e sistematica della normativa;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c)</w:t>
      </w:r>
      <w:r w:rsidRPr="009F3802">
        <w:rPr>
          <w:rFonts w:asciiTheme="minorHAnsi" w:hAnsiTheme="minorHAnsi" w:cs="Arial"/>
          <w:color w:val="000000" w:themeColor="text1"/>
        </w:rPr>
        <w:t> adeguare, aggiornare e semplificare il linguaggio normativo;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Style w:val="Enfasicorsivo"/>
          <w:rFonts w:asciiTheme="minorHAnsi" w:hAnsiTheme="minorHAnsi" w:cs="Arial"/>
          <w:color w:val="000000" w:themeColor="text1"/>
        </w:rPr>
        <w:t>d</w:t>
      </w:r>
      <w:r w:rsidRPr="009F3802">
        <w:rPr>
          <w:rFonts w:asciiTheme="minorHAnsi" w:hAnsiTheme="minorHAnsi" w:cs="Arial"/>
          <w:color w:val="000000" w:themeColor="text1"/>
        </w:rPr>
        <w:t>) prevedere la semplificazione, la riduzione o l'eliminazione degli oneri burocratici e assicurare la certezza dei tempi e la tempestività dei procedimenti per la nascita di nuove imprese nel settore del turismo;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e)</w:t>
      </w:r>
      <w:r w:rsidRPr="009F3802">
        <w:rPr>
          <w:rFonts w:asciiTheme="minorHAnsi" w:hAnsiTheme="minorHAnsi" w:cs="Arial"/>
          <w:color w:val="000000" w:themeColor="text1"/>
        </w:rPr>
        <w:t> indicare esplicitamente le norme da abrogare, fatta salva comunque l'applicazione dell'articolo 15 delle disposizioni sulla legge in generale premesse al codice civile;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f)</w:t>
      </w:r>
      <w:r w:rsidRPr="009F3802">
        <w:rPr>
          <w:rFonts w:asciiTheme="minorHAnsi" w:hAnsiTheme="minorHAnsi" w:cs="Arial"/>
          <w:color w:val="000000" w:themeColor="text1"/>
        </w:rPr>
        <w:t> prevedere che, nei casi in cui sia necessario autorizzare interventi potenzialmente identici, l'amministrazione competente abbia facoltà di adottare provvedimenti di carattere generale;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g)</w:t>
      </w:r>
      <w:r w:rsidRPr="009F3802">
        <w:rPr>
          <w:rFonts w:asciiTheme="minorHAnsi" w:hAnsiTheme="minorHAnsi" w:cs="Arial"/>
          <w:color w:val="000000" w:themeColor="text1"/>
        </w:rPr>
        <w:t> prevedere, a carico delle pubbliche amministrazioni, in un quadro di interoperabilità tra le diverse banche di dati, l'obbligo di rendere facilmente conoscibili e accessibili le informazioni, i dati da fornire e la relativa modulistica, anche adeguando, aggiornando e semplificando il linguaggio e adottando moduli unificati e standardizzati che definiscano esaustivamente, per ciascun tipo di procedimento, i contenuti tipici e l'organizzazione dei relativi dati, nonché potenziando l'utilizzo della modulistica digitale e i portali </w:t>
      </w:r>
      <w:r w:rsidRPr="009F3802">
        <w:rPr>
          <w:rStyle w:val="Enfasicorsivo"/>
          <w:rFonts w:asciiTheme="minorHAnsi" w:hAnsiTheme="minorHAnsi" w:cs="Arial"/>
          <w:color w:val="000000" w:themeColor="text1"/>
        </w:rPr>
        <w:t>web</w:t>
      </w:r>
      <w:r w:rsidRPr="009F3802">
        <w:rPr>
          <w:rFonts w:asciiTheme="minorHAnsi" w:hAnsiTheme="minorHAnsi" w:cs="Arial"/>
          <w:color w:val="000000" w:themeColor="text1"/>
        </w:rPr>
        <w:t> pubblici esistenti;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h)</w:t>
      </w:r>
      <w:r w:rsidRPr="009F3802">
        <w:rPr>
          <w:rFonts w:asciiTheme="minorHAnsi" w:hAnsiTheme="minorHAnsi" w:cs="Arial"/>
          <w:color w:val="000000" w:themeColor="text1"/>
        </w:rPr>
        <w:t> armonizzare con il diritto europeo la normativa nazionale in materia di turismo, nei limiti delle competenze statali, tenuto conto delle esperienze regionali già maturate in materia, mediante: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1) il riordino e l'aggiornamento della normativa in materia di professioni turistiche con la previsione di specifiche disposizioni per il contrasto dell'esercizio abusivo delle stesse professioni, anche con modalità telematiche;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2) la revisione e l'aggiornamento della normativa relativa alla classificazione delle strutture alberghiere, tenendo anche conto degli </w:t>
      </w:r>
      <w:r w:rsidRPr="009F3802">
        <w:rPr>
          <w:rStyle w:val="Enfasicorsivo"/>
          <w:rFonts w:asciiTheme="minorHAnsi" w:hAnsiTheme="minorHAnsi" w:cs="Arial"/>
          <w:color w:val="000000" w:themeColor="text1"/>
        </w:rPr>
        <w:t>standard</w:t>
      </w:r>
      <w:r w:rsidRPr="009F3802">
        <w:rPr>
          <w:rFonts w:asciiTheme="minorHAnsi" w:hAnsiTheme="minorHAnsi" w:cs="Arial"/>
          <w:color w:val="000000" w:themeColor="text1"/>
        </w:rPr>
        <w:t> qualitativi riconosciuti a livello europeo</w:t>
      </w:r>
      <w:r w:rsidRPr="009F3802">
        <w:rPr>
          <w:rFonts w:asciiTheme="minorHAnsi" w:hAnsiTheme="minorHAnsi" w:cs="Arial"/>
          <w:b/>
          <w:color w:val="000000" w:themeColor="text1"/>
        </w:rPr>
        <w:t xml:space="preserve"> e internazionale</w:t>
      </w:r>
      <w:r w:rsidRPr="009F3802">
        <w:rPr>
          <w:rStyle w:val="Rimandonotaapidipagina"/>
          <w:rFonts w:asciiTheme="minorHAnsi" w:hAnsiTheme="minorHAnsi" w:cs="Arial"/>
          <w:b/>
          <w:color w:val="000000" w:themeColor="text1"/>
        </w:rPr>
        <w:footnoteReference w:id="7"/>
      </w:r>
      <w:r w:rsidRPr="009F3802">
        <w:rPr>
          <w:rFonts w:asciiTheme="minorHAnsi" w:hAnsiTheme="minorHAnsi" w:cs="Arial"/>
          <w:color w:val="000000" w:themeColor="text1"/>
        </w:rPr>
        <w:t>, nonché delle nuove forme di ospitalità, con definizione degli ambiti di attività e della tassonomia delle strutture ricettive ed extra-alberghiere, rafforzando le misure di contrasto dell'abusivismo nel settore e assicurando la trasparenza dell'offerta e la tutela della concorrenza;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3) l'individuazione dei fabbisogni e la semplificazione delle procedure uniformi di raccolta, condivisione, monitoraggio analisi e gestione dei dati, ai fini del miglioramento della qualità dell'offerta turistica per favorirne la pianificazione e di una più completa identificazione della domanda, con particolare riferimento all'accessibilità, anche attraverso l'utilizzo di un codice identificativo nazionale, tenendo conto delle esperienze regionali esistenti, al fine di riqualificare l'offerta ricettiva imprenditoriale e occasionale.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4) l'individuazione di strumenti idonei finalizzati ad una maggiore tutela dell'attività svolta dai lavoratori stagionali del turismo;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Style w:val="Enfasicorsivo"/>
          <w:rFonts w:asciiTheme="minorHAnsi" w:hAnsiTheme="minorHAnsi" w:cs="Arial"/>
          <w:color w:val="000000" w:themeColor="text1"/>
        </w:rPr>
        <w:lastRenderedPageBreak/>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i</w:t>
      </w:r>
      <w:r w:rsidRPr="009F3802">
        <w:rPr>
          <w:rFonts w:asciiTheme="minorHAnsi" w:hAnsiTheme="minorHAnsi" w:cs="Arial"/>
          <w:color w:val="000000" w:themeColor="text1"/>
        </w:rPr>
        <w:t>) prevedere la realizzazione di un sistema informativo che consenta una più agevole consultazione e conoscenza della programmazione turistica di ciascuna regione, dei bandi europei, nazionali e regionali destinati al settore turistico, delle normative regionali inerenti all'offerta turistica del rispettivo territorio, delle strutture ricettive, dell'offerta turistica disponibile nei siti riconosciuti patrimonio dell'umanità da parte dell'Organizzazione delle Nazioni Unite per l'educazione, la scienza e la cultura (UNESCO);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l)</w:t>
      </w:r>
      <w:r w:rsidRPr="009F3802">
        <w:rPr>
          <w:rFonts w:asciiTheme="minorHAnsi" w:hAnsiTheme="minorHAnsi" w:cs="Arial"/>
          <w:color w:val="000000" w:themeColor="text1"/>
        </w:rPr>
        <w:t> sviluppare il modello di turismo accessibile, inteso come sistema integrato di offerta turistica in grado di rispondere alle esigenze specifiche delle persone meritevoli di maggiore tutela, fra cui quelle delle persone con disabilità, delle famiglie numerose, degli anziani e dei giovani, attraverso progetti e programmi che agevolino l'accesso all'esperienza turistica indipendentemente dalle condizioni personali, sociali ed economiche, mediante: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1) l'armonizzazione della normativa nazionale agli articoli 7 e 30 della Convenzione delle Nazioni unite sui diritti delle persone con disabilità, fatta a New York il 13 dicembre 2006 e ratificata ai sensi della legge 3 marzo 2009, n.</w:t>
      </w:r>
      <w:r w:rsidRPr="009F3802">
        <w:rPr>
          <w:rFonts w:asciiTheme="minorHAnsi" w:hAnsiTheme="minorHAnsi" w:cs="Arial"/>
          <w:color w:val="000000" w:themeColor="text1"/>
        </w:rPr>
        <w:t> </w:t>
      </w:r>
      <w:r w:rsidRPr="009F3802">
        <w:rPr>
          <w:rFonts w:asciiTheme="minorHAnsi" w:hAnsiTheme="minorHAnsi" w:cs="Arial"/>
          <w:color w:val="000000" w:themeColor="text1"/>
        </w:rPr>
        <w:t>18;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strike/>
          <w:color w:val="000000" w:themeColor="text1"/>
        </w:rPr>
        <w:t>2) la formazione delle figure professionali e tecniche che operano nella filiera del settore turistico, anche integrando e aggiornando i programmi di studio degli istituti tecnici e delle università</w:t>
      </w:r>
      <w:r w:rsidRPr="009F3802">
        <w:rPr>
          <w:rFonts w:asciiTheme="minorHAnsi" w:hAnsiTheme="minorHAnsi" w:cs="Arial"/>
          <w:color w:val="000000" w:themeColor="text1"/>
        </w:rPr>
        <w:t>;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b/>
          <w:color w:val="000000" w:themeColor="text1"/>
        </w:rPr>
      </w:pPr>
      <w:r w:rsidRPr="009F3802">
        <w:rPr>
          <w:rFonts w:asciiTheme="minorHAnsi" w:hAnsiTheme="minorHAnsi" w:cs="Arial"/>
          <w:b/>
          <w:color w:val="000000" w:themeColor="text1"/>
        </w:rPr>
        <w:t xml:space="preserve">            2) l'introduzione, compatibilmente con le risorse disponibili a legislazione vigente, della formazione delle figure professionali e tecniche che operano nella filiera del settore turistico, anche arricchendo l'offerta formativa degli istituti tecnici per il turismo;</w:t>
      </w:r>
      <w:r w:rsidRPr="009F3802">
        <w:rPr>
          <w:rStyle w:val="Rimandonotaapidipagina"/>
          <w:rFonts w:asciiTheme="minorHAnsi" w:hAnsiTheme="minorHAnsi" w:cs="Arial"/>
          <w:b/>
          <w:color w:val="000000" w:themeColor="text1"/>
        </w:rPr>
        <w:footnoteReference w:id="8"/>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3) la riqualificazione e la valorizzazione delle strutture turistico-ricettive, anche attraverso l'individuazione e l'utilizzo di immobili del patrimonio pubblico da destinare a un'offerta turistica a basso costo e di qualità rivolta alle famiglie numerose, agli anziani e ai giovani;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4) la promozione di interventi finalizzati al soddisfacimento di specifiche esigenze connesse ad allergie e a intolleranze alimentari;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5) l'istituzione del </w:t>
      </w:r>
      <w:r w:rsidRPr="009F3802">
        <w:rPr>
          <w:rStyle w:val="Enfasicorsivo"/>
          <w:rFonts w:asciiTheme="minorHAnsi" w:hAnsiTheme="minorHAnsi" w:cs="Arial"/>
          <w:color w:val="000000" w:themeColor="text1"/>
        </w:rPr>
        <w:t>brand </w:t>
      </w:r>
      <w:r w:rsidRPr="009F3802">
        <w:rPr>
          <w:rFonts w:asciiTheme="minorHAnsi" w:hAnsiTheme="minorHAnsi" w:cs="Arial"/>
          <w:color w:val="000000" w:themeColor="text1"/>
        </w:rPr>
        <w:t>«Turismo accessibile Italia» e la sua promozione a livello nazionale e internazionale;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 </w:t>
      </w:r>
      <w:r w:rsidRPr="009F3802">
        <w:rPr>
          <w:rFonts w:asciiTheme="minorHAnsi" w:hAnsiTheme="minorHAnsi" w:cs="Arial"/>
          <w:color w:val="000000" w:themeColor="text1"/>
        </w:rPr>
        <w:t>6) la promozione di un'offerta integrata di servizi turistici attraverso la realizzazione di una rete, denominata «rete accessibile», tra gli enti locali, gli operatori turistici, le associazioni e le organizzazioni del settore maggiormente rappresentative e le federazioni sportive dilettantistiche;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b/>
          <w:color w:val="000000" w:themeColor="text1"/>
        </w:rPr>
      </w:pPr>
      <w:r w:rsidRPr="009F3802">
        <w:rPr>
          <w:rFonts w:asciiTheme="minorHAnsi" w:hAnsiTheme="minorHAnsi" w:cs="Arial"/>
          <w:b/>
          <w:color w:val="000000" w:themeColor="text1"/>
        </w:rPr>
        <w:t xml:space="preserve">             7) la promozione di specifiche offerte per la destagionalizzazione dei flussi turistici.</w:t>
      </w:r>
      <w:r w:rsidRPr="009F3802">
        <w:rPr>
          <w:rStyle w:val="Rimandonotaapidipagina"/>
          <w:rFonts w:asciiTheme="minorHAnsi" w:hAnsiTheme="minorHAnsi" w:cs="Arial"/>
          <w:b/>
          <w:color w:val="000000" w:themeColor="text1"/>
        </w:rPr>
        <w:footnoteReference w:id="9"/>
      </w:r>
      <w:r w:rsidRPr="009F3802">
        <w:rPr>
          <w:rFonts w:asciiTheme="minorHAnsi" w:hAnsiTheme="minorHAnsi" w:cs="Arial"/>
          <w:b/>
          <w:color w:val="000000" w:themeColor="text1"/>
        </w:rPr>
        <w:t xml:space="preserve">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strike/>
          <w:color w:val="000000" w:themeColor="text1"/>
          <w:highlight w:val="yellow"/>
        </w:rPr>
        <w:t>m</w:t>
      </w:r>
      <w:r w:rsidRPr="009F3802">
        <w:rPr>
          <w:rFonts w:asciiTheme="minorHAnsi" w:hAnsiTheme="minorHAnsi" w:cs="Arial"/>
          <w:strike/>
          <w:color w:val="000000" w:themeColor="text1"/>
          <w:highlight w:val="yellow"/>
        </w:rPr>
        <w:t>) promuovere iniziative di formazione specifica nei settori turistici, anche in quelli emergenti, legata allo svolgimento di percorsi di alternanza tra la scuola e il lavoro</w:t>
      </w:r>
      <w:r w:rsidRPr="009F3802">
        <w:rPr>
          <w:rFonts w:asciiTheme="minorHAnsi" w:hAnsiTheme="minorHAnsi" w:cs="Arial"/>
          <w:color w:val="000000" w:themeColor="text1"/>
        </w:rPr>
        <w:t>;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b/>
          <w:color w:val="000000" w:themeColor="text1"/>
        </w:rPr>
      </w:pPr>
      <w:r w:rsidRPr="009F3802">
        <w:rPr>
          <w:rFonts w:asciiTheme="minorHAnsi" w:hAnsiTheme="minorHAnsi" w:cs="Arial"/>
          <w:b/>
          <w:color w:val="000000" w:themeColor="text1"/>
        </w:rPr>
        <w:t xml:space="preserve">          m) promuovere, compatibilmente con le risorse disponibili a legislazione vigente, iniziative di formazione specifica nei settori turistici, anche in quelli emergenti, legata allo svolgimento di percorsi per le competenze trasversali e per l'orientamento;</w:t>
      </w:r>
      <w:r w:rsidRPr="009F3802">
        <w:rPr>
          <w:rStyle w:val="Rimandonotaapidipagina"/>
          <w:rFonts w:asciiTheme="minorHAnsi" w:hAnsiTheme="minorHAnsi" w:cs="Arial"/>
          <w:b/>
          <w:color w:val="000000" w:themeColor="text1"/>
        </w:rPr>
        <w:footnoteReference w:id="10"/>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n)</w:t>
      </w:r>
      <w:r w:rsidRPr="009F3802">
        <w:rPr>
          <w:rFonts w:asciiTheme="minorHAnsi" w:hAnsiTheme="minorHAnsi" w:cs="Arial"/>
          <w:color w:val="000000" w:themeColor="text1"/>
        </w:rPr>
        <w:t> definire i criteri in base ai quali l'attività di locazione breve si presume svolta in forma imprenditoriale;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Style w:val="Enfasicorsivo"/>
          <w:rFonts w:asciiTheme="minorHAnsi" w:hAnsiTheme="minorHAnsi" w:cs="Arial"/>
          <w:color w:val="000000" w:themeColor="text1"/>
        </w:rPr>
        <w:lastRenderedPageBreak/>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o) </w:t>
      </w:r>
      <w:r w:rsidRPr="009F3802">
        <w:rPr>
          <w:rFonts w:asciiTheme="minorHAnsi" w:hAnsiTheme="minorHAnsi" w:cs="Arial"/>
          <w:color w:val="000000" w:themeColor="text1"/>
        </w:rPr>
        <w:t>promuovere progetti di trasporto intermodale per la mobilità dolce a fini turistici, con particolare riferimento alle ciclovie turistiche, ai cammini, ai servizi ferroviari turistici e alle ciclostazioni;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 </w:t>
      </w:r>
      <w:r w:rsidRPr="009F3802">
        <w:rPr>
          <w:rStyle w:val="Enfasicorsivo"/>
          <w:rFonts w:asciiTheme="minorHAnsi" w:hAnsiTheme="minorHAnsi" w:cs="Arial"/>
          <w:color w:val="000000" w:themeColor="text1"/>
        </w:rPr>
        <w:t>p)</w:t>
      </w:r>
      <w:r w:rsidRPr="009F3802">
        <w:rPr>
          <w:rFonts w:asciiTheme="minorHAnsi" w:hAnsiTheme="minorHAnsi" w:cs="Arial"/>
          <w:color w:val="000000" w:themeColor="text1"/>
        </w:rPr>
        <w:t> prevedere l'istituzione</w:t>
      </w:r>
      <w:r w:rsidRPr="009F3802">
        <w:rPr>
          <w:rFonts w:asciiTheme="minorHAnsi" w:hAnsiTheme="minorHAnsi" w:cs="Arial"/>
          <w:b/>
          <w:color w:val="000000" w:themeColor="text1"/>
        </w:rPr>
        <w:t>, presso un'università pubblica,</w:t>
      </w:r>
      <w:r w:rsidRPr="009F3802">
        <w:rPr>
          <w:rStyle w:val="Rimandonotaapidipagina"/>
          <w:rFonts w:asciiTheme="minorHAnsi" w:hAnsiTheme="minorHAnsi" w:cs="Arial"/>
          <w:b/>
          <w:color w:val="000000" w:themeColor="text1"/>
        </w:rPr>
        <w:footnoteReference w:id="11"/>
      </w:r>
      <w:r w:rsidRPr="009F3802">
        <w:rPr>
          <w:rFonts w:asciiTheme="minorHAnsi" w:hAnsiTheme="minorHAnsi" w:cs="Arial"/>
          <w:color w:val="000000" w:themeColor="text1"/>
        </w:rPr>
        <w:t xml:space="preserve"> di una Scuola nazionale di alta formazione turistica finalizzata alla formazione di figure professionali dotate di una preparazione gestionale e manageriale di livello internazionale nel settore turistico e dei servizi del turismo e nel settore della ristorazione, nonché di una adeguata conoscenza dei prodotti alimentari e vinicoli della tradizione e della cultura italiane. </w:t>
      </w:r>
      <w:r w:rsidRPr="009F3802">
        <w:rPr>
          <w:rFonts w:asciiTheme="minorHAnsi" w:hAnsiTheme="minorHAnsi" w:cs="Arial"/>
          <w:b/>
          <w:color w:val="000000" w:themeColor="text1"/>
        </w:rPr>
        <w:t>A tal fine, è autorizzata la spesa di 400.000 euro annui a decorrere dall'anno 2020. Al relativo onere si provvede mediante corrispondente riduzione delle proiezioni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delle politiche agricole alimentari, forestali e del turismo. Il Ministro dell'economia e delle finanze è autorizzato ad apportare, con propri decreti, le occorrenti variazioni di bilancio</w:t>
      </w:r>
      <w:r w:rsidRPr="009F3802">
        <w:rPr>
          <w:rFonts w:asciiTheme="minorHAnsi" w:hAnsiTheme="minorHAnsi" w:cs="Arial"/>
          <w:color w:val="000000" w:themeColor="text1"/>
        </w:rPr>
        <w:t>.</w:t>
      </w:r>
      <w:r w:rsidRPr="009F3802">
        <w:rPr>
          <w:rStyle w:val="Rimandonotaapidipagina"/>
          <w:rFonts w:asciiTheme="minorHAnsi" w:hAnsiTheme="minorHAnsi" w:cs="Arial"/>
          <w:color w:val="000000" w:themeColor="text1"/>
        </w:rPr>
        <w:footnoteReference w:id="12"/>
      </w:r>
    </w:p>
    <w:p w:rsidR="009F3802" w:rsidRPr="009F3802" w:rsidRDefault="009F3802" w:rsidP="009F3802">
      <w:pPr>
        <w:pStyle w:val="NormaleWeb"/>
        <w:shd w:val="clear" w:color="auto" w:fill="FFFFFF"/>
        <w:spacing w:before="0" w:beforeAutospacing="0" w:after="0" w:afterAutospacing="0"/>
        <w:rPr>
          <w:rFonts w:asciiTheme="minorHAnsi" w:hAnsiTheme="minorHAnsi" w:cs="Arial"/>
          <w:color w:val="000000" w:themeColor="text1"/>
        </w:rPr>
      </w:pP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3. I decreti legislativi di cui al comma 1 sono adottati su proposta del Presidente del Consiglio dei ministri, del Ministro per la pubblica amministrazione e del Ministro delle politiche agricole alimentari, forestali e del turismo, di concerto con il Ministro dell'economia e delle finanze mia e delle finanze,</w:t>
      </w:r>
      <w:r w:rsidRPr="009F3802">
        <w:rPr>
          <w:color w:val="000000" w:themeColor="text1"/>
        </w:rPr>
        <w:t xml:space="preserve"> </w:t>
      </w:r>
      <w:r w:rsidRPr="009F3802">
        <w:rPr>
          <w:rFonts w:asciiTheme="minorHAnsi" w:hAnsiTheme="minorHAnsi" w:cs="Arial"/>
          <w:b/>
          <w:color w:val="000000" w:themeColor="text1"/>
        </w:rPr>
        <w:t>con il Ministro dell'istruzione, dell'università e della ricerca</w:t>
      </w:r>
      <w:r w:rsidRPr="009F3802">
        <w:rPr>
          <w:rStyle w:val="Rimandonotaapidipagina"/>
          <w:rFonts w:asciiTheme="minorHAnsi" w:hAnsiTheme="minorHAnsi" w:cs="Arial"/>
          <w:b/>
          <w:color w:val="000000" w:themeColor="text1"/>
        </w:rPr>
        <w:footnoteReference w:id="13"/>
      </w:r>
      <w:r w:rsidRPr="009F3802">
        <w:rPr>
          <w:rFonts w:asciiTheme="minorHAnsi" w:hAnsiTheme="minorHAnsi" w:cs="Arial"/>
          <w:color w:val="000000" w:themeColor="text1"/>
        </w:rPr>
        <w:t xml:space="preserve"> e con gli altri Ministri competenti, previa intesa in sede di Conferenza permanente per i rapporti tra lo Stato, le regioni e le province autonome di Trento e di Bolzano ai sensi dell'articolo 3 del decreto legislativo 28 agosto 1997, n.</w:t>
      </w:r>
      <w:r w:rsidRPr="009F3802">
        <w:rPr>
          <w:rFonts w:asciiTheme="minorHAnsi" w:hAnsiTheme="minorHAnsi" w:cs="Arial"/>
          <w:color w:val="000000" w:themeColor="text1"/>
        </w:rPr>
        <w:t> </w:t>
      </w:r>
      <w:r w:rsidRPr="009F3802">
        <w:rPr>
          <w:rFonts w:asciiTheme="minorHAnsi" w:hAnsiTheme="minorHAnsi" w:cs="Arial"/>
          <w:color w:val="000000" w:themeColor="text1"/>
        </w:rPr>
        <w:t>281. Sugli schemi dei decreti legislativi è acquisito il parere del Consiglio di Stato, che è reso nel termine di quarantacinque giorni dalla data di trasmissione di ciascuno schema, decorso il quale il Governo può comunque procedere. Gli schemi sono successivamente trasmessi alle Camere per l'espressione dei pareri della Commissione parlamentare per la semplificazione e delle Commissioni parlamentari competenti per materia e per i profili finanziari, che si pronunciano nel termine di quarantacinque giorni dalla data di trasmissione, decorso il quale i decreti legislativi possono essere comunque adottati. Il Governo, qualora non intenda conformarsi ai pareri parlamentari, trasmette nuovamente i testi alle Camere con le proprie osservazioni e con eventuali modificazioni, corredate dei necessari elementi integrativi di informazione e di motivazione. Il parere definitivo delle Commissioni parlamentari competenti per materia è espresso entro il termine di dieci giorni dalla data della nuova trasmissione. Decorso tale termine, i decreti legislativi possono comunque essere adottati. </w:t>
      </w:r>
    </w:p>
    <w:p w:rsidR="009F3802" w:rsidRPr="009F3802" w:rsidRDefault="009F3802" w:rsidP="009F3802">
      <w:pPr>
        <w:pStyle w:val="NormaleWeb"/>
        <w:shd w:val="clear" w:color="auto" w:fill="FFFFFF"/>
        <w:spacing w:before="0" w:beforeAutospacing="0" w:after="0" w:afterAutospacing="0"/>
        <w:rPr>
          <w:rFonts w:asciiTheme="minorHAnsi" w:hAnsiTheme="minorHAnsi" w:cs="Arial"/>
          <w:color w:val="000000" w:themeColor="text1"/>
        </w:rPr>
      </w:pPr>
      <w:r w:rsidRPr="009F3802">
        <w:rPr>
          <w:rFonts w:asciiTheme="minorHAnsi" w:hAnsiTheme="minorHAnsi" w:cs="Arial"/>
          <w:color w:val="000000" w:themeColor="text1"/>
        </w:rPr>
        <w:t> </w:t>
      </w:r>
    </w:p>
    <w:p w:rsidR="009F3802" w:rsidRPr="009F3802" w:rsidRDefault="009F3802" w:rsidP="009F3802">
      <w:pPr>
        <w:pStyle w:val="NormaleWeb"/>
        <w:shd w:val="clear" w:color="auto" w:fill="FFFFFF"/>
        <w:spacing w:before="0" w:beforeAutospacing="0" w:after="0" w:afterAutospacing="0"/>
        <w:jc w:val="both"/>
        <w:rPr>
          <w:rFonts w:asciiTheme="minorHAnsi" w:hAnsiTheme="minorHAnsi" w:cs="Arial"/>
          <w:color w:val="000000" w:themeColor="text1"/>
        </w:rPr>
      </w:pPr>
      <w:r w:rsidRPr="009F3802">
        <w:rPr>
          <w:rFonts w:asciiTheme="minorHAnsi" w:hAnsiTheme="minorHAnsi" w:cs="Arial"/>
          <w:color w:val="000000" w:themeColor="text1"/>
        </w:rPr>
        <w:t>4. Entro un anno dalla data di entrata in vigore di ciascuno dei decreti legislativi di cui al comma 1, il Governo può adottare uno o più decreti legislativi recanti disposizioni integrative e correttive, nel rispetto della procedura e dei princìpi e criteri direttivi di cui al presente articolo.</w:t>
      </w:r>
    </w:p>
    <w:p w:rsidR="009F3802" w:rsidRPr="009F3802" w:rsidRDefault="009F3802" w:rsidP="009F3802">
      <w:pPr>
        <w:rPr>
          <w:color w:val="000000" w:themeColor="text1"/>
          <w:sz w:val="24"/>
          <w:szCs w:val="24"/>
        </w:rPr>
      </w:pPr>
    </w:p>
    <w:p w:rsidR="009F3802" w:rsidRPr="009F3802" w:rsidRDefault="009F3802" w:rsidP="009F3802">
      <w:pPr>
        <w:spacing w:after="0" w:line="240" w:lineRule="auto"/>
        <w:jc w:val="center"/>
        <w:rPr>
          <w:color w:val="000000" w:themeColor="text1"/>
          <w:sz w:val="24"/>
          <w:szCs w:val="24"/>
        </w:rPr>
      </w:pPr>
      <w:r w:rsidRPr="009F3802">
        <w:rPr>
          <w:color w:val="000000" w:themeColor="text1"/>
          <w:sz w:val="24"/>
          <w:szCs w:val="24"/>
        </w:rPr>
        <w:t>Art. 2</w:t>
      </w:r>
    </w:p>
    <w:p w:rsidR="009F3802" w:rsidRPr="009F3802" w:rsidRDefault="009F3802" w:rsidP="009F3802">
      <w:pPr>
        <w:spacing w:after="0" w:line="240" w:lineRule="auto"/>
        <w:jc w:val="center"/>
        <w:rPr>
          <w:color w:val="000000" w:themeColor="text1"/>
          <w:sz w:val="24"/>
          <w:szCs w:val="24"/>
        </w:rPr>
      </w:pPr>
      <w:r w:rsidRPr="009F3802">
        <w:rPr>
          <w:color w:val="000000" w:themeColor="text1"/>
          <w:sz w:val="24"/>
          <w:szCs w:val="24"/>
        </w:rPr>
        <w:t>(Clausola di salvaguardia per le autonomie speciali)</w:t>
      </w:r>
    </w:p>
    <w:p w:rsidR="009F3802" w:rsidRPr="009F3802" w:rsidRDefault="009F3802" w:rsidP="009F3802">
      <w:pPr>
        <w:spacing w:after="0" w:line="240" w:lineRule="auto"/>
        <w:rPr>
          <w:color w:val="000000" w:themeColor="text1"/>
          <w:sz w:val="24"/>
          <w:szCs w:val="24"/>
        </w:rPr>
      </w:pPr>
    </w:p>
    <w:p w:rsidR="009F3802" w:rsidRPr="009F3802" w:rsidRDefault="009F3802" w:rsidP="009F3802">
      <w:pPr>
        <w:spacing w:after="0" w:line="240" w:lineRule="auto"/>
        <w:jc w:val="both"/>
        <w:rPr>
          <w:color w:val="000000" w:themeColor="text1"/>
          <w:sz w:val="24"/>
          <w:szCs w:val="24"/>
        </w:rPr>
      </w:pPr>
      <w:r w:rsidRPr="009F3802">
        <w:rPr>
          <w:color w:val="000000" w:themeColor="text1"/>
          <w:sz w:val="24"/>
          <w:szCs w:val="24"/>
        </w:rPr>
        <w:t>1. Le disposizioni della presente legge e dei decreti legislativi adottati ai sensi dell'articolo 1 sono applicabili nelle regioni a statuto speciale e nelle province autonome di Trento e di Bolzano compatibilmente con i rispettivi statuti e con le relative norme di attuazione, anche con riferimento alla legge costituzionale 18 ottobre 2001, n. 3</w:t>
      </w:r>
      <w:r w:rsidRPr="009F3802">
        <w:rPr>
          <w:strike/>
          <w:color w:val="000000" w:themeColor="text1"/>
          <w:sz w:val="24"/>
          <w:szCs w:val="24"/>
          <w:highlight w:val="yellow"/>
        </w:rPr>
        <w:t>, e senza nuovi o maggiori oneri per le stesse</w:t>
      </w:r>
      <w:r w:rsidRPr="009F3802">
        <w:rPr>
          <w:color w:val="000000" w:themeColor="text1"/>
          <w:sz w:val="24"/>
          <w:szCs w:val="24"/>
        </w:rPr>
        <w:t>.</w:t>
      </w:r>
      <w:r w:rsidRPr="009F3802">
        <w:rPr>
          <w:rStyle w:val="Rimandonotaapidipagina"/>
          <w:color w:val="000000" w:themeColor="text1"/>
          <w:sz w:val="24"/>
          <w:szCs w:val="24"/>
        </w:rPr>
        <w:footnoteReference w:id="14"/>
      </w:r>
    </w:p>
    <w:p w:rsidR="009F3802" w:rsidRPr="009F3802" w:rsidRDefault="009F3802" w:rsidP="009F3802">
      <w:pPr>
        <w:rPr>
          <w:color w:val="000000" w:themeColor="text1"/>
          <w:sz w:val="24"/>
          <w:szCs w:val="24"/>
        </w:rPr>
      </w:pPr>
    </w:p>
    <w:p w:rsidR="009F3802" w:rsidRPr="009F3802" w:rsidRDefault="009F3802" w:rsidP="009F3802">
      <w:pPr>
        <w:spacing w:after="0" w:line="240" w:lineRule="auto"/>
        <w:jc w:val="center"/>
        <w:rPr>
          <w:color w:val="000000" w:themeColor="text1"/>
          <w:sz w:val="24"/>
          <w:szCs w:val="24"/>
        </w:rPr>
      </w:pPr>
      <w:r w:rsidRPr="009F3802">
        <w:rPr>
          <w:color w:val="000000" w:themeColor="text1"/>
          <w:sz w:val="24"/>
          <w:szCs w:val="24"/>
        </w:rPr>
        <w:t>Art. 3.</w:t>
      </w:r>
    </w:p>
    <w:p w:rsidR="009F3802" w:rsidRPr="009F3802" w:rsidRDefault="009F3802" w:rsidP="009F3802">
      <w:pPr>
        <w:spacing w:after="0" w:line="240" w:lineRule="auto"/>
        <w:jc w:val="center"/>
        <w:rPr>
          <w:color w:val="000000" w:themeColor="text1"/>
          <w:sz w:val="24"/>
          <w:szCs w:val="24"/>
        </w:rPr>
      </w:pPr>
      <w:r w:rsidRPr="009F3802">
        <w:rPr>
          <w:color w:val="000000" w:themeColor="text1"/>
          <w:sz w:val="24"/>
          <w:szCs w:val="24"/>
        </w:rPr>
        <w:t>(Disposizioni finanziarie)</w:t>
      </w:r>
    </w:p>
    <w:p w:rsidR="009F3802" w:rsidRPr="009F3802" w:rsidRDefault="009F3802" w:rsidP="009F3802">
      <w:pPr>
        <w:spacing w:after="0" w:line="240" w:lineRule="auto"/>
        <w:rPr>
          <w:color w:val="000000" w:themeColor="text1"/>
          <w:sz w:val="24"/>
          <w:szCs w:val="24"/>
        </w:rPr>
      </w:pPr>
    </w:p>
    <w:p w:rsidR="009F3802" w:rsidRPr="009F3802" w:rsidRDefault="009F3802" w:rsidP="009F3802">
      <w:pPr>
        <w:spacing w:after="0" w:line="240" w:lineRule="auto"/>
        <w:jc w:val="both"/>
        <w:rPr>
          <w:color w:val="000000" w:themeColor="text1"/>
          <w:sz w:val="24"/>
          <w:szCs w:val="24"/>
        </w:rPr>
      </w:pPr>
      <w:r w:rsidRPr="009F3802">
        <w:rPr>
          <w:color w:val="000000" w:themeColor="text1"/>
          <w:sz w:val="24"/>
          <w:szCs w:val="24"/>
        </w:rPr>
        <w:t xml:space="preserve">1. Dall'attuazione della delega di cui all'articolo 1, </w:t>
      </w:r>
      <w:r w:rsidRPr="009F3802">
        <w:rPr>
          <w:rFonts w:cs="Arial"/>
          <w:b/>
          <w:color w:val="000000" w:themeColor="text1"/>
        </w:rPr>
        <w:t>ad esclusione di quanto previsto dalla lettera p) del comma 2,</w:t>
      </w:r>
      <w:r w:rsidRPr="009F3802">
        <w:rPr>
          <w:rStyle w:val="Rimandonotaapidipagina"/>
          <w:rFonts w:cs="Arial"/>
          <w:b/>
          <w:color w:val="000000" w:themeColor="text1"/>
        </w:rPr>
        <w:footnoteReference w:id="15"/>
      </w:r>
      <w:r w:rsidRPr="009F3802">
        <w:rPr>
          <w:color w:val="000000" w:themeColor="text1"/>
          <w:sz w:val="24"/>
          <w:szCs w:val="24"/>
        </w:rPr>
        <w:t xml:space="preserve"> non devono derivare nuovi o maggiori oneri a carico della finanza pubblica. In conformità all'articolo 17, comma 2, della legge 31 dicembre 2009, n. 196, qualora uno o più decreti legislativi determinino nuovi o maggiori oneri che non trovino compensazione al proprio interno, i medesimi decreti legislativi sono emanati solo successivamente o contestualmente all'entrata in vigore dei provvedimenti legislativi, compresa la legge di bilancio, che stanzino le occorrenti risorse finanziarie.</w:t>
      </w:r>
    </w:p>
    <w:p w:rsidR="009F3802" w:rsidRDefault="009F3802" w:rsidP="009F3802">
      <w:pPr>
        <w:pStyle w:val="NormaleWeb"/>
        <w:shd w:val="clear" w:color="auto" w:fill="FFFFFF"/>
        <w:spacing w:before="0" w:beforeAutospacing="0" w:after="0" w:afterAutospacing="0"/>
        <w:rPr>
          <w:rFonts w:asciiTheme="minorHAnsi" w:hAnsiTheme="minorHAnsi" w:cs="Arial"/>
          <w:color w:val="000000" w:themeColor="text1"/>
        </w:rPr>
      </w:pPr>
    </w:p>
    <w:p w:rsidR="009F3802" w:rsidRDefault="009F3802" w:rsidP="009F3802">
      <w:pPr>
        <w:pStyle w:val="NormaleWeb"/>
        <w:shd w:val="clear" w:color="auto" w:fill="FFFFFF"/>
        <w:spacing w:before="0" w:beforeAutospacing="0" w:after="0" w:afterAutospacing="0"/>
        <w:rPr>
          <w:rFonts w:asciiTheme="minorHAnsi" w:hAnsiTheme="minorHAnsi" w:cs="Arial"/>
          <w:color w:val="000000" w:themeColor="text1"/>
        </w:rPr>
      </w:pPr>
      <w:r w:rsidRPr="00807F03">
        <w:rPr>
          <w:rFonts w:asciiTheme="minorHAnsi" w:hAnsiTheme="minorHAnsi" w:cs="Arial"/>
          <w:color w:val="000000" w:themeColor="text1"/>
        </w:rPr>
        <w:t> </w:t>
      </w:r>
      <w:r w:rsidRPr="00807F03">
        <w:rPr>
          <w:rFonts w:asciiTheme="minorHAnsi" w:hAnsiTheme="minorHAnsi" w:cs="Arial"/>
          <w:color w:val="000000" w:themeColor="text1"/>
        </w:rPr>
        <w:t> </w:t>
      </w:r>
    </w:p>
    <w:p w:rsidR="009F3802" w:rsidRDefault="009F3802" w:rsidP="009F3802"/>
    <w:p w:rsidR="00EE4D49" w:rsidRPr="00EA41FC" w:rsidRDefault="00EE4D49" w:rsidP="00EE4D49">
      <w:pPr>
        <w:spacing w:line="288" w:lineRule="auto"/>
        <w:jc w:val="both"/>
        <w:rPr>
          <w:rFonts w:asciiTheme="minorHAnsi" w:hAnsiTheme="minorHAnsi" w:cs="Times New Roman"/>
          <w:iCs/>
          <w:color w:val="auto"/>
          <w:sz w:val="24"/>
          <w:szCs w:val="24"/>
          <w:lang w:eastAsia="en-US"/>
        </w:rPr>
      </w:pPr>
    </w:p>
    <w:p w:rsidR="009F3C67" w:rsidRPr="00EE4D49" w:rsidRDefault="009F3C67" w:rsidP="009F3C67">
      <w:pPr>
        <w:pStyle w:val="NormaleWeb"/>
        <w:shd w:val="clear" w:color="auto" w:fill="FFFFFF"/>
        <w:spacing w:before="30" w:beforeAutospacing="0" w:after="30" w:afterAutospacing="0"/>
        <w:ind w:left="30"/>
        <w:jc w:val="both"/>
        <w:rPr>
          <w:rFonts w:asciiTheme="minorHAnsi" w:hAnsiTheme="minorHAnsi"/>
          <w:b/>
          <w:color w:val="000000" w:themeColor="text1"/>
        </w:rPr>
      </w:pPr>
    </w:p>
    <w:sectPr w:rsidR="009F3C67" w:rsidRPr="00EE4D49"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9E6" w:rsidRDefault="005F59E6">
      <w:pPr>
        <w:spacing w:after="0" w:line="240" w:lineRule="auto"/>
      </w:pPr>
      <w:r>
        <w:separator/>
      </w:r>
    </w:p>
  </w:endnote>
  <w:endnote w:type="continuationSeparator" w:id="0">
    <w:p w:rsidR="005F59E6" w:rsidRDefault="005F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Segoe Script"/>
    <w:charset w:val="4D"/>
    <w:family w:val="swiss"/>
    <w:pitch w:val="variable"/>
    <w:sig w:usb0="00000001"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E7A" w:rsidRPr="004D0F93" w:rsidRDefault="008D0E7A" w:rsidP="00FB6FCB">
    <w:pPr>
      <w:pStyle w:val="Pidipagina"/>
      <w:tabs>
        <w:tab w:val="clear" w:pos="9638"/>
        <w:tab w:val="right" w:pos="10034"/>
      </w:tabs>
      <w:jc w:val="right"/>
      <w:rPr>
        <w:rFonts w:asciiTheme="majorHAnsi" w:hAnsiTheme="majorHAnsi"/>
        <w:sz w:val="18"/>
        <w:szCs w:val="18"/>
      </w:rPr>
    </w:pPr>
    <w:r w:rsidRPr="00C8796C">
      <w:rPr>
        <w:noProof/>
        <w:color w:val="595959" w:themeColor="text1" w:themeTint="A6"/>
      </w:rPr>
      <w:drawing>
        <wp:anchor distT="0" distB="0" distL="114300" distR="114300" simplePos="0" relativeHeight="251681792" behindDoc="1" locked="0" layoutInCell="1" allowOverlap="1">
          <wp:simplePos x="0" y="0"/>
          <wp:positionH relativeFrom="column">
            <wp:posOffset>-359409</wp:posOffset>
          </wp:positionH>
          <wp:positionV relativeFrom="paragraph">
            <wp:posOffset>-283845</wp:posOffset>
          </wp:positionV>
          <wp:extent cx="5527716" cy="648962"/>
          <wp:effectExtent l="0" t="0" r="0" b="0"/>
          <wp:wrapNone/>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_Tavola disegn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7716" cy="648962"/>
                  </a:xfrm>
                  <a:prstGeom prst="rect">
                    <a:avLst/>
                  </a:prstGeom>
                </pic:spPr>
              </pic:pic>
            </a:graphicData>
          </a:graphic>
        </wp:anchor>
      </w:drawing>
    </w: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sidR="009F3802">
      <w:rPr>
        <w:rFonts w:asciiTheme="majorHAnsi" w:hAnsiTheme="majorHAnsi"/>
        <w:noProof/>
        <w:color w:val="595959" w:themeColor="text1" w:themeTint="A6"/>
        <w:sz w:val="18"/>
        <w:szCs w:val="18"/>
      </w:rPr>
      <w:t>4</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Pr>
        <w:rFonts w:asciiTheme="majorHAnsi" w:hAnsiTheme="majorHAnsi"/>
        <w:noProof/>
        <w:color w:val="595959" w:themeColor="text1" w:themeTint="A6"/>
        <w:sz w:val="18"/>
        <w:szCs w:val="18"/>
      </w:rPr>
      <w:fldChar w:fldCharType="begin"/>
    </w:r>
    <w:r>
      <w:rPr>
        <w:rFonts w:asciiTheme="majorHAnsi" w:hAnsiTheme="majorHAnsi"/>
        <w:noProof/>
        <w:color w:val="595959" w:themeColor="text1" w:themeTint="A6"/>
        <w:sz w:val="18"/>
        <w:szCs w:val="18"/>
      </w:rPr>
      <w:instrText>NUMPAGES  \* Arabic  \* MERGEFORMAT</w:instrText>
    </w:r>
    <w:r>
      <w:rPr>
        <w:rFonts w:asciiTheme="majorHAnsi" w:hAnsiTheme="majorHAnsi"/>
        <w:noProof/>
        <w:color w:val="595959" w:themeColor="text1" w:themeTint="A6"/>
        <w:sz w:val="18"/>
        <w:szCs w:val="18"/>
      </w:rPr>
      <w:fldChar w:fldCharType="separate"/>
    </w:r>
    <w:r w:rsidR="009F3802">
      <w:rPr>
        <w:rFonts w:asciiTheme="majorHAnsi" w:hAnsiTheme="majorHAnsi"/>
        <w:noProof/>
        <w:color w:val="595959" w:themeColor="text1" w:themeTint="A6"/>
        <w:sz w:val="18"/>
        <w:szCs w:val="18"/>
      </w:rPr>
      <w:t>6</w:t>
    </w:r>
    <w:r>
      <w:rPr>
        <w:rFonts w:asciiTheme="majorHAnsi" w:hAnsiTheme="majorHAnsi"/>
        <w:noProof/>
        <w:color w:val="595959" w:themeColor="text1" w:themeTint="A6"/>
        <w:sz w:val="18"/>
        <w:szCs w:val="18"/>
      </w:rPr>
      <w:fldChar w:fldCharType="end"/>
    </w:r>
  </w:p>
  <w:p w:rsidR="008D0E7A" w:rsidRDefault="008D0E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E7A" w:rsidRDefault="008D0E7A" w:rsidP="004532C6">
    <w:pPr>
      <w:pStyle w:val="Pidipagina"/>
      <w:tabs>
        <w:tab w:val="clear" w:pos="9638"/>
        <w:tab w:val="right" w:pos="10034"/>
      </w:tabs>
      <w:rPr>
        <w:rFonts w:asciiTheme="majorHAnsi" w:hAnsiTheme="majorHAnsi"/>
        <w:sz w:val="18"/>
        <w:szCs w:val="18"/>
      </w:rPr>
    </w:pPr>
    <w:r w:rsidRPr="00C8796C">
      <w:rPr>
        <w:noProof/>
        <w:color w:val="595959" w:themeColor="text1" w:themeTint="A6"/>
      </w:rPr>
      <w:drawing>
        <wp:anchor distT="0" distB="0" distL="114300" distR="114300" simplePos="0" relativeHeight="251683840" behindDoc="1" locked="0" layoutInCell="1" allowOverlap="1">
          <wp:simplePos x="0" y="0"/>
          <wp:positionH relativeFrom="column">
            <wp:posOffset>1252856</wp:posOffset>
          </wp:positionH>
          <wp:positionV relativeFrom="paragraph">
            <wp:posOffset>31750</wp:posOffset>
          </wp:positionV>
          <wp:extent cx="5527673" cy="648957"/>
          <wp:effectExtent l="0" t="0" r="0" b="0"/>
          <wp:wrapNone/>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_Tavola disegn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7673" cy="648957"/>
                  </a:xfrm>
                  <a:prstGeom prst="rect">
                    <a:avLst/>
                  </a:prstGeom>
                </pic:spPr>
              </pic:pic>
            </a:graphicData>
          </a:graphic>
        </wp:anchor>
      </w:drawing>
    </w:r>
  </w:p>
  <w:p w:rsidR="008D0E7A" w:rsidRPr="005F27F8" w:rsidRDefault="008D0E7A" w:rsidP="004532C6">
    <w:pPr>
      <w:pStyle w:val="Pidipagina"/>
      <w:tabs>
        <w:tab w:val="clear" w:pos="9638"/>
        <w:tab w:val="right" w:pos="10034"/>
      </w:tabs>
      <w:rPr>
        <w:rFonts w:asciiTheme="majorHAnsi" w:hAnsiTheme="majorHAnsi"/>
        <w:color w:val="595959" w:themeColor="text1" w:themeTint="A6"/>
        <w:sz w:val="18"/>
        <w:szCs w:val="18"/>
      </w:rPr>
    </w:pPr>
  </w:p>
  <w:p w:rsidR="008D0E7A" w:rsidRPr="005F27F8" w:rsidRDefault="008D0E7A"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sidR="009F3802">
      <w:rPr>
        <w:rFonts w:asciiTheme="majorHAnsi" w:hAnsiTheme="majorHAnsi"/>
        <w:noProof/>
        <w:color w:val="595959" w:themeColor="text1" w:themeTint="A6"/>
        <w:sz w:val="18"/>
        <w:szCs w:val="18"/>
      </w:rPr>
      <w:t>3</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Pr>
        <w:rFonts w:asciiTheme="majorHAnsi" w:hAnsiTheme="majorHAnsi"/>
        <w:noProof/>
        <w:color w:val="595959" w:themeColor="text1" w:themeTint="A6"/>
        <w:sz w:val="18"/>
        <w:szCs w:val="18"/>
      </w:rPr>
      <w:fldChar w:fldCharType="begin"/>
    </w:r>
    <w:r>
      <w:rPr>
        <w:rFonts w:asciiTheme="majorHAnsi" w:hAnsiTheme="majorHAnsi"/>
        <w:noProof/>
        <w:color w:val="595959" w:themeColor="text1" w:themeTint="A6"/>
        <w:sz w:val="18"/>
        <w:szCs w:val="18"/>
      </w:rPr>
      <w:instrText>NUMPAGES  \* Arabic  \* MERGEFORMAT</w:instrText>
    </w:r>
    <w:r>
      <w:rPr>
        <w:rFonts w:asciiTheme="majorHAnsi" w:hAnsiTheme="majorHAnsi"/>
        <w:noProof/>
        <w:color w:val="595959" w:themeColor="text1" w:themeTint="A6"/>
        <w:sz w:val="18"/>
        <w:szCs w:val="18"/>
      </w:rPr>
      <w:fldChar w:fldCharType="separate"/>
    </w:r>
    <w:r w:rsidR="009F3802">
      <w:rPr>
        <w:rFonts w:asciiTheme="majorHAnsi" w:hAnsiTheme="majorHAnsi"/>
        <w:noProof/>
        <w:color w:val="595959" w:themeColor="text1" w:themeTint="A6"/>
        <w:sz w:val="18"/>
        <w:szCs w:val="18"/>
      </w:rPr>
      <w:t>6</w:t>
    </w:r>
    <w:r>
      <w:rPr>
        <w:rFonts w:asciiTheme="majorHAnsi" w:hAnsiTheme="majorHAnsi"/>
        <w:noProof/>
        <w:color w:val="595959" w:themeColor="text1" w:themeTint="A6"/>
        <w:sz w:val="18"/>
        <w:szCs w:val="18"/>
      </w:rPr>
      <w:fldChar w:fldCharType="end"/>
    </w:r>
  </w:p>
  <w:p w:rsidR="008D0E7A" w:rsidRPr="002739D4" w:rsidRDefault="008D0E7A"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E7A" w:rsidRPr="00F46BB9" w:rsidRDefault="008D0E7A" w:rsidP="00F46BB9">
    <w:pPr>
      <w:pStyle w:val="Pidipagina"/>
      <w:spacing w:line="360" w:lineRule="auto"/>
      <w:jc w:val="center"/>
      <w:rPr>
        <w:color w:val="595959" w:themeColor="text1" w:themeTint="A6"/>
        <w:sz w:val="24"/>
        <w:szCs w:val="24"/>
      </w:rPr>
    </w:pPr>
    <w:r w:rsidRPr="00F46BB9">
      <w:rPr>
        <w:color w:val="595959" w:themeColor="text1" w:themeTint="A6"/>
        <w:sz w:val="24"/>
        <w:szCs w:val="24"/>
      </w:rPr>
      <w:t>www.</w:t>
    </w:r>
    <w:r>
      <w:rPr>
        <w:color w:val="595959" w:themeColor="text1" w:themeTint="A6"/>
        <w:sz w:val="24"/>
        <w:szCs w:val="24"/>
      </w:rPr>
      <w:t>i</w:t>
    </w:r>
    <w:r w:rsidRPr="00F46BB9">
      <w:rPr>
        <w:color w:val="595959" w:themeColor="text1" w:themeTint="A6"/>
        <w:sz w:val="24"/>
        <w:szCs w:val="24"/>
      </w:rPr>
      <w:t>spronet.it</w:t>
    </w:r>
  </w:p>
  <w:p w:rsidR="008D0E7A" w:rsidRPr="002739D4" w:rsidRDefault="008D0E7A"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9E6" w:rsidRDefault="005F59E6">
      <w:pPr>
        <w:spacing w:after="0" w:line="240" w:lineRule="auto"/>
      </w:pPr>
      <w:r>
        <w:separator/>
      </w:r>
    </w:p>
  </w:footnote>
  <w:footnote w:type="continuationSeparator" w:id="0">
    <w:p w:rsidR="005F59E6" w:rsidRDefault="005F59E6">
      <w:pPr>
        <w:spacing w:after="0" w:line="240" w:lineRule="auto"/>
      </w:pPr>
      <w:r>
        <w:continuationSeparator/>
      </w:r>
    </w:p>
  </w:footnote>
  <w:footnote w:id="1">
    <w:p w:rsidR="009F3802" w:rsidRPr="00807F03" w:rsidRDefault="009F3802" w:rsidP="009F3802">
      <w:pPr>
        <w:spacing w:after="0" w:line="240" w:lineRule="auto"/>
      </w:pPr>
      <w:r w:rsidRPr="00807F03">
        <w:rPr>
          <w:rStyle w:val="Rimandonotaapidipagina"/>
          <w:color w:val="000000" w:themeColor="text1"/>
        </w:rPr>
        <w:footnoteRef/>
      </w:r>
      <w:r w:rsidRPr="00807F03">
        <w:rPr>
          <w:color w:val="000000" w:themeColor="text1"/>
        </w:rPr>
        <w:t xml:space="preserve"> 1. 121. Di Lauro. </w:t>
      </w:r>
    </w:p>
  </w:footnote>
  <w:footnote w:id="2">
    <w:p w:rsidR="009F3802" w:rsidRDefault="009F3802" w:rsidP="009F3802">
      <w:pPr>
        <w:pStyle w:val="center"/>
        <w:shd w:val="clear" w:color="auto" w:fill="FFFFFF"/>
        <w:spacing w:before="0" w:beforeAutospacing="0" w:after="0" w:afterAutospacing="0"/>
      </w:pPr>
      <w:r w:rsidRPr="00807F03">
        <w:rPr>
          <w:rStyle w:val="Rimandonotaapidipagina"/>
          <w:rFonts w:asciiTheme="minorHAnsi" w:hAnsiTheme="minorHAnsi"/>
          <w:sz w:val="20"/>
          <w:szCs w:val="20"/>
        </w:rPr>
        <w:footnoteRef/>
      </w:r>
      <w:r w:rsidRPr="00807F03">
        <w:rPr>
          <w:rFonts w:asciiTheme="minorHAnsi" w:hAnsiTheme="minorHAnsi"/>
          <w:sz w:val="20"/>
          <w:szCs w:val="20"/>
        </w:rPr>
        <w:t xml:space="preserve"> </w:t>
      </w:r>
      <w:r w:rsidRPr="00807F03">
        <w:rPr>
          <w:rFonts w:asciiTheme="minorHAnsi" w:hAnsiTheme="minorHAnsi" w:cs="Arial"/>
          <w:color w:val="000000" w:themeColor="text1"/>
          <w:sz w:val="20"/>
          <w:szCs w:val="20"/>
        </w:rPr>
        <w:t xml:space="preserve">1. </w:t>
      </w:r>
      <w:proofErr w:type="gramStart"/>
      <w:r w:rsidRPr="00807F03">
        <w:rPr>
          <w:rFonts w:asciiTheme="minorHAnsi" w:hAnsiTheme="minorHAnsi" w:cs="Arial"/>
          <w:color w:val="000000" w:themeColor="text1"/>
          <w:sz w:val="20"/>
          <w:szCs w:val="20"/>
        </w:rPr>
        <w:t>101.(</w:t>
      </w:r>
      <w:proofErr w:type="gramEnd"/>
      <w:r w:rsidRPr="00807F03">
        <w:rPr>
          <w:rFonts w:asciiTheme="minorHAnsi" w:hAnsiTheme="minorHAnsi" w:cs="Arial"/>
          <w:color w:val="000000" w:themeColor="text1"/>
          <w:sz w:val="20"/>
          <w:szCs w:val="20"/>
        </w:rPr>
        <w:t xml:space="preserve">Testo modificato nel corso della seduta) Barelli, Fiorini, Polidori, </w:t>
      </w:r>
      <w:proofErr w:type="spellStart"/>
      <w:r w:rsidRPr="00807F03">
        <w:rPr>
          <w:rFonts w:asciiTheme="minorHAnsi" w:hAnsiTheme="minorHAnsi" w:cs="Arial"/>
          <w:color w:val="000000" w:themeColor="text1"/>
          <w:sz w:val="20"/>
          <w:szCs w:val="20"/>
        </w:rPr>
        <w:t>Bendinelli</w:t>
      </w:r>
      <w:proofErr w:type="spellEnd"/>
      <w:r w:rsidRPr="00807F03">
        <w:rPr>
          <w:rFonts w:asciiTheme="minorHAnsi" w:hAnsiTheme="minorHAnsi" w:cs="Arial"/>
          <w:color w:val="000000" w:themeColor="text1"/>
          <w:sz w:val="20"/>
          <w:szCs w:val="20"/>
        </w:rPr>
        <w:t xml:space="preserve">, Carrara, Squeri, Della Frera, </w:t>
      </w:r>
      <w:proofErr w:type="spellStart"/>
      <w:r w:rsidRPr="00807F03">
        <w:rPr>
          <w:rFonts w:asciiTheme="minorHAnsi" w:hAnsiTheme="minorHAnsi" w:cs="Arial"/>
          <w:color w:val="000000" w:themeColor="text1"/>
          <w:sz w:val="20"/>
          <w:szCs w:val="20"/>
        </w:rPr>
        <w:t>Porchietto</w:t>
      </w:r>
      <w:proofErr w:type="spellEnd"/>
      <w:r w:rsidRPr="00807F03">
        <w:rPr>
          <w:rFonts w:asciiTheme="minorHAnsi" w:hAnsiTheme="minorHAnsi" w:cs="Arial"/>
          <w:color w:val="000000" w:themeColor="text1"/>
          <w:sz w:val="20"/>
          <w:szCs w:val="20"/>
        </w:rPr>
        <w:t xml:space="preserve">. </w:t>
      </w:r>
    </w:p>
  </w:footnote>
  <w:footnote w:id="3">
    <w:p w:rsidR="009F3802" w:rsidRDefault="009F3802" w:rsidP="009F3802">
      <w:pPr>
        <w:pStyle w:val="Testonotaapidipagina"/>
      </w:pPr>
      <w:r>
        <w:rPr>
          <w:rStyle w:val="Rimandonotaapidipagina"/>
        </w:rPr>
        <w:footnoteRef/>
      </w:r>
      <w:r>
        <w:t xml:space="preserve"> </w:t>
      </w:r>
      <w:r w:rsidRPr="00BE0921">
        <w:t xml:space="preserve">1. 102. Viviani, Piastra, </w:t>
      </w:r>
      <w:proofErr w:type="spellStart"/>
      <w:r w:rsidRPr="00BE0921">
        <w:t>Bazzaro</w:t>
      </w:r>
      <w:proofErr w:type="spellEnd"/>
      <w:r w:rsidRPr="00BE0921">
        <w:t xml:space="preserve">, Binelli, Colla, Dara, </w:t>
      </w:r>
      <w:proofErr w:type="spellStart"/>
      <w:r w:rsidRPr="00BE0921">
        <w:t>Patassini</w:t>
      </w:r>
      <w:proofErr w:type="spellEnd"/>
      <w:r w:rsidRPr="00BE0921">
        <w:t xml:space="preserve">, </w:t>
      </w:r>
      <w:proofErr w:type="spellStart"/>
      <w:r w:rsidRPr="00BE0921">
        <w:t>Pettazzi</w:t>
      </w:r>
      <w:proofErr w:type="spellEnd"/>
      <w:r w:rsidRPr="00BE0921">
        <w:t>.</w:t>
      </w:r>
    </w:p>
  </w:footnote>
  <w:footnote w:id="4">
    <w:p w:rsidR="009F3802" w:rsidRDefault="009F3802" w:rsidP="009F3802">
      <w:pPr>
        <w:pStyle w:val="Testonotaapidipagina"/>
      </w:pPr>
      <w:r>
        <w:rPr>
          <w:rStyle w:val="Rimandonotaapidipagina"/>
        </w:rPr>
        <w:footnoteRef/>
      </w:r>
      <w:r>
        <w:t xml:space="preserve"> </w:t>
      </w:r>
      <w:r w:rsidRPr="00BE0921">
        <w:t xml:space="preserve">1. 103. Giacometti, </w:t>
      </w:r>
      <w:proofErr w:type="spellStart"/>
      <w:r w:rsidRPr="00BE0921">
        <w:t>Bazzaro</w:t>
      </w:r>
      <w:proofErr w:type="spellEnd"/>
      <w:r w:rsidRPr="00BE0921">
        <w:t xml:space="preserve">, Binelli, Colla, Dara, </w:t>
      </w:r>
      <w:proofErr w:type="spellStart"/>
      <w:r w:rsidRPr="00BE0921">
        <w:t>Patassini</w:t>
      </w:r>
      <w:proofErr w:type="spellEnd"/>
      <w:r w:rsidRPr="00BE0921">
        <w:t xml:space="preserve">, </w:t>
      </w:r>
      <w:proofErr w:type="spellStart"/>
      <w:r w:rsidRPr="00BE0921">
        <w:t>Pettazzi</w:t>
      </w:r>
      <w:proofErr w:type="spellEnd"/>
      <w:r w:rsidRPr="00BE0921">
        <w:t>, Piastra.</w:t>
      </w:r>
    </w:p>
  </w:footnote>
  <w:footnote w:id="5">
    <w:p w:rsidR="009F3802" w:rsidRDefault="009F3802" w:rsidP="009F3802">
      <w:pPr>
        <w:pStyle w:val="Testonotaapidipagina"/>
      </w:pPr>
      <w:r>
        <w:rPr>
          <w:rStyle w:val="Rimandonotaapidipagina"/>
        </w:rPr>
        <w:footnoteRef/>
      </w:r>
      <w:r>
        <w:t xml:space="preserve"> </w:t>
      </w:r>
      <w:r w:rsidRPr="00BE0921">
        <w:t xml:space="preserve">1. 104. Barelli, Fiorini, Polidori, </w:t>
      </w:r>
      <w:proofErr w:type="spellStart"/>
      <w:r w:rsidRPr="00BE0921">
        <w:t>Bendinelli</w:t>
      </w:r>
      <w:proofErr w:type="spellEnd"/>
      <w:r w:rsidRPr="00BE0921">
        <w:t xml:space="preserve">, Carrara, Squeri, Della Frera, </w:t>
      </w:r>
      <w:proofErr w:type="spellStart"/>
      <w:r w:rsidRPr="00BE0921">
        <w:t>Porchietto</w:t>
      </w:r>
      <w:proofErr w:type="spellEnd"/>
      <w:r w:rsidRPr="00BE0921">
        <w:t>.</w:t>
      </w:r>
    </w:p>
  </w:footnote>
  <w:footnote w:id="6">
    <w:p w:rsidR="009F3802" w:rsidRDefault="009F3802" w:rsidP="009F3802">
      <w:pPr>
        <w:pStyle w:val="Testonotaapidipagina"/>
      </w:pPr>
      <w:r>
        <w:rPr>
          <w:rStyle w:val="Rimandonotaapidipagina"/>
        </w:rPr>
        <w:footnoteRef/>
      </w:r>
      <w:r>
        <w:t xml:space="preserve"> </w:t>
      </w:r>
      <w:r w:rsidRPr="00BE0921">
        <w:t xml:space="preserve">1. 117. (Testo modificato nel corso della seduta) Pella, Barelli, Fiorini, Polidori, </w:t>
      </w:r>
      <w:proofErr w:type="spellStart"/>
      <w:r w:rsidRPr="00BE0921">
        <w:t>Bendinelli</w:t>
      </w:r>
      <w:proofErr w:type="spellEnd"/>
      <w:r w:rsidRPr="00BE0921">
        <w:t xml:space="preserve">, Carrara, Squeri, Della Frera, </w:t>
      </w:r>
      <w:proofErr w:type="spellStart"/>
      <w:r w:rsidRPr="00BE0921">
        <w:t>Porchietto</w:t>
      </w:r>
      <w:proofErr w:type="spellEnd"/>
      <w:r w:rsidRPr="00BE0921">
        <w:t>.</w:t>
      </w:r>
    </w:p>
  </w:footnote>
  <w:footnote w:id="7">
    <w:p w:rsidR="009F3802" w:rsidRDefault="009F3802" w:rsidP="009F3802">
      <w:pPr>
        <w:pStyle w:val="Testonotaapidipagina"/>
      </w:pPr>
      <w:r>
        <w:rPr>
          <w:rStyle w:val="Rimandonotaapidipagina"/>
        </w:rPr>
        <w:footnoteRef/>
      </w:r>
      <w:r>
        <w:t xml:space="preserve"> 1.110 Binelli, </w:t>
      </w:r>
      <w:proofErr w:type="spellStart"/>
      <w:r>
        <w:t>Bazzaro</w:t>
      </w:r>
      <w:proofErr w:type="spellEnd"/>
      <w:r>
        <w:t xml:space="preserve">, Colla, Dara, </w:t>
      </w:r>
      <w:proofErr w:type="spellStart"/>
      <w:r>
        <w:t>Patassini</w:t>
      </w:r>
      <w:proofErr w:type="spellEnd"/>
      <w:r>
        <w:t xml:space="preserve">, </w:t>
      </w:r>
      <w:proofErr w:type="spellStart"/>
      <w:r>
        <w:t>Pettazzi</w:t>
      </w:r>
      <w:proofErr w:type="spellEnd"/>
      <w:r>
        <w:t>, Piastra</w:t>
      </w:r>
    </w:p>
  </w:footnote>
  <w:footnote w:id="8">
    <w:p w:rsidR="009F3802" w:rsidRDefault="009F3802" w:rsidP="009F3802">
      <w:pPr>
        <w:pStyle w:val="Testonotaapidipagina"/>
      </w:pPr>
      <w:r>
        <w:rPr>
          <w:rStyle w:val="Rimandonotaapidipagina"/>
        </w:rPr>
        <w:footnoteRef/>
      </w:r>
      <w:r>
        <w:t xml:space="preserve"> </w:t>
      </w:r>
      <w:r w:rsidRPr="003A40AC">
        <w:t>1. 300 (da votare ai sensi dell'articolo 86, comma 4-bis, del Regolamento)</w:t>
      </w:r>
    </w:p>
  </w:footnote>
  <w:footnote w:id="9">
    <w:p w:rsidR="009F3802" w:rsidRDefault="009F3802" w:rsidP="009F3802">
      <w:pPr>
        <w:pStyle w:val="Testonotaapidipagina"/>
      </w:pPr>
      <w:r>
        <w:rPr>
          <w:rStyle w:val="Rimandonotaapidipagina"/>
        </w:rPr>
        <w:footnoteRef/>
      </w:r>
      <w:r>
        <w:t xml:space="preserve"> </w:t>
      </w:r>
      <w:r w:rsidRPr="003A40AC">
        <w:t xml:space="preserve">1. 122. Barelli, Fiorini, Polidori, </w:t>
      </w:r>
      <w:proofErr w:type="spellStart"/>
      <w:r w:rsidRPr="003A40AC">
        <w:t>Bendinelli</w:t>
      </w:r>
      <w:proofErr w:type="spellEnd"/>
      <w:r w:rsidRPr="003A40AC">
        <w:t xml:space="preserve">, Carrara, Squeri, Della Frera, </w:t>
      </w:r>
      <w:proofErr w:type="spellStart"/>
      <w:r w:rsidRPr="003A40AC">
        <w:t>Porchietto</w:t>
      </w:r>
      <w:proofErr w:type="spellEnd"/>
      <w:r w:rsidRPr="003A40AC">
        <w:t>.</w:t>
      </w:r>
    </w:p>
  </w:footnote>
  <w:footnote w:id="10">
    <w:p w:rsidR="009F3802" w:rsidRDefault="009F3802" w:rsidP="009F3802">
      <w:pPr>
        <w:pStyle w:val="Testonotaapidipagina"/>
      </w:pPr>
      <w:r>
        <w:rPr>
          <w:rStyle w:val="Rimandonotaapidipagina"/>
        </w:rPr>
        <w:footnoteRef/>
      </w:r>
      <w:r>
        <w:t xml:space="preserve"> </w:t>
      </w:r>
      <w:r w:rsidRPr="003A40AC">
        <w:t>1. 301 (da votare ai sensi dell'articolo 86, comma 4-bis, del Regolamento)</w:t>
      </w:r>
    </w:p>
  </w:footnote>
  <w:footnote w:id="11">
    <w:p w:rsidR="009F3802" w:rsidRDefault="009F3802" w:rsidP="009F3802">
      <w:pPr>
        <w:pStyle w:val="Testonotaapidipagina"/>
      </w:pPr>
      <w:r>
        <w:rPr>
          <w:rStyle w:val="Rimandonotaapidipagina"/>
        </w:rPr>
        <w:footnoteRef/>
      </w:r>
      <w:r>
        <w:t xml:space="preserve"> </w:t>
      </w:r>
      <w:r w:rsidRPr="00103747">
        <w:t>1. 302 (da votare ai sensi dell'articolo 86, comma 4-bis, del Regolamento)</w:t>
      </w:r>
    </w:p>
  </w:footnote>
  <w:footnote w:id="12">
    <w:p w:rsidR="009F3802" w:rsidRDefault="009F3802" w:rsidP="009F3802">
      <w:pPr>
        <w:pStyle w:val="Testonotaapidipagina"/>
      </w:pPr>
      <w:r>
        <w:rPr>
          <w:rStyle w:val="Rimandonotaapidipagina"/>
        </w:rPr>
        <w:footnoteRef/>
      </w:r>
      <w:r>
        <w:t xml:space="preserve"> </w:t>
      </w:r>
      <w:r w:rsidRPr="00103747">
        <w:t>1. 302 (da votare ai sensi dell'articolo 86, comma 4-bis, del Regolamento)</w:t>
      </w:r>
    </w:p>
  </w:footnote>
  <w:footnote w:id="13">
    <w:p w:rsidR="009F3802" w:rsidRDefault="009F3802" w:rsidP="009F3802">
      <w:pPr>
        <w:pStyle w:val="Testonotaapidipagina"/>
      </w:pPr>
      <w:r>
        <w:rPr>
          <w:rStyle w:val="Rimandonotaapidipagina"/>
        </w:rPr>
        <w:footnoteRef/>
      </w:r>
      <w:r>
        <w:t xml:space="preserve"> 1.202 La Commissione</w:t>
      </w:r>
    </w:p>
  </w:footnote>
  <w:footnote w:id="14">
    <w:p w:rsidR="009F3802" w:rsidRPr="00347F1C" w:rsidRDefault="009F3802" w:rsidP="009F3802">
      <w:pPr>
        <w:pStyle w:val="Testonotaapidipagina"/>
      </w:pPr>
      <w:r>
        <w:rPr>
          <w:rStyle w:val="Rimandonotaapidipagina"/>
        </w:rPr>
        <w:footnoteRef/>
      </w:r>
      <w:r w:rsidRPr="009F3802">
        <w:t xml:space="preserve"> 2. 100. </w:t>
      </w:r>
      <w:proofErr w:type="spellStart"/>
      <w:r w:rsidRPr="009F3802">
        <w:t>Schullian</w:t>
      </w:r>
      <w:proofErr w:type="spellEnd"/>
      <w:r w:rsidRPr="009F3802">
        <w:t xml:space="preserve">, </w:t>
      </w:r>
      <w:proofErr w:type="spellStart"/>
      <w:r w:rsidRPr="009F3802">
        <w:t>Plangger</w:t>
      </w:r>
      <w:proofErr w:type="spellEnd"/>
      <w:r w:rsidRPr="009F3802">
        <w:t xml:space="preserve">, </w:t>
      </w:r>
      <w:proofErr w:type="spellStart"/>
      <w:r w:rsidRPr="009F3802">
        <w:t>Gebhard</w:t>
      </w:r>
      <w:proofErr w:type="spellEnd"/>
      <w:r w:rsidRPr="009F3802">
        <w:t xml:space="preserve">, Emanuela Rossini; 2. </w:t>
      </w:r>
      <w:r w:rsidRPr="00347F1C">
        <w:t xml:space="preserve">101. Binelli, Vanessa </w:t>
      </w:r>
      <w:proofErr w:type="spellStart"/>
      <w:r w:rsidRPr="00347F1C">
        <w:t>Cattoi</w:t>
      </w:r>
      <w:proofErr w:type="spellEnd"/>
      <w:r w:rsidRPr="00347F1C">
        <w:t xml:space="preserve">, </w:t>
      </w:r>
      <w:proofErr w:type="spellStart"/>
      <w:r w:rsidRPr="00347F1C">
        <w:t>Loss</w:t>
      </w:r>
      <w:proofErr w:type="spellEnd"/>
      <w:r w:rsidRPr="00347F1C">
        <w:t xml:space="preserve">, </w:t>
      </w:r>
      <w:proofErr w:type="spellStart"/>
      <w:r w:rsidRPr="00347F1C">
        <w:t>Sutto</w:t>
      </w:r>
      <w:proofErr w:type="spellEnd"/>
      <w:r w:rsidRPr="00347F1C">
        <w:t>.</w:t>
      </w:r>
    </w:p>
  </w:footnote>
  <w:footnote w:id="15">
    <w:p w:rsidR="009F3802" w:rsidRDefault="009F3802" w:rsidP="009F3802">
      <w:pPr>
        <w:pStyle w:val="Testonotaapidipagina"/>
      </w:pPr>
      <w:r>
        <w:rPr>
          <w:rStyle w:val="Rimandonotaapidipagina"/>
        </w:rPr>
        <w:footnoteRef/>
      </w:r>
      <w:r>
        <w:t xml:space="preserve"> </w:t>
      </w:r>
      <w:r w:rsidRPr="00347F1C">
        <w:t>1. 302 (da votare ai sensi dell'articolo 86, comma 4-bis, del Regolamento)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E7A" w:rsidRDefault="008D0E7A" w:rsidP="00473B76">
    <w:pPr>
      <w:pStyle w:val="Intestazione"/>
      <w:tabs>
        <w:tab w:val="clear" w:pos="4819"/>
        <w:tab w:val="clear" w:pos="9638"/>
        <w:tab w:val="left" w:pos="811"/>
      </w:tabs>
    </w:pPr>
    <w:r>
      <w:rPr>
        <w:noProof/>
      </w:rPr>
      <w:drawing>
        <wp:anchor distT="0" distB="0" distL="114300" distR="114300" simplePos="0" relativeHeight="251679744" behindDoc="1" locked="1" layoutInCell="1" allowOverlap="1">
          <wp:simplePos x="0" y="0"/>
          <wp:positionH relativeFrom="column">
            <wp:posOffset>-235585</wp:posOffset>
          </wp:positionH>
          <wp:positionV relativeFrom="page">
            <wp:posOffset>342900</wp:posOffset>
          </wp:positionV>
          <wp:extent cx="6991985" cy="1134110"/>
          <wp:effectExtent l="0" t="0" r="5715" b="0"/>
          <wp:wrapNone/>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aliaCamp_Intestata 2017_Intestazione sx-01.png"/>
                  <pic:cNvPicPr/>
                </pic:nvPicPr>
                <pic:blipFill>
                  <a:blip r:embed="rId1">
                    <a:extLst>
                      <a:ext uri="{28A0092B-C50C-407E-A947-70E740481C1C}">
                        <a14:useLocalDpi xmlns:a14="http://schemas.microsoft.com/office/drawing/2010/main" val="0"/>
                      </a:ext>
                    </a:extLst>
                  </a:blip>
                  <a:stretch>
                    <a:fillRect/>
                  </a:stretch>
                </pic:blipFill>
                <pic:spPr>
                  <a:xfrm>
                    <a:off x="0" y="0"/>
                    <a:ext cx="6991985" cy="11341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E7A" w:rsidRPr="00A82891" w:rsidRDefault="008D0E7A" w:rsidP="007C573D">
    <w:pPr>
      <w:spacing w:after="0" w:line="240" w:lineRule="auto"/>
    </w:pPr>
    <w:r>
      <w:rPr>
        <w:noProof/>
      </w:rPr>
      <w:drawing>
        <wp:anchor distT="0" distB="0" distL="114300" distR="114300" simplePos="0" relativeHeight="251685888" behindDoc="1" locked="1" layoutInCell="1" allowOverlap="1">
          <wp:simplePos x="0" y="0"/>
          <wp:positionH relativeFrom="column">
            <wp:posOffset>-269240</wp:posOffset>
          </wp:positionH>
          <wp:positionV relativeFrom="page">
            <wp:posOffset>341630</wp:posOffset>
          </wp:positionV>
          <wp:extent cx="6991985" cy="1134110"/>
          <wp:effectExtent l="0" t="0" r="5715" b="0"/>
          <wp:wrapNone/>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aliaCamp_Intestata 2017_Intestazione sx-01.png"/>
                  <pic:cNvPicPr/>
                </pic:nvPicPr>
                <pic:blipFill>
                  <a:blip r:embed="rId1">
                    <a:extLst>
                      <a:ext uri="{28A0092B-C50C-407E-A947-70E740481C1C}">
                        <a14:useLocalDpi xmlns:a14="http://schemas.microsoft.com/office/drawing/2010/main" val="0"/>
                      </a:ext>
                    </a:extLst>
                  </a:blip>
                  <a:stretch>
                    <a:fillRect/>
                  </a:stretch>
                </pic:blipFill>
                <pic:spPr>
                  <a:xfrm>
                    <a:off x="0" y="0"/>
                    <a:ext cx="6991985" cy="11341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E7A" w:rsidRDefault="008D0E7A" w:rsidP="00E257C8">
    <w:pPr>
      <w:pStyle w:val="Intestazione"/>
      <w:jc w:val="center"/>
    </w:pPr>
    <w:r>
      <w:rPr>
        <w:noProof/>
      </w:rPr>
      <w:drawing>
        <wp:inline distT="0" distB="0" distL="0" distR="0">
          <wp:extent cx="4209085" cy="2061883"/>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pertina_Tavola disegno 1.png"/>
                  <pic:cNvPicPr/>
                </pic:nvPicPr>
                <pic:blipFill>
                  <a:blip r:embed="rId1">
                    <a:extLst>
                      <a:ext uri="{28A0092B-C50C-407E-A947-70E740481C1C}">
                        <a14:useLocalDpi xmlns:a14="http://schemas.microsoft.com/office/drawing/2010/main" val="0"/>
                      </a:ext>
                    </a:extLst>
                  </a:blip>
                  <a:stretch>
                    <a:fillRect/>
                  </a:stretch>
                </pic:blipFill>
                <pic:spPr>
                  <a:xfrm>
                    <a:off x="0" y="0"/>
                    <a:ext cx="4223354" cy="2068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7"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9"/>
  </w:num>
  <w:num w:numId="6">
    <w:abstractNumId w:val="1"/>
  </w:num>
  <w:num w:numId="7">
    <w:abstractNumId w:val="10"/>
  </w:num>
  <w:num w:numId="8">
    <w:abstractNumId w:val="8"/>
  </w:num>
  <w:num w:numId="9">
    <w:abstractNumId w:val="5"/>
  </w:num>
  <w:num w:numId="10">
    <w:abstractNumId w:val="3"/>
  </w:num>
  <w:num w:numId="11">
    <w:abstractNumId w:val="2"/>
  </w:num>
  <w:num w:numId="12">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hideSpellingError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4F"/>
    <w:rsid w:val="0000392B"/>
    <w:rsid w:val="0001412B"/>
    <w:rsid w:val="000331CC"/>
    <w:rsid w:val="00042E03"/>
    <w:rsid w:val="000525CC"/>
    <w:rsid w:val="000548FD"/>
    <w:rsid w:val="00055E6C"/>
    <w:rsid w:val="00062B9B"/>
    <w:rsid w:val="00065D85"/>
    <w:rsid w:val="0009180C"/>
    <w:rsid w:val="00095FE5"/>
    <w:rsid w:val="000A078D"/>
    <w:rsid w:val="000A0A41"/>
    <w:rsid w:val="000B4E72"/>
    <w:rsid w:val="000B5D07"/>
    <w:rsid w:val="000C45FD"/>
    <w:rsid w:val="000E58CB"/>
    <w:rsid w:val="00105332"/>
    <w:rsid w:val="00112F2F"/>
    <w:rsid w:val="00113CFE"/>
    <w:rsid w:val="0012190D"/>
    <w:rsid w:val="00125203"/>
    <w:rsid w:val="00125CBA"/>
    <w:rsid w:val="00126E8F"/>
    <w:rsid w:val="0013117C"/>
    <w:rsid w:val="00133E8D"/>
    <w:rsid w:val="00134C90"/>
    <w:rsid w:val="001413DF"/>
    <w:rsid w:val="00141485"/>
    <w:rsid w:val="0015538C"/>
    <w:rsid w:val="001636BB"/>
    <w:rsid w:val="00165484"/>
    <w:rsid w:val="00166CB1"/>
    <w:rsid w:val="0017004E"/>
    <w:rsid w:val="0017723D"/>
    <w:rsid w:val="00182895"/>
    <w:rsid w:val="00187D36"/>
    <w:rsid w:val="001927D7"/>
    <w:rsid w:val="001A1A70"/>
    <w:rsid w:val="001B687E"/>
    <w:rsid w:val="001C0AB0"/>
    <w:rsid w:val="001F378B"/>
    <w:rsid w:val="001F6D3A"/>
    <w:rsid w:val="00201A99"/>
    <w:rsid w:val="0020737D"/>
    <w:rsid w:val="0021022B"/>
    <w:rsid w:val="00215E69"/>
    <w:rsid w:val="0022078B"/>
    <w:rsid w:val="002273FB"/>
    <w:rsid w:val="00234096"/>
    <w:rsid w:val="00236326"/>
    <w:rsid w:val="00251FEF"/>
    <w:rsid w:val="002565F2"/>
    <w:rsid w:val="00262F41"/>
    <w:rsid w:val="002739D4"/>
    <w:rsid w:val="00283714"/>
    <w:rsid w:val="002846E6"/>
    <w:rsid w:val="002857B8"/>
    <w:rsid w:val="00294ADF"/>
    <w:rsid w:val="0029625E"/>
    <w:rsid w:val="002971FC"/>
    <w:rsid w:val="002A0A24"/>
    <w:rsid w:val="002B44C9"/>
    <w:rsid w:val="002C7E0D"/>
    <w:rsid w:val="002F18B4"/>
    <w:rsid w:val="003063A8"/>
    <w:rsid w:val="003078B7"/>
    <w:rsid w:val="0031282F"/>
    <w:rsid w:val="003151B6"/>
    <w:rsid w:val="00315935"/>
    <w:rsid w:val="0031763F"/>
    <w:rsid w:val="003178E9"/>
    <w:rsid w:val="00322A69"/>
    <w:rsid w:val="00323F0B"/>
    <w:rsid w:val="00327D1A"/>
    <w:rsid w:val="003315DB"/>
    <w:rsid w:val="00341212"/>
    <w:rsid w:val="00346C59"/>
    <w:rsid w:val="00354FAF"/>
    <w:rsid w:val="00363304"/>
    <w:rsid w:val="00364A97"/>
    <w:rsid w:val="00377D10"/>
    <w:rsid w:val="003905DB"/>
    <w:rsid w:val="003B618F"/>
    <w:rsid w:val="003C13CE"/>
    <w:rsid w:val="003C2822"/>
    <w:rsid w:val="003D1E5D"/>
    <w:rsid w:val="003D492A"/>
    <w:rsid w:val="003D602D"/>
    <w:rsid w:val="003D6F56"/>
    <w:rsid w:val="003E6C3F"/>
    <w:rsid w:val="003F3306"/>
    <w:rsid w:val="003F51F8"/>
    <w:rsid w:val="004033D2"/>
    <w:rsid w:val="004041F4"/>
    <w:rsid w:val="00410BE0"/>
    <w:rsid w:val="00420460"/>
    <w:rsid w:val="00422E52"/>
    <w:rsid w:val="00441A04"/>
    <w:rsid w:val="00450D5B"/>
    <w:rsid w:val="004532C6"/>
    <w:rsid w:val="004545F6"/>
    <w:rsid w:val="00454637"/>
    <w:rsid w:val="00456787"/>
    <w:rsid w:val="00465F1C"/>
    <w:rsid w:val="00473B76"/>
    <w:rsid w:val="004764A8"/>
    <w:rsid w:val="0048054C"/>
    <w:rsid w:val="00481C8C"/>
    <w:rsid w:val="004832BA"/>
    <w:rsid w:val="0048371F"/>
    <w:rsid w:val="004850A2"/>
    <w:rsid w:val="00487615"/>
    <w:rsid w:val="004B288A"/>
    <w:rsid w:val="004B4327"/>
    <w:rsid w:val="004C16CF"/>
    <w:rsid w:val="004C7ECF"/>
    <w:rsid w:val="004D0F93"/>
    <w:rsid w:val="004E56A0"/>
    <w:rsid w:val="004E6060"/>
    <w:rsid w:val="004F0EE3"/>
    <w:rsid w:val="004F227F"/>
    <w:rsid w:val="004F5448"/>
    <w:rsid w:val="0050205B"/>
    <w:rsid w:val="00510FB9"/>
    <w:rsid w:val="005127BF"/>
    <w:rsid w:val="005155CB"/>
    <w:rsid w:val="005171AF"/>
    <w:rsid w:val="005345AF"/>
    <w:rsid w:val="00535DE3"/>
    <w:rsid w:val="0053600A"/>
    <w:rsid w:val="00536959"/>
    <w:rsid w:val="00537EE1"/>
    <w:rsid w:val="00541E41"/>
    <w:rsid w:val="005455B5"/>
    <w:rsid w:val="0057099F"/>
    <w:rsid w:val="00571386"/>
    <w:rsid w:val="0058489B"/>
    <w:rsid w:val="00590380"/>
    <w:rsid w:val="005926F7"/>
    <w:rsid w:val="005934CD"/>
    <w:rsid w:val="005B4FD5"/>
    <w:rsid w:val="005C16F5"/>
    <w:rsid w:val="005C7C10"/>
    <w:rsid w:val="005D50F5"/>
    <w:rsid w:val="005D53A6"/>
    <w:rsid w:val="005E0892"/>
    <w:rsid w:val="005E472D"/>
    <w:rsid w:val="005E72C2"/>
    <w:rsid w:val="005F1255"/>
    <w:rsid w:val="005F1A2D"/>
    <w:rsid w:val="005F27F8"/>
    <w:rsid w:val="005F59E6"/>
    <w:rsid w:val="006054DE"/>
    <w:rsid w:val="00606053"/>
    <w:rsid w:val="006060C4"/>
    <w:rsid w:val="0061002C"/>
    <w:rsid w:val="006173DE"/>
    <w:rsid w:val="00623577"/>
    <w:rsid w:val="00644AD8"/>
    <w:rsid w:val="006508D0"/>
    <w:rsid w:val="0065552E"/>
    <w:rsid w:val="00666366"/>
    <w:rsid w:val="00671FC2"/>
    <w:rsid w:val="006839D6"/>
    <w:rsid w:val="0069179E"/>
    <w:rsid w:val="006973EE"/>
    <w:rsid w:val="006A1DE0"/>
    <w:rsid w:val="006A579B"/>
    <w:rsid w:val="006B30B2"/>
    <w:rsid w:val="006C4C74"/>
    <w:rsid w:val="006D1C75"/>
    <w:rsid w:val="006F6F3C"/>
    <w:rsid w:val="00704B03"/>
    <w:rsid w:val="0070663F"/>
    <w:rsid w:val="007207DA"/>
    <w:rsid w:val="0072446D"/>
    <w:rsid w:val="00734D39"/>
    <w:rsid w:val="00740F55"/>
    <w:rsid w:val="00744976"/>
    <w:rsid w:val="00747EC8"/>
    <w:rsid w:val="00751D46"/>
    <w:rsid w:val="00753E34"/>
    <w:rsid w:val="007811E7"/>
    <w:rsid w:val="00783AF0"/>
    <w:rsid w:val="00792ADB"/>
    <w:rsid w:val="007A1606"/>
    <w:rsid w:val="007A35B6"/>
    <w:rsid w:val="007A66FC"/>
    <w:rsid w:val="007B16C8"/>
    <w:rsid w:val="007B3A12"/>
    <w:rsid w:val="007B5023"/>
    <w:rsid w:val="007B5275"/>
    <w:rsid w:val="007C3B1E"/>
    <w:rsid w:val="007C436B"/>
    <w:rsid w:val="007C573D"/>
    <w:rsid w:val="007C70BC"/>
    <w:rsid w:val="007D14FF"/>
    <w:rsid w:val="007D36E1"/>
    <w:rsid w:val="007D7409"/>
    <w:rsid w:val="007E5FDD"/>
    <w:rsid w:val="007F2DFA"/>
    <w:rsid w:val="007F34E5"/>
    <w:rsid w:val="007F4B1D"/>
    <w:rsid w:val="00800D74"/>
    <w:rsid w:val="0080396B"/>
    <w:rsid w:val="00804187"/>
    <w:rsid w:val="00873812"/>
    <w:rsid w:val="0088040D"/>
    <w:rsid w:val="008857CB"/>
    <w:rsid w:val="00891EE5"/>
    <w:rsid w:val="00892983"/>
    <w:rsid w:val="0089371A"/>
    <w:rsid w:val="008A7373"/>
    <w:rsid w:val="008B2177"/>
    <w:rsid w:val="008C1950"/>
    <w:rsid w:val="008D0E7A"/>
    <w:rsid w:val="008D3ABD"/>
    <w:rsid w:val="008E3353"/>
    <w:rsid w:val="008E3C4F"/>
    <w:rsid w:val="008F1B4E"/>
    <w:rsid w:val="008F7901"/>
    <w:rsid w:val="00902675"/>
    <w:rsid w:val="00906668"/>
    <w:rsid w:val="00906D72"/>
    <w:rsid w:val="009154FE"/>
    <w:rsid w:val="00924849"/>
    <w:rsid w:val="00930666"/>
    <w:rsid w:val="00936FBB"/>
    <w:rsid w:val="00937028"/>
    <w:rsid w:val="009413E8"/>
    <w:rsid w:val="00954A51"/>
    <w:rsid w:val="00954CF6"/>
    <w:rsid w:val="00954FA6"/>
    <w:rsid w:val="009553AE"/>
    <w:rsid w:val="00955763"/>
    <w:rsid w:val="00956698"/>
    <w:rsid w:val="0096056C"/>
    <w:rsid w:val="009624C1"/>
    <w:rsid w:val="00972961"/>
    <w:rsid w:val="00974127"/>
    <w:rsid w:val="00977105"/>
    <w:rsid w:val="0099337D"/>
    <w:rsid w:val="00993538"/>
    <w:rsid w:val="009A74B2"/>
    <w:rsid w:val="009B23A9"/>
    <w:rsid w:val="009C570D"/>
    <w:rsid w:val="009E014F"/>
    <w:rsid w:val="009F11A4"/>
    <w:rsid w:val="009F26AF"/>
    <w:rsid w:val="009F3802"/>
    <w:rsid w:val="009F3C67"/>
    <w:rsid w:val="00A00765"/>
    <w:rsid w:val="00A07672"/>
    <w:rsid w:val="00A16EC0"/>
    <w:rsid w:val="00A24F3A"/>
    <w:rsid w:val="00A30BD7"/>
    <w:rsid w:val="00A33CDD"/>
    <w:rsid w:val="00A37720"/>
    <w:rsid w:val="00A5211E"/>
    <w:rsid w:val="00A55A78"/>
    <w:rsid w:val="00A6378C"/>
    <w:rsid w:val="00A705D9"/>
    <w:rsid w:val="00A808EB"/>
    <w:rsid w:val="00A82891"/>
    <w:rsid w:val="00A854AD"/>
    <w:rsid w:val="00A918F9"/>
    <w:rsid w:val="00AA11AD"/>
    <w:rsid w:val="00AA120E"/>
    <w:rsid w:val="00AA127C"/>
    <w:rsid w:val="00AA5107"/>
    <w:rsid w:val="00AA706F"/>
    <w:rsid w:val="00AC3A3B"/>
    <w:rsid w:val="00AD5AFD"/>
    <w:rsid w:val="00AF590A"/>
    <w:rsid w:val="00B07423"/>
    <w:rsid w:val="00B13F9F"/>
    <w:rsid w:val="00B159D2"/>
    <w:rsid w:val="00B16393"/>
    <w:rsid w:val="00B2344F"/>
    <w:rsid w:val="00B23C5F"/>
    <w:rsid w:val="00B2603D"/>
    <w:rsid w:val="00B32CFF"/>
    <w:rsid w:val="00B32F3D"/>
    <w:rsid w:val="00B42FCB"/>
    <w:rsid w:val="00B45315"/>
    <w:rsid w:val="00B520D6"/>
    <w:rsid w:val="00B5230B"/>
    <w:rsid w:val="00B52F6C"/>
    <w:rsid w:val="00B56801"/>
    <w:rsid w:val="00B61054"/>
    <w:rsid w:val="00B645F5"/>
    <w:rsid w:val="00B67116"/>
    <w:rsid w:val="00B67C39"/>
    <w:rsid w:val="00B82448"/>
    <w:rsid w:val="00B82DA5"/>
    <w:rsid w:val="00BA3423"/>
    <w:rsid w:val="00BB608C"/>
    <w:rsid w:val="00BC2F98"/>
    <w:rsid w:val="00BC49F4"/>
    <w:rsid w:val="00BC4B89"/>
    <w:rsid w:val="00BD4A22"/>
    <w:rsid w:val="00BE3369"/>
    <w:rsid w:val="00BE42ED"/>
    <w:rsid w:val="00BE50CB"/>
    <w:rsid w:val="00BE5171"/>
    <w:rsid w:val="00BE5A1B"/>
    <w:rsid w:val="00BE5EE1"/>
    <w:rsid w:val="00C02901"/>
    <w:rsid w:val="00C051A0"/>
    <w:rsid w:val="00C0623F"/>
    <w:rsid w:val="00C2005D"/>
    <w:rsid w:val="00C2564D"/>
    <w:rsid w:val="00C4624D"/>
    <w:rsid w:val="00C50F7C"/>
    <w:rsid w:val="00C51C68"/>
    <w:rsid w:val="00C553DF"/>
    <w:rsid w:val="00C76E5E"/>
    <w:rsid w:val="00C86438"/>
    <w:rsid w:val="00C8754B"/>
    <w:rsid w:val="00C908BC"/>
    <w:rsid w:val="00C91B38"/>
    <w:rsid w:val="00C973FC"/>
    <w:rsid w:val="00CA6FB6"/>
    <w:rsid w:val="00CB2D1D"/>
    <w:rsid w:val="00CB5F02"/>
    <w:rsid w:val="00CC3DC5"/>
    <w:rsid w:val="00CD386D"/>
    <w:rsid w:val="00CE0751"/>
    <w:rsid w:val="00CE692C"/>
    <w:rsid w:val="00CF5ED7"/>
    <w:rsid w:val="00D015AC"/>
    <w:rsid w:val="00D03F5F"/>
    <w:rsid w:val="00D13684"/>
    <w:rsid w:val="00D16843"/>
    <w:rsid w:val="00D22E40"/>
    <w:rsid w:val="00D3239E"/>
    <w:rsid w:val="00D33922"/>
    <w:rsid w:val="00D34A99"/>
    <w:rsid w:val="00D35B55"/>
    <w:rsid w:val="00D43152"/>
    <w:rsid w:val="00D455DA"/>
    <w:rsid w:val="00D55161"/>
    <w:rsid w:val="00D6709B"/>
    <w:rsid w:val="00D727AF"/>
    <w:rsid w:val="00D76A6D"/>
    <w:rsid w:val="00D80B36"/>
    <w:rsid w:val="00D854D2"/>
    <w:rsid w:val="00D90D1C"/>
    <w:rsid w:val="00DD1A90"/>
    <w:rsid w:val="00DD243B"/>
    <w:rsid w:val="00DE0168"/>
    <w:rsid w:val="00DE23E5"/>
    <w:rsid w:val="00DE294B"/>
    <w:rsid w:val="00DE54E2"/>
    <w:rsid w:val="00DF1B53"/>
    <w:rsid w:val="00DF1D3E"/>
    <w:rsid w:val="00DF3B3B"/>
    <w:rsid w:val="00DF4C64"/>
    <w:rsid w:val="00DF61F7"/>
    <w:rsid w:val="00E10939"/>
    <w:rsid w:val="00E10B48"/>
    <w:rsid w:val="00E10F35"/>
    <w:rsid w:val="00E119AB"/>
    <w:rsid w:val="00E12DC7"/>
    <w:rsid w:val="00E149B5"/>
    <w:rsid w:val="00E20887"/>
    <w:rsid w:val="00E257C8"/>
    <w:rsid w:val="00E37BEC"/>
    <w:rsid w:val="00E447A6"/>
    <w:rsid w:val="00E52027"/>
    <w:rsid w:val="00E7709B"/>
    <w:rsid w:val="00E810E2"/>
    <w:rsid w:val="00E87237"/>
    <w:rsid w:val="00EA41FC"/>
    <w:rsid w:val="00EB6C23"/>
    <w:rsid w:val="00EC1DCD"/>
    <w:rsid w:val="00EC58C7"/>
    <w:rsid w:val="00ED0087"/>
    <w:rsid w:val="00ED3475"/>
    <w:rsid w:val="00EE1DD8"/>
    <w:rsid w:val="00EE4D49"/>
    <w:rsid w:val="00EE5B75"/>
    <w:rsid w:val="00EE5D4B"/>
    <w:rsid w:val="00EE7D35"/>
    <w:rsid w:val="00EF0D42"/>
    <w:rsid w:val="00EF7DC4"/>
    <w:rsid w:val="00F00276"/>
    <w:rsid w:val="00F009FD"/>
    <w:rsid w:val="00F11632"/>
    <w:rsid w:val="00F25B8E"/>
    <w:rsid w:val="00F25BDF"/>
    <w:rsid w:val="00F305F6"/>
    <w:rsid w:val="00F347CD"/>
    <w:rsid w:val="00F41ECE"/>
    <w:rsid w:val="00F43227"/>
    <w:rsid w:val="00F46BB9"/>
    <w:rsid w:val="00F51528"/>
    <w:rsid w:val="00F5379F"/>
    <w:rsid w:val="00F64885"/>
    <w:rsid w:val="00F65A63"/>
    <w:rsid w:val="00F6661B"/>
    <w:rsid w:val="00F74A55"/>
    <w:rsid w:val="00F77BB8"/>
    <w:rsid w:val="00F8188D"/>
    <w:rsid w:val="00F86181"/>
    <w:rsid w:val="00FA0BE3"/>
    <w:rsid w:val="00FB6FCB"/>
    <w:rsid w:val="00FC1D7E"/>
    <w:rsid w:val="00FC5C2F"/>
    <w:rsid w:val="00FD4993"/>
    <w:rsid w:val="00FF6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3E3801-E08E-4B32-8286-D47CF831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E728C-42E8-4928-B960-312C0D47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2361</Words>
  <Characters>13463</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Evelina Melone</cp:lastModifiedBy>
  <cp:revision>2</cp:revision>
  <cp:lastPrinted>2019-01-08T11:23:00Z</cp:lastPrinted>
  <dcterms:created xsi:type="dcterms:W3CDTF">2019-07-11T12:19:00Z</dcterms:created>
  <dcterms:modified xsi:type="dcterms:W3CDTF">2019-07-11T12:19:00Z</dcterms:modified>
</cp:coreProperties>
</file>