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CAA" w:rsidRPr="004913FB" w:rsidRDefault="00BD4CAA" w:rsidP="00BD4CAA">
      <w:pPr>
        <w:spacing w:after="0" w:line="240" w:lineRule="auto"/>
        <w:jc w:val="center"/>
        <w:rPr>
          <w:rFonts w:cs="Times New Roman"/>
          <w:b/>
          <w:sz w:val="28"/>
          <w:szCs w:val="28"/>
        </w:rPr>
      </w:pPr>
      <w:r w:rsidRPr="004913FB">
        <w:rPr>
          <w:rFonts w:cs="Times New Roman"/>
          <w:b/>
          <w:sz w:val="28"/>
          <w:szCs w:val="28"/>
        </w:rPr>
        <w:t>Disegno di legge C. 1807</w:t>
      </w:r>
    </w:p>
    <w:p w:rsidR="00BD4CAA" w:rsidRPr="004913FB" w:rsidRDefault="00BD4CAA" w:rsidP="00BD4CAA">
      <w:pPr>
        <w:spacing w:after="0" w:line="240" w:lineRule="auto"/>
        <w:jc w:val="center"/>
        <w:rPr>
          <w:rFonts w:cs="Times New Roman"/>
          <w:sz w:val="28"/>
          <w:szCs w:val="28"/>
        </w:rPr>
      </w:pPr>
      <w:r w:rsidRPr="004913FB">
        <w:rPr>
          <w:rFonts w:cs="Times New Roman"/>
          <w:sz w:val="28"/>
          <w:szCs w:val="28"/>
        </w:rPr>
        <w:t>DL 34/2019: Misure urgenti di crescita economica e per la risoluzione di specifiche situazioni di crisi</w:t>
      </w:r>
    </w:p>
    <w:p w:rsidR="00BD4CAA" w:rsidRPr="004913FB" w:rsidRDefault="00BD4CAA" w:rsidP="00BD4CAA">
      <w:pPr>
        <w:spacing w:after="0" w:line="240" w:lineRule="auto"/>
        <w:rPr>
          <w:rFonts w:cs="Times New Roman"/>
          <w:sz w:val="28"/>
          <w:szCs w:val="28"/>
        </w:rPr>
      </w:pPr>
    </w:p>
    <w:p w:rsidR="00BD4CAA" w:rsidRPr="004913FB" w:rsidRDefault="00BD4CAA" w:rsidP="00BD4CAA">
      <w:pPr>
        <w:spacing w:after="0" w:line="240" w:lineRule="auto"/>
        <w:jc w:val="center"/>
        <w:rPr>
          <w:rFonts w:cs="Times New Roman"/>
          <w:b/>
          <w:sz w:val="28"/>
          <w:szCs w:val="28"/>
        </w:rPr>
      </w:pPr>
    </w:p>
    <w:p w:rsidR="00BD4CAA" w:rsidRPr="004913FB" w:rsidRDefault="00BD4CAA" w:rsidP="00BD4CAA">
      <w:pPr>
        <w:spacing w:after="0" w:line="240" w:lineRule="auto"/>
        <w:jc w:val="center"/>
        <w:rPr>
          <w:rFonts w:cs="Times New Roman"/>
          <w:b/>
          <w:sz w:val="28"/>
          <w:szCs w:val="28"/>
        </w:rPr>
      </w:pPr>
      <w:r>
        <w:rPr>
          <w:rFonts w:cs="Times New Roman"/>
          <w:b/>
          <w:sz w:val="28"/>
          <w:szCs w:val="28"/>
        </w:rPr>
        <w:t>RIESAME</w:t>
      </w:r>
      <w:r w:rsidRPr="004913FB">
        <w:rPr>
          <w:rFonts w:cs="Times New Roman"/>
          <w:b/>
          <w:sz w:val="28"/>
          <w:szCs w:val="28"/>
        </w:rPr>
        <w:t xml:space="preserve"> DELLE PROPOSTE EMENDATIVE</w:t>
      </w:r>
    </w:p>
    <w:p w:rsidR="00BD4CAA" w:rsidRPr="004913FB" w:rsidRDefault="00BD4CAA" w:rsidP="00BD4CAA">
      <w:pPr>
        <w:spacing w:after="0" w:line="240" w:lineRule="auto"/>
        <w:jc w:val="center"/>
        <w:rPr>
          <w:rFonts w:cs="Times New Roman"/>
          <w:b/>
          <w:sz w:val="28"/>
          <w:szCs w:val="28"/>
        </w:rPr>
      </w:pPr>
    </w:p>
    <w:p w:rsidR="00BD4CAA" w:rsidRPr="004913FB" w:rsidRDefault="00BD4CAA" w:rsidP="00BD4CAA">
      <w:pPr>
        <w:spacing w:after="0" w:line="240" w:lineRule="auto"/>
        <w:jc w:val="center"/>
        <w:rPr>
          <w:rFonts w:cs="Times New Roman"/>
          <w:sz w:val="28"/>
          <w:szCs w:val="28"/>
        </w:rPr>
      </w:pPr>
    </w:p>
    <w:p w:rsidR="00BD4CAA" w:rsidRPr="004913FB" w:rsidRDefault="00BD4CAA" w:rsidP="00BD4CAA">
      <w:pPr>
        <w:spacing w:after="0" w:line="240" w:lineRule="auto"/>
        <w:jc w:val="center"/>
        <w:rPr>
          <w:rFonts w:cs="Times New Roman"/>
          <w:sz w:val="28"/>
          <w:szCs w:val="28"/>
        </w:rPr>
      </w:pPr>
      <w:r w:rsidRPr="004913FB">
        <w:rPr>
          <w:rFonts w:cs="Times New Roman"/>
          <w:sz w:val="28"/>
          <w:szCs w:val="28"/>
        </w:rPr>
        <w:t>(</w:t>
      </w:r>
      <w:r w:rsidRPr="004913FB">
        <w:rPr>
          <w:rFonts w:cs="Times New Roman"/>
          <w:i/>
          <w:sz w:val="28"/>
          <w:szCs w:val="28"/>
        </w:rPr>
        <w:t>21 maggio 2019</w:t>
      </w:r>
      <w:r>
        <w:rPr>
          <w:rFonts w:cs="Times New Roman"/>
          <w:i/>
          <w:sz w:val="28"/>
          <w:szCs w:val="28"/>
        </w:rPr>
        <w:t>, ore 19</w:t>
      </w:r>
      <w:r w:rsidRPr="004913FB">
        <w:rPr>
          <w:rFonts w:cs="Times New Roman"/>
          <w:sz w:val="28"/>
          <w:szCs w:val="28"/>
        </w:rPr>
        <w:t>)</w:t>
      </w:r>
    </w:p>
    <w:p w:rsidR="00BC47DA" w:rsidRDefault="00BC47DA" w:rsidP="004B79C1">
      <w:pPr>
        <w:rPr>
          <w:b/>
          <w:bCs/>
          <w:i/>
          <w:sz w:val="28"/>
          <w:szCs w:val="28"/>
        </w:rPr>
      </w:pPr>
    </w:p>
    <w:p w:rsidR="005E583A" w:rsidRDefault="005E583A" w:rsidP="00813EDD">
      <w:pPr>
        <w:ind w:firstLine="709"/>
        <w:rPr>
          <w:b/>
          <w:bCs/>
          <w:i/>
          <w:sz w:val="28"/>
          <w:szCs w:val="28"/>
        </w:rPr>
      </w:pPr>
      <w:r w:rsidRPr="005E583A">
        <w:rPr>
          <w:rFonts w:eastAsia="Calibri"/>
          <w:sz w:val="28"/>
          <w:szCs w:val="28"/>
        </w:rPr>
        <w:t>Con riferimento alle richieste di riesame delle valutazioni circa l’inammissibilità delle proposte emendative presentate, alla luce del nuovo esame svolto</w:t>
      </w:r>
      <w:r w:rsidR="00813EDD">
        <w:rPr>
          <w:rFonts w:eastAsia="Calibri"/>
          <w:sz w:val="28"/>
          <w:szCs w:val="28"/>
        </w:rPr>
        <w:t xml:space="preserve"> e</w:t>
      </w:r>
      <w:r w:rsidRPr="005E583A">
        <w:rPr>
          <w:rFonts w:eastAsia="Calibri"/>
          <w:sz w:val="28"/>
          <w:szCs w:val="28"/>
        </w:rPr>
        <w:t xml:space="preserve"> </w:t>
      </w:r>
      <w:r w:rsidR="00813EDD">
        <w:rPr>
          <w:rFonts w:eastAsia="Calibri"/>
          <w:sz w:val="28"/>
          <w:szCs w:val="28"/>
        </w:rPr>
        <w:t xml:space="preserve">considerate le ampie finalità recate dal provvedimento, </w:t>
      </w:r>
      <w:r>
        <w:rPr>
          <w:rFonts w:eastAsia="Calibri"/>
          <w:sz w:val="28"/>
          <w:szCs w:val="28"/>
        </w:rPr>
        <w:t xml:space="preserve">sono stati </w:t>
      </w:r>
      <w:r w:rsidR="00813EDD">
        <w:rPr>
          <w:rFonts w:eastAsia="Calibri"/>
          <w:sz w:val="28"/>
          <w:szCs w:val="28"/>
        </w:rPr>
        <w:t xml:space="preserve">comunque </w:t>
      </w:r>
      <w:r>
        <w:rPr>
          <w:rFonts w:eastAsia="Calibri"/>
          <w:sz w:val="28"/>
          <w:szCs w:val="28"/>
        </w:rPr>
        <w:t>considerati</w:t>
      </w:r>
      <w:r w:rsidRPr="005E583A">
        <w:rPr>
          <w:rFonts w:eastAsia="Calibri"/>
          <w:sz w:val="28"/>
          <w:szCs w:val="28"/>
        </w:rPr>
        <w:t xml:space="preserve"> ammissibili </w:t>
      </w:r>
      <w:r>
        <w:rPr>
          <w:rFonts w:eastAsia="Calibri"/>
          <w:sz w:val="28"/>
          <w:szCs w:val="28"/>
        </w:rPr>
        <w:t>gli</w:t>
      </w:r>
      <w:r w:rsidRPr="005E583A">
        <w:rPr>
          <w:rFonts w:eastAsia="Calibri"/>
          <w:sz w:val="28"/>
          <w:szCs w:val="28"/>
        </w:rPr>
        <w:t xml:space="preserve"> emendamenti </w:t>
      </w:r>
      <w:r>
        <w:rPr>
          <w:rFonts w:eastAsia="Calibri"/>
          <w:sz w:val="28"/>
          <w:szCs w:val="28"/>
        </w:rPr>
        <w:t xml:space="preserve">volti a favorire la crescita </w:t>
      </w:r>
      <w:r w:rsidR="004F70FF">
        <w:rPr>
          <w:rFonts w:eastAsia="Calibri"/>
          <w:sz w:val="28"/>
          <w:szCs w:val="28"/>
        </w:rPr>
        <w:t>economica</w:t>
      </w:r>
      <w:r w:rsidR="00813EDD">
        <w:rPr>
          <w:rFonts w:eastAsia="Calibri"/>
          <w:sz w:val="28"/>
          <w:szCs w:val="28"/>
        </w:rPr>
        <w:t xml:space="preserve"> attraverso il sostegno alle attività produttive, nonché quelli recanti misure in favore degli enti locali, </w:t>
      </w:r>
      <w:r w:rsidR="00D77D85">
        <w:rPr>
          <w:rFonts w:eastAsia="Calibri"/>
          <w:sz w:val="28"/>
          <w:szCs w:val="28"/>
        </w:rPr>
        <w:t>ivi comprese</w:t>
      </w:r>
      <w:r w:rsidR="00813EDD">
        <w:rPr>
          <w:rFonts w:eastAsia="Calibri"/>
          <w:sz w:val="28"/>
          <w:szCs w:val="28"/>
        </w:rPr>
        <w:t xml:space="preserve"> quelle volte alla riduzione del debito dei predetti enti e al sostegno agli investimenti. </w:t>
      </w:r>
    </w:p>
    <w:p w:rsidR="005E583A" w:rsidRPr="00813EDD" w:rsidRDefault="00813EDD" w:rsidP="004B79C1">
      <w:pPr>
        <w:rPr>
          <w:bCs/>
          <w:sz w:val="28"/>
          <w:szCs w:val="28"/>
        </w:rPr>
      </w:pPr>
      <w:r>
        <w:rPr>
          <w:b/>
          <w:bCs/>
          <w:sz w:val="28"/>
          <w:szCs w:val="28"/>
        </w:rPr>
        <w:tab/>
      </w:r>
      <w:r w:rsidRPr="00813EDD">
        <w:rPr>
          <w:bCs/>
          <w:sz w:val="28"/>
          <w:szCs w:val="28"/>
        </w:rPr>
        <w:t>Le proposte emendative riam</w:t>
      </w:r>
      <w:r>
        <w:rPr>
          <w:bCs/>
          <w:sz w:val="28"/>
          <w:szCs w:val="28"/>
        </w:rPr>
        <w:t>m</w:t>
      </w:r>
      <w:r w:rsidRPr="00813EDD">
        <w:rPr>
          <w:bCs/>
          <w:sz w:val="28"/>
          <w:szCs w:val="28"/>
        </w:rPr>
        <w:t>esse sono le seguenti:</w:t>
      </w:r>
    </w:p>
    <w:p w:rsidR="004B79C1" w:rsidRPr="00C61661" w:rsidRDefault="00D46DE0" w:rsidP="004B79C1">
      <w:pPr>
        <w:rPr>
          <w:bCs/>
          <w:sz w:val="28"/>
          <w:szCs w:val="28"/>
        </w:rPr>
      </w:pPr>
      <w:r w:rsidRPr="00C61661">
        <w:rPr>
          <w:b/>
          <w:bCs/>
          <w:sz w:val="28"/>
          <w:szCs w:val="28"/>
        </w:rPr>
        <w:t>Comaroli</w:t>
      </w:r>
      <w:r w:rsidR="00595792" w:rsidRPr="00C61661">
        <w:rPr>
          <w:b/>
          <w:bCs/>
          <w:sz w:val="28"/>
          <w:szCs w:val="28"/>
        </w:rPr>
        <w:t xml:space="preserve"> 6.1, </w:t>
      </w:r>
      <w:r w:rsidR="00595792" w:rsidRPr="00C61661">
        <w:rPr>
          <w:bCs/>
          <w:sz w:val="28"/>
          <w:szCs w:val="28"/>
        </w:rPr>
        <w:t xml:space="preserve">che prevede una modifica </w:t>
      </w:r>
      <w:r w:rsidR="004B79C1" w:rsidRPr="00C61661">
        <w:rPr>
          <w:bCs/>
          <w:sz w:val="28"/>
          <w:szCs w:val="28"/>
        </w:rPr>
        <w:t xml:space="preserve">delle </w:t>
      </w:r>
      <w:r w:rsidR="00595792" w:rsidRPr="00C61661">
        <w:rPr>
          <w:bCs/>
          <w:sz w:val="28"/>
          <w:szCs w:val="28"/>
        </w:rPr>
        <w:t xml:space="preserve">sanzioni concernenti gli obblighi relativi alla documentazione, registrazione ed individuazione delle operazioni soggette </w:t>
      </w:r>
      <w:r w:rsidR="00B24E8B" w:rsidRPr="00C61661">
        <w:rPr>
          <w:bCs/>
          <w:sz w:val="28"/>
          <w:szCs w:val="28"/>
        </w:rPr>
        <w:t>all'imposta sul valore aggiunto</w:t>
      </w:r>
      <w:r w:rsidR="004B79C1" w:rsidRPr="00C61661">
        <w:rPr>
          <w:bCs/>
          <w:sz w:val="28"/>
          <w:szCs w:val="28"/>
        </w:rPr>
        <w:t>;</w:t>
      </w:r>
    </w:p>
    <w:p w:rsidR="00595792" w:rsidRPr="00C61661" w:rsidRDefault="00595792" w:rsidP="006251F2">
      <w:pPr>
        <w:rPr>
          <w:sz w:val="28"/>
          <w:szCs w:val="28"/>
        </w:rPr>
      </w:pPr>
      <w:r w:rsidRPr="00C61661">
        <w:rPr>
          <w:b/>
          <w:sz w:val="28"/>
          <w:szCs w:val="28"/>
        </w:rPr>
        <w:t>Calabria 6.010,</w:t>
      </w:r>
      <w:r w:rsidRPr="00C61661">
        <w:rPr>
          <w:sz w:val="28"/>
          <w:szCs w:val="28"/>
        </w:rPr>
        <w:t xml:space="preserve"> volto a introdurre un’aliquota agevolata </w:t>
      </w:r>
      <w:r w:rsidR="00C0771D" w:rsidRPr="00C61661">
        <w:rPr>
          <w:bCs/>
          <w:sz w:val="28"/>
          <w:szCs w:val="28"/>
        </w:rPr>
        <w:t xml:space="preserve">IVA </w:t>
      </w:r>
      <w:r w:rsidRPr="00C61661">
        <w:rPr>
          <w:sz w:val="28"/>
          <w:szCs w:val="28"/>
        </w:rPr>
        <w:t>pe</w:t>
      </w:r>
      <w:r w:rsidR="00040442" w:rsidRPr="00C61661">
        <w:rPr>
          <w:sz w:val="28"/>
          <w:szCs w:val="28"/>
        </w:rPr>
        <w:t>r prodotti destinati ai neonati;</w:t>
      </w:r>
    </w:p>
    <w:p w:rsidR="002B0619" w:rsidRPr="00C61661" w:rsidRDefault="00595792" w:rsidP="002B0619">
      <w:pPr>
        <w:rPr>
          <w:sz w:val="28"/>
          <w:szCs w:val="28"/>
        </w:rPr>
      </w:pPr>
      <w:r w:rsidRPr="00C61661">
        <w:rPr>
          <w:b/>
          <w:sz w:val="28"/>
          <w:szCs w:val="28"/>
        </w:rPr>
        <w:t>Calabria 6.011,</w:t>
      </w:r>
      <w:r w:rsidRPr="00C61661">
        <w:rPr>
          <w:sz w:val="28"/>
          <w:szCs w:val="28"/>
        </w:rPr>
        <w:t xml:space="preserve"> che prevede la deducibilità ai fini </w:t>
      </w:r>
      <w:r w:rsidR="00C0771D" w:rsidRPr="00C61661">
        <w:rPr>
          <w:sz w:val="28"/>
          <w:szCs w:val="28"/>
        </w:rPr>
        <w:t>IRPEF</w:t>
      </w:r>
      <w:r w:rsidRPr="00C61661">
        <w:rPr>
          <w:sz w:val="28"/>
          <w:szCs w:val="28"/>
        </w:rPr>
        <w:t xml:space="preserve"> delle spese documentate per l’acquisto d</w:t>
      </w:r>
      <w:r w:rsidR="00040442" w:rsidRPr="00C61661">
        <w:rPr>
          <w:sz w:val="28"/>
          <w:szCs w:val="28"/>
        </w:rPr>
        <w:t>i prodotti destinati ai neonati</w:t>
      </w:r>
      <w:r w:rsidR="002B0619" w:rsidRPr="00C61661">
        <w:rPr>
          <w:sz w:val="28"/>
          <w:szCs w:val="28"/>
        </w:rPr>
        <w:t>;</w:t>
      </w:r>
    </w:p>
    <w:p w:rsidR="00595792" w:rsidRPr="00C61661" w:rsidRDefault="00595792" w:rsidP="006251F2">
      <w:pPr>
        <w:rPr>
          <w:sz w:val="28"/>
          <w:szCs w:val="28"/>
        </w:rPr>
      </w:pPr>
      <w:r w:rsidRPr="00C61661">
        <w:rPr>
          <w:b/>
          <w:sz w:val="28"/>
          <w:szCs w:val="28"/>
        </w:rPr>
        <w:t>Nardi 7.17,</w:t>
      </w:r>
      <w:r w:rsidRPr="00C61661">
        <w:rPr>
          <w:sz w:val="28"/>
          <w:szCs w:val="28"/>
        </w:rPr>
        <w:t xml:space="preserve"> che esclude dall’imposta sui redditi le plusvalenze realizzate mediante cessione a titolo oneroso di beni immobili acquistati o cost</w:t>
      </w:r>
      <w:r w:rsidR="00040442" w:rsidRPr="00C61661">
        <w:rPr>
          <w:sz w:val="28"/>
          <w:szCs w:val="28"/>
        </w:rPr>
        <w:t>ruiti da non più di cinque</w:t>
      </w:r>
      <w:r w:rsidR="004F78DF" w:rsidRPr="00C61661">
        <w:rPr>
          <w:sz w:val="28"/>
          <w:szCs w:val="28"/>
        </w:rPr>
        <w:t xml:space="preserve"> anni;</w:t>
      </w:r>
    </w:p>
    <w:p w:rsidR="00595792" w:rsidRPr="00C61661" w:rsidRDefault="00595792" w:rsidP="006251F2">
      <w:pPr>
        <w:rPr>
          <w:sz w:val="28"/>
          <w:szCs w:val="28"/>
        </w:rPr>
      </w:pPr>
      <w:r w:rsidRPr="00C61661">
        <w:rPr>
          <w:b/>
          <w:sz w:val="28"/>
          <w:szCs w:val="28"/>
        </w:rPr>
        <w:t>Gagliardi 10.8</w:t>
      </w:r>
      <w:r w:rsidRPr="00C61661">
        <w:rPr>
          <w:sz w:val="28"/>
          <w:szCs w:val="28"/>
        </w:rPr>
        <w:t xml:space="preserve">, volto a prevedere una aliquota agevolata </w:t>
      </w:r>
      <w:r w:rsidR="00C0771D" w:rsidRPr="00C61661">
        <w:rPr>
          <w:sz w:val="28"/>
          <w:szCs w:val="28"/>
        </w:rPr>
        <w:t>IVA</w:t>
      </w:r>
      <w:r w:rsidRPr="00C61661">
        <w:rPr>
          <w:sz w:val="28"/>
          <w:szCs w:val="28"/>
        </w:rPr>
        <w:t xml:space="preserve"> per le forniture di energia prodotte da fonti rinnovabili</w:t>
      </w:r>
      <w:r w:rsidR="00F623D3" w:rsidRPr="00C61661">
        <w:rPr>
          <w:sz w:val="28"/>
          <w:szCs w:val="28"/>
        </w:rPr>
        <w:t xml:space="preserve"> o da impianti di cogenerazione;</w:t>
      </w:r>
    </w:p>
    <w:p w:rsidR="00595792" w:rsidRPr="00C61661" w:rsidRDefault="00595792" w:rsidP="006251F2">
      <w:pPr>
        <w:rPr>
          <w:sz w:val="28"/>
          <w:szCs w:val="28"/>
        </w:rPr>
      </w:pPr>
      <w:r w:rsidRPr="00C61661">
        <w:rPr>
          <w:b/>
          <w:sz w:val="28"/>
          <w:szCs w:val="28"/>
        </w:rPr>
        <w:t xml:space="preserve">Vallascas 10.19, </w:t>
      </w:r>
      <w:r w:rsidRPr="00C61661">
        <w:rPr>
          <w:sz w:val="28"/>
          <w:szCs w:val="28"/>
        </w:rPr>
        <w:t>che reca modifiche alla disciplina relativa ai contributi per la produzione di energia termica da fonti r</w:t>
      </w:r>
      <w:bookmarkStart w:id="0" w:name="_GoBack"/>
      <w:bookmarkEnd w:id="0"/>
      <w:r w:rsidRPr="00C61661">
        <w:rPr>
          <w:sz w:val="28"/>
          <w:szCs w:val="28"/>
        </w:rPr>
        <w:t>innovabili e per interventi di efficienza energetica di piccole dimensioni</w:t>
      </w:r>
      <w:r w:rsidR="004B79C1" w:rsidRPr="00C61661">
        <w:rPr>
          <w:sz w:val="28"/>
          <w:szCs w:val="28"/>
        </w:rPr>
        <w:t>;</w:t>
      </w:r>
    </w:p>
    <w:p w:rsidR="00595792" w:rsidRPr="00C61661" w:rsidRDefault="00595792" w:rsidP="006251F2">
      <w:pPr>
        <w:rPr>
          <w:sz w:val="28"/>
          <w:szCs w:val="28"/>
        </w:rPr>
      </w:pPr>
      <w:r w:rsidRPr="00C61661">
        <w:rPr>
          <w:b/>
          <w:sz w:val="28"/>
          <w:szCs w:val="28"/>
        </w:rPr>
        <w:t>Fragomeli 10.24 e De Lorenzis 10.014</w:t>
      </w:r>
      <w:r w:rsidRPr="00C61661">
        <w:rPr>
          <w:sz w:val="28"/>
          <w:szCs w:val="28"/>
        </w:rPr>
        <w:t xml:space="preserve">, che prevedono agevolazioni </w:t>
      </w:r>
      <w:r w:rsidR="00815751" w:rsidRPr="00C61661">
        <w:rPr>
          <w:sz w:val="28"/>
          <w:szCs w:val="28"/>
        </w:rPr>
        <w:t>rivolte al</w:t>
      </w:r>
      <w:r w:rsidRPr="00C61661">
        <w:rPr>
          <w:sz w:val="28"/>
          <w:szCs w:val="28"/>
        </w:rPr>
        <w:t>l’acquisto di autoveicoli alimentati a energia elettrica</w:t>
      </w:r>
      <w:r w:rsidR="00815751" w:rsidRPr="00C61661">
        <w:rPr>
          <w:sz w:val="28"/>
          <w:szCs w:val="28"/>
        </w:rPr>
        <w:t xml:space="preserve"> anche al fine di incentivare il relativo settore produttivo</w:t>
      </w:r>
      <w:r w:rsidR="004B79C1" w:rsidRPr="00C61661">
        <w:rPr>
          <w:sz w:val="28"/>
          <w:szCs w:val="28"/>
        </w:rPr>
        <w:t>;</w:t>
      </w:r>
    </w:p>
    <w:p w:rsidR="00595792" w:rsidRPr="004F70FF" w:rsidRDefault="00595792" w:rsidP="006251F2">
      <w:pPr>
        <w:rPr>
          <w:sz w:val="28"/>
          <w:szCs w:val="28"/>
        </w:rPr>
      </w:pPr>
      <w:r w:rsidRPr="004F70FF">
        <w:rPr>
          <w:b/>
          <w:sz w:val="28"/>
          <w:szCs w:val="28"/>
        </w:rPr>
        <w:lastRenderedPageBreak/>
        <w:t>Paolo Russo 10.07</w:t>
      </w:r>
      <w:r w:rsidRPr="004F70FF">
        <w:rPr>
          <w:sz w:val="28"/>
          <w:szCs w:val="28"/>
        </w:rPr>
        <w:t xml:space="preserve">, </w:t>
      </w:r>
      <w:r w:rsidR="00C0771D" w:rsidRPr="004F70FF">
        <w:rPr>
          <w:sz w:val="28"/>
          <w:szCs w:val="28"/>
        </w:rPr>
        <w:t xml:space="preserve">che </w:t>
      </w:r>
      <w:r w:rsidRPr="004F70FF">
        <w:rPr>
          <w:sz w:val="28"/>
          <w:szCs w:val="28"/>
        </w:rPr>
        <w:t xml:space="preserve">prevede l’applicazione di un’aliquota </w:t>
      </w:r>
      <w:r w:rsidR="00C0771D" w:rsidRPr="004F70FF">
        <w:rPr>
          <w:sz w:val="28"/>
          <w:szCs w:val="28"/>
        </w:rPr>
        <w:t>IVA</w:t>
      </w:r>
      <w:r w:rsidRPr="004F70FF">
        <w:rPr>
          <w:sz w:val="28"/>
          <w:szCs w:val="28"/>
        </w:rPr>
        <w:t xml:space="preserve"> agevolata al</w:t>
      </w:r>
      <w:r w:rsidR="009A0608" w:rsidRPr="004F70FF">
        <w:rPr>
          <w:sz w:val="28"/>
          <w:szCs w:val="28"/>
        </w:rPr>
        <w:t>la produzione di</w:t>
      </w:r>
      <w:r w:rsidRPr="004F70FF">
        <w:rPr>
          <w:sz w:val="28"/>
          <w:szCs w:val="28"/>
        </w:rPr>
        <w:t xml:space="preserve"> calore per uso domestico erog</w:t>
      </w:r>
      <w:r w:rsidR="00F623D3" w:rsidRPr="004F70FF">
        <w:rPr>
          <w:sz w:val="28"/>
          <w:szCs w:val="28"/>
        </w:rPr>
        <w:t>ato da sistemi di riscaldamento;</w:t>
      </w:r>
    </w:p>
    <w:p w:rsidR="00595792" w:rsidRPr="004F70FF" w:rsidRDefault="00595792" w:rsidP="006251F2">
      <w:pPr>
        <w:rPr>
          <w:sz w:val="28"/>
          <w:szCs w:val="28"/>
        </w:rPr>
      </w:pPr>
      <w:r w:rsidRPr="00C61661">
        <w:rPr>
          <w:b/>
          <w:sz w:val="28"/>
          <w:szCs w:val="28"/>
        </w:rPr>
        <w:t>De Lorenzis 10.016</w:t>
      </w:r>
      <w:r w:rsidRPr="00C61661">
        <w:rPr>
          <w:sz w:val="28"/>
          <w:szCs w:val="28"/>
        </w:rPr>
        <w:t xml:space="preserve">, </w:t>
      </w:r>
      <w:r w:rsidR="00935229" w:rsidRPr="00C61661">
        <w:rPr>
          <w:sz w:val="28"/>
          <w:szCs w:val="28"/>
        </w:rPr>
        <w:t xml:space="preserve">che </w:t>
      </w:r>
      <w:r w:rsidRPr="00C61661">
        <w:rPr>
          <w:sz w:val="28"/>
          <w:szCs w:val="28"/>
        </w:rPr>
        <w:t xml:space="preserve">reca modifiche alla disciplina degli incentivi per la </w:t>
      </w:r>
      <w:r w:rsidRPr="004F70FF">
        <w:rPr>
          <w:sz w:val="28"/>
          <w:szCs w:val="28"/>
        </w:rPr>
        <w:t>rottamazione finalizzata all’acq</w:t>
      </w:r>
      <w:r w:rsidR="00F623D3" w:rsidRPr="004F70FF">
        <w:rPr>
          <w:sz w:val="28"/>
          <w:szCs w:val="28"/>
        </w:rPr>
        <w:t>uisto di veicoli non i</w:t>
      </w:r>
      <w:r w:rsidR="004B79C1" w:rsidRPr="004F70FF">
        <w:rPr>
          <w:sz w:val="28"/>
          <w:szCs w:val="28"/>
        </w:rPr>
        <w:t>nquinanti;</w:t>
      </w:r>
    </w:p>
    <w:p w:rsidR="002E0C11" w:rsidRPr="004F70FF" w:rsidRDefault="002E0C11" w:rsidP="006251F2">
      <w:pPr>
        <w:rPr>
          <w:bCs/>
          <w:sz w:val="28"/>
          <w:szCs w:val="28"/>
        </w:rPr>
      </w:pPr>
      <w:r w:rsidRPr="004F70FF">
        <w:rPr>
          <w:b/>
          <w:bCs/>
          <w:sz w:val="28"/>
          <w:szCs w:val="28"/>
        </w:rPr>
        <w:t>Gusmeroli 11.02</w:t>
      </w:r>
      <w:r w:rsidRPr="004F70FF">
        <w:rPr>
          <w:bCs/>
          <w:sz w:val="28"/>
          <w:szCs w:val="28"/>
        </w:rPr>
        <w:t>, che consente l’autenticazione della scrittura privata di affitto d’azienda ai commercialisti e agli avvocati;</w:t>
      </w:r>
    </w:p>
    <w:p w:rsidR="002D6935" w:rsidRPr="004F70FF" w:rsidRDefault="008312E8" w:rsidP="006251F2">
      <w:pPr>
        <w:rPr>
          <w:sz w:val="28"/>
          <w:szCs w:val="28"/>
        </w:rPr>
      </w:pPr>
      <w:r w:rsidRPr="004F70FF">
        <w:rPr>
          <w:bCs/>
          <w:sz w:val="28"/>
          <w:szCs w:val="28"/>
        </w:rPr>
        <w:t>gli identici</w:t>
      </w:r>
      <w:r w:rsidRPr="004F70FF">
        <w:rPr>
          <w:b/>
          <w:bCs/>
          <w:sz w:val="28"/>
          <w:szCs w:val="28"/>
        </w:rPr>
        <w:t xml:space="preserve"> </w:t>
      </w:r>
      <w:r w:rsidR="002D6935" w:rsidRPr="004F70FF">
        <w:rPr>
          <w:b/>
          <w:sz w:val="28"/>
          <w:szCs w:val="28"/>
        </w:rPr>
        <w:t>Schullian 12.04 e Zucconi 12.011</w:t>
      </w:r>
      <w:r w:rsidR="002D6935" w:rsidRPr="004F70FF">
        <w:rPr>
          <w:sz w:val="28"/>
          <w:szCs w:val="28"/>
        </w:rPr>
        <w:t>, che recano modifiche alla disciplina dell’obbligo di nomina d</w:t>
      </w:r>
      <w:r w:rsidR="00F623D3" w:rsidRPr="004F70FF">
        <w:rPr>
          <w:sz w:val="28"/>
          <w:szCs w:val="28"/>
        </w:rPr>
        <w:t xml:space="preserve">i organi di controllo nelle </w:t>
      </w:r>
      <w:r w:rsidR="00C0771D" w:rsidRPr="004F70FF">
        <w:rPr>
          <w:sz w:val="28"/>
          <w:szCs w:val="28"/>
        </w:rPr>
        <w:t>S</w:t>
      </w:r>
      <w:r w:rsidR="00F623D3" w:rsidRPr="004F70FF">
        <w:rPr>
          <w:sz w:val="28"/>
          <w:szCs w:val="28"/>
        </w:rPr>
        <w:t>rl;</w:t>
      </w:r>
    </w:p>
    <w:p w:rsidR="002D6935" w:rsidRPr="004F70FF" w:rsidRDefault="002D6935" w:rsidP="006251F2">
      <w:pPr>
        <w:rPr>
          <w:sz w:val="28"/>
          <w:szCs w:val="28"/>
        </w:rPr>
      </w:pPr>
      <w:r w:rsidRPr="004F70FF">
        <w:rPr>
          <w:b/>
          <w:sz w:val="28"/>
          <w:szCs w:val="28"/>
        </w:rPr>
        <w:t>Calabria 12.014</w:t>
      </w:r>
      <w:r w:rsidRPr="004F70FF">
        <w:rPr>
          <w:sz w:val="28"/>
          <w:szCs w:val="28"/>
        </w:rPr>
        <w:t xml:space="preserve">, che prevede una detrazione ai fini </w:t>
      </w:r>
      <w:r w:rsidR="00C0771D" w:rsidRPr="004F70FF">
        <w:rPr>
          <w:sz w:val="28"/>
          <w:szCs w:val="28"/>
        </w:rPr>
        <w:t>IRPEF</w:t>
      </w:r>
      <w:r w:rsidRPr="004F70FF">
        <w:rPr>
          <w:sz w:val="28"/>
          <w:szCs w:val="28"/>
        </w:rPr>
        <w:t xml:space="preserve"> per l’acquisto d</w:t>
      </w:r>
      <w:r w:rsidR="00F623D3" w:rsidRPr="004F70FF">
        <w:rPr>
          <w:sz w:val="28"/>
          <w:szCs w:val="28"/>
        </w:rPr>
        <w:t>i prodotti destinati ai neonati;</w:t>
      </w:r>
    </w:p>
    <w:p w:rsidR="007663D8" w:rsidRPr="00C61661" w:rsidRDefault="007663D8" w:rsidP="006251F2">
      <w:pPr>
        <w:rPr>
          <w:b/>
          <w:bCs/>
          <w:sz w:val="28"/>
          <w:szCs w:val="28"/>
        </w:rPr>
      </w:pPr>
      <w:r w:rsidRPr="00C61661">
        <w:rPr>
          <w:b/>
          <w:bCs/>
          <w:sz w:val="28"/>
          <w:szCs w:val="28"/>
        </w:rPr>
        <w:t xml:space="preserve">Donno 13.011, </w:t>
      </w:r>
      <w:r w:rsidR="00CE35A1" w:rsidRPr="00C61661">
        <w:rPr>
          <w:bCs/>
          <w:sz w:val="28"/>
          <w:szCs w:val="28"/>
        </w:rPr>
        <w:t xml:space="preserve">che </w:t>
      </w:r>
      <w:r w:rsidRPr="00C61661">
        <w:rPr>
          <w:bCs/>
          <w:sz w:val="28"/>
          <w:szCs w:val="28"/>
        </w:rPr>
        <w:t>istituisce incentiv</w:t>
      </w:r>
      <w:r w:rsidR="00CE35A1" w:rsidRPr="00C61661">
        <w:rPr>
          <w:bCs/>
          <w:sz w:val="28"/>
          <w:szCs w:val="28"/>
        </w:rPr>
        <w:t xml:space="preserve">i per </w:t>
      </w:r>
      <w:r w:rsidRPr="00C61661">
        <w:rPr>
          <w:bCs/>
          <w:sz w:val="28"/>
          <w:szCs w:val="28"/>
        </w:rPr>
        <w:t>l’acquisto di automobili elettriche</w:t>
      </w:r>
      <w:r w:rsidR="00516391" w:rsidRPr="00C61661">
        <w:rPr>
          <w:sz w:val="28"/>
          <w:szCs w:val="28"/>
        </w:rPr>
        <w:t>;</w:t>
      </w:r>
    </w:p>
    <w:p w:rsidR="002E0C11" w:rsidRPr="004F70FF" w:rsidRDefault="002E0C11" w:rsidP="006251F2">
      <w:pPr>
        <w:rPr>
          <w:bCs/>
          <w:sz w:val="28"/>
          <w:szCs w:val="28"/>
        </w:rPr>
      </w:pPr>
      <w:r w:rsidRPr="004F70FF">
        <w:rPr>
          <w:b/>
          <w:bCs/>
          <w:sz w:val="28"/>
          <w:szCs w:val="28"/>
        </w:rPr>
        <w:t>Comaroli 14.14</w:t>
      </w:r>
      <w:r w:rsidRPr="004F70FF">
        <w:rPr>
          <w:bCs/>
          <w:sz w:val="28"/>
          <w:szCs w:val="28"/>
        </w:rPr>
        <w:t xml:space="preserve">, che innalza la misura delle detrazioni </w:t>
      </w:r>
      <w:r w:rsidR="00C0771D" w:rsidRPr="004F70FF">
        <w:rPr>
          <w:sz w:val="28"/>
          <w:szCs w:val="28"/>
        </w:rPr>
        <w:t xml:space="preserve">IRPEF </w:t>
      </w:r>
      <w:r w:rsidRPr="004F70FF">
        <w:rPr>
          <w:bCs/>
          <w:sz w:val="28"/>
          <w:szCs w:val="28"/>
        </w:rPr>
        <w:t>per le spese di assistenza personale ai soggetti non autosufficienti;</w:t>
      </w:r>
    </w:p>
    <w:p w:rsidR="002E0C11" w:rsidRPr="00C61661" w:rsidRDefault="002E0C11" w:rsidP="006251F2">
      <w:pPr>
        <w:rPr>
          <w:bCs/>
          <w:sz w:val="28"/>
          <w:szCs w:val="28"/>
        </w:rPr>
      </w:pPr>
      <w:r w:rsidRPr="004F70FF">
        <w:rPr>
          <w:b/>
          <w:bCs/>
          <w:sz w:val="28"/>
          <w:szCs w:val="28"/>
        </w:rPr>
        <w:t>Prestigiacomo 15.01, 15.</w:t>
      </w:r>
      <w:r w:rsidR="0095548C" w:rsidRPr="004F70FF">
        <w:rPr>
          <w:b/>
          <w:bCs/>
          <w:sz w:val="28"/>
          <w:szCs w:val="28"/>
        </w:rPr>
        <w:t xml:space="preserve">02, 15.03, 15.04, 15.05, 15.07 e </w:t>
      </w:r>
      <w:r w:rsidRPr="004F70FF">
        <w:rPr>
          <w:b/>
          <w:bCs/>
          <w:sz w:val="28"/>
          <w:szCs w:val="28"/>
        </w:rPr>
        <w:t>15.08</w:t>
      </w:r>
      <w:r w:rsidRPr="004F70FF">
        <w:rPr>
          <w:bCs/>
          <w:sz w:val="28"/>
          <w:szCs w:val="28"/>
        </w:rPr>
        <w:t>, che introducono norme complessivamente volte al recupero di mancati trasferimenti erariali agli enti locali della Regione siciliana</w:t>
      </w:r>
      <w:r w:rsidR="006D7A9D" w:rsidRPr="004F70FF">
        <w:rPr>
          <w:bCs/>
          <w:sz w:val="28"/>
          <w:szCs w:val="28"/>
        </w:rPr>
        <w:t xml:space="preserve"> per il </w:t>
      </w:r>
      <w:r w:rsidRPr="004F70FF">
        <w:rPr>
          <w:bCs/>
          <w:sz w:val="28"/>
          <w:szCs w:val="28"/>
        </w:rPr>
        <w:t>riequilibrio finanziario dei predetti enti;</w:t>
      </w:r>
    </w:p>
    <w:p w:rsidR="002E0C11" w:rsidRPr="00C61661" w:rsidRDefault="00351E19" w:rsidP="006251F2">
      <w:pPr>
        <w:rPr>
          <w:bCs/>
          <w:sz w:val="28"/>
          <w:szCs w:val="28"/>
        </w:rPr>
      </w:pPr>
      <w:r w:rsidRPr="00C61661">
        <w:rPr>
          <w:b/>
          <w:bCs/>
          <w:sz w:val="28"/>
          <w:szCs w:val="28"/>
        </w:rPr>
        <w:t>Bianchi</w:t>
      </w:r>
      <w:r w:rsidR="002E0C11" w:rsidRPr="00C61661">
        <w:rPr>
          <w:b/>
          <w:bCs/>
          <w:sz w:val="28"/>
          <w:szCs w:val="28"/>
        </w:rPr>
        <w:t xml:space="preserve"> 15.020</w:t>
      </w:r>
      <w:r w:rsidR="002E0C11" w:rsidRPr="00C61661">
        <w:rPr>
          <w:bCs/>
          <w:sz w:val="28"/>
          <w:szCs w:val="28"/>
        </w:rPr>
        <w:t>, che modifica il T</w:t>
      </w:r>
      <w:r w:rsidR="00C0771D" w:rsidRPr="00C61661">
        <w:rPr>
          <w:bCs/>
          <w:sz w:val="28"/>
          <w:szCs w:val="28"/>
        </w:rPr>
        <w:t>UEL</w:t>
      </w:r>
      <w:r w:rsidR="002E0C11" w:rsidRPr="00C61661">
        <w:rPr>
          <w:bCs/>
          <w:sz w:val="28"/>
          <w:szCs w:val="28"/>
        </w:rPr>
        <w:t xml:space="preserve"> esentando fino al 2018 i piccoli comuni dall’obbligo di</w:t>
      </w:r>
      <w:r w:rsidR="00CE35A1" w:rsidRPr="00C61661">
        <w:rPr>
          <w:bCs/>
          <w:sz w:val="28"/>
          <w:szCs w:val="28"/>
        </w:rPr>
        <w:t xml:space="preserve"> tenere la contabilità economica</w:t>
      </w:r>
      <w:r w:rsidR="002E0C11" w:rsidRPr="00C61661">
        <w:rPr>
          <w:bCs/>
          <w:sz w:val="28"/>
          <w:szCs w:val="28"/>
        </w:rPr>
        <w:t>;</w:t>
      </w:r>
    </w:p>
    <w:p w:rsidR="002E0C11" w:rsidRPr="00476756" w:rsidRDefault="002E0C11" w:rsidP="006251F2">
      <w:pPr>
        <w:rPr>
          <w:bCs/>
          <w:sz w:val="28"/>
          <w:szCs w:val="28"/>
        </w:rPr>
      </w:pPr>
      <w:r w:rsidRPr="00476756">
        <w:rPr>
          <w:b/>
          <w:bCs/>
          <w:sz w:val="28"/>
          <w:szCs w:val="28"/>
        </w:rPr>
        <w:t>Ciaburro 15.026 e 15.027</w:t>
      </w:r>
      <w:r w:rsidRPr="00476756">
        <w:rPr>
          <w:bCs/>
          <w:sz w:val="28"/>
          <w:szCs w:val="28"/>
        </w:rPr>
        <w:t>, volti ad esonerare i piccoli comuni da alcuni adempimenti contabili;</w:t>
      </w:r>
    </w:p>
    <w:p w:rsidR="002E0C11" w:rsidRPr="00476756" w:rsidRDefault="002E0C11" w:rsidP="006251F2">
      <w:pPr>
        <w:rPr>
          <w:sz w:val="28"/>
          <w:szCs w:val="28"/>
        </w:rPr>
      </w:pPr>
      <w:r w:rsidRPr="00476756">
        <w:rPr>
          <w:b/>
          <w:sz w:val="28"/>
          <w:szCs w:val="28"/>
        </w:rPr>
        <w:t>Ungaro 16.018</w:t>
      </w:r>
      <w:r w:rsidRPr="00476756">
        <w:rPr>
          <w:sz w:val="28"/>
          <w:szCs w:val="28"/>
        </w:rPr>
        <w:t>, che preve</w:t>
      </w:r>
      <w:r w:rsidR="002D0F00" w:rsidRPr="00476756">
        <w:rPr>
          <w:sz w:val="28"/>
          <w:szCs w:val="28"/>
        </w:rPr>
        <w:t>de</w:t>
      </w:r>
      <w:r w:rsidRPr="00476756">
        <w:rPr>
          <w:sz w:val="28"/>
          <w:szCs w:val="28"/>
        </w:rPr>
        <w:t xml:space="preserve"> agevolazioni per lo sviluppo delle infras</w:t>
      </w:r>
      <w:r w:rsidR="005A4DE5" w:rsidRPr="00476756">
        <w:rPr>
          <w:sz w:val="28"/>
          <w:szCs w:val="28"/>
        </w:rPr>
        <w:t>t</w:t>
      </w:r>
      <w:r w:rsidRPr="00476756">
        <w:rPr>
          <w:sz w:val="28"/>
          <w:szCs w:val="28"/>
        </w:rPr>
        <w:t>rutture di</w:t>
      </w:r>
      <w:r w:rsidR="00C74C23" w:rsidRPr="00476756">
        <w:rPr>
          <w:sz w:val="28"/>
          <w:szCs w:val="28"/>
        </w:rPr>
        <w:t xml:space="preserve"> ricarica dei veicoli elettrici;</w:t>
      </w:r>
    </w:p>
    <w:p w:rsidR="0002469E" w:rsidRPr="00C61661" w:rsidRDefault="0002469E" w:rsidP="0002469E">
      <w:pPr>
        <w:rPr>
          <w:bCs/>
          <w:sz w:val="28"/>
          <w:szCs w:val="28"/>
        </w:rPr>
      </w:pPr>
      <w:r w:rsidRPr="00476756">
        <w:rPr>
          <w:b/>
          <w:bCs/>
          <w:sz w:val="28"/>
          <w:szCs w:val="28"/>
        </w:rPr>
        <w:t>Gusmeroli 16.044</w:t>
      </w:r>
      <w:r w:rsidRPr="00476756">
        <w:rPr>
          <w:bCs/>
          <w:sz w:val="28"/>
          <w:szCs w:val="28"/>
        </w:rPr>
        <w:t xml:space="preserve">, che </w:t>
      </w:r>
      <w:r w:rsidR="00527BA3" w:rsidRPr="00476756">
        <w:rPr>
          <w:bCs/>
          <w:sz w:val="28"/>
          <w:szCs w:val="28"/>
        </w:rPr>
        <w:t xml:space="preserve">modifica la </w:t>
      </w:r>
      <w:r w:rsidRPr="00476756">
        <w:rPr>
          <w:bCs/>
          <w:sz w:val="28"/>
          <w:szCs w:val="28"/>
        </w:rPr>
        <w:t xml:space="preserve">disciplina dell’obbligo di nomina di organi di controllo nelle </w:t>
      </w:r>
      <w:r w:rsidR="00A81DE1" w:rsidRPr="00476756">
        <w:rPr>
          <w:bCs/>
          <w:sz w:val="28"/>
          <w:szCs w:val="28"/>
        </w:rPr>
        <w:t>S</w:t>
      </w:r>
      <w:r w:rsidR="00527BA3" w:rsidRPr="00476756">
        <w:rPr>
          <w:bCs/>
          <w:sz w:val="28"/>
          <w:szCs w:val="28"/>
        </w:rPr>
        <w:t>rl</w:t>
      </w:r>
      <w:r w:rsidR="00935229" w:rsidRPr="00476756">
        <w:rPr>
          <w:bCs/>
          <w:sz w:val="28"/>
          <w:szCs w:val="28"/>
        </w:rPr>
        <w:t>,</w:t>
      </w:r>
      <w:r w:rsidR="00527BA3" w:rsidRPr="00476756">
        <w:rPr>
          <w:bCs/>
          <w:sz w:val="28"/>
          <w:szCs w:val="28"/>
        </w:rPr>
        <w:t xml:space="preserve"> introdotte </w:t>
      </w:r>
      <w:r w:rsidRPr="00476756">
        <w:rPr>
          <w:bCs/>
          <w:sz w:val="28"/>
          <w:szCs w:val="28"/>
        </w:rPr>
        <w:t xml:space="preserve">dal </w:t>
      </w:r>
      <w:r w:rsidR="00A81DE1" w:rsidRPr="00476756">
        <w:rPr>
          <w:bCs/>
          <w:sz w:val="28"/>
          <w:szCs w:val="28"/>
        </w:rPr>
        <w:t>c</w:t>
      </w:r>
      <w:r w:rsidRPr="00476756">
        <w:rPr>
          <w:bCs/>
          <w:sz w:val="28"/>
          <w:szCs w:val="28"/>
        </w:rPr>
        <w:t>odice della crisi d'impresa e dell'insolvenza</w:t>
      </w:r>
      <w:r w:rsidR="00935229" w:rsidRPr="00476756">
        <w:rPr>
          <w:bCs/>
          <w:sz w:val="28"/>
          <w:szCs w:val="28"/>
        </w:rPr>
        <w:t>;</w:t>
      </w:r>
    </w:p>
    <w:p w:rsidR="00057B74" w:rsidRPr="00C61661" w:rsidRDefault="00057B74" w:rsidP="006251F2">
      <w:pPr>
        <w:rPr>
          <w:bCs/>
          <w:sz w:val="28"/>
          <w:szCs w:val="28"/>
        </w:rPr>
      </w:pPr>
      <w:r w:rsidRPr="00C61661">
        <w:rPr>
          <w:b/>
          <w:bCs/>
          <w:sz w:val="28"/>
          <w:szCs w:val="28"/>
        </w:rPr>
        <w:t xml:space="preserve">Vallascas 18.09, </w:t>
      </w:r>
      <w:r w:rsidRPr="00C61661">
        <w:rPr>
          <w:bCs/>
          <w:sz w:val="28"/>
          <w:szCs w:val="28"/>
        </w:rPr>
        <w:t xml:space="preserve">che prevede l’istituzione presso il Ministero dello sviluppo economico della </w:t>
      </w:r>
      <w:r w:rsidR="00AE2B41" w:rsidRPr="00C61661">
        <w:rPr>
          <w:bCs/>
          <w:sz w:val="28"/>
          <w:szCs w:val="28"/>
        </w:rPr>
        <w:t>piattaforma</w:t>
      </w:r>
      <w:r w:rsidRPr="00C61661">
        <w:rPr>
          <w:bCs/>
          <w:sz w:val="28"/>
          <w:szCs w:val="28"/>
        </w:rPr>
        <w:t xml:space="preserve"> telematica denominata incentivi.gov.it per il sostegno della politica industriale e della competitività del Paese;</w:t>
      </w:r>
    </w:p>
    <w:p w:rsidR="00527BA3" w:rsidRPr="00C61661" w:rsidRDefault="00B90C94" w:rsidP="00527BA3">
      <w:pPr>
        <w:rPr>
          <w:bCs/>
          <w:sz w:val="28"/>
          <w:szCs w:val="28"/>
        </w:rPr>
      </w:pPr>
      <w:r w:rsidRPr="00476756">
        <w:rPr>
          <w:b/>
          <w:bCs/>
          <w:sz w:val="28"/>
          <w:szCs w:val="28"/>
        </w:rPr>
        <w:t>Gusmeroli 18.015</w:t>
      </w:r>
      <w:r w:rsidRPr="00476756">
        <w:rPr>
          <w:bCs/>
          <w:sz w:val="28"/>
          <w:szCs w:val="28"/>
        </w:rPr>
        <w:t>, volto a modificare il codice civile in materia di obbligo delle società</w:t>
      </w:r>
      <w:r w:rsidR="002425C2" w:rsidRPr="00476756">
        <w:rPr>
          <w:bCs/>
          <w:sz w:val="28"/>
          <w:szCs w:val="28"/>
        </w:rPr>
        <w:t xml:space="preserve"> per azioni di nominar</w:t>
      </w:r>
      <w:r w:rsidR="00527BA3" w:rsidRPr="00476756">
        <w:rPr>
          <w:bCs/>
          <w:sz w:val="28"/>
          <w:szCs w:val="28"/>
        </w:rPr>
        <w:t>e l’organo interno di controllo</w:t>
      </w:r>
      <w:r w:rsidR="00935229" w:rsidRPr="00476756">
        <w:rPr>
          <w:bCs/>
          <w:sz w:val="28"/>
          <w:szCs w:val="28"/>
        </w:rPr>
        <w:t>;</w:t>
      </w:r>
    </w:p>
    <w:p w:rsidR="00527BA3" w:rsidRPr="00C61661" w:rsidRDefault="00FA0067" w:rsidP="00527BA3">
      <w:pPr>
        <w:rPr>
          <w:bCs/>
          <w:sz w:val="28"/>
          <w:szCs w:val="28"/>
        </w:rPr>
      </w:pPr>
      <w:r w:rsidRPr="00476756">
        <w:rPr>
          <w:b/>
          <w:bCs/>
          <w:sz w:val="28"/>
          <w:szCs w:val="28"/>
        </w:rPr>
        <w:t>Gusmeroli 23.02</w:t>
      </w:r>
      <w:r w:rsidRPr="00476756">
        <w:rPr>
          <w:bCs/>
          <w:sz w:val="28"/>
          <w:szCs w:val="28"/>
        </w:rPr>
        <w:t xml:space="preserve">, </w:t>
      </w:r>
      <w:r w:rsidR="005E36C7" w:rsidRPr="00476756">
        <w:rPr>
          <w:bCs/>
          <w:sz w:val="28"/>
          <w:szCs w:val="28"/>
        </w:rPr>
        <w:t xml:space="preserve">che </w:t>
      </w:r>
      <w:r w:rsidRPr="00476756">
        <w:rPr>
          <w:bCs/>
          <w:sz w:val="28"/>
          <w:szCs w:val="28"/>
        </w:rPr>
        <w:t xml:space="preserve">esclude dalla nozione di indebitamento valevole per gli enti territoriali specifiche operazioni di </w:t>
      </w:r>
      <w:r w:rsidRPr="00476756">
        <w:rPr>
          <w:bCs/>
          <w:i/>
          <w:sz w:val="28"/>
          <w:szCs w:val="28"/>
        </w:rPr>
        <w:t>leasing</w:t>
      </w:r>
      <w:r w:rsidRPr="00476756">
        <w:rPr>
          <w:bCs/>
          <w:sz w:val="28"/>
          <w:szCs w:val="28"/>
        </w:rPr>
        <w:t xml:space="preserve"> finanziario</w:t>
      </w:r>
      <w:r w:rsidR="00527BA3" w:rsidRPr="00476756">
        <w:rPr>
          <w:bCs/>
          <w:sz w:val="28"/>
          <w:szCs w:val="28"/>
        </w:rPr>
        <w:t>;</w:t>
      </w:r>
    </w:p>
    <w:p w:rsidR="00A1752D" w:rsidRPr="00C61661" w:rsidRDefault="00A81DE1" w:rsidP="006251F2">
      <w:pPr>
        <w:rPr>
          <w:bCs/>
          <w:sz w:val="28"/>
          <w:szCs w:val="28"/>
        </w:rPr>
      </w:pPr>
      <w:r w:rsidRPr="00476756">
        <w:rPr>
          <w:bCs/>
          <w:sz w:val="28"/>
          <w:szCs w:val="28"/>
        </w:rPr>
        <w:lastRenderedPageBreak/>
        <w:t>g</w:t>
      </w:r>
      <w:r w:rsidR="00A1752D" w:rsidRPr="00476756">
        <w:rPr>
          <w:bCs/>
          <w:sz w:val="28"/>
          <w:szCs w:val="28"/>
        </w:rPr>
        <w:t>li identici</w:t>
      </w:r>
      <w:r w:rsidR="00A1752D" w:rsidRPr="00476756">
        <w:rPr>
          <w:b/>
          <w:bCs/>
          <w:sz w:val="28"/>
          <w:szCs w:val="28"/>
        </w:rPr>
        <w:t xml:space="preserve"> Pella 24.03</w:t>
      </w:r>
      <w:r w:rsidR="00A1752D" w:rsidRPr="00476756">
        <w:rPr>
          <w:bCs/>
          <w:sz w:val="28"/>
          <w:szCs w:val="28"/>
        </w:rPr>
        <w:t xml:space="preserve">, </w:t>
      </w:r>
      <w:r w:rsidR="00A1752D" w:rsidRPr="00476756">
        <w:rPr>
          <w:b/>
          <w:bCs/>
          <w:sz w:val="28"/>
          <w:szCs w:val="28"/>
        </w:rPr>
        <w:t>Pastorino 24.08, Melilli 24.</w:t>
      </w:r>
      <w:r w:rsidR="005E36C7" w:rsidRPr="00476756">
        <w:rPr>
          <w:b/>
          <w:bCs/>
          <w:sz w:val="28"/>
          <w:szCs w:val="28"/>
        </w:rPr>
        <w:t>0</w:t>
      </w:r>
      <w:r w:rsidR="00A1752D" w:rsidRPr="00476756">
        <w:rPr>
          <w:b/>
          <w:bCs/>
          <w:sz w:val="28"/>
          <w:szCs w:val="28"/>
        </w:rPr>
        <w:t>10 e Lucaselli 24.</w:t>
      </w:r>
      <w:r w:rsidR="005E36C7" w:rsidRPr="00476756">
        <w:rPr>
          <w:b/>
          <w:bCs/>
          <w:sz w:val="28"/>
          <w:szCs w:val="28"/>
        </w:rPr>
        <w:t>0</w:t>
      </w:r>
      <w:r w:rsidR="00A1752D" w:rsidRPr="00476756">
        <w:rPr>
          <w:b/>
          <w:bCs/>
          <w:sz w:val="28"/>
          <w:szCs w:val="28"/>
        </w:rPr>
        <w:t>21</w:t>
      </w:r>
      <w:r w:rsidRPr="00476756">
        <w:rPr>
          <w:b/>
          <w:bCs/>
          <w:sz w:val="28"/>
          <w:szCs w:val="28"/>
        </w:rPr>
        <w:t>,</w:t>
      </w:r>
      <w:r w:rsidR="00A1752D" w:rsidRPr="00476756">
        <w:rPr>
          <w:b/>
          <w:bCs/>
          <w:sz w:val="28"/>
          <w:szCs w:val="28"/>
        </w:rPr>
        <w:t xml:space="preserve"> </w:t>
      </w:r>
      <w:r w:rsidR="00A1752D" w:rsidRPr="00476756">
        <w:rPr>
          <w:bCs/>
          <w:sz w:val="28"/>
          <w:szCs w:val="28"/>
        </w:rPr>
        <w:t>che posticipano al 31 ottobre il termine annuale per la certificazione degli interventi straordinari di manutenzione della rete viaria di province e città metropolitane e che dispongono in ordine all’inquadramento contabile delle relative risorse</w:t>
      </w:r>
      <w:r w:rsidR="00C74C23" w:rsidRPr="00476756">
        <w:rPr>
          <w:bCs/>
          <w:sz w:val="28"/>
          <w:szCs w:val="28"/>
        </w:rPr>
        <w:t>;</w:t>
      </w:r>
    </w:p>
    <w:p w:rsidR="00A1752D" w:rsidRPr="00476756" w:rsidRDefault="00A1752D" w:rsidP="006251F2">
      <w:pPr>
        <w:rPr>
          <w:bCs/>
          <w:sz w:val="28"/>
          <w:szCs w:val="28"/>
        </w:rPr>
      </w:pPr>
      <w:r w:rsidRPr="00476756">
        <w:rPr>
          <w:b/>
          <w:bCs/>
          <w:sz w:val="28"/>
          <w:szCs w:val="28"/>
        </w:rPr>
        <w:t>Navarra 24.06</w:t>
      </w:r>
      <w:r w:rsidR="00FF1A02" w:rsidRPr="00476756">
        <w:rPr>
          <w:b/>
          <w:bCs/>
          <w:sz w:val="28"/>
          <w:szCs w:val="28"/>
        </w:rPr>
        <w:t>,</w:t>
      </w:r>
      <w:r w:rsidRPr="00476756">
        <w:rPr>
          <w:bCs/>
          <w:sz w:val="28"/>
          <w:szCs w:val="28"/>
        </w:rPr>
        <w:t xml:space="preserve"> che interviene in materia di esercizio provvisorio o gestione provvisoria dei liberi consorzi comunali e città metro</w:t>
      </w:r>
      <w:r w:rsidR="00C74C23" w:rsidRPr="00476756">
        <w:rPr>
          <w:bCs/>
          <w:sz w:val="28"/>
          <w:szCs w:val="28"/>
        </w:rPr>
        <w:t xml:space="preserve">politane della </w:t>
      </w:r>
      <w:r w:rsidR="00B33A33" w:rsidRPr="00476756">
        <w:rPr>
          <w:bCs/>
          <w:sz w:val="28"/>
          <w:szCs w:val="28"/>
        </w:rPr>
        <w:t>R</w:t>
      </w:r>
      <w:r w:rsidR="00C74C23" w:rsidRPr="00476756">
        <w:rPr>
          <w:bCs/>
          <w:sz w:val="28"/>
          <w:szCs w:val="28"/>
        </w:rPr>
        <w:t>egione siciliana;</w:t>
      </w:r>
    </w:p>
    <w:p w:rsidR="00527BA3" w:rsidRDefault="0002469E" w:rsidP="00527BA3">
      <w:pPr>
        <w:rPr>
          <w:bCs/>
          <w:sz w:val="28"/>
          <w:szCs w:val="28"/>
        </w:rPr>
      </w:pPr>
      <w:r w:rsidRPr="00476756">
        <w:rPr>
          <w:b/>
          <w:bCs/>
          <w:sz w:val="28"/>
          <w:szCs w:val="28"/>
        </w:rPr>
        <w:t xml:space="preserve">Comaroli 27.05, </w:t>
      </w:r>
      <w:r w:rsidRPr="00476756">
        <w:rPr>
          <w:bCs/>
          <w:sz w:val="28"/>
          <w:szCs w:val="28"/>
        </w:rPr>
        <w:t xml:space="preserve">che reca modifiche alla disciplina dell’obbligo di nomina di organi di controllo nelle </w:t>
      </w:r>
      <w:r w:rsidR="00476756">
        <w:rPr>
          <w:bCs/>
          <w:sz w:val="28"/>
          <w:szCs w:val="28"/>
        </w:rPr>
        <w:t>Srl;</w:t>
      </w:r>
    </w:p>
    <w:p w:rsidR="0001075D" w:rsidRDefault="0001075D" w:rsidP="0001075D">
      <w:pPr>
        <w:rPr>
          <w:bCs/>
          <w:sz w:val="28"/>
          <w:szCs w:val="28"/>
        </w:rPr>
      </w:pPr>
      <w:r w:rsidRPr="00476756">
        <w:rPr>
          <w:b/>
          <w:bCs/>
          <w:sz w:val="28"/>
          <w:szCs w:val="28"/>
        </w:rPr>
        <w:t>Giacomoni 27.4</w:t>
      </w:r>
      <w:r w:rsidRPr="00476756">
        <w:rPr>
          <w:bCs/>
          <w:sz w:val="28"/>
          <w:szCs w:val="28"/>
        </w:rPr>
        <w:t xml:space="preserve">, che posticipa di un anno l’entrata in vigore delle norme della legge di bilancio 2019 volte a incentivare la destinazione di risorse finanziarie ai Fondi di </w:t>
      </w:r>
      <w:r w:rsidRPr="00476756">
        <w:rPr>
          <w:bCs/>
          <w:i/>
          <w:sz w:val="28"/>
          <w:szCs w:val="28"/>
        </w:rPr>
        <w:t>Venture Capital</w:t>
      </w:r>
      <w:r w:rsidRPr="00476756">
        <w:rPr>
          <w:bCs/>
          <w:sz w:val="28"/>
          <w:szCs w:val="28"/>
        </w:rPr>
        <w:t>;</w:t>
      </w:r>
      <w:r w:rsidRPr="00667361">
        <w:rPr>
          <w:bCs/>
          <w:sz w:val="28"/>
          <w:szCs w:val="28"/>
        </w:rPr>
        <w:t xml:space="preserve"> </w:t>
      </w:r>
    </w:p>
    <w:p w:rsidR="00CF3447" w:rsidRPr="004913FB" w:rsidRDefault="00CF3447" w:rsidP="00CF3447">
      <w:pPr>
        <w:rPr>
          <w:bCs/>
          <w:sz w:val="28"/>
          <w:szCs w:val="28"/>
        </w:rPr>
      </w:pPr>
      <w:r w:rsidRPr="004913FB">
        <w:rPr>
          <w:b/>
          <w:bCs/>
          <w:sz w:val="28"/>
          <w:szCs w:val="28"/>
        </w:rPr>
        <w:t xml:space="preserve">Bellachioma 29.1, </w:t>
      </w:r>
      <w:r w:rsidRPr="004913FB">
        <w:rPr>
          <w:bCs/>
          <w:sz w:val="28"/>
          <w:szCs w:val="28"/>
        </w:rPr>
        <w:t xml:space="preserve">che prevede una disciplina per </w:t>
      </w:r>
      <w:r>
        <w:rPr>
          <w:bCs/>
          <w:sz w:val="28"/>
          <w:szCs w:val="28"/>
        </w:rPr>
        <w:t>l’incentivazione dei</w:t>
      </w:r>
      <w:r w:rsidRPr="004913FB">
        <w:rPr>
          <w:bCs/>
          <w:sz w:val="28"/>
          <w:szCs w:val="28"/>
        </w:rPr>
        <w:t xml:space="preserve"> servizi digitali della pubblica amministrazione;</w:t>
      </w:r>
    </w:p>
    <w:p w:rsidR="0001075D" w:rsidRPr="00476756" w:rsidRDefault="0001075D" w:rsidP="0001075D">
      <w:pPr>
        <w:rPr>
          <w:bCs/>
          <w:sz w:val="28"/>
          <w:szCs w:val="28"/>
        </w:rPr>
      </w:pPr>
      <w:r w:rsidRPr="00476756">
        <w:rPr>
          <w:b/>
          <w:bCs/>
          <w:sz w:val="28"/>
          <w:szCs w:val="28"/>
        </w:rPr>
        <w:t>Nevi 29.8</w:t>
      </w:r>
      <w:r w:rsidRPr="00476756">
        <w:rPr>
          <w:bCs/>
          <w:sz w:val="28"/>
          <w:szCs w:val="28"/>
        </w:rPr>
        <w:t xml:space="preserve"> che incide sull’articolo 2477 del codice civile in materia di organi di controllo e revisione delle società a responsabilità limitata (Srl);</w:t>
      </w:r>
    </w:p>
    <w:p w:rsidR="0001075D" w:rsidRPr="00B37590" w:rsidRDefault="0001075D" w:rsidP="0001075D">
      <w:pPr>
        <w:rPr>
          <w:b/>
          <w:bCs/>
          <w:sz w:val="28"/>
          <w:szCs w:val="28"/>
        </w:rPr>
      </w:pPr>
      <w:r w:rsidRPr="00B37590">
        <w:rPr>
          <w:b/>
          <w:bCs/>
          <w:sz w:val="28"/>
          <w:szCs w:val="28"/>
        </w:rPr>
        <w:t xml:space="preserve">Liuzzi 29.010, </w:t>
      </w:r>
      <w:r w:rsidRPr="00B37590">
        <w:rPr>
          <w:bCs/>
          <w:sz w:val="28"/>
          <w:szCs w:val="28"/>
        </w:rPr>
        <w:t>che reca misure per il sostegno alla sperimentazione e alla realizzazione di progetti in materia di nuove tecnologie digitali, anche in collaborazione con gli enti locali;</w:t>
      </w:r>
    </w:p>
    <w:p w:rsidR="0001075D" w:rsidRPr="00B37590" w:rsidRDefault="0001075D" w:rsidP="0001075D">
      <w:pPr>
        <w:rPr>
          <w:bCs/>
          <w:sz w:val="28"/>
          <w:szCs w:val="28"/>
        </w:rPr>
      </w:pPr>
      <w:r w:rsidRPr="00476756">
        <w:rPr>
          <w:b/>
          <w:bCs/>
          <w:sz w:val="28"/>
          <w:szCs w:val="28"/>
        </w:rPr>
        <w:t>Capitanio 29.011,</w:t>
      </w:r>
      <w:r w:rsidRPr="00476756">
        <w:rPr>
          <w:bCs/>
          <w:sz w:val="28"/>
          <w:szCs w:val="28"/>
        </w:rPr>
        <w:t xml:space="preserve"> che introduce modifiche alla disciplina dei contributi per la concessione dei diritti di uso delle frequenze radio nel caso di collegamenti fissi bidirezionali;</w:t>
      </w:r>
    </w:p>
    <w:p w:rsidR="0001075D" w:rsidRPr="00476756" w:rsidRDefault="0001075D" w:rsidP="0001075D">
      <w:pPr>
        <w:rPr>
          <w:bCs/>
          <w:sz w:val="28"/>
          <w:szCs w:val="28"/>
        </w:rPr>
      </w:pPr>
      <w:r w:rsidRPr="00476756">
        <w:rPr>
          <w:b/>
          <w:bCs/>
          <w:sz w:val="28"/>
          <w:szCs w:val="28"/>
        </w:rPr>
        <w:t>Gadda 30.024</w:t>
      </w:r>
      <w:r w:rsidRPr="00476756">
        <w:rPr>
          <w:bCs/>
          <w:sz w:val="28"/>
          <w:szCs w:val="28"/>
        </w:rPr>
        <w:t xml:space="preserve">, volto ad estendere il novero delle spese per personale, sostenute dagli enti territoriali e locali, non computate ai fini del rispetto del Patto di stabilità interno; </w:t>
      </w:r>
    </w:p>
    <w:p w:rsidR="0001075D" w:rsidRPr="00667361" w:rsidRDefault="0001075D" w:rsidP="0001075D">
      <w:pPr>
        <w:rPr>
          <w:bCs/>
          <w:sz w:val="28"/>
          <w:szCs w:val="28"/>
        </w:rPr>
      </w:pPr>
      <w:r w:rsidRPr="00476756">
        <w:rPr>
          <w:b/>
          <w:bCs/>
          <w:sz w:val="28"/>
          <w:szCs w:val="28"/>
        </w:rPr>
        <w:t>Bordonali 30.037</w:t>
      </w:r>
      <w:r w:rsidRPr="00476756">
        <w:rPr>
          <w:bCs/>
          <w:sz w:val="28"/>
          <w:szCs w:val="28"/>
        </w:rPr>
        <w:t>, volto a modificare l’ordinamento degli enti locali, con particolare riferimento all’organo di revisione economico-finanziaria;</w:t>
      </w:r>
    </w:p>
    <w:p w:rsidR="0001075D" w:rsidRPr="00B37590" w:rsidRDefault="0001075D" w:rsidP="0001075D">
      <w:pPr>
        <w:rPr>
          <w:bCs/>
          <w:sz w:val="28"/>
          <w:szCs w:val="28"/>
        </w:rPr>
      </w:pPr>
      <w:r w:rsidRPr="00B37590">
        <w:rPr>
          <w:b/>
          <w:bCs/>
          <w:sz w:val="28"/>
          <w:szCs w:val="28"/>
        </w:rPr>
        <w:t>Iezzi 33.4,</w:t>
      </w:r>
      <w:r w:rsidRPr="00B37590">
        <w:rPr>
          <w:bCs/>
          <w:sz w:val="28"/>
          <w:szCs w:val="28"/>
        </w:rPr>
        <w:t xml:space="preserve"> che prevede la disapplicazione, per i comuni, degli obblighi derivanti dal patto di stabilità interno, con riguardo al contenimento delle spese di personale;</w:t>
      </w:r>
    </w:p>
    <w:p w:rsidR="0001075D" w:rsidRPr="00774A71" w:rsidRDefault="0001075D" w:rsidP="0001075D">
      <w:pPr>
        <w:rPr>
          <w:bCs/>
          <w:sz w:val="28"/>
          <w:szCs w:val="28"/>
        </w:rPr>
      </w:pPr>
      <w:r w:rsidRPr="00774A71">
        <w:rPr>
          <w:b/>
          <w:bCs/>
          <w:sz w:val="28"/>
          <w:szCs w:val="28"/>
        </w:rPr>
        <w:t>Morassut 33.18,</w:t>
      </w:r>
      <w:r w:rsidRPr="00774A71">
        <w:rPr>
          <w:bCs/>
          <w:sz w:val="28"/>
          <w:szCs w:val="28"/>
        </w:rPr>
        <w:t xml:space="preserve"> che estende alle regioni, per le esigenze relative agli uffici di diretta collaborazione, la norma che esclude i comuni in regola con gli obblighi (previsti dalla legislazione vigente) di riduzione delle spese di personale, dai limiti all’assunzione di personale a tempo determinato o con contratti di lavoro flessibile;</w:t>
      </w:r>
    </w:p>
    <w:p w:rsidR="0001075D" w:rsidRPr="00476756" w:rsidRDefault="0001075D" w:rsidP="0001075D">
      <w:pPr>
        <w:rPr>
          <w:bCs/>
          <w:sz w:val="28"/>
          <w:szCs w:val="28"/>
        </w:rPr>
      </w:pPr>
      <w:r w:rsidRPr="00476756">
        <w:rPr>
          <w:b/>
          <w:bCs/>
          <w:sz w:val="28"/>
          <w:szCs w:val="28"/>
        </w:rPr>
        <w:t>Bignami 33.47,</w:t>
      </w:r>
      <w:r w:rsidRPr="00476756">
        <w:rPr>
          <w:bCs/>
          <w:sz w:val="28"/>
          <w:szCs w:val="28"/>
        </w:rPr>
        <w:t xml:space="preserve"> che interviene sulle modalità di riparto del fondo di solidarietà comunale, con specifico riferimento alla componente perequativa;</w:t>
      </w:r>
    </w:p>
    <w:p w:rsidR="0001075D" w:rsidRPr="00476756" w:rsidRDefault="0001075D" w:rsidP="0001075D">
      <w:pPr>
        <w:rPr>
          <w:bCs/>
          <w:sz w:val="28"/>
          <w:szCs w:val="28"/>
        </w:rPr>
      </w:pPr>
      <w:r w:rsidRPr="00476756">
        <w:rPr>
          <w:b/>
          <w:bCs/>
          <w:sz w:val="28"/>
          <w:szCs w:val="28"/>
        </w:rPr>
        <w:lastRenderedPageBreak/>
        <w:t xml:space="preserve">Prestigiacomo 33.01, 33.02 e 33.03, </w:t>
      </w:r>
      <w:r w:rsidRPr="00476756">
        <w:rPr>
          <w:bCs/>
          <w:sz w:val="28"/>
          <w:szCs w:val="28"/>
        </w:rPr>
        <w:t>che prevedono contributi in favore dei liberi consorzi e delle città metropolitane della Regione siciliana, al fine di garantire parità di trattamento con gli omologhi enti di area vasta delle Regioni a statuto ordinario in termini di contributi per l’esercizio delle funzioni fondamentali;</w:t>
      </w:r>
    </w:p>
    <w:p w:rsidR="0001075D" w:rsidRPr="00476756" w:rsidRDefault="0001075D" w:rsidP="0001075D">
      <w:pPr>
        <w:rPr>
          <w:bCs/>
          <w:sz w:val="28"/>
          <w:szCs w:val="28"/>
        </w:rPr>
      </w:pPr>
      <w:r w:rsidRPr="00476756">
        <w:rPr>
          <w:b/>
          <w:bCs/>
          <w:sz w:val="28"/>
          <w:szCs w:val="28"/>
        </w:rPr>
        <w:t xml:space="preserve">Prestigiacomo 33.05, </w:t>
      </w:r>
      <w:r w:rsidRPr="00476756">
        <w:rPr>
          <w:bCs/>
          <w:sz w:val="28"/>
          <w:szCs w:val="28"/>
        </w:rPr>
        <w:t>che introduce disposizioni contabili per i liberi consorzi e le città metropolitane della Regione siciliana in deroga alle vigenti norme di contabilità pubblica;</w:t>
      </w:r>
    </w:p>
    <w:p w:rsidR="0001075D" w:rsidRPr="00476756" w:rsidRDefault="0001075D" w:rsidP="0001075D">
      <w:pPr>
        <w:rPr>
          <w:bCs/>
          <w:sz w:val="28"/>
          <w:szCs w:val="28"/>
        </w:rPr>
      </w:pPr>
      <w:r w:rsidRPr="00476756">
        <w:rPr>
          <w:b/>
          <w:bCs/>
          <w:sz w:val="28"/>
          <w:szCs w:val="28"/>
        </w:rPr>
        <w:t xml:space="preserve">Prestigiacomo 33.06, </w:t>
      </w:r>
      <w:r w:rsidRPr="00476756">
        <w:rPr>
          <w:bCs/>
          <w:sz w:val="28"/>
          <w:szCs w:val="28"/>
        </w:rPr>
        <w:t>che autorizza i liberi consorzi e le città metropolitane della Regione siciliana ad utilizzare, nel triennio 2019-2021, le entrate derivanti da proventi da alienazione patrimoniali per il ripiano dei disavanzi di amministrazione, in deroga alle vigenti norme di contabilità;</w:t>
      </w:r>
    </w:p>
    <w:p w:rsidR="0001075D" w:rsidRPr="00170177" w:rsidRDefault="0001075D" w:rsidP="0001075D">
      <w:pPr>
        <w:rPr>
          <w:bCs/>
          <w:sz w:val="28"/>
          <w:szCs w:val="28"/>
        </w:rPr>
      </w:pPr>
      <w:r w:rsidRPr="00476756">
        <w:rPr>
          <w:b/>
          <w:bCs/>
          <w:sz w:val="28"/>
          <w:szCs w:val="28"/>
        </w:rPr>
        <w:t xml:space="preserve">Prestigiacomo 33.07, </w:t>
      </w:r>
      <w:r w:rsidRPr="00476756">
        <w:rPr>
          <w:bCs/>
          <w:sz w:val="28"/>
          <w:szCs w:val="28"/>
        </w:rPr>
        <w:t>che consente agli enti locali della Regione siciliana di applicare al bilancio di previsione le quote accantonate del risultato di amministrazione relative ai fondi finalizzati alle spese sociali;</w:t>
      </w:r>
      <w:r w:rsidRPr="00170177">
        <w:rPr>
          <w:bCs/>
          <w:sz w:val="28"/>
          <w:szCs w:val="28"/>
        </w:rPr>
        <w:t xml:space="preserve"> </w:t>
      </w:r>
    </w:p>
    <w:p w:rsidR="0001075D" w:rsidRPr="00476756" w:rsidRDefault="0001075D" w:rsidP="0001075D">
      <w:pPr>
        <w:rPr>
          <w:bCs/>
          <w:sz w:val="28"/>
          <w:szCs w:val="28"/>
        </w:rPr>
      </w:pPr>
      <w:r w:rsidRPr="00476756">
        <w:rPr>
          <w:b/>
          <w:bCs/>
          <w:sz w:val="28"/>
          <w:szCs w:val="28"/>
        </w:rPr>
        <w:t xml:space="preserve">Gadda 33.010, </w:t>
      </w:r>
      <w:r w:rsidRPr="00476756">
        <w:rPr>
          <w:bCs/>
          <w:sz w:val="28"/>
          <w:szCs w:val="28"/>
        </w:rPr>
        <w:t xml:space="preserve">che esclude l’applicazione di alcune misure di contenimento della spesa agli enti locali con popolazione inferiore a 5.000 abitanti; </w:t>
      </w:r>
    </w:p>
    <w:p w:rsidR="0001075D" w:rsidRPr="00774A71" w:rsidRDefault="0001075D" w:rsidP="0001075D">
      <w:pPr>
        <w:rPr>
          <w:bCs/>
          <w:sz w:val="28"/>
          <w:szCs w:val="28"/>
        </w:rPr>
      </w:pPr>
      <w:r w:rsidRPr="00667361">
        <w:rPr>
          <w:b/>
          <w:bCs/>
          <w:sz w:val="28"/>
          <w:szCs w:val="28"/>
        </w:rPr>
        <w:t xml:space="preserve">Cattaneo 33.030 </w:t>
      </w:r>
      <w:r w:rsidRPr="00667361">
        <w:rPr>
          <w:bCs/>
          <w:sz w:val="28"/>
          <w:szCs w:val="28"/>
        </w:rPr>
        <w:t xml:space="preserve">e gli identici </w:t>
      </w:r>
      <w:r w:rsidRPr="00667361">
        <w:rPr>
          <w:b/>
          <w:bCs/>
          <w:sz w:val="28"/>
          <w:szCs w:val="28"/>
        </w:rPr>
        <w:t>Pastorino 33.015, Melilli 33.026 e</w:t>
      </w:r>
      <w:r w:rsidRPr="00667361">
        <w:rPr>
          <w:bCs/>
          <w:sz w:val="28"/>
          <w:szCs w:val="28"/>
        </w:rPr>
        <w:t xml:space="preserve"> </w:t>
      </w:r>
      <w:r w:rsidRPr="00667361">
        <w:rPr>
          <w:b/>
          <w:bCs/>
          <w:sz w:val="28"/>
          <w:szCs w:val="28"/>
        </w:rPr>
        <w:t xml:space="preserve">Lucaselli 33.051, </w:t>
      </w:r>
      <w:r w:rsidRPr="00667361">
        <w:rPr>
          <w:bCs/>
          <w:sz w:val="28"/>
          <w:szCs w:val="28"/>
        </w:rPr>
        <w:t>che assegnano contributi alle province delle regioni a statuto ordinario per la realizzazione degli interventi cantierabili inerenti a infrastrutture viarie provinciali;</w:t>
      </w:r>
      <w:r w:rsidRPr="00774A71">
        <w:rPr>
          <w:b/>
          <w:bCs/>
          <w:sz w:val="28"/>
          <w:szCs w:val="28"/>
        </w:rPr>
        <w:t xml:space="preserve"> </w:t>
      </w:r>
    </w:p>
    <w:p w:rsidR="0001075D" w:rsidRPr="00774A71" w:rsidRDefault="0001075D" w:rsidP="0001075D">
      <w:pPr>
        <w:rPr>
          <w:bCs/>
          <w:sz w:val="28"/>
          <w:szCs w:val="28"/>
        </w:rPr>
      </w:pPr>
      <w:r w:rsidRPr="00667361">
        <w:rPr>
          <w:b/>
          <w:bCs/>
          <w:sz w:val="28"/>
          <w:szCs w:val="28"/>
        </w:rPr>
        <w:t>Cattaneo 33.031,</w:t>
      </w:r>
      <w:r w:rsidRPr="00667361">
        <w:rPr>
          <w:bCs/>
          <w:sz w:val="28"/>
          <w:szCs w:val="28"/>
        </w:rPr>
        <w:t xml:space="preserve"> </w:t>
      </w:r>
      <w:r w:rsidRPr="00667361">
        <w:rPr>
          <w:b/>
          <w:bCs/>
          <w:sz w:val="28"/>
          <w:szCs w:val="28"/>
        </w:rPr>
        <w:t xml:space="preserve">Germanà 33.046 </w:t>
      </w:r>
      <w:r w:rsidRPr="00667361">
        <w:rPr>
          <w:bCs/>
          <w:sz w:val="28"/>
          <w:szCs w:val="28"/>
        </w:rPr>
        <w:t>e gli identici</w:t>
      </w:r>
      <w:r w:rsidRPr="00667361">
        <w:rPr>
          <w:b/>
          <w:bCs/>
          <w:sz w:val="28"/>
          <w:szCs w:val="28"/>
        </w:rPr>
        <w:t xml:space="preserve"> Pastorino 33.016, Melilli 33.027 e Lucaselli 33.052, </w:t>
      </w:r>
      <w:r w:rsidRPr="00667361">
        <w:rPr>
          <w:bCs/>
          <w:sz w:val="28"/>
          <w:szCs w:val="28"/>
        </w:rPr>
        <w:t>che assegnano contributi alle province delle regioni a statuto ordinario per la realizzazione degli interventi cantierabili inerenti alla messa in sicurezza degli edifici scolastici delle scuole secondarie di secondo grado;</w:t>
      </w:r>
    </w:p>
    <w:p w:rsidR="0001075D" w:rsidRPr="00476756" w:rsidRDefault="0001075D" w:rsidP="0001075D">
      <w:pPr>
        <w:rPr>
          <w:bCs/>
          <w:sz w:val="28"/>
          <w:szCs w:val="28"/>
        </w:rPr>
      </w:pPr>
      <w:r w:rsidRPr="00476756">
        <w:rPr>
          <w:bCs/>
          <w:sz w:val="28"/>
          <w:szCs w:val="28"/>
        </w:rPr>
        <w:t xml:space="preserve">gli identici </w:t>
      </w:r>
      <w:r w:rsidRPr="00476756">
        <w:rPr>
          <w:b/>
          <w:bCs/>
          <w:sz w:val="28"/>
          <w:szCs w:val="28"/>
        </w:rPr>
        <w:t>Pastorino 33.018</w:t>
      </w:r>
      <w:r w:rsidRPr="00476756">
        <w:rPr>
          <w:bCs/>
          <w:sz w:val="28"/>
          <w:szCs w:val="28"/>
        </w:rPr>
        <w:t xml:space="preserve">, </w:t>
      </w:r>
      <w:r w:rsidRPr="00476756">
        <w:rPr>
          <w:b/>
          <w:bCs/>
          <w:sz w:val="28"/>
          <w:szCs w:val="28"/>
        </w:rPr>
        <w:t>Cattaneo 33.033, Lucaselli 33.049 e Pentangelo 33.054,</w:t>
      </w:r>
      <w:r w:rsidRPr="00476756">
        <w:rPr>
          <w:bCs/>
          <w:sz w:val="28"/>
          <w:szCs w:val="28"/>
        </w:rPr>
        <w:t xml:space="preserve"> che estendono fino a 10 anni (in luogo degli attuali 5) il termine entro cui le province in dissesto che ripropongono nell’anno 2019 l’ipotesi di bilancio stabilmente riequilibrato possono raggiungere l’equilibrio;</w:t>
      </w:r>
    </w:p>
    <w:p w:rsidR="0001075D" w:rsidRPr="00774A71" w:rsidRDefault="0001075D" w:rsidP="0001075D">
      <w:pPr>
        <w:rPr>
          <w:bCs/>
          <w:sz w:val="28"/>
          <w:szCs w:val="28"/>
        </w:rPr>
      </w:pPr>
      <w:r w:rsidRPr="00774A71">
        <w:rPr>
          <w:bCs/>
          <w:sz w:val="28"/>
          <w:szCs w:val="28"/>
        </w:rPr>
        <w:t xml:space="preserve">gli identici </w:t>
      </w:r>
      <w:r w:rsidRPr="00667361">
        <w:rPr>
          <w:b/>
          <w:bCs/>
          <w:sz w:val="28"/>
          <w:szCs w:val="28"/>
        </w:rPr>
        <w:t xml:space="preserve">Cattaneo 33.034 e Lucaselli 33.050 </w:t>
      </w:r>
      <w:r w:rsidRPr="007D633E">
        <w:rPr>
          <w:b/>
          <w:bCs/>
          <w:sz w:val="28"/>
          <w:szCs w:val="28"/>
        </w:rPr>
        <w:t>e</w:t>
      </w:r>
      <w:r w:rsidRPr="00774A71">
        <w:rPr>
          <w:b/>
          <w:bCs/>
          <w:sz w:val="28"/>
          <w:szCs w:val="28"/>
        </w:rPr>
        <w:t xml:space="preserve"> Melilli 33.040, </w:t>
      </w:r>
      <w:r w:rsidRPr="00774A71">
        <w:rPr>
          <w:bCs/>
          <w:sz w:val="28"/>
          <w:szCs w:val="28"/>
        </w:rPr>
        <w:t>che recano disposizioni in materia di recupero a valere sui versamenti dell'imposta sulla RC auto e dell'imposta provinciale di trascrizione (IPT), del mancato versamento del contributo alla finanza pubblica da parte delle province e delle città metropolitane;</w:t>
      </w:r>
    </w:p>
    <w:p w:rsidR="0001075D" w:rsidRPr="00B37590" w:rsidRDefault="0001075D" w:rsidP="0001075D">
      <w:pPr>
        <w:rPr>
          <w:bCs/>
          <w:sz w:val="28"/>
          <w:szCs w:val="28"/>
        </w:rPr>
      </w:pPr>
      <w:r w:rsidRPr="00476756">
        <w:rPr>
          <w:b/>
          <w:bCs/>
          <w:sz w:val="28"/>
          <w:szCs w:val="28"/>
        </w:rPr>
        <w:t>Cestari 33.056</w:t>
      </w:r>
      <w:r w:rsidRPr="00476756">
        <w:rPr>
          <w:bCs/>
          <w:sz w:val="28"/>
          <w:szCs w:val="28"/>
        </w:rPr>
        <w:t>, che proroga la possibilità di assumere personale per le unità cinofile dei Vigili del Fuoco anche al 2019;</w:t>
      </w:r>
    </w:p>
    <w:p w:rsidR="0001075D" w:rsidRPr="00B37590" w:rsidRDefault="0001075D" w:rsidP="0001075D">
      <w:pPr>
        <w:rPr>
          <w:b/>
          <w:bCs/>
          <w:sz w:val="28"/>
          <w:szCs w:val="28"/>
        </w:rPr>
      </w:pPr>
      <w:r w:rsidRPr="00B37590">
        <w:rPr>
          <w:b/>
          <w:bCs/>
          <w:sz w:val="28"/>
          <w:szCs w:val="28"/>
        </w:rPr>
        <w:lastRenderedPageBreak/>
        <w:t>Iezzi 33.058</w:t>
      </w:r>
      <w:r w:rsidRPr="00B37590">
        <w:rPr>
          <w:bCs/>
          <w:sz w:val="28"/>
          <w:szCs w:val="28"/>
        </w:rPr>
        <w:t xml:space="preserve">, </w:t>
      </w:r>
      <w:r w:rsidRPr="00B37590">
        <w:rPr>
          <w:b/>
          <w:bCs/>
          <w:sz w:val="28"/>
          <w:szCs w:val="28"/>
        </w:rPr>
        <w:t>limitatamente al comma 5,</w:t>
      </w:r>
      <w:r w:rsidRPr="00B37590">
        <w:rPr>
          <w:bCs/>
          <w:sz w:val="28"/>
          <w:szCs w:val="28"/>
        </w:rPr>
        <w:t xml:space="preserve"> che prevede l’integrazione della commissione sui fabbisogni standard con esponenti designati dall’ANCI e dall’UPI;</w:t>
      </w:r>
    </w:p>
    <w:p w:rsidR="0001075D" w:rsidRPr="00B37590" w:rsidRDefault="0001075D" w:rsidP="0001075D">
      <w:pPr>
        <w:rPr>
          <w:bCs/>
          <w:sz w:val="28"/>
          <w:szCs w:val="28"/>
        </w:rPr>
      </w:pPr>
      <w:r w:rsidRPr="00476756">
        <w:rPr>
          <w:b/>
          <w:bCs/>
          <w:sz w:val="28"/>
          <w:szCs w:val="28"/>
        </w:rPr>
        <w:t>Comaroli 34.020,</w:t>
      </w:r>
      <w:r w:rsidRPr="00476756">
        <w:rPr>
          <w:bCs/>
          <w:sz w:val="28"/>
          <w:szCs w:val="28"/>
        </w:rPr>
        <w:t xml:space="preserve"> che introduce un articolo aggiuntivo che incrementa di 10 milioni di euro annui dal 2021 al 2033 le risorse destinate ai trasferimenti erariali alle regioni che aderiscano volontariamente alle regole di riduzione dei costi amministrativi;</w:t>
      </w:r>
    </w:p>
    <w:p w:rsidR="0001075D" w:rsidRPr="00B37590" w:rsidRDefault="0001075D" w:rsidP="0001075D">
      <w:pPr>
        <w:rPr>
          <w:bCs/>
          <w:sz w:val="28"/>
          <w:szCs w:val="28"/>
        </w:rPr>
      </w:pPr>
      <w:r w:rsidRPr="00B37590">
        <w:rPr>
          <w:b/>
          <w:bCs/>
          <w:sz w:val="28"/>
          <w:szCs w:val="28"/>
        </w:rPr>
        <w:t>Fornaro 35.04</w:t>
      </w:r>
      <w:r w:rsidRPr="00B37590">
        <w:rPr>
          <w:bCs/>
          <w:sz w:val="28"/>
          <w:szCs w:val="28"/>
        </w:rPr>
        <w:t>, che sopprime la disposizione della legge di bilancio 2019 che ha previsto l’abolizione, o la progressiva riduzione fino all’abolizione, dei contributi diretti a favore di determinate categorie di imprese radiofoniche e di imprese editrici di quotidiani e periodici;</w:t>
      </w:r>
    </w:p>
    <w:p w:rsidR="0001075D" w:rsidRPr="00B37590" w:rsidRDefault="0001075D" w:rsidP="0001075D">
      <w:pPr>
        <w:rPr>
          <w:bCs/>
          <w:sz w:val="28"/>
          <w:szCs w:val="28"/>
        </w:rPr>
      </w:pPr>
      <w:r w:rsidRPr="00B37590">
        <w:rPr>
          <w:b/>
          <w:bCs/>
          <w:sz w:val="28"/>
          <w:szCs w:val="28"/>
        </w:rPr>
        <w:t>Fornaro 35.05</w:t>
      </w:r>
      <w:r w:rsidRPr="00B37590">
        <w:rPr>
          <w:bCs/>
          <w:sz w:val="28"/>
          <w:szCs w:val="28"/>
        </w:rPr>
        <w:t>, che sopprime la disposizione della legge di bilancio 2019 che ha previsto la progressiva riduzione fino all’abolizione, dei contributi diretti a favore di imprese editrici di quotidiani e periodici;</w:t>
      </w:r>
    </w:p>
    <w:p w:rsidR="0001075D" w:rsidRPr="00476756" w:rsidRDefault="0001075D" w:rsidP="0001075D">
      <w:pPr>
        <w:rPr>
          <w:bCs/>
          <w:sz w:val="28"/>
          <w:szCs w:val="28"/>
        </w:rPr>
      </w:pPr>
      <w:r w:rsidRPr="00476756">
        <w:rPr>
          <w:b/>
          <w:bCs/>
          <w:sz w:val="28"/>
          <w:szCs w:val="28"/>
        </w:rPr>
        <w:t>Gusmeroli 36.3</w:t>
      </w:r>
      <w:r w:rsidRPr="00476756">
        <w:rPr>
          <w:bCs/>
          <w:sz w:val="28"/>
          <w:szCs w:val="28"/>
        </w:rPr>
        <w:t xml:space="preserve">, che delega il MEF ad adottare una complessiva regolamentazione sperimentale per le imprese del settore Fintech </w:t>
      </w:r>
    </w:p>
    <w:p w:rsidR="0001075D" w:rsidRPr="00B37590" w:rsidRDefault="0001075D" w:rsidP="0001075D">
      <w:pPr>
        <w:rPr>
          <w:bCs/>
          <w:sz w:val="28"/>
          <w:szCs w:val="28"/>
        </w:rPr>
      </w:pPr>
      <w:r w:rsidRPr="00476756">
        <w:rPr>
          <w:b/>
          <w:bCs/>
          <w:sz w:val="28"/>
          <w:szCs w:val="28"/>
        </w:rPr>
        <w:t>Gusmeroli 36.02</w:t>
      </w:r>
      <w:r w:rsidRPr="00476756">
        <w:rPr>
          <w:bCs/>
          <w:sz w:val="28"/>
          <w:szCs w:val="28"/>
        </w:rPr>
        <w:t>, che reca agevolazioni fiscali per i redditi derivanti dagli investimenti effettuati nei fondi di investimento europei a lungo termine (Eltif) a specifiche condizioni;</w:t>
      </w:r>
    </w:p>
    <w:p w:rsidR="0001075D" w:rsidRPr="00476756" w:rsidRDefault="0001075D" w:rsidP="0001075D">
      <w:pPr>
        <w:rPr>
          <w:bCs/>
          <w:sz w:val="28"/>
          <w:szCs w:val="28"/>
        </w:rPr>
      </w:pPr>
      <w:r w:rsidRPr="00476756">
        <w:rPr>
          <w:b/>
          <w:bCs/>
          <w:sz w:val="28"/>
          <w:szCs w:val="28"/>
        </w:rPr>
        <w:t>Spena 37.06,</w:t>
      </w:r>
      <w:r w:rsidRPr="00476756">
        <w:rPr>
          <w:bCs/>
          <w:sz w:val="28"/>
          <w:szCs w:val="28"/>
        </w:rPr>
        <w:t xml:space="preserve"> che prevede il finanziamento di progetti innovativi per favorire l’impiego di veicoli a ridotto impatto ambientale ed elevata capacità di trasporto</w:t>
      </w:r>
    </w:p>
    <w:p w:rsidR="00753903" w:rsidRPr="00753903" w:rsidRDefault="00753903" w:rsidP="00753903">
      <w:pPr>
        <w:rPr>
          <w:bCs/>
          <w:sz w:val="28"/>
          <w:szCs w:val="28"/>
        </w:rPr>
      </w:pPr>
      <w:r w:rsidRPr="00753903">
        <w:rPr>
          <w:b/>
          <w:bCs/>
          <w:sz w:val="28"/>
          <w:szCs w:val="28"/>
        </w:rPr>
        <w:t xml:space="preserve">Bellachioma 38.1, Pella 38.010 e 38.015 </w:t>
      </w:r>
      <w:r w:rsidRPr="00753903">
        <w:rPr>
          <w:bCs/>
          <w:sz w:val="28"/>
          <w:szCs w:val="28"/>
        </w:rPr>
        <w:t>che incidono sulla disciplina dell’utilizzo dell’avanzo di amministrazione degli enti locali;</w:t>
      </w:r>
    </w:p>
    <w:p w:rsidR="00753903" w:rsidRPr="00753903" w:rsidRDefault="00753903" w:rsidP="00753903">
      <w:pPr>
        <w:rPr>
          <w:bCs/>
          <w:sz w:val="28"/>
          <w:szCs w:val="28"/>
        </w:rPr>
      </w:pPr>
      <w:r w:rsidRPr="00753903">
        <w:rPr>
          <w:b/>
          <w:bCs/>
          <w:sz w:val="28"/>
          <w:szCs w:val="28"/>
        </w:rPr>
        <w:t xml:space="preserve">Faro 38.5, Benigni 38.23 e gli identici Pella 38.011 e Pastorino 38.014, </w:t>
      </w:r>
      <w:r w:rsidRPr="00753903">
        <w:rPr>
          <w:bCs/>
          <w:sz w:val="28"/>
          <w:szCs w:val="28"/>
        </w:rPr>
        <w:t>che estendono fino all’esercizio 2019 la facoltà per gli enti locali fino a 5.000 abitanti di non adottare la contabilità economico-patrimoniale;</w:t>
      </w:r>
    </w:p>
    <w:p w:rsidR="00753903" w:rsidRPr="00753903" w:rsidRDefault="00753903" w:rsidP="00753903">
      <w:pPr>
        <w:rPr>
          <w:bCs/>
          <w:sz w:val="28"/>
          <w:szCs w:val="28"/>
        </w:rPr>
      </w:pPr>
      <w:r w:rsidRPr="00753903">
        <w:rPr>
          <w:b/>
          <w:bCs/>
          <w:sz w:val="28"/>
          <w:szCs w:val="28"/>
        </w:rPr>
        <w:t xml:space="preserve">Faro 38.6, </w:t>
      </w:r>
      <w:r w:rsidRPr="00753903">
        <w:rPr>
          <w:bCs/>
          <w:sz w:val="28"/>
          <w:szCs w:val="28"/>
        </w:rPr>
        <w:t>che posticipa al 31 luglio 2019 (in luogo del 28 febbraio) il termine entro cui gli enti locali possono far richiesta di anticipazioni di liquidità agli istituti finanziari per il pagamento dei debiti commerciali maturati alla data del 31 dicembre 2018;</w:t>
      </w:r>
    </w:p>
    <w:p w:rsidR="00753903" w:rsidRPr="00753903" w:rsidRDefault="00753903" w:rsidP="00753903">
      <w:pPr>
        <w:rPr>
          <w:bCs/>
          <w:sz w:val="28"/>
          <w:szCs w:val="28"/>
        </w:rPr>
      </w:pPr>
      <w:r w:rsidRPr="00753903">
        <w:rPr>
          <w:b/>
          <w:bCs/>
          <w:sz w:val="28"/>
          <w:szCs w:val="28"/>
        </w:rPr>
        <w:t xml:space="preserve">Faro 38.7 e Pella 38.013, </w:t>
      </w:r>
      <w:r w:rsidRPr="00753903">
        <w:rPr>
          <w:bCs/>
          <w:sz w:val="28"/>
          <w:szCs w:val="28"/>
        </w:rPr>
        <w:t>che consentono agli enti locali in predissesto la ulteriore rimodulazione dei piani di riequilibrio finanziario pluriennale, in attuazione della centenza della Corte costituzionale n. 18 del 2019;</w:t>
      </w:r>
    </w:p>
    <w:p w:rsidR="00753903" w:rsidRPr="00753903" w:rsidRDefault="00753903" w:rsidP="00753903">
      <w:pPr>
        <w:rPr>
          <w:bCs/>
          <w:sz w:val="28"/>
          <w:szCs w:val="28"/>
        </w:rPr>
      </w:pPr>
      <w:r w:rsidRPr="00753903">
        <w:rPr>
          <w:bCs/>
          <w:sz w:val="28"/>
          <w:szCs w:val="28"/>
        </w:rPr>
        <w:t xml:space="preserve">gli identici </w:t>
      </w:r>
      <w:r w:rsidRPr="00753903">
        <w:rPr>
          <w:b/>
          <w:bCs/>
          <w:sz w:val="28"/>
          <w:szCs w:val="28"/>
        </w:rPr>
        <w:t xml:space="preserve">Lucaselli 38.10, Cattaneo 38.24 e Pella 38.31 e Pastorino 38.05, </w:t>
      </w:r>
      <w:r w:rsidRPr="00753903">
        <w:rPr>
          <w:bCs/>
          <w:sz w:val="28"/>
          <w:szCs w:val="28"/>
        </w:rPr>
        <w:t xml:space="preserve">che autorizzano il Ministero dell’economia e delle finanze alla ristrutturazione delle operazioni di indebitamento aventi ad oggetto titoli obbligazionari emessi da comuni, </w:t>
      </w:r>
      <w:r w:rsidRPr="00753903">
        <w:rPr>
          <w:bCs/>
          <w:sz w:val="28"/>
          <w:szCs w:val="28"/>
        </w:rPr>
        <w:lastRenderedPageBreak/>
        <w:t>province e città metropolitane con vita residua superiore a 5 anni e valore nominale superiore a determinati livelli;</w:t>
      </w:r>
    </w:p>
    <w:p w:rsidR="00753903" w:rsidRPr="00753903" w:rsidRDefault="00753903" w:rsidP="00753903">
      <w:pPr>
        <w:rPr>
          <w:bCs/>
          <w:sz w:val="28"/>
          <w:szCs w:val="28"/>
        </w:rPr>
      </w:pPr>
      <w:r w:rsidRPr="00753903">
        <w:rPr>
          <w:bCs/>
          <w:sz w:val="28"/>
          <w:szCs w:val="28"/>
        </w:rPr>
        <w:t xml:space="preserve">gli identici </w:t>
      </w:r>
      <w:r w:rsidRPr="00753903">
        <w:rPr>
          <w:b/>
          <w:bCs/>
          <w:sz w:val="28"/>
          <w:szCs w:val="28"/>
        </w:rPr>
        <w:t xml:space="preserve">Lucaselli 38.11, Cattaneo 38.25, Vietina 38.28 e Pastorino 38.34, </w:t>
      </w:r>
      <w:r w:rsidRPr="00753903">
        <w:rPr>
          <w:bCs/>
          <w:sz w:val="28"/>
          <w:szCs w:val="28"/>
        </w:rPr>
        <w:t>che consentono agli enti locali, negli anni 2019 e 2020, di estinguere anticipatamente le passività onerose derivanti da mutui e prestiti obbligazionari, in essere alla data del 31 dicembre 2018;</w:t>
      </w:r>
    </w:p>
    <w:p w:rsidR="00753903" w:rsidRPr="00753903" w:rsidRDefault="00753903" w:rsidP="00753903">
      <w:pPr>
        <w:rPr>
          <w:bCs/>
          <w:sz w:val="28"/>
          <w:szCs w:val="28"/>
        </w:rPr>
      </w:pPr>
      <w:r w:rsidRPr="00753903">
        <w:rPr>
          <w:bCs/>
          <w:sz w:val="28"/>
          <w:szCs w:val="28"/>
        </w:rPr>
        <w:t xml:space="preserve">gli identici </w:t>
      </w:r>
      <w:r w:rsidRPr="00753903">
        <w:rPr>
          <w:b/>
          <w:bCs/>
          <w:sz w:val="28"/>
          <w:szCs w:val="28"/>
        </w:rPr>
        <w:t xml:space="preserve">Lucaselli 38.12, Cattaneo 38.26 e Vietina 38.29 e Fragomeli 38.15, </w:t>
      </w:r>
      <w:r w:rsidRPr="00753903">
        <w:rPr>
          <w:bCs/>
          <w:sz w:val="28"/>
          <w:szCs w:val="28"/>
        </w:rPr>
        <w:t>che estendono l’operatività e la dotazione del fondo destinato all'erogazione di contributi per l'estinzione anticipata, totale o parziale, di mutui e prestiti obbligazionari da parte dei comuni;</w:t>
      </w:r>
    </w:p>
    <w:p w:rsidR="00753903" w:rsidRPr="00476756" w:rsidRDefault="00753903" w:rsidP="00753903">
      <w:pPr>
        <w:rPr>
          <w:bCs/>
          <w:sz w:val="28"/>
          <w:szCs w:val="28"/>
        </w:rPr>
      </w:pPr>
      <w:r w:rsidRPr="00476756">
        <w:rPr>
          <w:b/>
          <w:bCs/>
          <w:sz w:val="28"/>
          <w:szCs w:val="28"/>
        </w:rPr>
        <w:t xml:space="preserve">Melilli 38.17, </w:t>
      </w:r>
      <w:r w:rsidRPr="00476756">
        <w:rPr>
          <w:bCs/>
          <w:sz w:val="28"/>
          <w:szCs w:val="28"/>
        </w:rPr>
        <w:t>che ridefinisce la composizione della Commissione tecnica per i fabbisogni standard, includendovi anche i rappresentanti delle province;</w:t>
      </w:r>
    </w:p>
    <w:p w:rsidR="00753903" w:rsidRPr="00753903" w:rsidRDefault="00753903" w:rsidP="00753903">
      <w:pPr>
        <w:rPr>
          <w:bCs/>
          <w:sz w:val="28"/>
          <w:szCs w:val="28"/>
        </w:rPr>
      </w:pPr>
      <w:r w:rsidRPr="00753903">
        <w:rPr>
          <w:b/>
          <w:bCs/>
          <w:sz w:val="28"/>
          <w:szCs w:val="28"/>
        </w:rPr>
        <w:t xml:space="preserve">Pella 38.30, </w:t>
      </w:r>
      <w:r w:rsidRPr="00753903">
        <w:rPr>
          <w:bCs/>
          <w:sz w:val="28"/>
          <w:szCs w:val="28"/>
        </w:rPr>
        <w:t>che consente ai comuni con popolazione superiore ai 10.000 abitanti la possibilità di differire il pagamento delle rate dei mutui concessi da Cassa Depositi e Prestiti e dall’Istituto per il credito sportivo;</w:t>
      </w:r>
    </w:p>
    <w:p w:rsidR="00753903" w:rsidRPr="00753903" w:rsidRDefault="00753903" w:rsidP="00753903">
      <w:pPr>
        <w:rPr>
          <w:bCs/>
          <w:sz w:val="28"/>
          <w:szCs w:val="28"/>
        </w:rPr>
      </w:pPr>
      <w:r w:rsidRPr="00753903">
        <w:rPr>
          <w:b/>
          <w:bCs/>
          <w:sz w:val="28"/>
          <w:szCs w:val="28"/>
        </w:rPr>
        <w:t>Pella 38.33</w:t>
      </w:r>
      <w:r w:rsidRPr="00753903">
        <w:rPr>
          <w:bCs/>
          <w:sz w:val="28"/>
          <w:szCs w:val="28"/>
        </w:rPr>
        <w:t>, che reca disposizioni per il ripiano dei debiti fuori bilancio degli enti locali;</w:t>
      </w:r>
    </w:p>
    <w:p w:rsidR="00753903" w:rsidRPr="00476756" w:rsidRDefault="00753903" w:rsidP="00753903">
      <w:pPr>
        <w:rPr>
          <w:bCs/>
          <w:sz w:val="28"/>
          <w:szCs w:val="28"/>
        </w:rPr>
      </w:pPr>
      <w:r w:rsidRPr="00476756">
        <w:rPr>
          <w:bCs/>
          <w:sz w:val="28"/>
          <w:szCs w:val="28"/>
        </w:rPr>
        <w:t xml:space="preserve">gli identici </w:t>
      </w:r>
      <w:r w:rsidRPr="00476756">
        <w:rPr>
          <w:b/>
          <w:bCs/>
          <w:sz w:val="28"/>
          <w:szCs w:val="28"/>
        </w:rPr>
        <w:t>Plangger 38.01 e Pella 38.020</w:t>
      </w:r>
      <w:r w:rsidRPr="00476756">
        <w:rPr>
          <w:bCs/>
          <w:sz w:val="28"/>
          <w:szCs w:val="28"/>
        </w:rPr>
        <w:t>, che rinviano al 2021 l’applicazione di una serie di misure introdotte per le pubbliche amministrazioni, dall’ultima legge di bilancio, al fine di garantire il rispetto del pagamento dei debiti commerciali;</w:t>
      </w:r>
    </w:p>
    <w:p w:rsidR="00753903" w:rsidRPr="00BF1DFD" w:rsidRDefault="00753903" w:rsidP="00753903">
      <w:pPr>
        <w:rPr>
          <w:bCs/>
          <w:sz w:val="28"/>
          <w:szCs w:val="28"/>
        </w:rPr>
      </w:pPr>
      <w:r w:rsidRPr="00BF1DFD">
        <w:rPr>
          <w:bCs/>
          <w:sz w:val="28"/>
          <w:szCs w:val="28"/>
        </w:rPr>
        <w:t xml:space="preserve">gli identici </w:t>
      </w:r>
      <w:r w:rsidRPr="00BF1DFD">
        <w:rPr>
          <w:b/>
          <w:bCs/>
          <w:sz w:val="28"/>
          <w:szCs w:val="28"/>
        </w:rPr>
        <w:t>Pastorino 38.03 e Pella 38.09</w:t>
      </w:r>
      <w:r w:rsidRPr="00BF1DFD">
        <w:rPr>
          <w:bCs/>
          <w:sz w:val="28"/>
          <w:szCs w:val="28"/>
        </w:rPr>
        <w:t>, che intervengono sulla procedura di riequilibrio finanziario pluriennale degli enti locali in predissesto e sulla composizione del Piano di riequilibrio;</w:t>
      </w:r>
    </w:p>
    <w:p w:rsidR="00753903" w:rsidRPr="00753903" w:rsidRDefault="00753903" w:rsidP="00753903">
      <w:pPr>
        <w:rPr>
          <w:bCs/>
          <w:sz w:val="28"/>
          <w:szCs w:val="28"/>
        </w:rPr>
      </w:pPr>
      <w:r w:rsidRPr="00753903">
        <w:rPr>
          <w:bCs/>
          <w:sz w:val="28"/>
          <w:szCs w:val="28"/>
        </w:rPr>
        <w:t xml:space="preserve">gli identici </w:t>
      </w:r>
      <w:r w:rsidRPr="00753903">
        <w:rPr>
          <w:b/>
          <w:bCs/>
          <w:sz w:val="28"/>
          <w:szCs w:val="28"/>
        </w:rPr>
        <w:t>Pastorino 38.06 e Pella 38.023</w:t>
      </w:r>
      <w:r w:rsidRPr="00753903">
        <w:rPr>
          <w:bCs/>
          <w:sz w:val="28"/>
          <w:szCs w:val="28"/>
        </w:rPr>
        <w:t>, che rimettono ad una apposita convenzione tra Ministero dell’economia e CDP la definizione delle modalità e dei criteri di rinegoziazione dei mutui accordati agli enti locali prima del 31 dicembre 2015;</w:t>
      </w:r>
    </w:p>
    <w:p w:rsidR="00753903" w:rsidRPr="00BF1DFD" w:rsidRDefault="00753903" w:rsidP="00753903">
      <w:pPr>
        <w:rPr>
          <w:bCs/>
          <w:sz w:val="28"/>
          <w:szCs w:val="28"/>
        </w:rPr>
      </w:pPr>
      <w:r w:rsidRPr="00BF1DFD">
        <w:rPr>
          <w:bCs/>
          <w:sz w:val="28"/>
          <w:szCs w:val="28"/>
        </w:rPr>
        <w:t xml:space="preserve">gli identici </w:t>
      </w:r>
      <w:r w:rsidRPr="00BF1DFD">
        <w:rPr>
          <w:b/>
          <w:bCs/>
          <w:sz w:val="28"/>
          <w:szCs w:val="28"/>
        </w:rPr>
        <w:t>Pastorino 38.07 e Pella 38.022</w:t>
      </w:r>
      <w:r w:rsidRPr="00BF1DFD">
        <w:rPr>
          <w:bCs/>
          <w:sz w:val="28"/>
          <w:szCs w:val="28"/>
        </w:rPr>
        <w:t>, che intervengono sul principio della competenza finanziaria, di cui alla disciplina della contabilità armonizzata degli enti locali, ai fini della determinazione a rendiconto dell’accantonamento al fondo crediti di dubbia esigibilità;</w:t>
      </w:r>
    </w:p>
    <w:p w:rsidR="00753903" w:rsidRPr="00753903" w:rsidRDefault="00753903" w:rsidP="00753903">
      <w:pPr>
        <w:rPr>
          <w:bCs/>
          <w:sz w:val="28"/>
          <w:szCs w:val="28"/>
        </w:rPr>
      </w:pPr>
      <w:r w:rsidRPr="00753903">
        <w:rPr>
          <w:bCs/>
          <w:sz w:val="28"/>
          <w:szCs w:val="28"/>
        </w:rPr>
        <w:t xml:space="preserve">gli identici </w:t>
      </w:r>
      <w:r w:rsidRPr="00753903">
        <w:rPr>
          <w:b/>
          <w:bCs/>
          <w:sz w:val="28"/>
          <w:szCs w:val="28"/>
        </w:rPr>
        <w:t xml:space="preserve">Pastorino 38.08 e Pella 38.024, </w:t>
      </w:r>
      <w:r w:rsidRPr="00753903">
        <w:rPr>
          <w:bCs/>
          <w:sz w:val="28"/>
          <w:szCs w:val="28"/>
        </w:rPr>
        <w:t>che</w:t>
      </w:r>
      <w:r w:rsidRPr="00753903">
        <w:rPr>
          <w:b/>
          <w:bCs/>
          <w:sz w:val="28"/>
          <w:szCs w:val="28"/>
        </w:rPr>
        <w:t xml:space="preserve"> </w:t>
      </w:r>
      <w:r w:rsidRPr="00753903">
        <w:rPr>
          <w:bCs/>
          <w:sz w:val="28"/>
          <w:szCs w:val="28"/>
        </w:rPr>
        <w:t>estendono agli enti locali le disposizioni contabili introdotte dalla legge di bilancio 2019 al fine di favorire gli investimenti pubblici applicabili alla regione;</w:t>
      </w:r>
    </w:p>
    <w:p w:rsidR="00753903" w:rsidRPr="00BF1DFD" w:rsidRDefault="00753903" w:rsidP="00753903">
      <w:pPr>
        <w:rPr>
          <w:bCs/>
          <w:sz w:val="28"/>
          <w:szCs w:val="28"/>
        </w:rPr>
      </w:pPr>
      <w:r w:rsidRPr="00BF1DFD">
        <w:rPr>
          <w:b/>
          <w:bCs/>
          <w:sz w:val="28"/>
          <w:szCs w:val="28"/>
        </w:rPr>
        <w:lastRenderedPageBreak/>
        <w:t xml:space="preserve">Pella 38.017, </w:t>
      </w:r>
      <w:r w:rsidRPr="00BF1DFD">
        <w:rPr>
          <w:bCs/>
          <w:sz w:val="28"/>
          <w:szCs w:val="28"/>
        </w:rPr>
        <w:t>che differisce al 31 luglio 2019 (in luogo del 28 febbraio) il termine entro cui gli enti locali possono far richiesta di anticipazioni di liquidità agli istituti finanziari per il pagamento dei debiti commerciali maturati alla data del 31 dicembre 2018, nonché al 31 dicembre 2021 (in luogo del 15 dicembre 2019) il temine per la restituzione della liquidità concessa;</w:t>
      </w:r>
    </w:p>
    <w:p w:rsidR="00753903" w:rsidRPr="00753903" w:rsidRDefault="00753903" w:rsidP="00753903">
      <w:pPr>
        <w:rPr>
          <w:bCs/>
          <w:sz w:val="28"/>
          <w:szCs w:val="28"/>
        </w:rPr>
      </w:pPr>
      <w:r w:rsidRPr="00753903">
        <w:rPr>
          <w:b/>
          <w:bCs/>
          <w:sz w:val="28"/>
          <w:szCs w:val="28"/>
        </w:rPr>
        <w:t xml:space="preserve">Belotti 38.025, </w:t>
      </w:r>
      <w:r w:rsidRPr="00753903">
        <w:rPr>
          <w:bCs/>
          <w:sz w:val="28"/>
          <w:szCs w:val="28"/>
        </w:rPr>
        <w:t>che attribuisce un contributo ai comuni fino a 15.000 abitanti che hanno subito tagli del Fondo di solidarietà comunale ai fini del contenimento della spesa pubblica;</w:t>
      </w:r>
    </w:p>
    <w:p w:rsidR="00753903" w:rsidRPr="00753903" w:rsidRDefault="00753903" w:rsidP="00753903">
      <w:pPr>
        <w:rPr>
          <w:bCs/>
          <w:sz w:val="28"/>
          <w:szCs w:val="28"/>
        </w:rPr>
      </w:pPr>
      <w:r w:rsidRPr="00753903">
        <w:rPr>
          <w:b/>
          <w:bCs/>
          <w:sz w:val="28"/>
          <w:szCs w:val="28"/>
        </w:rPr>
        <w:t>Comaroli 38.028</w:t>
      </w:r>
      <w:r w:rsidRPr="00753903">
        <w:rPr>
          <w:bCs/>
          <w:sz w:val="28"/>
          <w:szCs w:val="28"/>
        </w:rPr>
        <w:t>, che esclude l’applicazione di alcune disposizioni introdotte dall’ultima legge di bilancio per assicurare il pagamento dei debiti commerciali da parte degli enti territoriali, nel caso in cui il debito sia inferiore a determinate soglie e l’indicatore di ritardo dei pagamenti, riferito all’anno precedente, presenti un andamento positivo;</w:t>
      </w:r>
    </w:p>
    <w:p w:rsidR="00753903" w:rsidRPr="00753903" w:rsidRDefault="00753903" w:rsidP="00753903">
      <w:pPr>
        <w:rPr>
          <w:bCs/>
          <w:sz w:val="28"/>
          <w:szCs w:val="28"/>
        </w:rPr>
      </w:pPr>
      <w:r w:rsidRPr="00753903">
        <w:rPr>
          <w:b/>
          <w:bCs/>
          <w:sz w:val="28"/>
          <w:szCs w:val="28"/>
        </w:rPr>
        <w:t>Comaroli 38.029,</w:t>
      </w:r>
      <w:r w:rsidRPr="00753903">
        <w:rPr>
          <w:bCs/>
          <w:sz w:val="28"/>
          <w:szCs w:val="28"/>
        </w:rPr>
        <w:t xml:space="preserve"> che interviene sulla procedura per il riconoscimento della legittimità dei debiti fuori bilancio delle regioni;</w:t>
      </w:r>
    </w:p>
    <w:p w:rsidR="00753903" w:rsidRPr="00753903" w:rsidRDefault="00753903" w:rsidP="00753903">
      <w:pPr>
        <w:rPr>
          <w:bCs/>
          <w:sz w:val="28"/>
          <w:szCs w:val="28"/>
        </w:rPr>
      </w:pPr>
      <w:r w:rsidRPr="00753903">
        <w:rPr>
          <w:b/>
          <w:bCs/>
          <w:sz w:val="28"/>
          <w:szCs w:val="28"/>
        </w:rPr>
        <w:t>Colletti 39.01 e 39.03</w:t>
      </w:r>
      <w:r w:rsidRPr="00753903">
        <w:rPr>
          <w:bCs/>
          <w:sz w:val="28"/>
          <w:szCs w:val="28"/>
        </w:rPr>
        <w:t>, che intervengono sulla disciplina vigente in materia di finanziamento delle fusioni di comuni;</w:t>
      </w:r>
    </w:p>
    <w:p w:rsidR="00753903" w:rsidRPr="00BF1DFD" w:rsidRDefault="00753903" w:rsidP="00753903">
      <w:pPr>
        <w:rPr>
          <w:bCs/>
          <w:sz w:val="28"/>
          <w:szCs w:val="28"/>
        </w:rPr>
      </w:pPr>
      <w:r w:rsidRPr="00BF1DFD">
        <w:rPr>
          <w:b/>
          <w:bCs/>
          <w:sz w:val="28"/>
          <w:szCs w:val="28"/>
        </w:rPr>
        <w:t>Fidanza 48.1</w:t>
      </w:r>
      <w:r w:rsidRPr="00BF1DFD">
        <w:rPr>
          <w:bCs/>
          <w:sz w:val="28"/>
          <w:szCs w:val="28"/>
        </w:rPr>
        <w:t xml:space="preserve"> </w:t>
      </w:r>
      <w:r w:rsidRPr="00BF1DFD">
        <w:rPr>
          <w:b/>
          <w:bCs/>
          <w:sz w:val="28"/>
          <w:szCs w:val="28"/>
        </w:rPr>
        <w:t>e 48.2</w:t>
      </w:r>
      <w:r w:rsidRPr="00BF1DFD">
        <w:rPr>
          <w:bCs/>
          <w:sz w:val="28"/>
          <w:szCs w:val="28"/>
        </w:rPr>
        <w:t>, che dispongono l’assoggettamento a regime agevolato IVA della fornitura di energia tramite reti di teleriscaldamento e teleraffrescamento a biomassa e a biomassa legnosa;</w:t>
      </w:r>
    </w:p>
    <w:p w:rsidR="00753903" w:rsidRPr="00753903" w:rsidRDefault="00753903" w:rsidP="00753903">
      <w:pPr>
        <w:rPr>
          <w:bCs/>
          <w:sz w:val="28"/>
          <w:szCs w:val="28"/>
        </w:rPr>
      </w:pPr>
      <w:r w:rsidRPr="00753903">
        <w:rPr>
          <w:b/>
          <w:bCs/>
          <w:sz w:val="28"/>
          <w:szCs w:val="28"/>
        </w:rPr>
        <w:t xml:space="preserve">Patassini 48.7, </w:t>
      </w:r>
      <w:r w:rsidRPr="00753903">
        <w:rPr>
          <w:bCs/>
          <w:sz w:val="28"/>
          <w:szCs w:val="28"/>
        </w:rPr>
        <w:t>che</w:t>
      </w:r>
      <w:r w:rsidRPr="00753903">
        <w:rPr>
          <w:b/>
          <w:bCs/>
          <w:sz w:val="28"/>
          <w:szCs w:val="28"/>
        </w:rPr>
        <w:t xml:space="preserve"> </w:t>
      </w:r>
      <w:r w:rsidRPr="00753903">
        <w:rPr>
          <w:bCs/>
          <w:sz w:val="28"/>
          <w:szCs w:val="28"/>
        </w:rPr>
        <w:t>opera modifiche al regime agevolato IVA (aliquota al 10 per cento) per le forniture di energia prodotta da fonti rinnovabili o da impianti di cogenerazione ad alto rendimento;</w:t>
      </w:r>
    </w:p>
    <w:p w:rsidR="00753903" w:rsidRPr="00753903" w:rsidRDefault="00753903" w:rsidP="00753903">
      <w:pPr>
        <w:rPr>
          <w:sz w:val="28"/>
          <w:szCs w:val="28"/>
        </w:rPr>
      </w:pPr>
      <w:r w:rsidRPr="00BF1DFD">
        <w:rPr>
          <w:b/>
          <w:bCs/>
          <w:sz w:val="28"/>
          <w:szCs w:val="28"/>
        </w:rPr>
        <w:t xml:space="preserve">Gebhard 49.01, </w:t>
      </w:r>
      <w:r w:rsidRPr="00BF1DFD">
        <w:rPr>
          <w:bCs/>
          <w:sz w:val="28"/>
          <w:szCs w:val="28"/>
        </w:rPr>
        <w:t>gli identici</w:t>
      </w:r>
      <w:r w:rsidRPr="00BF1DFD">
        <w:rPr>
          <w:b/>
          <w:bCs/>
          <w:sz w:val="28"/>
          <w:szCs w:val="28"/>
        </w:rPr>
        <w:t xml:space="preserve"> Toccafondi 49.02, Lupi 49.03, Marco Di Maio 49.022, Zucconi 49.038, Ciaburro 49.043 e </w:t>
      </w:r>
      <w:r w:rsidRPr="00BF1DFD">
        <w:rPr>
          <w:bCs/>
          <w:sz w:val="28"/>
          <w:szCs w:val="28"/>
        </w:rPr>
        <w:t>l’analogo</w:t>
      </w:r>
      <w:r w:rsidRPr="00BF1DFD">
        <w:rPr>
          <w:b/>
          <w:bCs/>
          <w:sz w:val="28"/>
          <w:szCs w:val="28"/>
        </w:rPr>
        <w:t xml:space="preserve"> Librandi 49.020, </w:t>
      </w:r>
      <w:r w:rsidRPr="00BF1DFD">
        <w:rPr>
          <w:sz w:val="28"/>
          <w:szCs w:val="28"/>
        </w:rPr>
        <w:t>che recano modifiche alla disciplina dell’obbligo di nomina di organi di controllo nelle Srl;</w:t>
      </w:r>
    </w:p>
    <w:p w:rsidR="00753903" w:rsidRDefault="00753903" w:rsidP="00753903">
      <w:pPr>
        <w:rPr>
          <w:bCs/>
          <w:sz w:val="28"/>
          <w:szCs w:val="28"/>
        </w:rPr>
      </w:pPr>
      <w:r w:rsidRPr="00BF1DFD">
        <w:rPr>
          <w:b/>
          <w:bCs/>
          <w:sz w:val="28"/>
          <w:szCs w:val="28"/>
        </w:rPr>
        <w:t>Mandelli 49.036</w:t>
      </w:r>
      <w:r w:rsidRPr="00BF1DFD">
        <w:rPr>
          <w:bCs/>
          <w:sz w:val="28"/>
          <w:szCs w:val="28"/>
        </w:rPr>
        <w:t>, che introduce la detraibilità dell’IVA per i farmaci di uso cosiddetto</w:t>
      </w:r>
      <w:r w:rsidR="002D64FC" w:rsidRPr="00BF1DFD">
        <w:rPr>
          <w:bCs/>
          <w:sz w:val="28"/>
          <w:szCs w:val="28"/>
        </w:rPr>
        <w:t xml:space="preserve"> compassionevole.</w:t>
      </w:r>
    </w:p>
    <w:p w:rsidR="00CF3447" w:rsidRDefault="00CF3447">
      <w:pPr>
        <w:spacing w:after="160" w:line="259" w:lineRule="auto"/>
        <w:jc w:val="left"/>
        <w:rPr>
          <w:bCs/>
          <w:sz w:val="28"/>
          <w:szCs w:val="28"/>
        </w:rPr>
      </w:pPr>
    </w:p>
    <w:p w:rsidR="00BF1DFD" w:rsidRDefault="00BF1DFD" w:rsidP="00753903">
      <w:pPr>
        <w:rPr>
          <w:bCs/>
          <w:sz w:val="28"/>
          <w:szCs w:val="28"/>
        </w:rPr>
      </w:pPr>
    </w:p>
    <w:sectPr w:rsidR="00BF1DF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770" w:rsidRDefault="00337770" w:rsidP="0092157E">
      <w:pPr>
        <w:spacing w:after="0" w:line="240" w:lineRule="auto"/>
      </w:pPr>
      <w:r>
        <w:separator/>
      </w:r>
    </w:p>
  </w:endnote>
  <w:endnote w:type="continuationSeparator" w:id="0">
    <w:p w:rsidR="00337770" w:rsidRDefault="00337770" w:rsidP="0092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13102"/>
      <w:docPartObj>
        <w:docPartGallery w:val="Page Numbers (Bottom of Page)"/>
        <w:docPartUnique/>
      </w:docPartObj>
    </w:sdtPr>
    <w:sdtEndPr/>
    <w:sdtContent>
      <w:p w:rsidR="00337770" w:rsidRDefault="00337770">
        <w:pPr>
          <w:pStyle w:val="Pidipagina"/>
          <w:jc w:val="center"/>
        </w:pPr>
        <w:r>
          <w:fldChar w:fldCharType="begin"/>
        </w:r>
        <w:r>
          <w:instrText>PAGE   \* MERGEFORMAT</w:instrText>
        </w:r>
        <w:r>
          <w:fldChar w:fldCharType="separate"/>
        </w:r>
        <w:r w:rsidR="00D77D85">
          <w:rPr>
            <w:noProof/>
          </w:rPr>
          <w:t>8</w:t>
        </w:r>
        <w:r>
          <w:fldChar w:fldCharType="end"/>
        </w:r>
      </w:p>
    </w:sdtContent>
  </w:sdt>
  <w:p w:rsidR="00337770" w:rsidRDefault="003377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770" w:rsidRDefault="00337770" w:rsidP="0092157E">
      <w:pPr>
        <w:spacing w:after="0" w:line="240" w:lineRule="auto"/>
      </w:pPr>
      <w:r>
        <w:separator/>
      </w:r>
    </w:p>
  </w:footnote>
  <w:footnote w:type="continuationSeparator" w:id="0">
    <w:p w:rsidR="00337770" w:rsidRDefault="00337770" w:rsidP="00921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535"/>
    <w:rsid w:val="00000620"/>
    <w:rsid w:val="000007E2"/>
    <w:rsid w:val="00002B3C"/>
    <w:rsid w:val="000053FB"/>
    <w:rsid w:val="000069E2"/>
    <w:rsid w:val="0001075D"/>
    <w:rsid w:val="0002469E"/>
    <w:rsid w:val="000318A4"/>
    <w:rsid w:val="00040442"/>
    <w:rsid w:val="00040764"/>
    <w:rsid w:val="0004698A"/>
    <w:rsid w:val="00054E7F"/>
    <w:rsid w:val="00057B74"/>
    <w:rsid w:val="000604FE"/>
    <w:rsid w:val="0007092F"/>
    <w:rsid w:val="00070B00"/>
    <w:rsid w:val="00072785"/>
    <w:rsid w:val="00084647"/>
    <w:rsid w:val="000854E4"/>
    <w:rsid w:val="00087A9D"/>
    <w:rsid w:val="000C6B24"/>
    <w:rsid w:val="000D09E4"/>
    <w:rsid w:val="000D3AD3"/>
    <w:rsid w:val="000E0979"/>
    <w:rsid w:val="000E4C74"/>
    <w:rsid w:val="000F3395"/>
    <w:rsid w:val="000F3C56"/>
    <w:rsid w:val="000F42BD"/>
    <w:rsid w:val="000F49FA"/>
    <w:rsid w:val="00103994"/>
    <w:rsid w:val="0010408F"/>
    <w:rsid w:val="00106F8B"/>
    <w:rsid w:val="00123535"/>
    <w:rsid w:val="0012725F"/>
    <w:rsid w:val="001338D3"/>
    <w:rsid w:val="00133A00"/>
    <w:rsid w:val="00153124"/>
    <w:rsid w:val="00154797"/>
    <w:rsid w:val="001572C0"/>
    <w:rsid w:val="00160C2C"/>
    <w:rsid w:val="00165877"/>
    <w:rsid w:val="00166AD1"/>
    <w:rsid w:val="001901F0"/>
    <w:rsid w:val="0019740F"/>
    <w:rsid w:val="001B1CEF"/>
    <w:rsid w:val="001B1E3C"/>
    <w:rsid w:val="001B7495"/>
    <w:rsid w:val="001C0F9A"/>
    <w:rsid w:val="001D15F9"/>
    <w:rsid w:val="001D1A77"/>
    <w:rsid w:val="001D4108"/>
    <w:rsid w:val="001E68F4"/>
    <w:rsid w:val="001F4CEB"/>
    <w:rsid w:val="0020015F"/>
    <w:rsid w:val="0020499F"/>
    <w:rsid w:val="00205F66"/>
    <w:rsid w:val="00212F59"/>
    <w:rsid w:val="00213F69"/>
    <w:rsid w:val="002146FC"/>
    <w:rsid w:val="00240E38"/>
    <w:rsid w:val="002425C2"/>
    <w:rsid w:val="00243830"/>
    <w:rsid w:val="002534D9"/>
    <w:rsid w:val="002555EB"/>
    <w:rsid w:val="002556FD"/>
    <w:rsid w:val="00267A78"/>
    <w:rsid w:val="00277629"/>
    <w:rsid w:val="0028328A"/>
    <w:rsid w:val="002A02F4"/>
    <w:rsid w:val="002A4D96"/>
    <w:rsid w:val="002B0619"/>
    <w:rsid w:val="002B4179"/>
    <w:rsid w:val="002C3746"/>
    <w:rsid w:val="002D0F00"/>
    <w:rsid w:val="002D64FC"/>
    <w:rsid w:val="002D6935"/>
    <w:rsid w:val="002E0C11"/>
    <w:rsid w:val="002F06C5"/>
    <w:rsid w:val="002F23AA"/>
    <w:rsid w:val="002F4201"/>
    <w:rsid w:val="00302252"/>
    <w:rsid w:val="0030751B"/>
    <w:rsid w:val="00311645"/>
    <w:rsid w:val="00312B6F"/>
    <w:rsid w:val="003331F8"/>
    <w:rsid w:val="003348F0"/>
    <w:rsid w:val="00337770"/>
    <w:rsid w:val="00337B2F"/>
    <w:rsid w:val="00341325"/>
    <w:rsid w:val="003417E9"/>
    <w:rsid w:val="00342E75"/>
    <w:rsid w:val="003476CD"/>
    <w:rsid w:val="003507CE"/>
    <w:rsid w:val="00351E19"/>
    <w:rsid w:val="003534CC"/>
    <w:rsid w:val="00361EA4"/>
    <w:rsid w:val="003628ED"/>
    <w:rsid w:val="00367D7F"/>
    <w:rsid w:val="00377640"/>
    <w:rsid w:val="00377821"/>
    <w:rsid w:val="00385A67"/>
    <w:rsid w:val="003A06F7"/>
    <w:rsid w:val="003A24E9"/>
    <w:rsid w:val="003A4721"/>
    <w:rsid w:val="003B3275"/>
    <w:rsid w:val="003B3FAC"/>
    <w:rsid w:val="003C034C"/>
    <w:rsid w:val="003F3565"/>
    <w:rsid w:val="003F4D9B"/>
    <w:rsid w:val="00414024"/>
    <w:rsid w:val="0042564F"/>
    <w:rsid w:val="00434E86"/>
    <w:rsid w:val="00435EDF"/>
    <w:rsid w:val="00437A58"/>
    <w:rsid w:val="004476A5"/>
    <w:rsid w:val="00453EAF"/>
    <w:rsid w:val="004604F8"/>
    <w:rsid w:val="0046291B"/>
    <w:rsid w:val="00472E93"/>
    <w:rsid w:val="00475479"/>
    <w:rsid w:val="004759F1"/>
    <w:rsid w:val="00476756"/>
    <w:rsid w:val="00477DCE"/>
    <w:rsid w:val="004810F1"/>
    <w:rsid w:val="004913FB"/>
    <w:rsid w:val="004A2716"/>
    <w:rsid w:val="004A2A0E"/>
    <w:rsid w:val="004B3EB1"/>
    <w:rsid w:val="004B5C49"/>
    <w:rsid w:val="004B79C1"/>
    <w:rsid w:val="004B7A33"/>
    <w:rsid w:val="004C184A"/>
    <w:rsid w:val="004E2510"/>
    <w:rsid w:val="004E7E54"/>
    <w:rsid w:val="004F1E6E"/>
    <w:rsid w:val="004F452C"/>
    <w:rsid w:val="004F70FF"/>
    <w:rsid w:val="004F78DF"/>
    <w:rsid w:val="00504811"/>
    <w:rsid w:val="0051150C"/>
    <w:rsid w:val="00514247"/>
    <w:rsid w:val="00516391"/>
    <w:rsid w:val="00517757"/>
    <w:rsid w:val="00527BA3"/>
    <w:rsid w:val="00530469"/>
    <w:rsid w:val="00533A2E"/>
    <w:rsid w:val="0054080A"/>
    <w:rsid w:val="0055107A"/>
    <w:rsid w:val="0055385D"/>
    <w:rsid w:val="00553B73"/>
    <w:rsid w:val="005570E2"/>
    <w:rsid w:val="005676BA"/>
    <w:rsid w:val="00585A66"/>
    <w:rsid w:val="005871AE"/>
    <w:rsid w:val="00595792"/>
    <w:rsid w:val="0059679F"/>
    <w:rsid w:val="005A4DE5"/>
    <w:rsid w:val="005A76FD"/>
    <w:rsid w:val="005C5ADA"/>
    <w:rsid w:val="005D3CEC"/>
    <w:rsid w:val="005E36C7"/>
    <w:rsid w:val="005E583A"/>
    <w:rsid w:val="006030A1"/>
    <w:rsid w:val="00607726"/>
    <w:rsid w:val="00610842"/>
    <w:rsid w:val="006251F2"/>
    <w:rsid w:val="00650AFE"/>
    <w:rsid w:val="00651E07"/>
    <w:rsid w:val="006532B9"/>
    <w:rsid w:val="006538D1"/>
    <w:rsid w:val="00654464"/>
    <w:rsid w:val="0066473D"/>
    <w:rsid w:val="0067303D"/>
    <w:rsid w:val="00674C4E"/>
    <w:rsid w:val="00674E67"/>
    <w:rsid w:val="00687054"/>
    <w:rsid w:val="006873E1"/>
    <w:rsid w:val="0069703C"/>
    <w:rsid w:val="006B07A9"/>
    <w:rsid w:val="006B2722"/>
    <w:rsid w:val="006C68B7"/>
    <w:rsid w:val="006D37E3"/>
    <w:rsid w:val="006D5D13"/>
    <w:rsid w:val="006D67EB"/>
    <w:rsid w:val="006D7A9D"/>
    <w:rsid w:val="006E16AF"/>
    <w:rsid w:val="006E4428"/>
    <w:rsid w:val="006F2687"/>
    <w:rsid w:val="006F5425"/>
    <w:rsid w:val="00701A34"/>
    <w:rsid w:val="00706499"/>
    <w:rsid w:val="00715E75"/>
    <w:rsid w:val="00744085"/>
    <w:rsid w:val="00745859"/>
    <w:rsid w:val="0074658F"/>
    <w:rsid w:val="00752AB1"/>
    <w:rsid w:val="00753903"/>
    <w:rsid w:val="007567D0"/>
    <w:rsid w:val="00762FA7"/>
    <w:rsid w:val="007646E1"/>
    <w:rsid w:val="007649EF"/>
    <w:rsid w:val="007663D8"/>
    <w:rsid w:val="0078317B"/>
    <w:rsid w:val="00791CD3"/>
    <w:rsid w:val="007B311E"/>
    <w:rsid w:val="007B42F6"/>
    <w:rsid w:val="007B6BDD"/>
    <w:rsid w:val="007C1BB0"/>
    <w:rsid w:val="007C334B"/>
    <w:rsid w:val="007D53F8"/>
    <w:rsid w:val="007E0F0F"/>
    <w:rsid w:val="007F4390"/>
    <w:rsid w:val="00804352"/>
    <w:rsid w:val="0080723E"/>
    <w:rsid w:val="00813EDD"/>
    <w:rsid w:val="0081460F"/>
    <w:rsid w:val="00814F0D"/>
    <w:rsid w:val="00815751"/>
    <w:rsid w:val="00816E2C"/>
    <w:rsid w:val="008312E8"/>
    <w:rsid w:val="00835BAF"/>
    <w:rsid w:val="00841A21"/>
    <w:rsid w:val="00852C57"/>
    <w:rsid w:val="0085409D"/>
    <w:rsid w:val="00861AC2"/>
    <w:rsid w:val="00861E05"/>
    <w:rsid w:val="00871130"/>
    <w:rsid w:val="0087578D"/>
    <w:rsid w:val="00877DB1"/>
    <w:rsid w:val="00892298"/>
    <w:rsid w:val="00894BDB"/>
    <w:rsid w:val="00894C03"/>
    <w:rsid w:val="008A11E1"/>
    <w:rsid w:val="008B7793"/>
    <w:rsid w:val="008C1CF9"/>
    <w:rsid w:val="008D3571"/>
    <w:rsid w:val="008D7AF6"/>
    <w:rsid w:val="008E0919"/>
    <w:rsid w:val="008E37D3"/>
    <w:rsid w:val="008E75E9"/>
    <w:rsid w:val="009018FD"/>
    <w:rsid w:val="0092157E"/>
    <w:rsid w:val="00935229"/>
    <w:rsid w:val="0093705E"/>
    <w:rsid w:val="00950275"/>
    <w:rsid w:val="0095548C"/>
    <w:rsid w:val="009570D8"/>
    <w:rsid w:val="00964468"/>
    <w:rsid w:val="00965C75"/>
    <w:rsid w:val="009734CE"/>
    <w:rsid w:val="00985B26"/>
    <w:rsid w:val="00996A00"/>
    <w:rsid w:val="009A0608"/>
    <w:rsid w:val="009C3751"/>
    <w:rsid w:val="009E3D24"/>
    <w:rsid w:val="009F1E15"/>
    <w:rsid w:val="009F2719"/>
    <w:rsid w:val="00A013FC"/>
    <w:rsid w:val="00A04325"/>
    <w:rsid w:val="00A1752D"/>
    <w:rsid w:val="00A1758D"/>
    <w:rsid w:val="00A310DC"/>
    <w:rsid w:val="00A31540"/>
    <w:rsid w:val="00A4051D"/>
    <w:rsid w:val="00A53230"/>
    <w:rsid w:val="00A80365"/>
    <w:rsid w:val="00A81DE1"/>
    <w:rsid w:val="00A84B10"/>
    <w:rsid w:val="00A85AF4"/>
    <w:rsid w:val="00A87270"/>
    <w:rsid w:val="00AA1892"/>
    <w:rsid w:val="00AA2CE5"/>
    <w:rsid w:val="00AA40DD"/>
    <w:rsid w:val="00AA47F9"/>
    <w:rsid w:val="00AB3CC9"/>
    <w:rsid w:val="00AB4A66"/>
    <w:rsid w:val="00AE1240"/>
    <w:rsid w:val="00AE2B41"/>
    <w:rsid w:val="00AE5BFF"/>
    <w:rsid w:val="00B00595"/>
    <w:rsid w:val="00B12119"/>
    <w:rsid w:val="00B1228C"/>
    <w:rsid w:val="00B152CF"/>
    <w:rsid w:val="00B1536F"/>
    <w:rsid w:val="00B24E8B"/>
    <w:rsid w:val="00B329E4"/>
    <w:rsid w:val="00B33A33"/>
    <w:rsid w:val="00B374F2"/>
    <w:rsid w:val="00B6339E"/>
    <w:rsid w:val="00B90C94"/>
    <w:rsid w:val="00BA00D5"/>
    <w:rsid w:val="00BB178C"/>
    <w:rsid w:val="00BC47DA"/>
    <w:rsid w:val="00BC6A6A"/>
    <w:rsid w:val="00BD4CAA"/>
    <w:rsid w:val="00BE174B"/>
    <w:rsid w:val="00BE22C6"/>
    <w:rsid w:val="00BE2B21"/>
    <w:rsid w:val="00BE6175"/>
    <w:rsid w:val="00BF0B29"/>
    <w:rsid w:val="00BF1DFD"/>
    <w:rsid w:val="00BF7BE0"/>
    <w:rsid w:val="00C00917"/>
    <w:rsid w:val="00C0308A"/>
    <w:rsid w:val="00C0771D"/>
    <w:rsid w:val="00C170C5"/>
    <w:rsid w:val="00C24394"/>
    <w:rsid w:val="00C24677"/>
    <w:rsid w:val="00C35D6A"/>
    <w:rsid w:val="00C42490"/>
    <w:rsid w:val="00C61661"/>
    <w:rsid w:val="00C619A4"/>
    <w:rsid w:val="00C64571"/>
    <w:rsid w:val="00C65CE9"/>
    <w:rsid w:val="00C67D27"/>
    <w:rsid w:val="00C721FF"/>
    <w:rsid w:val="00C74C23"/>
    <w:rsid w:val="00C92289"/>
    <w:rsid w:val="00C9681D"/>
    <w:rsid w:val="00C976B1"/>
    <w:rsid w:val="00CA2210"/>
    <w:rsid w:val="00CA4C38"/>
    <w:rsid w:val="00CA796C"/>
    <w:rsid w:val="00CB6593"/>
    <w:rsid w:val="00CB6DBD"/>
    <w:rsid w:val="00CC1D7F"/>
    <w:rsid w:val="00CC221F"/>
    <w:rsid w:val="00CC4534"/>
    <w:rsid w:val="00CC7218"/>
    <w:rsid w:val="00CD2AC2"/>
    <w:rsid w:val="00CD2E18"/>
    <w:rsid w:val="00CD525A"/>
    <w:rsid w:val="00CD5C89"/>
    <w:rsid w:val="00CE0A16"/>
    <w:rsid w:val="00CE35A1"/>
    <w:rsid w:val="00CE55A6"/>
    <w:rsid w:val="00CF1073"/>
    <w:rsid w:val="00CF307D"/>
    <w:rsid w:val="00CF3447"/>
    <w:rsid w:val="00CF3651"/>
    <w:rsid w:val="00CF5C11"/>
    <w:rsid w:val="00D001CE"/>
    <w:rsid w:val="00D03766"/>
    <w:rsid w:val="00D05CA4"/>
    <w:rsid w:val="00D10542"/>
    <w:rsid w:val="00D1615E"/>
    <w:rsid w:val="00D33B67"/>
    <w:rsid w:val="00D3725A"/>
    <w:rsid w:val="00D4427C"/>
    <w:rsid w:val="00D46DE0"/>
    <w:rsid w:val="00D47502"/>
    <w:rsid w:val="00D50A66"/>
    <w:rsid w:val="00D51E26"/>
    <w:rsid w:val="00D51FC2"/>
    <w:rsid w:val="00D542FF"/>
    <w:rsid w:val="00D57D84"/>
    <w:rsid w:val="00D6100D"/>
    <w:rsid w:val="00D67888"/>
    <w:rsid w:val="00D71F7F"/>
    <w:rsid w:val="00D77D85"/>
    <w:rsid w:val="00D910EA"/>
    <w:rsid w:val="00DA310B"/>
    <w:rsid w:val="00DA4CDC"/>
    <w:rsid w:val="00DB192F"/>
    <w:rsid w:val="00DD1233"/>
    <w:rsid w:val="00DD12CB"/>
    <w:rsid w:val="00DD299C"/>
    <w:rsid w:val="00DD2E6F"/>
    <w:rsid w:val="00DD7B9C"/>
    <w:rsid w:val="00DF2459"/>
    <w:rsid w:val="00DF3DE2"/>
    <w:rsid w:val="00E02478"/>
    <w:rsid w:val="00E05A47"/>
    <w:rsid w:val="00E07697"/>
    <w:rsid w:val="00E23649"/>
    <w:rsid w:val="00E24491"/>
    <w:rsid w:val="00E24F33"/>
    <w:rsid w:val="00E302A6"/>
    <w:rsid w:val="00E33B87"/>
    <w:rsid w:val="00E3407A"/>
    <w:rsid w:val="00E404D2"/>
    <w:rsid w:val="00E453AA"/>
    <w:rsid w:val="00E63919"/>
    <w:rsid w:val="00E70459"/>
    <w:rsid w:val="00E876A5"/>
    <w:rsid w:val="00E879BC"/>
    <w:rsid w:val="00E90733"/>
    <w:rsid w:val="00E91B41"/>
    <w:rsid w:val="00E93C44"/>
    <w:rsid w:val="00E93F8D"/>
    <w:rsid w:val="00EA7822"/>
    <w:rsid w:val="00ED23E9"/>
    <w:rsid w:val="00ED28AB"/>
    <w:rsid w:val="00EE4E32"/>
    <w:rsid w:val="00EF38BA"/>
    <w:rsid w:val="00EF3AD9"/>
    <w:rsid w:val="00F074CD"/>
    <w:rsid w:val="00F12794"/>
    <w:rsid w:val="00F150CF"/>
    <w:rsid w:val="00F24562"/>
    <w:rsid w:val="00F53EBC"/>
    <w:rsid w:val="00F612E3"/>
    <w:rsid w:val="00F61E26"/>
    <w:rsid w:val="00F623D3"/>
    <w:rsid w:val="00F63AF9"/>
    <w:rsid w:val="00F6562A"/>
    <w:rsid w:val="00F715F9"/>
    <w:rsid w:val="00F721B6"/>
    <w:rsid w:val="00F746AB"/>
    <w:rsid w:val="00F77644"/>
    <w:rsid w:val="00F90AD8"/>
    <w:rsid w:val="00F91240"/>
    <w:rsid w:val="00F93CA1"/>
    <w:rsid w:val="00F9499F"/>
    <w:rsid w:val="00FA0067"/>
    <w:rsid w:val="00FA240F"/>
    <w:rsid w:val="00FA2DF5"/>
    <w:rsid w:val="00FA5752"/>
    <w:rsid w:val="00FA6895"/>
    <w:rsid w:val="00FB074D"/>
    <w:rsid w:val="00FB71F9"/>
    <w:rsid w:val="00FC6A0E"/>
    <w:rsid w:val="00FD17BD"/>
    <w:rsid w:val="00FD3ADC"/>
    <w:rsid w:val="00FE7533"/>
    <w:rsid w:val="00FF1A02"/>
    <w:rsid w:val="00FF312F"/>
    <w:rsid w:val="00FF446B"/>
    <w:rsid w:val="00FF7D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E7A6-18AB-43E9-9223-61F0F413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3535"/>
    <w:pPr>
      <w:spacing w:after="200" w:line="276" w:lineRule="auto"/>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15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157E"/>
    <w:rPr>
      <w:rFonts w:ascii="Times New Roman" w:hAnsi="Times New Roman"/>
      <w:sz w:val="24"/>
    </w:rPr>
  </w:style>
  <w:style w:type="paragraph" w:styleId="Pidipagina">
    <w:name w:val="footer"/>
    <w:basedOn w:val="Normale"/>
    <w:link w:val="PidipaginaCarattere"/>
    <w:uiPriority w:val="99"/>
    <w:unhideWhenUsed/>
    <w:rsid w:val="009215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157E"/>
    <w:rPr>
      <w:rFonts w:ascii="Times New Roman" w:hAnsi="Times New Roman"/>
      <w:sz w:val="24"/>
    </w:rPr>
  </w:style>
  <w:style w:type="paragraph" w:styleId="Testofumetto">
    <w:name w:val="Balloon Text"/>
    <w:basedOn w:val="Normale"/>
    <w:link w:val="TestofumettoCarattere"/>
    <w:uiPriority w:val="99"/>
    <w:semiHidden/>
    <w:unhideWhenUsed/>
    <w:rsid w:val="003A47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2337</Words>
  <Characters>13323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Utente ospite</cp:lastModifiedBy>
  <cp:revision>2</cp:revision>
  <cp:lastPrinted>2019-05-21T18:45:00Z</cp:lastPrinted>
  <dcterms:created xsi:type="dcterms:W3CDTF">2019-05-21T18:54:00Z</dcterms:created>
  <dcterms:modified xsi:type="dcterms:W3CDTF">2019-05-21T18:54:00Z</dcterms:modified>
</cp:coreProperties>
</file>