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A33" w:rsidRDefault="00BA0A33" w:rsidP="00BA0A33">
      <w:pPr>
        <w:jc w:val="center"/>
        <w:rPr>
          <w:b/>
        </w:rPr>
      </w:pPr>
      <w:r w:rsidRPr="00242138">
        <w:rPr>
          <w:b/>
        </w:rPr>
        <w:t>Elementi di rilievo per le Regioni e P</w:t>
      </w:r>
      <w:r>
        <w:rPr>
          <w:b/>
        </w:rPr>
        <w:t xml:space="preserve">rovince autonome </w:t>
      </w:r>
      <w:r w:rsidRPr="00242138">
        <w:rPr>
          <w:b/>
        </w:rPr>
        <w:t>ai fini di un corretto avvio e di una efficace gestione del reddito di cittadinanza</w:t>
      </w:r>
    </w:p>
    <w:p w:rsidR="00BA0A33" w:rsidRDefault="00BA0A33" w:rsidP="00BA0A33">
      <w:pPr>
        <w:jc w:val="center"/>
        <w:rPr>
          <w:i/>
        </w:rPr>
      </w:pPr>
      <w:r w:rsidRPr="00242138">
        <w:rPr>
          <w:i/>
        </w:rPr>
        <w:t xml:space="preserve">Audizione della Conferenza delle Regioni </w:t>
      </w:r>
      <w:r>
        <w:rPr>
          <w:i/>
        </w:rPr>
        <w:t xml:space="preserve">e delle PA presso la </w:t>
      </w:r>
      <w:r w:rsidRPr="005A30C6">
        <w:rPr>
          <w:i/>
        </w:rPr>
        <w:t>Commissione Lavoro pubblico e privato, previdenza sociale del</w:t>
      </w:r>
      <w:r>
        <w:rPr>
          <w:i/>
        </w:rPr>
        <w:t xml:space="preserve"> Senato della Repubblica</w:t>
      </w:r>
      <w:bookmarkStart w:id="0" w:name="_GoBack"/>
      <w:bookmarkEnd w:id="0"/>
    </w:p>
    <w:p w:rsidR="00BA0A33" w:rsidRPr="00BA0A33" w:rsidRDefault="00BA0A33" w:rsidP="00BA0A33">
      <w:pPr>
        <w:jc w:val="center"/>
        <w:rPr>
          <w:smallCaps/>
          <w:u w:val="single"/>
        </w:rPr>
      </w:pPr>
      <w:r w:rsidRPr="00BA0A33">
        <w:rPr>
          <w:smallCaps/>
          <w:sz w:val="28"/>
          <w:szCs w:val="28"/>
        </w:rPr>
        <w:t>Intervento dell’Assessore Cristina Grieco, Coordinatrice della Commissione Istruzione e Lavoro della Conferenza delle Regioni e province autonome</w:t>
      </w:r>
      <w:r w:rsidRPr="00BA0A33">
        <w:rPr>
          <w:smallCaps/>
          <w:u w:val="single"/>
        </w:rPr>
        <w:t xml:space="preserve"> </w:t>
      </w:r>
    </w:p>
    <w:p w:rsidR="00BA0A33" w:rsidRDefault="00BA0A33" w:rsidP="00BA0A33">
      <w:pPr>
        <w:jc w:val="center"/>
        <w:rPr>
          <w:u w:val="single"/>
        </w:rPr>
      </w:pPr>
      <w:r w:rsidRPr="00242138">
        <w:rPr>
          <w:u w:val="single"/>
        </w:rPr>
        <w:t>Roma, 4 febbraio 2019</w:t>
      </w:r>
    </w:p>
    <w:p w:rsidR="00BA0A33" w:rsidRPr="00BA0A33" w:rsidRDefault="00BA0A33" w:rsidP="00BA0A33">
      <w:pPr>
        <w:jc w:val="center"/>
        <w:rPr>
          <w:b/>
          <w:i/>
        </w:rPr>
      </w:pPr>
    </w:p>
    <w:p w:rsidR="00003A0B" w:rsidRDefault="00DE5973" w:rsidP="00DE5973">
      <w:pPr>
        <w:jc w:val="both"/>
      </w:pPr>
      <w:r w:rsidRPr="00DE5973">
        <w:t>La riflessione sul</w:t>
      </w:r>
      <w:r>
        <w:t>l’</w:t>
      </w:r>
      <w:r w:rsidR="00E75A54">
        <w:t xml:space="preserve">introduzione </w:t>
      </w:r>
      <w:r>
        <w:t xml:space="preserve">di </w:t>
      </w:r>
      <w:r w:rsidRPr="00820375">
        <w:rPr>
          <w:b/>
        </w:rPr>
        <w:t>una misura di sostegno alle persone per la lotta alla povertà ed alla mar</w:t>
      </w:r>
      <w:r w:rsidR="00E75A54" w:rsidRPr="00820375">
        <w:rPr>
          <w:b/>
        </w:rPr>
        <w:t>ginalità sociale, come il reddito di cittadinanza</w:t>
      </w:r>
      <w:r w:rsidR="00E75A54">
        <w:t>, è al centro di un vivo confronto politico e tecnico in queste settimane e vede ormai quotidianamente le Regioni impegnate ad approf</w:t>
      </w:r>
      <w:r w:rsidR="00990E6C">
        <w:t xml:space="preserve">ondire e verificare gli impatti operativi </w:t>
      </w:r>
      <w:r w:rsidR="00E75A54">
        <w:t>che tale misura produrrà sui propri sistemi territoriali di servizi</w:t>
      </w:r>
      <w:r w:rsidR="00003A0B">
        <w:t xml:space="preserve"> e, di conseguenza, sugli utenti degli stessi. </w:t>
      </w:r>
    </w:p>
    <w:p w:rsidR="00990E6C" w:rsidRDefault="00990E6C" w:rsidP="00DE5973">
      <w:pPr>
        <w:jc w:val="both"/>
      </w:pPr>
      <w:r>
        <w:t xml:space="preserve">In </w:t>
      </w:r>
      <w:r w:rsidR="00003A0B">
        <w:t>occasione dell’incontro tenutosi a fine gennaio tra</w:t>
      </w:r>
      <w:r w:rsidR="00003A0B" w:rsidRPr="00003A0B">
        <w:t xml:space="preserve"> </w:t>
      </w:r>
      <w:r w:rsidR="00003A0B">
        <w:t xml:space="preserve">il Ministro del Lavoro e gli Assessori </w:t>
      </w:r>
      <w:r w:rsidR="00BA0A33">
        <w:t>regionali al Lavoro</w:t>
      </w:r>
      <w:r>
        <w:t xml:space="preserve">, le Regioni hanno </w:t>
      </w:r>
      <w:r w:rsidR="00820375">
        <w:t xml:space="preserve">osservato </w:t>
      </w:r>
      <w:r>
        <w:t xml:space="preserve">con rammarico come il confronto su una misura così nevralgica sia, </w:t>
      </w:r>
      <w:r w:rsidR="00003A0B">
        <w:t>purtroppo</w:t>
      </w:r>
      <w:r>
        <w:t>,</w:t>
      </w:r>
      <w:r w:rsidR="00003A0B">
        <w:t xml:space="preserve"> avvenuto quando il provvedimento era già stato completamente definito a livello centrale, senza possibilità per gli attori del territorio di poter offrire un contri</w:t>
      </w:r>
      <w:r>
        <w:t xml:space="preserve">buto per una costruzione del dispositivo basato sulla loro esperienza, prima ancor che competenza costituzionale. È stata, pertanto, ribadita la necessità di </w:t>
      </w:r>
      <w:r w:rsidRPr="00820375">
        <w:rPr>
          <w:b/>
        </w:rPr>
        <w:t>un coinvolgimento delle Regioni fattuale e tempestivo nella fase dei lavori di conversione del decreto legge</w:t>
      </w:r>
      <w:r>
        <w:t>, per orientarne la stesura in una chiave rispettosa del ruolo e delle competenze regionali e per apporre da subito i dovuti correttivi, ai fini di assicurare un buon funzionamento del Reddito di cittadinanza, evitando situazioni di caos operativo per il sistema dei CPI, in connessione a quello dei servizi sociali a titolarità comunale, che di fatto si tradurrebbero in forti disagi per i cittadini beneficiari dello strumento.</w:t>
      </w:r>
    </w:p>
    <w:p w:rsidR="00DE5973" w:rsidRDefault="00990E6C" w:rsidP="00DE5973">
      <w:pPr>
        <w:jc w:val="both"/>
      </w:pPr>
      <w:r w:rsidRPr="00D7138D">
        <w:rPr>
          <w:b/>
        </w:rPr>
        <w:t xml:space="preserve">Le Regioni non hanno espresso, </w:t>
      </w:r>
      <w:r w:rsidR="00D144C9">
        <w:rPr>
          <w:b/>
        </w:rPr>
        <w:t>pertanto</w:t>
      </w:r>
      <w:r w:rsidRPr="00D7138D">
        <w:rPr>
          <w:b/>
        </w:rPr>
        <w:t>, alcuna contrarietà pregiud</w:t>
      </w:r>
      <w:r w:rsidR="00820375" w:rsidRPr="00D7138D">
        <w:rPr>
          <w:b/>
        </w:rPr>
        <w:t>iziale allo strumento</w:t>
      </w:r>
      <w:r w:rsidR="00820375">
        <w:t xml:space="preserve">. </w:t>
      </w:r>
      <w:r w:rsidR="00820375" w:rsidRPr="00BA0A33">
        <w:rPr>
          <w:b/>
        </w:rPr>
        <w:t xml:space="preserve">Al contrario, la stessa Conferenza delle Regioni, nella seduta del 24 gennaio 2019, ha confermato </w:t>
      </w:r>
      <w:r w:rsidR="00810D3C" w:rsidRPr="00BA0A33">
        <w:rPr>
          <w:b/>
        </w:rPr>
        <w:t>il favore</w:t>
      </w:r>
      <w:r w:rsidR="00820375" w:rsidRPr="00BA0A33">
        <w:rPr>
          <w:b/>
        </w:rPr>
        <w:t xml:space="preserve"> perché sia realizzato un intervento di contrasto efficace alla povertà, </w:t>
      </w:r>
      <w:r w:rsidR="00820375" w:rsidRPr="00BA0A33">
        <w:t>attraverso politiche come que</w:t>
      </w:r>
      <w:r w:rsidR="00810D3C" w:rsidRPr="00BA0A33">
        <w:t>lle co</w:t>
      </w:r>
      <w:r w:rsidR="00366A92" w:rsidRPr="00BA0A33">
        <w:t xml:space="preserve">ntenute nel decreto legge, nonché come quelle </w:t>
      </w:r>
      <w:r w:rsidR="00204870" w:rsidRPr="00BA0A33">
        <w:t>da tempo</w:t>
      </w:r>
      <w:r w:rsidR="00366A92" w:rsidRPr="00BA0A33">
        <w:t xml:space="preserve"> in corso nell’ambito delle esperienze regionali</w:t>
      </w:r>
      <w:r w:rsidR="00366A92" w:rsidRPr="00BA0A33">
        <w:rPr>
          <w:b/>
        </w:rPr>
        <w:t>.</w:t>
      </w:r>
      <w:r w:rsidR="00820375">
        <w:t xml:space="preserve"> Tuttavia</w:t>
      </w:r>
      <w:r w:rsidR="00810D3C">
        <w:t xml:space="preserve">, in assenza di una reale concertazione sul testo e di una riflessione seria sul portato delle disposizioni che si </w:t>
      </w:r>
      <w:r w:rsidR="00572885">
        <w:t xml:space="preserve">vanno ad </w:t>
      </w:r>
      <w:r w:rsidR="00810D3C">
        <w:t xml:space="preserve">introdurre, si rischia di </w:t>
      </w:r>
      <w:r w:rsidR="00810D3C" w:rsidRPr="00572885">
        <w:rPr>
          <w:b/>
        </w:rPr>
        <w:t>rendere</w:t>
      </w:r>
      <w:r w:rsidR="00366A92" w:rsidRPr="00572885">
        <w:rPr>
          <w:b/>
        </w:rPr>
        <w:t xml:space="preserve"> una larga parte delle misure inattuabili e dover far subire, di conseguenza, alle persone inevitabili rallentamenti amministrativi e situazioni di incertezza procedurale</w:t>
      </w:r>
      <w:r w:rsidR="00366A92">
        <w:t>.</w:t>
      </w:r>
    </w:p>
    <w:p w:rsidR="00366A92" w:rsidRDefault="00366A92" w:rsidP="00DE5973">
      <w:pPr>
        <w:jc w:val="both"/>
      </w:pPr>
      <w:r>
        <w:t>Con questo spirito di responsabilità istituzionale, abbiamo pertanto dato mandato agli uffici tecnici di avviare un tavolo di lavoro congiunto tra le Regioni e il Ministero, per concordare le opportune modifiche al provvedimento in sede di conversione, per renderlo efficace e sostenibile, oltre che conforme alla cornice organizzativa e operativa dei servizi per l’impiego.</w:t>
      </w:r>
    </w:p>
    <w:p w:rsidR="00366A92" w:rsidRDefault="00366A92" w:rsidP="00DE5973">
      <w:pPr>
        <w:jc w:val="both"/>
      </w:pPr>
      <w:r>
        <w:t>In questa sede, portiamo all’attenzione degli organi parlamentari le questioni preliminari a valenza politica, che, ove non affrontate e risolte secondo una logica di leale collaborazione</w:t>
      </w:r>
      <w:r w:rsidR="00780A5C">
        <w:t xml:space="preserve">, renderebbero inefficace il </w:t>
      </w:r>
      <w:r>
        <w:t>lavoro di miglioramento tecnico</w:t>
      </w:r>
      <w:r w:rsidR="00780A5C">
        <w:t>, perché attengono alla radice dell’impostazione dell’intervento del Governo.</w:t>
      </w:r>
    </w:p>
    <w:p w:rsidR="00780A5C" w:rsidRDefault="00780A5C" w:rsidP="00DE5973">
      <w:pPr>
        <w:jc w:val="both"/>
        <w:rPr>
          <w:b/>
        </w:rPr>
      </w:pPr>
      <w:r w:rsidRPr="00780A5C">
        <w:rPr>
          <w:b/>
        </w:rPr>
        <w:t>1. Rafforzamento amministrativo dei CPI</w:t>
      </w:r>
    </w:p>
    <w:p w:rsidR="00780A5C" w:rsidRDefault="00780A5C" w:rsidP="00DE5973">
      <w:pPr>
        <w:jc w:val="both"/>
      </w:pPr>
      <w:r>
        <w:t xml:space="preserve">Come sottolineato anche in occasione dell’audizione </w:t>
      </w:r>
      <w:r w:rsidR="00325A80">
        <w:t xml:space="preserve">presso la Commissione Lavoro del Senato </w:t>
      </w:r>
      <w:r>
        <w:t xml:space="preserve">dello scorso 1 agosto, le Regioni ritengono indispensabile e indifferibile un rafforzamento dei CPI, sotto il profilo quantitativo e qualitativo del personale e sotto l’aspetto dell’adeguamento ed ammodernamento strutturale delle sedi. </w:t>
      </w:r>
    </w:p>
    <w:p w:rsidR="00780A5C" w:rsidRDefault="00780A5C" w:rsidP="00DE5973">
      <w:pPr>
        <w:jc w:val="both"/>
      </w:pPr>
      <w:r w:rsidRPr="00CF5555">
        <w:rPr>
          <w:b/>
        </w:rPr>
        <w:lastRenderedPageBreak/>
        <w:t>Il rafforzamento dei CPI è un obiettivo strategico primario per le Regioni, a prescindere dall’introduzione del reddito di cittadinanza</w:t>
      </w:r>
      <w:r>
        <w:t xml:space="preserve">, in quanto i CPI costituiscono il punto di riferimento istituzionale per i cittadini ai fini dell’intermediazione tra domanda e offerta di lavoro e dell’erogazione delle politiche attive del </w:t>
      </w:r>
      <w:r w:rsidR="00CF5555">
        <w:t xml:space="preserve">lavoro e della formazione che, ricordiamo, nella cornice normativa vigente </w:t>
      </w:r>
      <w:r w:rsidR="00204870">
        <w:t>costituiscono LEP e che, di conseguenza, devono poter essere pienamente esigibili dalle persone.</w:t>
      </w:r>
    </w:p>
    <w:p w:rsidR="00CF5555" w:rsidRPr="00BA0A33" w:rsidRDefault="00CF5555" w:rsidP="00CF5555">
      <w:pPr>
        <w:jc w:val="both"/>
        <w:rPr>
          <w:b/>
        </w:rPr>
      </w:pPr>
      <w:r>
        <w:t>Il rafforzamento degli organici, disposto dalle leggi di bilancio 2018 e 2019,</w:t>
      </w:r>
      <w:r w:rsidR="00204870">
        <w:t xml:space="preserve"> si pone in questa direzione e rappresenta</w:t>
      </w:r>
      <w:r>
        <w:t xml:space="preserve"> un primo passo per avvicinare il nostro Paese agli standard europei. Tuttavia, tale passo deve essere ricondotto ai modelli territoriali e tener conto degli effettivi fabbisogni di professionalità del sistema dei servizi. In questa ottica, la Conferenza delle Regioni ha rinnovato l’invito al Governo a garantire le condizioni normative e procedurali per consentire </w:t>
      </w:r>
      <w:r w:rsidRPr="00812113">
        <w:rPr>
          <w:b/>
        </w:rPr>
        <w:t>l’avvio, nel più breve</w:t>
      </w:r>
      <w:r w:rsidR="00BA0A33">
        <w:rPr>
          <w:b/>
        </w:rPr>
        <w:t xml:space="preserve"> tempo</w:t>
      </w:r>
      <w:r w:rsidRPr="00812113">
        <w:rPr>
          <w:b/>
        </w:rPr>
        <w:t xml:space="preserve"> possibile, delle procedure amministrative per il reclutamento dei nuovi operatori dei CPI</w:t>
      </w:r>
      <w:r>
        <w:t xml:space="preserve">, anche garantendo, su istanza delle amministrazioni regionali, un possibile supporto operativo da parte della Funzione Pubblica. Come richiesto fin dal mese di ottobre, occorre </w:t>
      </w:r>
      <w:r w:rsidR="00BA0A33">
        <w:t>ampliare</w:t>
      </w:r>
      <w:r w:rsidR="00461AB1">
        <w:t xml:space="preserve"> la </w:t>
      </w:r>
      <w:r w:rsidR="00461AB1" w:rsidRPr="00D144C9">
        <w:rPr>
          <w:b/>
        </w:rPr>
        <w:t xml:space="preserve">deroga ai vincoli normativi sulla capacità </w:t>
      </w:r>
      <w:proofErr w:type="spellStart"/>
      <w:r w:rsidR="00461AB1" w:rsidRPr="00D144C9">
        <w:rPr>
          <w:b/>
        </w:rPr>
        <w:t>assunzionale</w:t>
      </w:r>
      <w:proofErr w:type="spellEnd"/>
      <w:r w:rsidR="00115C88">
        <w:rPr>
          <w:b/>
        </w:rPr>
        <w:t xml:space="preserve"> anche</w:t>
      </w:r>
      <w:r w:rsidR="00461AB1" w:rsidRPr="00D144C9">
        <w:rPr>
          <w:b/>
        </w:rPr>
        <w:t xml:space="preserve"> </w:t>
      </w:r>
      <w:r w:rsidR="00BA0A33">
        <w:rPr>
          <w:b/>
        </w:rPr>
        <w:t>agli Enti titolari delle funzioni sulla base delle leggi regionali attuative; occorre inoltre</w:t>
      </w:r>
      <w:r w:rsidRPr="00D144C9">
        <w:rPr>
          <w:b/>
        </w:rPr>
        <w:t xml:space="preserve"> velocizzare </w:t>
      </w:r>
      <w:r w:rsidR="00461AB1" w:rsidRPr="00D144C9">
        <w:rPr>
          <w:b/>
        </w:rPr>
        <w:t>l’</w:t>
      </w:r>
      <w:r w:rsidRPr="00D144C9">
        <w:rPr>
          <w:b/>
          <w:i/>
        </w:rPr>
        <w:t>iter</w:t>
      </w:r>
      <w:r w:rsidRPr="00D144C9">
        <w:rPr>
          <w:b/>
        </w:rPr>
        <w:t xml:space="preserve"> amministrativo</w:t>
      </w:r>
      <w:r w:rsidR="00461AB1" w:rsidRPr="00D144C9">
        <w:rPr>
          <w:b/>
        </w:rPr>
        <w:t>,</w:t>
      </w:r>
      <w:r w:rsidR="00461AB1">
        <w:t xml:space="preserve"> al fine di trovarsi</w:t>
      </w:r>
      <w:r>
        <w:t xml:space="preserve"> pronti all’ondata d’urto che potrà </w:t>
      </w:r>
      <w:r w:rsidR="006D5341">
        <w:t xml:space="preserve">travolgere l’operatività dei </w:t>
      </w:r>
      <w:r w:rsidR="0093008E">
        <w:t>sistemi, se</w:t>
      </w:r>
      <w:r w:rsidR="006D5341">
        <w:t xml:space="preserve"> le risorse professionali non saranno</w:t>
      </w:r>
      <w:r w:rsidR="0093008E">
        <w:t xml:space="preserve"> adeguatamente potenziat</w:t>
      </w:r>
      <w:r w:rsidR="006D5341">
        <w:t>e e formate e le infrastrutture fisiche e tecnologiche garantite</w:t>
      </w:r>
      <w:r>
        <w:t>.</w:t>
      </w:r>
      <w:r w:rsidR="00E1793E">
        <w:t xml:space="preserve"> Ad ogni modo,</w:t>
      </w:r>
      <w:r>
        <w:t xml:space="preserve"> </w:t>
      </w:r>
      <w:r w:rsidR="00E1793E">
        <w:t>i</w:t>
      </w:r>
      <w:r>
        <w:t>n assenza di un serio intervento</w:t>
      </w:r>
      <w:r w:rsidR="0093008E">
        <w:t xml:space="preserve"> di rafforzamento</w:t>
      </w:r>
      <w:r w:rsidR="00E1793E">
        <w:t xml:space="preserve"> dei servizi per l’impiego</w:t>
      </w:r>
      <w:r w:rsidR="0093008E">
        <w:t xml:space="preserve"> e di infrastrutture informatiche funzionanti</w:t>
      </w:r>
      <w:r w:rsidR="00E1793E">
        <w:t xml:space="preserve"> – che rappresentano le precondizioni del sistema- </w:t>
      </w:r>
      <w:r w:rsidR="00204870">
        <w:t xml:space="preserve"> </w:t>
      </w:r>
      <w:r w:rsidR="0093008E">
        <w:t>occorrerà individuare modalità transitorie per far</w:t>
      </w:r>
      <w:r w:rsidR="00E1793E">
        <w:t xml:space="preserve"> sì che la concessione del beneficio da parte del livello centrale </w:t>
      </w:r>
      <w:r w:rsidR="006D5341">
        <w:t xml:space="preserve">alle persone </w:t>
      </w:r>
      <w:r w:rsidR="00E1793E">
        <w:t>sia comunque assicurata</w:t>
      </w:r>
      <w:r w:rsidR="00204870">
        <w:t xml:space="preserve"> e che il meccanismo non si inceppi</w:t>
      </w:r>
      <w:r w:rsidR="00E1793E">
        <w:t xml:space="preserve">. </w:t>
      </w:r>
      <w:r w:rsidR="00E1793E" w:rsidRPr="00BA0A33">
        <w:rPr>
          <w:b/>
        </w:rPr>
        <w:t>A</w:t>
      </w:r>
      <w:r w:rsidRPr="00BA0A33">
        <w:rPr>
          <w:b/>
        </w:rPr>
        <w:t xml:space="preserve">l pari, come già richiesto dalla Conferenza delle Regioni e Province autonome, occorre individuare modalità più fluide per il trasferimento dei fondi alle Regioni, </w:t>
      </w:r>
      <w:r w:rsidR="00204870" w:rsidRPr="00BA0A33">
        <w:rPr>
          <w:b/>
        </w:rPr>
        <w:t xml:space="preserve">per evitare </w:t>
      </w:r>
      <w:r w:rsidRPr="00BA0A33">
        <w:rPr>
          <w:b/>
        </w:rPr>
        <w:t>rallentamenti delle procedure</w:t>
      </w:r>
      <w:r w:rsidR="00204870" w:rsidRPr="00BA0A33">
        <w:rPr>
          <w:b/>
        </w:rPr>
        <w:t xml:space="preserve"> e consentire alle amministrazioni regionali il sostegno continuativo dei servizi.</w:t>
      </w:r>
    </w:p>
    <w:p w:rsidR="00CF5555" w:rsidRDefault="00CF5555" w:rsidP="00CF5555">
      <w:pPr>
        <w:jc w:val="both"/>
      </w:pPr>
      <w:r>
        <w:t xml:space="preserve">Ricordiamo, inoltre, che allo stato attuale ancora </w:t>
      </w:r>
      <w:r w:rsidRPr="00812113">
        <w:rPr>
          <w:b/>
        </w:rPr>
        <w:t>resta in sospeso l’immissione dei 1600 operatori previsti dal Piano di Rafforzamento adottato nel mese di dicembre 2017 dalla Conferenza Unificata</w:t>
      </w:r>
      <w:r>
        <w:t xml:space="preserve">, con il compito di potenziare i CPI nell’erogazione dei LEP in materia di politiche attive e nella presa in carico delle categorie di utenza più vulnerabili. Più volte abbiamo espresso l’esigenza di garantire anche per questa componente aggiuntiva di personale un inserimento in pianta stabile, con la previsione di adeguate risorse. </w:t>
      </w:r>
    </w:p>
    <w:p w:rsidR="00E1793E" w:rsidRDefault="00CF5555" w:rsidP="00CF5555">
      <w:pPr>
        <w:jc w:val="both"/>
      </w:pPr>
      <w:r>
        <w:t xml:space="preserve">In tutto, risulta un complesso di </w:t>
      </w:r>
      <w:r w:rsidRPr="00E1793E">
        <w:rPr>
          <w:b/>
        </w:rPr>
        <w:t>5600 nuove forze di lavoro nei servizi per l’impiego</w:t>
      </w:r>
      <w:r>
        <w:t>, che utilmente potrebbero adoperarsi per la buona riuscita del processo di funzionamento del reddito, se a livello centrale venissero rimossi i vincoli normativi e gli ostacoli burocratici</w:t>
      </w:r>
      <w:r w:rsidR="00E1793E">
        <w:t>, che le Regioni lamentano da tempo.</w:t>
      </w:r>
    </w:p>
    <w:p w:rsidR="006D5341" w:rsidRDefault="006D5341" w:rsidP="00CF5555">
      <w:pPr>
        <w:jc w:val="both"/>
        <w:rPr>
          <w:b/>
        </w:rPr>
      </w:pPr>
      <w:r w:rsidRPr="006D5341">
        <w:rPr>
          <w:b/>
        </w:rPr>
        <w:t>2. Perplessità sui cd. “Navigator”</w:t>
      </w:r>
    </w:p>
    <w:p w:rsidR="006D5341" w:rsidRDefault="006D5341" w:rsidP="006D5341">
      <w:pPr>
        <w:jc w:val="both"/>
      </w:pPr>
      <w:r w:rsidRPr="006D5341">
        <w:t xml:space="preserve">Mentre si resta in attesa </w:t>
      </w:r>
      <w:r>
        <w:t xml:space="preserve">del rafforzamento amministrativo dei CPI, apprendiamo con preoccupazione l’intenzione del Ministero di procedere, nei prossimi giorni, alla </w:t>
      </w:r>
      <w:r w:rsidRPr="00CA5E3A">
        <w:rPr>
          <w:b/>
        </w:rPr>
        <w:t>selezione massiva di circa 6000 Navigator</w:t>
      </w:r>
      <w:r>
        <w:t xml:space="preserve">, </w:t>
      </w:r>
      <w:r w:rsidRPr="005E645A">
        <w:rPr>
          <w:b/>
        </w:rPr>
        <w:t>con</w:t>
      </w:r>
      <w:r w:rsidRPr="00CA5E3A">
        <w:rPr>
          <w:b/>
        </w:rPr>
        <w:t>trattualizzati con forme di lavoro precario da parte di ANPAL Servizi</w:t>
      </w:r>
      <w:r>
        <w:t xml:space="preserve">, che dovrebbero andare a seguire e supportare i beneficiari del reddito di cittadinanza, </w:t>
      </w:r>
      <w:r w:rsidRPr="00CA5E3A">
        <w:rPr>
          <w:b/>
        </w:rPr>
        <w:t>affiancando e sovrapponendosi, di fatto, agli operatori dei CPI e svolgendo funzioni in materia di politiche attive che sono, incontestabilmente, di competenza regionale</w:t>
      </w:r>
      <w:r>
        <w:t xml:space="preserve">. Da una parte, c’è poca chiarezza circa le regole e le modalità di interazione con i servizi territoriali, la responsabilità giuridica e gestionale, nonché la collocazione fisica di tale personale aggiuntivo, la cui figura professionale nel mercato del lavoro assume contorni non formalmente definiti. Dall’altra, si va ad alimentare </w:t>
      </w:r>
      <w:r w:rsidRPr="008F10A2">
        <w:rPr>
          <w:b/>
        </w:rPr>
        <w:t xml:space="preserve">un ulteriore </w:t>
      </w:r>
      <w:r w:rsidR="008F10A2" w:rsidRPr="008F10A2">
        <w:rPr>
          <w:b/>
        </w:rPr>
        <w:t xml:space="preserve">contingente </w:t>
      </w:r>
      <w:r w:rsidRPr="008F10A2">
        <w:rPr>
          <w:b/>
        </w:rPr>
        <w:t>di lavoratori precari</w:t>
      </w:r>
      <w:r>
        <w:t xml:space="preserve">, ingenerando delle prospettive di stabilizzazione degli stessi, in un futuro non troppo lontano, che non potranno certo strutturalmente essere garantite dalle amministrazioni regionali, tanto più in assenza di una procedura selettiva articolata e che, peraltro, sarebbe messa in atto originariamente da un ente diverso dalla Regione stessa. Pertanto tale apporto </w:t>
      </w:r>
      <w:r w:rsidR="005E645A">
        <w:t xml:space="preserve">professionale, così come configurato, </w:t>
      </w:r>
      <w:r>
        <w:t xml:space="preserve">non può essere condiviso, in quanto presenta </w:t>
      </w:r>
      <w:r w:rsidRPr="005E645A">
        <w:rPr>
          <w:b/>
        </w:rPr>
        <w:t>profili d</w:t>
      </w:r>
      <w:r w:rsidR="005E645A" w:rsidRPr="005E645A">
        <w:rPr>
          <w:b/>
        </w:rPr>
        <w:t>i invasività delle competenze costituzionali delle Regioni</w:t>
      </w:r>
      <w:r w:rsidR="00204870">
        <w:t xml:space="preserve">, </w:t>
      </w:r>
      <w:r w:rsidR="00B9280C" w:rsidRPr="009E4253">
        <w:rPr>
          <w:b/>
        </w:rPr>
        <w:t>resta</w:t>
      </w:r>
      <w:r w:rsidR="002806C2" w:rsidRPr="009E4253">
        <w:rPr>
          <w:b/>
        </w:rPr>
        <w:t>ndo</w:t>
      </w:r>
      <w:r w:rsidR="00B9280C" w:rsidRPr="009E4253">
        <w:rPr>
          <w:b/>
        </w:rPr>
        <w:t xml:space="preserve"> </w:t>
      </w:r>
      <w:r w:rsidR="005E645A" w:rsidRPr="009E4253">
        <w:rPr>
          <w:b/>
        </w:rPr>
        <w:t>del tutto</w:t>
      </w:r>
      <w:r w:rsidR="005E645A" w:rsidRPr="00B9280C">
        <w:rPr>
          <w:b/>
        </w:rPr>
        <w:t xml:space="preserve"> avulso rispetto al contesto organizzativo e operativo dei </w:t>
      </w:r>
      <w:r w:rsidR="005E645A" w:rsidRPr="00B9280C">
        <w:rPr>
          <w:b/>
        </w:rPr>
        <w:lastRenderedPageBreak/>
        <w:t>servizi pubblici per l’impiego</w:t>
      </w:r>
      <w:r w:rsidR="005E645A">
        <w:t xml:space="preserve"> che, va sottolineato, nell’ordinamento vigente, sono titolari - accanto ai soggetti autorizzati e/o accreditati - delle funzioni connesse all’intermediazione tra domanda e offerta di lavoro. </w:t>
      </w:r>
    </w:p>
    <w:p w:rsidR="008F10A2" w:rsidRDefault="008F10A2" w:rsidP="006D5341">
      <w:pPr>
        <w:jc w:val="both"/>
      </w:pPr>
    </w:p>
    <w:p w:rsidR="008F10A2" w:rsidRDefault="008F10A2" w:rsidP="006D5341">
      <w:pPr>
        <w:jc w:val="both"/>
        <w:rPr>
          <w:b/>
        </w:rPr>
      </w:pPr>
      <w:r w:rsidRPr="008F10A2">
        <w:rPr>
          <w:b/>
        </w:rPr>
        <w:t>3. Risorse finanziarie</w:t>
      </w:r>
    </w:p>
    <w:p w:rsidR="001B6AE6" w:rsidRPr="007B27EB" w:rsidRDefault="001B6AE6" w:rsidP="001B6AE6">
      <w:pPr>
        <w:jc w:val="both"/>
      </w:pPr>
      <w:r>
        <w:rPr>
          <w:b/>
          <w:sz w:val="23"/>
          <w:szCs w:val="23"/>
        </w:rPr>
        <w:t>Si evidenzia la necessità della g</w:t>
      </w:r>
      <w:r w:rsidRPr="007B27EB">
        <w:rPr>
          <w:b/>
          <w:sz w:val="23"/>
          <w:szCs w:val="23"/>
        </w:rPr>
        <w:t xml:space="preserve">aranzia del carattere strutturale </w:t>
      </w:r>
      <w:r>
        <w:rPr>
          <w:b/>
          <w:sz w:val="23"/>
          <w:szCs w:val="23"/>
        </w:rPr>
        <w:t>dei</w:t>
      </w:r>
      <w:r w:rsidRPr="007B27EB">
        <w:rPr>
          <w:b/>
          <w:sz w:val="23"/>
          <w:szCs w:val="23"/>
        </w:rPr>
        <w:t xml:space="preserve"> finanziamenti destinati al rafforzamento dei CPI</w:t>
      </w:r>
      <w:r w:rsidRPr="007B27EB">
        <w:rPr>
          <w:sz w:val="23"/>
          <w:szCs w:val="23"/>
        </w:rPr>
        <w:t xml:space="preserve">, </w:t>
      </w:r>
      <w:r>
        <w:rPr>
          <w:sz w:val="23"/>
          <w:szCs w:val="23"/>
        </w:rPr>
        <w:t>al pari di quelli previsti</w:t>
      </w:r>
      <w:r w:rsidRPr="007B27EB">
        <w:rPr>
          <w:sz w:val="23"/>
          <w:szCs w:val="23"/>
        </w:rPr>
        <w:t xml:space="preserve"> d</w:t>
      </w:r>
      <w:r>
        <w:rPr>
          <w:sz w:val="23"/>
          <w:szCs w:val="23"/>
        </w:rPr>
        <w:t>a</w:t>
      </w:r>
      <w:r w:rsidRPr="007B27EB">
        <w:rPr>
          <w:sz w:val="23"/>
          <w:szCs w:val="23"/>
        </w:rPr>
        <w:t xml:space="preserve">lla Legge di Bilancio 2018 </w:t>
      </w:r>
      <w:r w:rsidRPr="007B27EB">
        <w:rPr>
          <w:bCs/>
          <w:sz w:val="23"/>
          <w:szCs w:val="23"/>
        </w:rPr>
        <w:t xml:space="preserve">(pari a 251 milioni - art. 1, commi 794 e 797), </w:t>
      </w:r>
      <w:r>
        <w:rPr>
          <w:bCs/>
          <w:sz w:val="23"/>
          <w:szCs w:val="23"/>
        </w:rPr>
        <w:t>stanziati</w:t>
      </w:r>
      <w:r w:rsidRPr="007B27EB">
        <w:rPr>
          <w:bCs/>
          <w:sz w:val="23"/>
          <w:szCs w:val="23"/>
        </w:rPr>
        <w:t xml:space="preserve"> </w:t>
      </w:r>
      <w:r>
        <w:rPr>
          <w:bCs/>
          <w:sz w:val="23"/>
          <w:szCs w:val="23"/>
        </w:rPr>
        <w:t>dalla</w:t>
      </w:r>
      <w:r w:rsidRPr="007B27EB">
        <w:rPr>
          <w:bCs/>
          <w:sz w:val="23"/>
          <w:szCs w:val="23"/>
        </w:rPr>
        <w:t xml:space="preserve"> Legge di Bilancio 2019 (pari rispettivamente a 120 milioni di euro per il 2019 e a 160 milioni di euro annui a decorrere dal 2020 - art.</w:t>
      </w:r>
      <w:r w:rsidRPr="007B27EB">
        <w:rPr>
          <w:sz w:val="23"/>
          <w:szCs w:val="23"/>
        </w:rPr>
        <w:t xml:space="preserve"> 1, comma 258), anche a prescindere dal permanere in vigore della misura del </w:t>
      </w:r>
      <w:proofErr w:type="spellStart"/>
      <w:r w:rsidRPr="007B27EB">
        <w:rPr>
          <w:sz w:val="23"/>
          <w:szCs w:val="23"/>
        </w:rPr>
        <w:t>RdC</w:t>
      </w:r>
      <w:proofErr w:type="spellEnd"/>
      <w:r w:rsidRPr="007B27EB">
        <w:rPr>
          <w:sz w:val="23"/>
          <w:szCs w:val="23"/>
        </w:rPr>
        <w:t xml:space="preserve">, per il personale dei CPI e per procedere alle nuove assunzioni. </w:t>
      </w:r>
      <w:r w:rsidRPr="001B6AE6">
        <w:rPr>
          <w:sz w:val="23"/>
          <w:szCs w:val="23"/>
        </w:rPr>
        <w:t>Inoltre, occorre l’</w:t>
      </w:r>
      <w:r w:rsidRPr="001B6AE6">
        <w:rPr>
          <w:b/>
          <w:bCs/>
          <w:sz w:val="23"/>
          <w:szCs w:val="23"/>
        </w:rPr>
        <w:t xml:space="preserve">istituzione di uno specifico capitolo di spesa nel bilancio del Ministero del Lavoro, </w:t>
      </w:r>
      <w:r w:rsidRPr="001B6AE6">
        <w:rPr>
          <w:bCs/>
          <w:sz w:val="23"/>
          <w:szCs w:val="23"/>
        </w:rPr>
        <w:t xml:space="preserve">per tutte le risorse previste, che permetta di superare la procedura attuale che, rimandando ad un decreto annuale la </w:t>
      </w:r>
      <w:r w:rsidRPr="001B6AE6">
        <w:rPr>
          <w:sz w:val="23"/>
          <w:szCs w:val="23"/>
        </w:rPr>
        <w:t>ripartizione ed il trasferimento delle risorse previa intesa della Conferenza Unificata e successivo visto della Corte dei Conti, allunga pesantemente i tempi.</w:t>
      </w:r>
    </w:p>
    <w:p w:rsidR="001B6AE6" w:rsidRDefault="001B6AE6" w:rsidP="006D5341">
      <w:pPr>
        <w:jc w:val="both"/>
        <w:rPr>
          <w:rFonts w:cs="Times New Roman"/>
          <w:bCs/>
          <w:sz w:val="23"/>
          <w:szCs w:val="23"/>
        </w:rPr>
      </w:pPr>
      <w:r>
        <w:rPr>
          <w:rFonts w:cs="Times New Roman"/>
          <w:bCs/>
          <w:sz w:val="23"/>
          <w:szCs w:val="23"/>
        </w:rPr>
        <w:t>Occorre, inoltre, i</w:t>
      </w:r>
      <w:r w:rsidRPr="00B90990">
        <w:rPr>
          <w:rFonts w:cs="Times New Roman"/>
          <w:bCs/>
          <w:sz w:val="23"/>
          <w:szCs w:val="23"/>
        </w:rPr>
        <w:t>ndividua</w:t>
      </w:r>
      <w:r>
        <w:rPr>
          <w:rFonts w:cs="Times New Roman"/>
          <w:bCs/>
          <w:sz w:val="23"/>
          <w:szCs w:val="23"/>
        </w:rPr>
        <w:t>r</w:t>
      </w:r>
      <w:r w:rsidRPr="00B90990">
        <w:rPr>
          <w:rFonts w:cs="Times New Roman"/>
          <w:bCs/>
          <w:sz w:val="23"/>
          <w:szCs w:val="23"/>
        </w:rPr>
        <w:t xml:space="preserve">e nel DL </w:t>
      </w:r>
      <w:r>
        <w:rPr>
          <w:rFonts w:cs="Times New Roman"/>
          <w:bCs/>
          <w:sz w:val="23"/>
          <w:szCs w:val="23"/>
        </w:rPr>
        <w:t>l</w:t>
      </w:r>
      <w:r w:rsidRPr="00B90990">
        <w:rPr>
          <w:rFonts w:cs="Times New Roman"/>
          <w:bCs/>
          <w:sz w:val="23"/>
          <w:szCs w:val="23"/>
        </w:rPr>
        <w:t>a quota delle risorse di cui all’art. 1, comma 258 della Legge di Bilancio che assicurino</w:t>
      </w:r>
      <w:r w:rsidRPr="00B90990">
        <w:rPr>
          <w:sz w:val="23"/>
          <w:szCs w:val="23"/>
        </w:rPr>
        <w:t>, oltre gli ordinari oneri di funzionamento,</w:t>
      </w:r>
      <w:r w:rsidRPr="00B90990">
        <w:rPr>
          <w:rFonts w:cs="Times New Roman"/>
          <w:bCs/>
          <w:sz w:val="23"/>
          <w:szCs w:val="23"/>
        </w:rPr>
        <w:t xml:space="preserve"> le </w:t>
      </w:r>
      <w:r w:rsidRPr="00B90990">
        <w:rPr>
          <w:rFonts w:cs="Times New Roman"/>
          <w:b/>
          <w:bCs/>
          <w:sz w:val="23"/>
          <w:szCs w:val="23"/>
        </w:rPr>
        <w:t xml:space="preserve">indispensabili e ormai indifferibili operazioni di manutenzione straordinaria, ammodernamento e ampliamento degli immobili che ospitano i CPI, </w:t>
      </w:r>
      <w:r w:rsidRPr="00B90990">
        <w:rPr>
          <w:rFonts w:cs="Times New Roman"/>
          <w:bCs/>
          <w:sz w:val="23"/>
          <w:szCs w:val="23"/>
        </w:rPr>
        <w:t>anche con riferimento alle dotazioni di arredi e attrezzature informatiche</w:t>
      </w:r>
      <w:r>
        <w:rPr>
          <w:rFonts w:cs="Times New Roman"/>
          <w:bCs/>
          <w:sz w:val="23"/>
          <w:szCs w:val="23"/>
        </w:rPr>
        <w:t>.</w:t>
      </w:r>
    </w:p>
    <w:p w:rsidR="006D684F" w:rsidRPr="006D684F" w:rsidRDefault="008F10A2" w:rsidP="006D684F">
      <w:pPr>
        <w:jc w:val="both"/>
        <w:rPr>
          <w:sz w:val="23"/>
          <w:szCs w:val="23"/>
        </w:rPr>
      </w:pPr>
      <w:r w:rsidRPr="006D684F">
        <w:rPr>
          <w:sz w:val="23"/>
          <w:szCs w:val="23"/>
        </w:rPr>
        <w:t xml:space="preserve">Il decreto prevede nuovi ed ulteriori interventi legati all’erogazione delle politiche attive rivolte ai beneficiari del Reddito di </w:t>
      </w:r>
      <w:r w:rsidR="00572885" w:rsidRPr="006D684F">
        <w:rPr>
          <w:sz w:val="23"/>
          <w:szCs w:val="23"/>
        </w:rPr>
        <w:t>Cittadinanza, tra cui la realizzazione di percorsi formativi o di riqualificazione professionale, senza prevedere nuovi oneri a carico della finanz</w:t>
      </w:r>
      <w:r w:rsidR="00461AB1" w:rsidRPr="006D684F">
        <w:rPr>
          <w:sz w:val="23"/>
          <w:szCs w:val="23"/>
        </w:rPr>
        <w:t xml:space="preserve">a pubblica e, di conseguenza, in mancanza di uno </w:t>
      </w:r>
      <w:r w:rsidR="00572885" w:rsidRPr="006D684F">
        <w:rPr>
          <w:sz w:val="23"/>
          <w:szCs w:val="23"/>
        </w:rPr>
        <w:t>stanziamento di risorse ad hoc finalizzat</w:t>
      </w:r>
      <w:r w:rsidR="00461AB1" w:rsidRPr="006D684F">
        <w:rPr>
          <w:sz w:val="23"/>
          <w:szCs w:val="23"/>
        </w:rPr>
        <w:t>e</w:t>
      </w:r>
      <w:r w:rsidR="00572885" w:rsidRPr="006D684F">
        <w:rPr>
          <w:sz w:val="23"/>
          <w:szCs w:val="23"/>
        </w:rPr>
        <w:t xml:space="preserve"> a sostenere</w:t>
      </w:r>
      <w:r w:rsidR="00461AB1" w:rsidRPr="006D684F">
        <w:rPr>
          <w:sz w:val="23"/>
          <w:szCs w:val="23"/>
        </w:rPr>
        <w:t xml:space="preserve"> tali m</w:t>
      </w:r>
      <w:r w:rsidR="00572885" w:rsidRPr="006D684F">
        <w:rPr>
          <w:sz w:val="23"/>
          <w:szCs w:val="23"/>
        </w:rPr>
        <w:t xml:space="preserve">isure </w:t>
      </w:r>
      <w:r w:rsidR="00461AB1" w:rsidRPr="006D684F">
        <w:rPr>
          <w:sz w:val="23"/>
          <w:szCs w:val="23"/>
        </w:rPr>
        <w:t>tese all’</w:t>
      </w:r>
      <w:r w:rsidR="00572885" w:rsidRPr="006D684F">
        <w:rPr>
          <w:sz w:val="23"/>
          <w:szCs w:val="23"/>
        </w:rPr>
        <w:t>inserimento nel mercato d</w:t>
      </w:r>
      <w:r w:rsidR="005A4222" w:rsidRPr="006D684F">
        <w:rPr>
          <w:sz w:val="23"/>
          <w:szCs w:val="23"/>
        </w:rPr>
        <w:t>el lavoro. Occorre</w:t>
      </w:r>
      <w:r w:rsidR="00461AB1" w:rsidRPr="006D684F">
        <w:rPr>
          <w:sz w:val="23"/>
          <w:szCs w:val="23"/>
        </w:rPr>
        <w:t>, tuttavia,</w:t>
      </w:r>
      <w:r w:rsidR="005A4222" w:rsidRPr="006D684F">
        <w:rPr>
          <w:sz w:val="23"/>
          <w:szCs w:val="23"/>
        </w:rPr>
        <w:t xml:space="preserve"> chiarire che </w:t>
      </w:r>
      <w:r w:rsidR="005A4222" w:rsidRPr="006D684F">
        <w:rPr>
          <w:b/>
          <w:sz w:val="23"/>
          <w:szCs w:val="23"/>
        </w:rPr>
        <w:t xml:space="preserve">tali interventi non potranno comunque gravare sulle risorse di FSE stanziate </w:t>
      </w:r>
      <w:r w:rsidR="008F45A2" w:rsidRPr="006D684F">
        <w:rPr>
          <w:b/>
          <w:sz w:val="23"/>
          <w:szCs w:val="23"/>
        </w:rPr>
        <w:t xml:space="preserve">dalle programmazioni regionali, che </w:t>
      </w:r>
      <w:r w:rsidR="002806C2" w:rsidRPr="006D684F">
        <w:rPr>
          <w:b/>
          <w:sz w:val="23"/>
          <w:szCs w:val="23"/>
        </w:rPr>
        <w:t xml:space="preserve">risultano </w:t>
      </w:r>
      <w:r w:rsidR="008F45A2" w:rsidRPr="006D684F">
        <w:rPr>
          <w:b/>
          <w:sz w:val="23"/>
          <w:szCs w:val="23"/>
        </w:rPr>
        <w:t xml:space="preserve">già vincolate ad azioni </w:t>
      </w:r>
      <w:r w:rsidR="000A120C" w:rsidRPr="006D684F">
        <w:rPr>
          <w:b/>
          <w:sz w:val="23"/>
          <w:szCs w:val="23"/>
        </w:rPr>
        <w:t xml:space="preserve">ben </w:t>
      </w:r>
      <w:r w:rsidR="008F45A2" w:rsidRPr="006D684F">
        <w:rPr>
          <w:b/>
          <w:sz w:val="23"/>
          <w:szCs w:val="23"/>
        </w:rPr>
        <w:t>definite nell’</w:t>
      </w:r>
      <w:r w:rsidR="00461AB1" w:rsidRPr="006D684F">
        <w:rPr>
          <w:b/>
          <w:sz w:val="23"/>
          <w:szCs w:val="23"/>
        </w:rPr>
        <w:t>ambito dei piani</w:t>
      </w:r>
      <w:r w:rsidR="008F45A2" w:rsidRPr="006D684F">
        <w:rPr>
          <w:b/>
          <w:sz w:val="23"/>
          <w:szCs w:val="23"/>
        </w:rPr>
        <w:t xml:space="preserve"> territoriali e ormai pienamente impegnate</w:t>
      </w:r>
      <w:r w:rsidR="008F45A2" w:rsidRPr="006D684F">
        <w:rPr>
          <w:sz w:val="23"/>
          <w:szCs w:val="23"/>
        </w:rPr>
        <w:t>.</w:t>
      </w:r>
      <w:r w:rsidR="00C96EDF" w:rsidRPr="006D684F">
        <w:rPr>
          <w:sz w:val="23"/>
          <w:szCs w:val="23"/>
        </w:rPr>
        <w:t xml:space="preserve"> Resta dunque aperto il nodo della formazione – materia di competenza esclusiva regionale- come del c</w:t>
      </w:r>
      <w:r w:rsidR="00D7138D" w:rsidRPr="006D684F">
        <w:rPr>
          <w:sz w:val="23"/>
          <w:szCs w:val="23"/>
        </w:rPr>
        <w:t>omplesso delle politiche attive, tanto più laddove i diversi strumenti individuati nel decreto legge (patto per il lavoro, patto per la formazione) non siano ricondotti nell’alveo delle procedure ordinarie di gestione dei servizi per l’impiego.</w:t>
      </w:r>
    </w:p>
    <w:p w:rsidR="006D684F" w:rsidRPr="006D684F" w:rsidRDefault="006D684F" w:rsidP="006D684F">
      <w:pPr>
        <w:jc w:val="both"/>
        <w:rPr>
          <w:sz w:val="23"/>
          <w:szCs w:val="23"/>
        </w:rPr>
      </w:pPr>
      <w:r w:rsidRPr="006D684F">
        <w:rPr>
          <w:sz w:val="23"/>
          <w:szCs w:val="23"/>
        </w:rPr>
        <w:t xml:space="preserve">Si evidenzia da ultimo </w:t>
      </w:r>
      <w:r w:rsidRPr="006D684F">
        <w:rPr>
          <w:b/>
          <w:sz w:val="23"/>
          <w:szCs w:val="23"/>
        </w:rPr>
        <w:t>l’urgenza della definizione del DM di riparto delle risorse per il 2019</w:t>
      </w:r>
      <w:r w:rsidRPr="006D684F">
        <w:rPr>
          <w:sz w:val="23"/>
          <w:szCs w:val="23"/>
        </w:rPr>
        <w:t xml:space="preserve"> destinate al personale dei CPI, che appaiono indifferibili e indispensabili sia per sostenere l’organico in essere, sia per poter procedere alle 4000 nuove assunzioni.</w:t>
      </w:r>
    </w:p>
    <w:p w:rsidR="008F10A2" w:rsidRPr="006D684F" w:rsidRDefault="008F10A2" w:rsidP="006D5341">
      <w:pPr>
        <w:jc w:val="both"/>
        <w:rPr>
          <w:sz w:val="23"/>
          <w:szCs w:val="23"/>
        </w:rPr>
      </w:pPr>
    </w:p>
    <w:p w:rsidR="002806C2" w:rsidRDefault="00C96EDF" w:rsidP="002806C2">
      <w:pPr>
        <w:jc w:val="both"/>
        <w:rPr>
          <w:b/>
          <w:sz w:val="23"/>
          <w:szCs w:val="23"/>
        </w:rPr>
      </w:pPr>
      <w:r w:rsidRPr="00605914">
        <w:rPr>
          <w:b/>
        </w:rPr>
        <w:t>4.</w:t>
      </w:r>
      <w:r>
        <w:t xml:space="preserve"> </w:t>
      </w:r>
      <w:r w:rsidR="002806C2" w:rsidRPr="007B27EB">
        <w:rPr>
          <w:b/>
          <w:sz w:val="23"/>
          <w:szCs w:val="23"/>
        </w:rPr>
        <w:t>Ruolo dei CPI nella gestione del R</w:t>
      </w:r>
      <w:r w:rsidR="002806C2">
        <w:rPr>
          <w:b/>
          <w:sz w:val="23"/>
          <w:szCs w:val="23"/>
        </w:rPr>
        <w:t xml:space="preserve">eddito </w:t>
      </w:r>
      <w:r w:rsidR="002806C2" w:rsidRPr="007B27EB">
        <w:rPr>
          <w:b/>
          <w:sz w:val="23"/>
          <w:szCs w:val="23"/>
        </w:rPr>
        <w:t>d</w:t>
      </w:r>
      <w:r w:rsidR="002806C2">
        <w:rPr>
          <w:b/>
          <w:sz w:val="23"/>
          <w:szCs w:val="23"/>
        </w:rPr>
        <w:t xml:space="preserve">i cittadinanza </w:t>
      </w:r>
    </w:p>
    <w:p w:rsidR="002806C2" w:rsidRPr="00325A80" w:rsidRDefault="002806C2" w:rsidP="002806C2">
      <w:pPr>
        <w:jc w:val="both"/>
        <w:rPr>
          <w:b/>
          <w:sz w:val="23"/>
          <w:szCs w:val="23"/>
        </w:rPr>
      </w:pPr>
      <w:r w:rsidRPr="002806C2">
        <w:rPr>
          <w:sz w:val="23"/>
          <w:szCs w:val="23"/>
        </w:rPr>
        <w:t>Il</w:t>
      </w:r>
      <w:r>
        <w:rPr>
          <w:sz w:val="23"/>
          <w:szCs w:val="23"/>
        </w:rPr>
        <w:t xml:space="preserve"> decreto introduce un </w:t>
      </w:r>
      <w:r w:rsidRPr="002806C2">
        <w:rPr>
          <w:b/>
          <w:sz w:val="23"/>
          <w:szCs w:val="23"/>
        </w:rPr>
        <w:t>mecc</w:t>
      </w:r>
      <w:r w:rsidRPr="007B27EB">
        <w:rPr>
          <w:b/>
          <w:sz w:val="23"/>
          <w:szCs w:val="23"/>
        </w:rPr>
        <w:t xml:space="preserve">anismo gestionale dello strumento </w:t>
      </w:r>
      <w:r w:rsidR="00F10B0B">
        <w:rPr>
          <w:b/>
          <w:sz w:val="23"/>
          <w:szCs w:val="23"/>
        </w:rPr>
        <w:t>articolato</w:t>
      </w:r>
      <w:r w:rsidRPr="007B27EB">
        <w:rPr>
          <w:sz w:val="23"/>
          <w:szCs w:val="23"/>
        </w:rPr>
        <w:t xml:space="preserve">, con diversi soggetti (INPS, Comuni, </w:t>
      </w:r>
      <w:r w:rsidR="00D72127">
        <w:rPr>
          <w:sz w:val="23"/>
          <w:szCs w:val="23"/>
        </w:rPr>
        <w:t xml:space="preserve">ANPAL, </w:t>
      </w:r>
      <w:r w:rsidRPr="007B27EB">
        <w:rPr>
          <w:sz w:val="23"/>
          <w:szCs w:val="23"/>
        </w:rPr>
        <w:t xml:space="preserve">CPI, APL, Servizi del sociale, enti di formazione, imprese) chiamati in modo tempestivo a dialogare e ad interagire, nonché ad operare nei confronti del beneficiario. È indispensabile condividere un modello di </w:t>
      </w:r>
      <w:r w:rsidRPr="007B27EB">
        <w:rPr>
          <w:i/>
          <w:sz w:val="23"/>
          <w:szCs w:val="23"/>
        </w:rPr>
        <w:t>governance</w:t>
      </w:r>
      <w:r w:rsidRPr="007B27EB">
        <w:rPr>
          <w:sz w:val="23"/>
          <w:szCs w:val="23"/>
        </w:rPr>
        <w:t xml:space="preserve">, in cui siano chiari i ruoli dei vari attori, le fasi del procedimento in cui intervengono e le modalità di interazione tra di essi, al fine di evitare confusione tra gli stessi e, soprattutto, nella presa in carico dei beneficiari. A tal proposito, </w:t>
      </w:r>
      <w:r w:rsidRPr="00325A80">
        <w:rPr>
          <w:b/>
          <w:sz w:val="23"/>
          <w:szCs w:val="23"/>
        </w:rPr>
        <w:t>è indispensabile che il sistema sia sorretto efficacemente da un’infrastruttura informatica funzionante.</w:t>
      </w:r>
    </w:p>
    <w:p w:rsidR="00886FFB" w:rsidRDefault="00D72127" w:rsidP="00886FFB">
      <w:pPr>
        <w:jc w:val="both"/>
        <w:rPr>
          <w:sz w:val="23"/>
          <w:szCs w:val="23"/>
        </w:rPr>
      </w:pPr>
      <w:r>
        <w:rPr>
          <w:sz w:val="23"/>
          <w:szCs w:val="23"/>
        </w:rPr>
        <w:lastRenderedPageBreak/>
        <w:t xml:space="preserve">Le Regioni, in tal senso, sul piano tecnico hanno elaborato emendamenti tesi a chiarire </w:t>
      </w:r>
      <w:r w:rsidRPr="00316038">
        <w:rPr>
          <w:b/>
          <w:sz w:val="23"/>
          <w:szCs w:val="23"/>
        </w:rPr>
        <w:t>il flusso e le modalità di raccordo tra i servizi del lavoro e i servizi social</w:t>
      </w:r>
      <w:r>
        <w:rPr>
          <w:sz w:val="23"/>
          <w:szCs w:val="23"/>
        </w:rPr>
        <w:t xml:space="preserve">i, </w:t>
      </w:r>
      <w:r w:rsidRPr="00D72127">
        <w:rPr>
          <w:sz w:val="23"/>
          <w:szCs w:val="23"/>
        </w:rPr>
        <w:t xml:space="preserve">entrambi chiamati alla presa in carico </w:t>
      </w:r>
      <w:r>
        <w:rPr>
          <w:sz w:val="23"/>
          <w:szCs w:val="23"/>
        </w:rPr>
        <w:t>dei beneficiari del reddito, semplificando</w:t>
      </w:r>
      <w:r w:rsidRPr="007B27EB">
        <w:rPr>
          <w:sz w:val="23"/>
          <w:szCs w:val="23"/>
        </w:rPr>
        <w:t xml:space="preserve"> l’accesso alla misura da parte degli utenti e concentra</w:t>
      </w:r>
      <w:r>
        <w:rPr>
          <w:sz w:val="23"/>
          <w:szCs w:val="23"/>
        </w:rPr>
        <w:t>ndo</w:t>
      </w:r>
      <w:r w:rsidRPr="007B27EB">
        <w:rPr>
          <w:sz w:val="23"/>
          <w:szCs w:val="23"/>
        </w:rPr>
        <w:t xml:space="preserve"> l’attività dei servizi sul reale fabbisogno dell’utenza</w:t>
      </w:r>
      <w:r>
        <w:rPr>
          <w:sz w:val="23"/>
          <w:szCs w:val="23"/>
        </w:rPr>
        <w:t>. L’obiettivo, in tal senso, è contenere il carico burocratico in capo agli operatori dei CPI derivante dal possibile ampliamento della platea degli utenti, sfruttando a questo scopo le potenzialità offerte dalle piattaforme informatiche, che andranno comunque sviluppate attraverso la cooperazione applicativa con i sistemi informativi regionali. Al contempo, si ritiene fondamentale</w:t>
      </w:r>
      <w:r w:rsidR="00122C78">
        <w:rPr>
          <w:sz w:val="23"/>
          <w:szCs w:val="23"/>
        </w:rPr>
        <w:t xml:space="preserve"> </w:t>
      </w:r>
      <w:r w:rsidR="00C266C3">
        <w:rPr>
          <w:sz w:val="23"/>
          <w:szCs w:val="23"/>
        </w:rPr>
        <w:t>preservare</w:t>
      </w:r>
      <w:r w:rsidR="00122C78">
        <w:rPr>
          <w:sz w:val="23"/>
          <w:szCs w:val="23"/>
        </w:rPr>
        <w:t xml:space="preserve"> </w:t>
      </w:r>
      <w:r w:rsidR="00122C78" w:rsidRPr="00325A80">
        <w:rPr>
          <w:b/>
          <w:sz w:val="23"/>
          <w:szCs w:val="23"/>
        </w:rPr>
        <w:t>un’omogeneità di trattamento degli utenti dei CPI</w:t>
      </w:r>
      <w:r w:rsidR="00122C78">
        <w:rPr>
          <w:sz w:val="23"/>
          <w:szCs w:val="23"/>
        </w:rPr>
        <w:t>, riconducendo la gestione delle politiche attive connesse al reddito all’ordinaria gestione del patto di servizio personalizzato, nel rispetto dei modelli territoriali di servizio.</w:t>
      </w:r>
    </w:p>
    <w:p w:rsidR="002806C2" w:rsidRPr="007B27EB" w:rsidRDefault="00C266C3" w:rsidP="00886FFB">
      <w:pPr>
        <w:jc w:val="both"/>
      </w:pPr>
      <w:r>
        <w:rPr>
          <w:sz w:val="23"/>
          <w:szCs w:val="23"/>
        </w:rPr>
        <w:t xml:space="preserve">In questo senso, si denota la </w:t>
      </w:r>
      <w:r w:rsidRPr="00325A80">
        <w:rPr>
          <w:b/>
          <w:sz w:val="23"/>
          <w:szCs w:val="23"/>
        </w:rPr>
        <w:t>n</w:t>
      </w:r>
      <w:r w:rsidR="002806C2" w:rsidRPr="00325A80">
        <w:rPr>
          <w:b/>
          <w:sz w:val="23"/>
          <w:szCs w:val="23"/>
        </w:rPr>
        <w:t>on sostenibilità da parte dei CPI delle attività di</w:t>
      </w:r>
      <w:r w:rsidR="002806C2" w:rsidRPr="007B27EB">
        <w:rPr>
          <w:sz w:val="23"/>
          <w:szCs w:val="23"/>
        </w:rPr>
        <w:t xml:space="preserve"> </w:t>
      </w:r>
      <w:r w:rsidR="002806C2" w:rsidRPr="007B27EB">
        <w:rPr>
          <w:b/>
          <w:sz w:val="23"/>
          <w:szCs w:val="23"/>
        </w:rPr>
        <w:t>vigilanza e controllo</w:t>
      </w:r>
      <w:r w:rsidR="002806C2" w:rsidRPr="007B27EB">
        <w:rPr>
          <w:sz w:val="23"/>
          <w:szCs w:val="23"/>
        </w:rPr>
        <w:t xml:space="preserve">, </w:t>
      </w:r>
      <w:r>
        <w:rPr>
          <w:sz w:val="23"/>
          <w:szCs w:val="23"/>
        </w:rPr>
        <w:t xml:space="preserve">prefigurate nel decreto legge, che siano </w:t>
      </w:r>
      <w:r w:rsidR="002806C2" w:rsidRPr="007B27EB">
        <w:rPr>
          <w:sz w:val="23"/>
          <w:szCs w:val="23"/>
        </w:rPr>
        <w:t xml:space="preserve">ulteriori rispetto a quelle </w:t>
      </w:r>
      <w:r>
        <w:rPr>
          <w:sz w:val="23"/>
          <w:szCs w:val="23"/>
        </w:rPr>
        <w:t>connesse</w:t>
      </w:r>
      <w:r w:rsidR="002806C2" w:rsidRPr="007B27EB">
        <w:rPr>
          <w:sz w:val="23"/>
          <w:szCs w:val="23"/>
        </w:rPr>
        <w:t xml:space="preserve"> </w:t>
      </w:r>
      <w:r>
        <w:rPr>
          <w:sz w:val="23"/>
          <w:szCs w:val="23"/>
        </w:rPr>
        <w:t>al</w:t>
      </w:r>
      <w:r w:rsidR="002806C2" w:rsidRPr="007B27EB">
        <w:rPr>
          <w:sz w:val="23"/>
          <w:szCs w:val="23"/>
        </w:rPr>
        <w:t>l’er</w:t>
      </w:r>
      <w:r w:rsidR="00DE58D8">
        <w:rPr>
          <w:sz w:val="23"/>
          <w:szCs w:val="23"/>
        </w:rPr>
        <w:t>ogazione delle politiche attive; tali attività non rientrano nelle competenze dei CPI.</w:t>
      </w:r>
      <w:r>
        <w:rPr>
          <w:sz w:val="23"/>
          <w:szCs w:val="23"/>
        </w:rPr>
        <w:t xml:space="preserve"> Resta dunque </w:t>
      </w:r>
      <w:r w:rsidRPr="00C266C3">
        <w:rPr>
          <w:b/>
          <w:sz w:val="23"/>
          <w:szCs w:val="23"/>
        </w:rPr>
        <w:t>i</w:t>
      </w:r>
      <w:r>
        <w:rPr>
          <w:b/>
          <w:sz w:val="23"/>
          <w:szCs w:val="23"/>
        </w:rPr>
        <w:t xml:space="preserve">napplicabile la segnalazione da parte degli operatori </w:t>
      </w:r>
      <w:r w:rsidR="002806C2" w:rsidRPr="007917DD">
        <w:rPr>
          <w:b/>
          <w:sz w:val="23"/>
          <w:szCs w:val="23"/>
        </w:rPr>
        <w:t>di eventuali anomalie negli stili di vita dei beneficiari</w:t>
      </w:r>
      <w:r w:rsidR="002806C2">
        <w:rPr>
          <w:b/>
          <w:sz w:val="23"/>
          <w:szCs w:val="23"/>
        </w:rPr>
        <w:t xml:space="preserve">, </w:t>
      </w:r>
      <w:r w:rsidR="002806C2">
        <w:rPr>
          <w:sz w:val="23"/>
          <w:szCs w:val="23"/>
        </w:rPr>
        <w:t>anche alla luce della normativa vigente in materia di privacy.</w:t>
      </w:r>
    </w:p>
    <w:p w:rsidR="00B26F56" w:rsidRDefault="00B26F56" w:rsidP="00B26F56">
      <w:pPr>
        <w:jc w:val="both"/>
        <w:rPr>
          <w:b/>
          <w:sz w:val="23"/>
          <w:szCs w:val="23"/>
        </w:rPr>
      </w:pPr>
      <w:r>
        <w:rPr>
          <w:b/>
        </w:rPr>
        <w:t>5</w:t>
      </w:r>
      <w:r w:rsidRPr="00605914">
        <w:rPr>
          <w:b/>
        </w:rPr>
        <w:t>.</w:t>
      </w:r>
      <w:r>
        <w:t xml:space="preserve"> </w:t>
      </w:r>
      <w:r w:rsidRPr="00B26F56">
        <w:rPr>
          <w:b/>
          <w:sz w:val="23"/>
          <w:szCs w:val="23"/>
        </w:rPr>
        <w:t>Infrastruttura tecnologiche ed informatiche</w:t>
      </w:r>
    </w:p>
    <w:p w:rsidR="00520746" w:rsidRDefault="00B26F56" w:rsidP="00B26F56">
      <w:pPr>
        <w:jc w:val="both"/>
        <w:rPr>
          <w:sz w:val="23"/>
          <w:szCs w:val="23"/>
        </w:rPr>
      </w:pPr>
      <w:r w:rsidRPr="00B26F56">
        <w:rPr>
          <w:sz w:val="23"/>
          <w:szCs w:val="23"/>
        </w:rPr>
        <w:t xml:space="preserve">Si rileva come la misura del </w:t>
      </w:r>
      <w:proofErr w:type="spellStart"/>
      <w:r w:rsidRPr="00B26F56">
        <w:rPr>
          <w:sz w:val="23"/>
          <w:szCs w:val="23"/>
        </w:rPr>
        <w:t>RdC</w:t>
      </w:r>
      <w:proofErr w:type="spellEnd"/>
      <w:r w:rsidRPr="00B26F56">
        <w:rPr>
          <w:sz w:val="23"/>
          <w:szCs w:val="23"/>
        </w:rPr>
        <w:t xml:space="preserve"> </w:t>
      </w:r>
      <w:r w:rsidRPr="00B26F56">
        <w:rPr>
          <w:b/>
          <w:sz w:val="23"/>
          <w:szCs w:val="23"/>
        </w:rPr>
        <w:t>risulti impattare fortemente sui</w:t>
      </w:r>
      <w:r w:rsidRPr="00DF6560">
        <w:rPr>
          <w:sz w:val="23"/>
          <w:szCs w:val="23"/>
        </w:rPr>
        <w:t xml:space="preserve"> </w:t>
      </w:r>
      <w:r w:rsidRPr="00DF6560">
        <w:rPr>
          <w:b/>
          <w:sz w:val="23"/>
          <w:szCs w:val="23"/>
        </w:rPr>
        <w:t xml:space="preserve">Sistemi informativi, </w:t>
      </w:r>
      <w:r w:rsidRPr="00DF6560">
        <w:rPr>
          <w:sz w:val="23"/>
          <w:szCs w:val="23"/>
        </w:rPr>
        <w:t>sia</w:t>
      </w:r>
      <w:r w:rsidRPr="00DF6560">
        <w:rPr>
          <w:b/>
          <w:sz w:val="23"/>
          <w:szCs w:val="23"/>
        </w:rPr>
        <w:t xml:space="preserve"> </w:t>
      </w:r>
      <w:r w:rsidRPr="00DF6560">
        <w:rPr>
          <w:sz w:val="23"/>
          <w:szCs w:val="23"/>
        </w:rPr>
        <w:t>per quanto attiene l’attivazione e la gestione dei Patti per il lavoro e dei Patti per l’inclusione sociale, sia per l</w:t>
      </w:r>
      <w:r w:rsidR="0055497F">
        <w:rPr>
          <w:sz w:val="23"/>
          <w:szCs w:val="23"/>
        </w:rPr>
        <w:t>e</w:t>
      </w:r>
      <w:r w:rsidRPr="00DF6560">
        <w:rPr>
          <w:sz w:val="23"/>
          <w:szCs w:val="23"/>
        </w:rPr>
        <w:t xml:space="preserve"> finalità di analisi, monitoraggio, valutazione e controllo del programma del </w:t>
      </w:r>
      <w:proofErr w:type="spellStart"/>
      <w:r w:rsidRPr="00DF6560">
        <w:rPr>
          <w:sz w:val="23"/>
          <w:szCs w:val="23"/>
        </w:rPr>
        <w:t>RdC</w:t>
      </w:r>
      <w:proofErr w:type="spellEnd"/>
      <w:r w:rsidRPr="00DF6560">
        <w:rPr>
          <w:sz w:val="23"/>
          <w:szCs w:val="23"/>
        </w:rPr>
        <w:t xml:space="preserve">. </w:t>
      </w:r>
    </w:p>
    <w:p w:rsidR="00B26F56" w:rsidRPr="007B27EB" w:rsidRDefault="00B26F56" w:rsidP="00B26F56">
      <w:pPr>
        <w:jc w:val="both"/>
      </w:pPr>
      <w:r>
        <w:rPr>
          <w:sz w:val="23"/>
          <w:szCs w:val="23"/>
        </w:rPr>
        <w:t xml:space="preserve">In primo luogo, appare necessario un </w:t>
      </w:r>
      <w:r w:rsidRPr="00B26F56">
        <w:rPr>
          <w:b/>
          <w:sz w:val="23"/>
          <w:szCs w:val="23"/>
        </w:rPr>
        <w:t xml:space="preserve">chiarimento sulla disponibilità, </w:t>
      </w:r>
      <w:r>
        <w:rPr>
          <w:b/>
          <w:sz w:val="23"/>
          <w:szCs w:val="23"/>
        </w:rPr>
        <w:t xml:space="preserve">sui </w:t>
      </w:r>
      <w:r w:rsidRPr="00B26F56">
        <w:rPr>
          <w:b/>
          <w:sz w:val="23"/>
          <w:szCs w:val="23"/>
        </w:rPr>
        <w:t xml:space="preserve">tempi e </w:t>
      </w:r>
      <w:r>
        <w:rPr>
          <w:b/>
          <w:sz w:val="23"/>
          <w:szCs w:val="23"/>
        </w:rPr>
        <w:t>sul</w:t>
      </w:r>
      <w:r w:rsidRPr="00B26F56">
        <w:rPr>
          <w:b/>
          <w:sz w:val="23"/>
          <w:szCs w:val="23"/>
        </w:rPr>
        <w:t xml:space="preserve">le modalità di funzionamento delle piattaforme informatiche previste per l’operatività del </w:t>
      </w:r>
      <w:proofErr w:type="spellStart"/>
      <w:r w:rsidRPr="00B26F56">
        <w:rPr>
          <w:b/>
          <w:sz w:val="23"/>
          <w:szCs w:val="23"/>
        </w:rPr>
        <w:t>RdC</w:t>
      </w:r>
      <w:proofErr w:type="spellEnd"/>
      <w:r w:rsidRPr="00B26F56">
        <w:rPr>
          <w:sz w:val="23"/>
          <w:szCs w:val="23"/>
        </w:rPr>
        <w:t xml:space="preserve"> (Sistema informativo unitario delle politiche del lavoro e Sistema informativo unitario dei servizi sociali) e, soprattutto, sul loro rapporto con </w:t>
      </w:r>
      <w:r>
        <w:rPr>
          <w:sz w:val="23"/>
          <w:szCs w:val="23"/>
        </w:rPr>
        <w:t>i sistemi informativi regionali</w:t>
      </w:r>
      <w:r w:rsidRPr="00B26F56">
        <w:rPr>
          <w:sz w:val="23"/>
          <w:szCs w:val="23"/>
        </w:rPr>
        <w:t xml:space="preserve">. </w:t>
      </w:r>
      <w:r>
        <w:rPr>
          <w:sz w:val="23"/>
          <w:szCs w:val="23"/>
        </w:rPr>
        <w:t xml:space="preserve">In tal senso, occorre definire una </w:t>
      </w:r>
      <w:r w:rsidRPr="00B26F56">
        <w:rPr>
          <w:b/>
          <w:sz w:val="23"/>
          <w:szCs w:val="23"/>
        </w:rPr>
        <w:t>tempistica adeguata</w:t>
      </w:r>
      <w:r w:rsidRPr="00B26F56">
        <w:rPr>
          <w:sz w:val="23"/>
          <w:szCs w:val="23"/>
        </w:rPr>
        <w:t xml:space="preserve"> per l’</w:t>
      </w:r>
      <w:r w:rsidRPr="00B26F56">
        <w:rPr>
          <w:b/>
          <w:sz w:val="23"/>
          <w:szCs w:val="23"/>
        </w:rPr>
        <w:t>implementazione dei sistemi informativi a livello nazionale e regionale</w:t>
      </w:r>
      <w:r w:rsidRPr="00B26F56">
        <w:rPr>
          <w:sz w:val="23"/>
          <w:szCs w:val="23"/>
        </w:rPr>
        <w:t>.</w:t>
      </w:r>
      <w:r w:rsidRPr="00B26F56">
        <w:rPr>
          <w:b/>
          <w:sz w:val="23"/>
          <w:szCs w:val="23"/>
        </w:rPr>
        <w:t xml:space="preserve"> E’ essenziale</w:t>
      </w:r>
      <w:r w:rsidR="00520746">
        <w:rPr>
          <w:b/>
          <w:sz w:val="23"/>
          <w:szCs w:val="23"/>
        </w:rPr>
        <w:t xml:space="preserve">, infatti, </w:t>
      </w:r>
      <w:r w:rsidRPr="00B26F56">
        <w:rPr>
          <w:b/>
          <w:sz w:val="23"/>
          <w:szCs w:val="23"/>
        </w:rPr>
        <w:t xml:space="preserve">che le nuove piattaforme siano interoperabili e dialoganti con i sistemi regionali in cooperazione applicativa. </w:t>
      </w:r>
    </w:p>
    <w:p w:rsidR="00B26F56" w:rsidRPr="007B27EB" w:rsidRDefault="00520746" w:rsidP="00B26F56">
      <w:pPr>
        <w:jc w:val="both"/>
      </w:pPr>
      <w:r>
        <w:rPr>
          <w:b/>
          <w:sz w:val="23"/>
          <w:szCs w:val="23"/>
        </w:rPr>
        <w:t>Si rende necessario</w:t>
      </w:r>
      <w:r w:rsidR="0055497F">
        <w:rPr>
          <w:b/>
          <w:sz w:val="23"/>
          <w:szCs w:val="23"/>
        </w:rPr>
        <w:t xml:space="preserve">, </w:t>
      </w:r>
      <w:r w:rsidR="0055497F" w:rsidRPr="0055497F">
        <w:rPr>
          <w:sz w:val="23"/>
          <w:szCs w:val="23"/>
        </w:rPr>
        <w:t>pertanto,</w:t>
      </w:r>
      <w:r>
        <w:rPr>
          <w:b/>
          <w:sz w:val="23"/>
          <w:szCs w:val="23"/>
        </w:rPr>
        <w:t xml:space="preserve"> </w:t>
      </w:r>
      <w:r w:rsidR="00B26F56" w:rsidRPr="00B26F56">
        <w:rPr>
          <w:b/>
          <w:sz w:val="23"/>
          <w:szCs w:val="23"/>
        </w:rPr>
        <w:t xml:space="preserve">un confronto tecnico-politico urgente e costante con le Regioni per l’implementazione del sistema; </w:t>
      </w:r>
      <w:r w:rsidR="00B26F56" w:rsidRPr="00B26F56">
        <w:rPr>
          <w:sz w:val="23"/>
          <w:szCs w:val="23"/>
        </w:rPr>
        <w:t xml:space="preserve">un’adeguata infrastruttura di servizio è la precondizione per una efficiente e corretta attuazione del </w:t>
      </w:r>
      <w:proofErr w:type="spellStart"/>
      <w:r w:rsidR="00B26F56" w:rsidRPr="00B26F56">
        <w:rPr>
          <w:sz w:val="23"/>
          <w:szCs w:val="23"/>
        </w:rPr>
        <w:t>RdC</w:t>
      </w:r>
      <w:proofErr w:type="spellEnd"/>
      <w:r w:rsidR="00B26F56" w:rsidRPr="00B26F56">
        <w:rPr>
          <w:sz w:val="23"/>
          <w:szCs w:val="23"/>
        </w:rPr>
        <w:t>.</w:t>
      </w:r>
      <w:r w:rsidR="00B26F56" w:rsidRPr="00B26F56">
        <w:rPr>
          <w:b/>
          <w:sz w:val="23"/>
          <w:szCs w:val="23"/>
        </w:rPr>
        <w:t xml:space="preserve"> </w:t>
      </w:r>
      <w:r w:rsidR="00B26F56" w:rsidRPr="00B26F56">
        <w:rPr>
          <w:sz w:val="23"/>
          <w:szCs w:val="23"/>
        </w:rPr>
        <w:t xml:space="preserve">Un </w:t>
      </w:r>
      <w:r w:rsidR="00B26F56" w:rsidRPr="00B26F56">
        <w:rPr>
          <w:b/>
          <w:sz w:val="23"/>
          <w:szCs w:val="23"/>
        </w:rPr>
        <w:t>avvio della misura in assenza di adeguati test sulla funzionalità e</w:t>
      </w:r>
      <w:r w:rsidR="00A85A2A">
        <w:rPr>
          <w:b/>
          <w:sz w:val="23"/>
          <w:szCs w:val="23"/>
        </w:rPr>
        <w:t xml:space="preserve"> sull’</w:t>
      </w:r>
      <w:r w:rsidR="00B26F56" w:rsidRPr="00B26F56">
        <w:rPr>
          <w:b/>
          <w:sz w:val="23"/>
          <w:szCs w:val="23"/>
        </w:rPr>
        <w:t>efficienza dei sistemi informativi</w:t>
      </w:r>
      <w:r w:rsidR="00B26F56" w:rsidRPr="00B26F56">
        <w:rPr>
          <w:sz w:val="23"/>
          <w:szCs w:val="23"/>
        </w:rPr>
        <w:t xml:space="preserve"> potrebbe</w:t>
      </w:r>
      <w:r w:rsidR="00A85A2A">
        <w:rPr>
          <w:sz w:val="23"/>
          <w:szCs w:val="23"/>
        </w:rPr>
        <w:t>,</w:t>
      </w:r>
      <w:r w:rsidR="00B26F56" w:rsidRPr="00B26F56">
        <w:rPr>
          <w:sz w:val="23"/>
          <w:szCs w:val="23"/>
        </w:rPr>
        <w:t xml:space="preserve"> </w:t>
      </w:r>
      <w:r w:rsidR="00A85A2A">
        <w:rPr>
          <w:sz w:val="23"/>
          <w:szCs w:val="23"/>
        </w:rPr>
        <w:t xml:space="preserve">infatti, </w:t>
      </w:r>
      <w:r w:rsidR="00B26F56" w:rsidRPr="00B26F56">
        <w:rPr>
          <w:sz w:val="23"/>
          <w:szCs w:val="23"/>
        </w:rPr>
        <w:t>dar luogo a</w:t>
      </w:r>
      <w:r w:rsidR="00B26F56" w:rsidRPr="00B26F56">
        <w:rPr>
          <w:b/>
          <w:sz w:val="23"/>
          <w:szCs w:val="23"/>
        </w:rPr>
        <w:t xml:space="preserve"> situazioni di caos e grave disagio, </w:t>
      </w:r>
      <w:r w:rsidR="00B26F56" w:rsidRPr="00B26F56">
        <w:rPr>
          <w:sz w:val="23"/>
          <w:szCs w:val="23"/>
        </w:rPr>
        <w:t xml:space="preserve">come purtroppo già sperimentato in passato (es. assegno di ricollocazione e DID </w:t>
      </w:r>
      <w:r w:rsidR="00B26F56" w:rsidRPr="0055497F">
        <w:rPr>
          <w:i/>
          <w:sz w:val="23"/>
          <w:szCs w:val="23"/>
        </w:rPr>
        <w:t>on Line</w:t>
      </w:r>
      <w:r w:rsidR="00B26F56" w:rsidRPr="00B26F56">
        <w:rPr>
          <w:sz w:val="23"/>
          <w:szCs w:val="23"/>
        </w:rPr>
        <w:t>).</w:t>
      </w:r>
    </w:p>
    <w:p w:rsidR="005A4222" w:rsidRDefault="005A4222" w:rsidP="006D5341">
      <w:pPr>
        <w:jc w:val="both"/>
      </w:pPr>
    </w:p>
    <w:sectPr w:rsidR="005A42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0"/>
    <w:family w:val="roman"/>
    <w:pitch w:val="variable"/>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A027B"/>
    <w:multiLevelType w:val="multilevel"/>
    <w:tmpl w:val="BFAEE610"/>
    <w:lvl w:ilvl="0">
      <w:start w:val="1"/>
      <w:numFmt w:val="bullet"/>
      <w:lvlText w:val=""/>
      <w:lvlJc w:val="left"/>
      <w:pPr>
        <w:ind w:left="720" w:hanging="360"/>
      </w:pPr>
      <w:rPr>
        <w:rFonts w:ascii="Symbol" w:hAnsi="Symbol" w:cs="Symbol" w:hint="default"/>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45633EB"/>
    <w:multiLevelType w:val="multilevel"/>
    <w:tmpl w:val="1AE66AA6"/>
    <w:lvl w:ilvl="0">
      <w:start w:val="1"/>
      <w:numFmt w:val="bullet"/>
      <w:lvlText w:val=""/>
      <w:lvlJc w:val="left"/>
      <w:pPr>
        <w:ind w:left="720" w:hanging="360"/>
      </w:pPr>
      <w:rPr>
        <w:rFonts w:ascii="Symbol" w:hAnsi="Symbol" w:cs="Symbol" w:hint="default"/>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5B643B3"/>
    <w:multiLevelType w:val="multilevel"/>
    <w:tmpl w:val="DC08AD42"/>
    <w:lvl w:ilvl="0">
      <w:start w:val="1"/>
      <w:numFmt w:val="bullet"/>
      <w:lvlText w:val=""/>
      <w:lvlJc w:val="left"/>
      <w:pPr>
        <w:tabs>
          <w:tab w:val="num" w:pos="720"/>
        </w:tabs>
        <w:ind w:left="720" w:hanging="360"/>
      </w:pPr>
      <w:rPr>
        <w:rFonts w:ascii="Symbol" w:hAnsi="Symbol" w:cs="OpenSymbol" w:hint="default"/>
        <w:sz w:val="23"/>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D4E"/>
    <w:rsid w:val="00003A0B"/>
    <w:rsid w:val="000A120C"/>
    <w:rsid w:val="00115C88"/>
    <w:rsid w:val="00122C78"/>
    <w:rsid w:val="001775D1"/>
    <w:rsid w:val="001B6AE6"/>
    <w:rsid w:val="00204870"/>
    <w:rsid w:val="00242138"/>
    <w:rsid w:val="002806C2"/>
    <w:rsid w:val="00316038"/>
    <w:rsid w:val="00325A80"/>
    <w:rsid w:val="00340844"/>
    <w:rsid w:val="00356D35"/>
    <w:rsid w:val="00366A92"/>
    <w:rsid w:val="00461AB1"/>
    <w:rsid w:val="00520746"/>
    <w:rsid w:val="00526B7D"/>
    <w:rsid w:val="0055497F"/>
    <w:rsid w:val="00572885"/>
    <w:rsid w:val="005A30C6"/>
    <w:rsid w:val="005A4222"/>
    <w:rsid w:val="005E645A"/>
    <w:rsid w:val="00605914"/>
    <w:rsid w:val="006D5341"/>
    <w:rsid w:val="006D684F"/>
    <w:rsid w:val="00780A5C"/>
    <w:rsid w:val="007C3651"/>
    <w:rsid w:val="00810D3C"/>
    <w:rsid w:val="00820375"/>
    <w:rsid w:val="00843D4E"/>
    <w:rsid w:val="00886FFB"/>
    <w:rsid w:val="008C1BB1"/>
    <w:rsid w:val="008F10A2"/>
    <w:rsid w:val="008F45A2"/>
    <w:rsid w:val="0093008E"/>
    <w:rsid w:val="00990E6C"/>
    <w:rsid w:val="009E4253"/>
    <w:rsid w:val="00A85A2A"/>
    <w:rsid w:val="00B26F56"/>
    <w:rsid w:val="00B9280C"/>
    <w:rsid w:val="00BA0A33"/>
    <w:rsid w:val="00C00AD1"/>
    <w:rsid w:val="00C266C3"/>
    <w:rsid w:val="00C96EDF"/>
    <w:rsid w:val="00CF5555"/>
    <w:rsid w:val="00D116D1"/>
    <w:rsid w:val="00D144C9"/>
    <w:rsid w:val="00D7138D"/>
    <w:rsid w:val="00D72127"/>
    <w:rsid w:val="00DE58D8"/>
    <w:rsid w:val="00DE5973"/>
    <w:rsid w:val="00DF721E"/>
    <w:rsid w:val="00E1793E"/>
    <w:rsid w:val="00E75A54"/>
    <w:rsid w:val="00F10B0B"/>
    <w:rsid w:val="00F10E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5BA60-29BB-413B-910F-B3CD2256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06C2"/>
    <w:pPr>
      <w:ind w:left="720"/>
      <w:contextualSpacing/>
    </w:pPr>
  </w:style>
  <w:style w:type="paragraph" w:styleId="Testofumetto">
    <w:name w:val="Balloon Text"/>
    <w:basedOn w:val="Normale"/>
    <w:link w:val="TestofumettoCarattere"/>
    <w:uiPriority w:val="99"/>
    <w:semiHidden/>
    <w:unhideWhenUsed/>
    <w:rsid w:val="005A30C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A30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2255</Words>
  <Characters>12858</Characters>
  <Application>Microsoft Office Word</Application>
  <DocSecurity>4</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Iacobelli</dc:creator>
  <cp:keywords/>
  <dc:description/>
  <cp:lastModifiedBy>Evelina Melone</cp:lastModifiedBy>
  <cp:revision>2</cp:revision>
  <cp:lastPrinted>2019-01-31T17:54:00Z</cp:lastPrinted>
  <dcterms:created xsi:type="dcterms:W3CDTF">2019-02-04T12:25:00Z</dcterms:created>
  <dcterms:modified xsi:type="dcterms:W3CDTF">2019-02-04T12:25:00Z</dcterms:modified>
</cp:coreProperties>
</file>