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23F12C" w14:textId="77777777" w:rsidR="008666DD" w:rsidRDefault="008666DD" w:rsidP="008666D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DISEGNO DI LEGGE</w:t>
      </w:r>
    </w:p>
    <w:p w14:paraId="20E8148E" w14:textId="77777777" w:rsidR="008666DD" w:rsidRPr="007F4601" w:rsidRDefault="008666DD" w:rsidP="008666DD">
      <w:pPr>
        <w:shd w:val="clear" w:color="auto" w:fill="FFFFFF"/>
        <w:tabs>
          <w:tab w:val="left" w:pos="993"/>
        </w:tabs>
        <w:spacing w:after="120" w:line="240" w:lineRule="auto"/>
        <w:jc w:val="center"/>
        <w:rPr>
          <w:rFonts w:asciiTheme="minorHAnsi" w:eastAsia="Times New Roman" w:hAnsiTheme="minorHAnsi" w:cs="Times New Roman"/>
          <w:b/>
          <w:color w:val="000000" w:themeColor="text1"/>
          <w:sz w:val="24"/>
          <w:szCs w:val="24"/>
        </w:rPr>
      </w:pPr>
      <w:r w:rsidRPr="00185E53">
        <w:rPr>
          <w:rFonts w:asciiTheme="minorHAnsi" w:eastAsia="Times New Roman" w:hAnsiTheme="minorHAnsi" w:cs="Times New Roman"/>
          <w:bCs/>
          <w:color w:val="000000" w:themeColor="text1"/>
          <w:sz w:val="24"/>
          <w:szCs w:val="24"/>
        </w:rPr>
        <w:t>Delega al Governo per il recepimento delle direttive europee e l'attuazione di altri atti dell'Unione europea – legge di delegazione europea 2019</w:t>
      </w:r>
      <w:r>
        <w:rPr>
          <w:rFonts w:asciiTheme="minorHAnsi" w:eastAsia="Times New Roman" w:hAnsiTheme="minorHAnsi" w:cs="Times New Roman"/>
          <w:b/>
          <w:color w:val="000000" w:themeColor="text1"/>
          <w:sz w:val="24"/>
          <w:szCs w:val="24"/>
        </w:rPr>
        <w:t>-</w:t>
      </w:r>
      <w:r w:rsidRPr="009D5832">
        <w:rPr>
          <w:rFonts w:asciiTheme="minorHAnsi" w:eastAsia="Times New Roman" w:hAnsiTheme="minorHAnsi" w:cs="Times New Roman"/>
          <w:bCs/>
          <w:color w:val="000000" w:themeColor="text1"/>
          <w:sz w:val="24"/>
          <w:szCs w:val="24"/>
        </w:rPr>
        <w:t>2020</w:t>
      </w:r>
    </w:p>
    <w:p w14:paraId="16BD9BA9" w14:textId="77777777" w:rsidR="00F6661B" w:rsidRPr="00793CC1" w:rsidRDefault="002C1B13" w:rsidP="00793CC1">
      <w:pPr>
        <w:tabs>
          <w:tab w:val="left" w:pos="993"/>
        </w:tabs>
        <w:spacing w:after="140"/>
        <w:jc w:val="center"/>
        <w:rPr>
          <w:rFonts w:asciiTheme="minorHAnsi" w:hAnsiTheme="minorHAnsi"/>
          <w:b/>
          <w:color w:val="1D4387"/>
          <w:sz w:val="24"/>
          <w:szCs w:val="24"/>
        </w:rPr>
      </w:pPr>
      <w:r>
        <w:rPr>
          <w:rFonts w:asciiTheme="minorHAnsi" w:hAnsiTheme="minorHAnsi"/>
          <w:b/>
          <w:color w:val="1D4387"/>
          <w:sz w:val="24"/>
          <w:szCs w:val="24"/>
        </w:rPr>
        <w:t>S. 1721</w:t>
      </w:r>
      <w:r w:rsidR="002F506C">
        <w:rPr>
          <w:rFonts w:asciiTheme="minorHAnsi" w:hAnsiTheme="minorHAnsi"/>
          <w:b/>
          <w:color w:val="1D4387"/>
          <w:sz w:val="24"/>
          <w:szCs w:val="24"/>
        </w:rPr>
        <w:t>-A</w:t>
      </w:r>
    </w:p>
    <w:p w14:paraId="03096B27"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13E8318C" w14:textId="77777777" w:rsidR="009953E0" w:rsidRPr="009953E0" w:rsidRDefault="002C1B13" w:rsidP="009953E0">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
          <w:bCs/>
          <w:color w:val="000000" w:themeColor="text1"/>
          <w:sz w:val="24"/>
          <w:szCs w:val="24"/>
          <w:u w:val="single"/>
        </w:rPr>
        <w:t>S. 1721</w:t>
      </w:r>
      <w:r w:rsidR="00D41117">
        <w:rPr>
          <w:rFonts w:asciiTheme="minorHAnsi" w:eastAsia="Times New Roman" w:hAnsiTheme="minorHAnsi" w:cs="Times New Roman"/>
          <w:b/>
          <w:bCs/>
          <w:color w:val="000000" w:themeColor="text1"/>
          <w:sz w:val="24"/>
          <w:szCs w:val="24"/>
          <w:u w:val="single"/>
        </w:rPr>
        <w:t xml:space="preserve">-A </w:t>
      </w:r>
      <w:r w:rsidR="00C87005">
        <w:rPr>
          <w:rFonts w:asciiTheme="minorHAnsi" w:eastAsia="Times New Roman" w:hAnsiTheme="minorHAnsi" w:cs="Times New Roman"/>
          <w:bCs/>
          <w:i/>
          <w:color w:val="000000" w:themeColor="text1"/>
          <w:sz w:val="24"/>
          <w:szCs w:val="24"/>
        </w:rPr>
        <w:t xml:space="preserve"> </w:t>
      </w:r>
      <w:r w:rsidR="004A5847">
        <w:rPr>
          <w:rFonts w:asciiTheme="minorHAnsi" w:eastAsia="Times New Roman" w:hAnsiTheme="minorHAnsi" w:cs="Times New Roman"/>
          <w:bCs/>
          <w:i/>
          <w:color w:val="000000" w:themeColor="text1"/>
          <w:sz w:val="24"/>
          <w:szCs w:val="24"/>
        </w:rPr>
        <w:t>–</w:t>
      </w:r>
      <w:r w:rsidR="00C87005">
        <w:rPr>
          <w:rFonts w:asciiTheme="minorHAnsi" w:eastAsia="Times New Roman" w:hAnsiTheme="minorHAnsi" w:cs="Times New Roman"/>
          <w:bCs/>
          <w:i/>
          <w:color w:val="000000" w:themeColor="text1"/>
          <w:sz w:val="24"/>
          <w:szCs w:val="24"/>
        </w:rPr>
        <w:t xml:space="preserve"> </w:t>
      </w:r>
      <w:r w:rsidR="00CF781C">
        <w:rPr>
          <w:rFonts w:asciiTheme="minorHAnsi" w:eastAsia="Times New Roman" w:hAnsiTheme="minorHAnsi" w:cs="Times New Roman"/>
          <w:bCs/>
          <w:i/>
          <w:color w:val="000000" w:themeColor="text1"/>
          <w:sz w:val="24"/>
          <w:szCs w:val="24"/>
        </w:rPr>
        <w:t>Nell</w:t>
      </w:r>
      <w:r w:rsidR="004162E1">
        <w:rPr>
          <w:rFonts w:asciiTheme="minorHAnsi" w:eastAsia="Times New Roman" w:hAnsiTheme="minorHAnsi" w:cs="Times New Roman"/>
          <w:bCs/>
          <w:i/>
          <w:color w:val="000000" w:themeColor="text1"/>
          <w:sz w:val="24"/>
          <w:szCs w:val="24"/>
        </w:rPr>
        <w:t>a</w:t>
      </w:r>
      <w:r w:rsidR="00CF781C">
        <w:rPr>
          <w:rFonts w:asciiTheme="minorHAnsi" w:eastAsia="Times New Roman" w:hAnsiTheme="minorHAnsi" w:cs="Times New Roman"/>
          <w:bCs/>
          <w:i/>
          <w:color w:val="000000" w:themeColor="text1"/>
          <w:sz w:val="24"/>
          <w:szCs w:val="24"/>
        </w:rPr>
        <w:t xml:space="preserve"> giornat</w:t>
      </w:r>
      <w:r w:rsidR="004162E1">
        <w:rPr>
          <w:rFonts w:asciiTheme="minorHAnsi" w:eastAsia="Times New Roman" w:hAnsiTheme="minorHAnsi" w:cs="Times New Roman"/>
          <w:bCs/>
          <w:i/>
          <w:color w:val="000000" w:themeColor="text1"/>
          <w:sz w:val="24"/>
          <w:szCs w:val="24"/>
        </w:rPr>
        <w:t xml:space="preserve">a di ieri, </w:t>
      </w:r>
      <w:r w:rsidR="009953E0">
        <w:rPr>
          <w:rFonts w:asciiTheme="minorHAnsi" w:eastAsia="Times New Roman" w:hAnsiTheme="minorHAnsi" w:cs="Times New Roman"/>
          <w:bCs/>
          <w:i/>
          <w:color w:val="000000" w:themeColor="text1"/>
          <w:sz w:val="24"/>
          <w:szCs w:val="24"/>
        </w:rPr>
        <w:t>27 ottobre</w:t>
      </w:r>
      <w:r w:rsidR="00CF781C">
        <w:rPr>
          <w:rFonts w:asciiTheme="minorHAnsi" w:eastAsia="Times New Roman" w:hAnsiTheme="minorHAnsi" w:cs="Times New Roman"/>
          <w:bCs/>
          <w:i/>
          <w:color w:val="000000" w:themeColor="text1"/>
          <w:sz w:val="24"/>
          <w:szCs w:val="24"/>
        </w:rPr>
        <w:t xml:space="preserve"> 2020</w:t>
      </w:r>
      <w:r w:rsidR="004162E1">
        <w:rPr>
          <w:rFonts w:asciiTheme="minorHAnsi" w:eastAsia="Times New Roman" w:hAnsiTheme="minorHAnsi" w:cs="Times New Roman"/>
          <w:bCs/>
          <w:i/>
          <w:color w:val="000000" w:themeColor="text1"/>
          <w:sz w:val="24"/>
          <w:szCs w:val="24"/>
        </w:rPr>
        <w:t>,</w:t>
      </w:r>
      <w:r w:rsidR="00CF781C">
        <w:rPr>
          <w:rFonts w:asciiTheme="minorHAnsi" w:eastAsia="Times New Roman" w:hAnsiTheme="minorHAnsi" w:cs="Times New Roman"/>
          <w:bCs/>
          <w:i/>
          <w:color w:val="000000" w:themeColor="text1"/>
          <w:sz w:val="24"/>
          <w:szCs w:val="24"/>
        </w:rPr>
        <w:t xml:space="preserve"> </w:t>
      </w:r>
      <w:r w:rsidR="009953E0">
        <w:rPr>
          <w:rFonts w:asciiTheme="minorHAnsi" w:eastAsia="Times New Roman" w:hAnsiTheme="minorHAnsi" w:cs="Times New Roman"/>
          <w:bCs/>
          <w:i/>
          <w:color w:val="000000" w:themeColor="text1"/>
          <w:sz w:val="24"/>
          <w:szCs w:val="24"/>
        </w:rPr>
        <w:t>l</w:t>
      </w:r>
      <w:r w:rsidR="009953E0" w:rsidRPr="009953E0">
        <w:rPr>
          <w:rFonts w:asciiTheme="minorHAnsi" w:eastAsia="Times New Roman" w:hAnsiTheme="minorHAnsi" w:cs="Times New Roman"/>
          <w:bCs/>
          <w:i/>
          <w:color w:val="000000" w:themeColor="text1"/>
          <w:sz w:val="24"/>
          <w:szCs w:val="24"/>
        </w:rPr>
        <w:t>'Assemblea</w:t>
      </w:r>
      <w:r w:rsidR="009953E0">
        <w:rPr>
          <w:rFonts w:asciiTheme="minorHAnsi" w:eastAsia="Times New Roman" w:hAnsiTheme="minorHAnsi" w:cs="Times New Roman"/>
          <w:bCs/>
          <w:i/>
          <w:color w:val="000000" w:themeColor="text1"/>
          <w:sz w:val="24"/>
          <w:szCs w:val="24"/>
        </w:rPr>
        <w:t xml:space="preserve"> del Senato</w:t>
      </w:r>
      <w:r w:rsidR="009953E0" w:rsidRPr="009953E0">
        <w:rPr>
          <w:rFonts w:asciiTheme="minorHAnsi" w:eastAsia="Times New Roman" w:hAnsiTheme="minorHAnsi" w:cs="Times New Roman"/>
          <w:bCs/>
          <w:i/>
          <w:color w:val="000000" w:themeColor="text1"/>
          <w:sz w:val="24"/>
          <w:szCs w:val="24"/>
        </w:rPr>
        <w:t xml:space="preserve"> ha proseguito l'esame del </w:t>
      </w:r>
      <w:proofErr w:type="spellStart"/>
      <w:r w:rsidR="009953E0" w:rsidRPr="009953E0">
        <w:rPr>
          <w:rFonts w:asciiTheme="minorHAnsi" w:eastAsia="Times New Roman" w:hAnsiTheme="minorHAnsi" w:cs="Times New Roman"/>
          <w:bCs/>
          <w:i/>
          <w:color w:val="000000" w:themeColor="text1"/>
          <w:sz w:val="24"/>
          <w:szCs w:val="24"/>
        </w:rPr>
        <w:t>ddl</w:t>
      </w:r>
      <w:proofErr w:type="spellEnd"/>
      <w:r w:rsidR="009953E0" w:rsidRPr="009953E0">
        <w:rPr>
          <w:rFonts w:asciiTheme="minorHAnsi" w:eastAsia="Times New Roman" w:hAnsiTheme="minorHAnsi" w:cs="Times New Roman"/>
          <w:bCs/>
          <w:i/>
          <w:color w:val="000000" w:themeColor="text1"/>
          <w:sz w:val="24"/>
          <w:szCs w:val="24"/>
        </w:rPr>
        <w:t xml:space="preserve"> </w:t>
      </w:r>
      <w:r w:rsidR="009953E0">
        <w:rPr>
          <w:rFonts w:asciiTheme="minorHAnsi" w:eastAsia="Times New Roman" w:hAnsiTheme="minorHAnsi" w:cs="Times New Roman"/>
          <w:bCs/>
          <w:i/>
          <w:color w:val="000000" w:themeColor="text1"/>
          <w:sz w:val="24"/>
          <w:szCs w:val="24"/>
        </w:rPr>
        <w:t>di d</w:t>
      </w:r>
      <w:r w:rsidR="009953E0" w:rsidRPr="009953E0">
        <w:rPr>
          <w:rFonts w:asciiTheme="minorHAnsi" w:eastAsia="Times New Roman" w:hAnsiTheme="minorHAnsi" w:cs="Times New Roman"/>
          <w:bCs/>
          <w:i/>
          <w:color w:val="000000" w:themeColor="text1"/>
          <w:sz w:val="24"/>
          <w:szCs w:val="24"/>
        </w:rPr>
        <w:t xml:space="preserve">elega al Governo per il recepimento delle direttive europee e l'attuazione di altri atti dell'Unione europea - Legge di delegazione europea 2019, </w:t>
      </w:r>
      <w:r w:rsidR="009953E0">
        <w:rPr>
          <w:rFonts w:asciiTheme="minorHAnsi" w:eastAsia="Times New Roman" w:hAnsiTheme="minorHAnsi" w:cs="Times New Roman"/>
          <w:bCs/>
          <w:i/>
          <w:color w:val="000000" w:themeColor="text1"/>
          <w:sz w:val="24"/>
          <w:szCs w:val="24"/>
        </w:rPr>
        <w:t>unitamente</w:t>
      </w:r>
      <w:r w:rsidR="009953E0" w:rsidRPr="009953E0">
        <w:rPr>
          <w:rFonts w:asciiTheme="minorHAnsi" w:eastAsia="Times New Roman" w:hAnsiTheme="minorHAnsi" w:cs="Times New Roman"/>
          <w:bCs/>
          <w:i/>
          <w:color w:val="000000" w:themeColor="text1"/>
          <w:sz w:val="24"/>
          <w:szCs w:val="24"/>
        </w:rPr>
        <w:t xml:space="preserve"> all'esame della Relazione programmatica sulla partecipazione dell'Italia all'Unione europea per l'anno 2020 (Doc. LXXXVI n. 3) e della Relazione consuntiva sulla partecipazione dell'Italia all'Unione europea, relativa all'anno 2019 (Doc. LXXXVII n. 3).</w:t>
      </w:r>
    </w:p>
    <w:p w14:paraId="4DC187D9" w14:textId="77777777" w:rsidR="009953E0" w:rsidRDefault="009953E0" w:rsidP="009953E0">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sidRPr="009953E0">
        <w:rPr>
          <w:rFonts w:asciiTheme="minorHAnsi" w:eastAsia="Times New Roman" w:hAnsiTheme="minorHAnsi" w:cs="Times New Roman"/>
          <w:bCs/>
          <w:i/>
          <w:color w:val="000000" w:themeColor="text1"/>
          <w:sz w:val="24"/>
          <w:szCs w:val="24"/>
        </w:rPr>
        <w:t xml:space="preserve">La legge di delegazione europea dà attuazione a 38 direttive e adegua l'ordinamento a 18 regolamenti, in diverse materie quali lo sviluppo delle fonti rinnovabili, l'energia elettrica, le pratiche commerciali sleali nella filiera agricola e alimentare, il codice europeo delle comunicazioni elettroniche in vista dello sviluppo delle nuove reti 5G, la tutela del diritto d'autore nel mercato digitale, l'agenzia per la </w:t>
      </w:r>
      <w:proofErr w:type="spellStart"/>
      <w:r w:rsidRPr="009953E0">
        <w:rPr>
          <w:rFonts w:asciiTheme="minorHAnsi" w:eastAsia="Times New Roman" w:hAnsiTheme="minorHAnsi" w:cs="Times New Roman"/>
          <w:bCs/>
          <w:i/>
          <w:color w:val="000000" w:themeColor="text1"/>
          <w:sz w:val="24"/>
          <w:szCs w:val="24"/>
        </w:rPr>
        <w:t>cybersicurezza</w:t>
      </w:r>
      <w:proofErr w:type="spellEnd"/>
      <w:r w:rsidRPr="009953E0">
        <w:rPr>
          <w:rFonts w:asciiTheme="minorHAnsi" w:eastAsia="Times New Roman" w:hAnsiTheme="minorHAnsi" w:cs="Times New Roman"/>
          <w:bCs/>
          <w:i/>
          <w:color w:val="000000" w:themeColor="text1"/>
          <w:sz w:val="24"/>
          <w:szCs w:val="24"/>
        </w:rPr>
        <w:t>.</w:t>
      </w:r>
    </w:p>
    <w:p w14:paraId="14856E52" w14:textId="77777777" w:rsidR="009953E0" w:rsidRDefault="009953E0" w:rsidP="009953E0">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sidRPr="009953E0">
        <w:rPr>
          <w:rFonts w:asciiTheme="minorHAnsi" w:eastAsia="Times New Roman" w:hAnsiTheme="minorHAnsi" w:cs="Times New Roman"/>
          <w:bCs/>
          <w:i/>
          <w:color w:val="000000" w:themeColor="text1"/>
          <w:sz w:val="24"/>
          <w:szCs w:val="24"/>
        </w:rPr>
        <w:t xml:space="preserve">Nella seduta del 15 ottobre si sono svolte le relazioni e si è conclusa la discussione generale. Dopo che il Governo ha accolto la proposta di risoluzione di maggioranza n. 1, sono stati approvati, senza emendamenti, i primi quattro articoli. </w:t>
      </w:r>
    </w:p>
    <w:p w14:paraId="5DE5F523" w14:textId="77777777" w:rsidR="009953E0" w:rsidRDefault="009953E0" w:rsidP="009953E0">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sidRPr="009953E0">
        <w:rPr>
          <w:rFonts w:asciiTheme="minorHAnsi" w:eastAsia="Times New Roman" w:hAnsiTheme="minorHAnsi" w:cs="Times New Roman"/>
          <w:bCs/>
          <w:i/>
          <w:color w:val="000000" w:themeColor="text1"/>
          <w:sz w:val="24"/>
          <w:szCs w:val="24"/>
        </w:rPr>
        <w:t>All'articolo 5, relativo all'attuazione della direttiva sulla promozione dell'energia da fonti rinnovabili, sono stati approvati gli emendamenti dei sen. Girotto (M5S) e De Petris (Misto-</w:t>
      </w:r>
      <w:proofErr w:type="spellStart"/>
      <w:r w:rsidRPr="009953E0">
        <w:rPr>
          <w:rFonts w:asciiTheme="minorHAnsi" w:eastAsia="Times New Roman" w:hAnsiTheme="minorHAnsi" w:cs="Times New Roman"/>
          <w:bCs/>
          <w:i/>
          <w:color w:val="000000" w:themeColor="text1"/>
          <w:sz w:val="24"/>
          <w:szCs w:val="24"/>
        </w:rPr>
        <w:t>LeU</w:t>
      </w:r>
      <w:proofErr w:type="spellEnd"/>
      <w:r w:rsidRPr="009953E0">
        <w:rPr>
          <w:rFonts w:asciiTheme="minorHAnsi" w:eastAsia="Times New Roman" w:hAnsiTheme="minorHAnsi" w:cs="Times New Roman"/>
          <w:bCs/>
          <w:i/>
          <w:color w:val="000000" w:themeColor="text1"/>
          <w:sz w:val="24"/>
          <w:szCs w:val="24"/>
        </w:rPr>
        <w:t xml:space="preserve">) 5.303, 5.304, 5.305, 5.306 e 5.310 della sen. De Petris e altri. </w:t>
      </w:r>
    </w:p>
    <w:p w14:paraId="59FA2624" w14:textId="77777777" w:rsidR="009953E0" w:rsidRDefault="009953E0" w:rsidP="009953E0">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sidRPr="009953E0">
        <w:rPr>
          <w:rFonts w:asciiTheme="minorHAnsi" w:eastAsia="Times New Roman" w:hAnsiTheme="minorHAnsi" w:cs="Times New Roman"/>
          <w:bCs/>
          <w:i/>
          <w:color w:val="000000" w:themeColor="text1"/>
          <w:sz w:val="24"/>
          <w:szCs w:val="24"/>
        </w:rPr>
        <w:t xml:space="preserve">Respinte le proposte di modifica, sono stati poi approvati gli articoli 6,7, 8, 9 e 10. </w:t>
      </w:r>
    </w:p>
    <w:p w14:paraId="6C961887" w14:textId="02958609" w:rsidR="00D346FB" w:rsidRDefault="008666DD" w:rsidP="009953E0">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Cs/>
          <w:i/>
          <w:color w:val="000000" w:themeColor="text1"/>
          <w:sz w:val="24"/>
          <w:szCs w:val="24"/>
        </w:rPr>
        <w:t>Si riporta</w:t>
      </w:r>
      <w:r w:rsidR="00CF781C">
        <w:rPr>
          <w:rFonts w:asciiTheme="minorHAnsi" w:eastAsia="Times New Roman" w:hAnsiTheme="minorHAnsi" w:cs="Times New Roman"/>
          <w:bCs/>
          <w:i/>
          <w:color w:val="000000" w:themeColor="text1"/>
          <w:sz w:val="24"/>
          <w:szCs w:val="24"/>
        </w:rPr>
        <w:t xml:space="preserve"> </w:t>
      </w:r>
      <w:r w:rsidR="004A5847">
        <w:rPr>
          <w:rFonts w:asciiTheme="minorHAnsi" w:eastAsia="Times New Roman" w:hAnsiTheme="minorHAnsi" w:cs="Times New Roman"/>
          <w:bCs/>
          <w:i/>
          <w:color w:val="000000" w:themeColor="text1"/>
          <w:sz w:val="24"/>
          <w:szCs w:val="24"/>
        </w:rPr>
        <w:t>l</w:t>
      </w:r>
      <w:r>
        <w:rPr>
          <w:rFonts w:asciiTheme="minorHAnsi" w:eastAsia="Times New Roman" w:hAnsiTheme="minorHAnsi" w:cs="Times New Roman"/>
          <w:bCs/>
          <w:i/>
          <w:color w:val="000000" w:themeColor="text1"/>
          <w:sz w:val="24"/>
          <w:szCs w:val="24"/>
        </w:rPr>
        <w:t>’aggiornamento del disegno di legge</w:t>
      </w:r>
      <w:r w:rsidR="004A5847">
        <w:rPr>
          <w:rFonts w:asciiTheme="minorHAnsi" w:eastAsia="Times New Roman" w:hAnsiTheme="minorHAnsi" w:cs="Times New Roman"/>
          <w:bCs/>
          <w:i/>
          <w:color w:val="000000" w:themeColor="text1"/>
          <w:sz w:val="24"/>
          <w:szCs w:val="24"/>
        </w:rPr>
        <w:t xml:space="preserve"> </w:t>
      </w:r>
      <w:r w:rsidR="00CF781C">
        <w:rPr>
          <w:rFonts w:asciiTheme="minorHAnsi" w:eastAsia="Times New Roman" w:hAnsiTheme="minorHAnsi" w:cs="Times New Roman"/>
          <w:bCs/>
          <w:i/>
          <w:color w:val="000000" w:themeColor="text1"/>
          <w:sz w:val="24"/>
          <w:szCs w:val="24"/>
        </w:rPr>
        <w:t xml:space="preserve">con in evidenza </w:t>
      </w:r>
      <w:r w:rsidR="004162E1">
        <w:rPr>
          <w:rFonts w:asciiTheme="minorHAnsi" w:eastAsia="Times New Roman" w:hAnsiTheme="minorHAnsi" w:cs="Times New Roman"/>
          <w:bCs/>
          <w:i/>
          <w:color w:val="000000" w:themeColor="text1"/>
          <w:sz w:val="24"/>
          <w:szCs w:val="24"/>
        </w:rPr>
        <w:t xml:space="preserve">tutte </w:t>
      </w:r>
      <w:r w:rsidR="00CF781C">
        <w:rPr>
          <w:rFonts w:asciiTheme="minorHAnsi" w:eastAsia="Times New Roman" w:hAnsiTheme="minorHAnsi" w:cs="Times New Roman"/>
          <w:bCs/>
          <w:i/>
          <w:color w:val="000000" w:themeColor="text1"/>
          <w:sz w:val="24"/>
          <w:szCs w:val="24"/>
        </w:rPr>
        <w:t>le modifiche apportate dall</w:t>
      </w:r>
      <w:r w:rsidR="009953E0">
        <w:rPr>
          <w:rFonts w:asciiTheme="minorHAnsi" w:eastAsia="Times New Roman" w:hAnsiTheme="minorHAnsi" w:cs="Times New Roman"/>
          <w:bCs/>
          <w:i/>
          <w:color w:val="000000" w:themeColor="text1"/>
          <w:sz w:val="24"/>
          <w:szCs w:val="24"/>
        </w:rPr>
        <w:t>’Aula</w:t>
      </w:r>
      <w:r w:rsidR="00CF781C">
        <w:rPr>
          <w:rFonts w:asciiTheme="minorHAnsi" w:eastAsia="Times New Roman" w:hAnsiTheme="minorHAnsi" w:cs="Times New Roman"/>
          <w:bCs/>
          <w:i/>
          <w:color w:val="000000" w:themeColor="text1"/>
          <w:sz w:val="24"/>
          <w:szCs w:val="24"/>
        </w:rPr>
        <w:t>.</w:t>
      </w:r>
      <w:r w:rsidR="004A5847">
        <w:rPr>
          <w:rFonts w:asciiTheme="minorHAnsi" w:eastAsia="Times New Roman" w:hAnsiTheme="minorHAnsi" w:cs="Times New Roman"/>
          <w:bCs/>
          <w:i/>
          <w:color w:val="000000" w:themeColor="text1"/>
          <w:sz w:val="24"/>
          <w:szCs w:val="24"/>
        </w:rPr>
        <w:t xml:space="preserve"> </w:t>
      </w:r>
    </w:p>
    <w:p w14:paraId="790B082A" w14:textId="4994F7C7" w:rsidR="008666DD" w:rsidRPr="008666DD" w:rsidRDefault="008666DD" w:rsidP="008666DD">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666DD">
        <w:rPr>
          <w:rFonts w:asciiTheme="minorHAnsi" w:eastAsia="Times New Roman" w:hAnsiTheme="minorHAnsi" w:cs="Times New Roman"/>
          <w:color w:val="000000" w:themeColor="text1"/>
          <w:sz w:val="24"/>
          <w:szCs w:val="24"/>
        </w:rPr>
        <w:t>Le modifiche introdotte dagli emendamenti approvati si riportano in</w:t>
      </w:r>
      <w:r w:rsidRPr="00793CC1">
        <w:rPr>
          <w:rFonts w:asciiTheme="minorHAnsi" w:eastAsia="Times New Roman" w:hAnsiTheme="minorHAnsi" w:cs="Times New Roman"/>
          <w:b/>
          <w:bCs/>
          <w:color w:val="000000" w:themeColor="text1"/>
          <w:sz w:val="24"/>
          <w:szCs w:val="24"/>
        </w:rPr>
        <w:t xml:space="preserve"> </w:t>
      </w:r>
      <w:r w:rsidRPr="008666DD">
        <w:rPr>
          <w:rFonts w:asciiTheme="minorHAnsi" w:eastAsia="Times New Roman" w:hAnsiTheme="minorHAnsi" w:cs="Times New Roman"/>
          <w:color w:val="000000" w:themeColor="text1"/>
          <w:sz w:val="24"/>
          <w:szCs w:val="24"/>
        </w:rPr>
        <w:t xml:space="preserve">carattere </w:t>
      </w:r>
      <w:proofErr w:type="gramStart"/>
      <w:r w:rsidRPr="00793CC1">
        <w:rPr>
          <w:rFonts w:asciiTheme="minorHAnsi" w:eastAsia="Times New Roman" w:hAnsiTheme="minorHAnsi" w:cs="Times New Roman"/>
          <w:b/>
          <w:bCs/>
          <w:color w:val="000000" w:themeColor="text1"/>
          <w:sz w:val="24"/>
          <w:szCs w:val="24"/>
        </w:rPr>
        <w:t>grassetto</w:t>
      </w:r>
      <w:r>
        <w:rPr>
          <w:rFonts w:asciiTheme="minorHAnsi" w:eastAsia="Times New Roman" w:hAnsiTheme="minorHAnsi" w:cs="Times New Roman"/>
          <w:b/>
          <w:bCs/>
          <w:color w:val="000000" w:themeColor="text1"/>
          <w:sz w:val="24"/>
          <w:szCs w:val="24"/>
        </w:rPr>
        <w:t xml:space="preserve"> </w:t>
      </w:r>
      <w:r w:rsidRPr="008666DD">
        <w:rPr>
          <w:rFonts w:asciiTheme="minorHAnsi" w:eastAsia="Times New Roman" w:hAnsiTheme="minorHAnsi" w:cs="Times New Roman"/>
          <w:color w:val="000000" w:themeColor="text1"/>
          <w:sz w:val="24"/>
          <w:szCs w:val="24"/>
        </w:rPr>
        <w:t>,</w:t>
      </w:r>
      <w:proofErr w:type="gramEnd"/>
      <w:r w:rsidRPr="008666DD">
        <w:rPr>
          <w:rFonts w:asciiTheme="minorHAnsi" w:eastAsia="Times New Roman" w:hAnsiTheme="minorHAnsi" w:cs="Times New Roman"/>
          <w:color w:val="000000" w:themeColor="text1"/>
          <w:sz w:val="24"/>
          <w:szCs w:val="24"/>
        </w:rPr>
        <w:t xml:space="preserve"> 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8666DD">
        <w:rPr>
          <w:rFonts w:asciiTheme="minorHAnsi" w:eastAsia="Times New Roman" w:hAnsiTheme="minorHAnsi" w:cs="Times New Roman"/>
          <w:color w:val="000000" w:themeColor="text1"/>
          <w:sz w:val="24"/>
          <w:szCs w:val="24"/>
        </w:rPr>
        <w:t xml:space="preserve">I subemendamenti approvati si evidenziano facendo uso del colore </w:t>
      </w:r>
      <w:r w:rsidRPr="008666DD">
        <w:rPr>
          <w:rFonts w:asciiTheme="minorHAnsi" w:eastAsia="Times New Roman" w:hAnsiTheme="minorHAnsi" w:cs="Times New Roman"/>
          <w:color w:val="000000" w:themeColor="text1"/>
          <w:sz w:val="24"/>
          <w:szCs w:val="24"/>
          <w:shd w:val="clear" w:color="auto" w:fill="FF2500"/>
        </w:rPr>
        <w:t>rosso</w:t>
      </w:r>
      <w:r w:rsidRPr="008666DD">
        <w:rPr>
          <w:rFonts w:asciiTheme="minorHAnsi" w:eastAsia="Times New Roman" w:hAnsiTheme="minorHAnsi" w:cs="Times New Roman"/>
          <w:color w:val="000000" w:themeColor="text1"/>
          <w:sz w:val="24"/>
          <w:szCs w:val="24"/>
        </w:rPr>
        <w:t>. A piè di pagina si riportano i riferimenti della proposta di modifica approvata.</w:t>
      </w:r>
    </w:p>
    <w:p w14:paraId="374522AD" w14:textId="77777777" w:rsidR="008666DD" w:rsidRDefault="008666DD" w:rsidP="008666D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537F0FF" w14:textId="77777777" w:rsidR="007F03D7" w:rsidRDefault="007F03D7" w:rsidP="00C87005">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5E254D83" w14:textId="77777777" w:rsidR="00C87005" w:rsidRPr="00774097" w:rsidRDefault="00C87005" w:rsidP="00C82114">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581B837D" w14:textId="77777777" w:rsidR="002C1B13" w:rsidRDefault="002C1B1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2C1B13">
        <w:rPr>
          <w:rFonts w:asciiTheme="minorHAnsi" w:eastAsia="Times New Roman" w:hAnsiTheme="minorHAnsi" w:cs="Times New Roman"/>
          <w:bCs/>
          <w:color w:val="000000" w:themeColor="text1"/>
          <w:sz w:val="24"/>
          <w:szCs w:val="24"/>
        </w:rPr>
        <w:t>DISEGNO DI LEGGE</w:t>
      </w:r>
    </w:p>
    <w:p w14:paraId="329037A4" w14:textId="77777777" w:rsidR="00185E53" w:rsidRPr="007F4601" w:rsidRDefault="00185E53" w:rsidP="00185E53">
      <w:pPr>
        <w:shd w:val="clear" w:color="auto" w:fill="FFFFFF"/>
        <w:tabs>
          <w:tab w:val="left" w:pos="993"/>
        </w:tabs>
        <w:spacing w:after="120" w:line="240" w:lineRule="auto"/>
        <w:jc w:val="center"/>
        <w:rPr>
          <w:rFonts w:asciiTheme="minorHAnsi" w:eastAsia="Times New Roman" w:hAnsiTheme="minorHAnsi" w:cs="Times New Roman"/>
          <w:b/>
          <w:color w:val="000000" w:themeColor="text1"/>
          <w:sz w:val="24"/>
          <w:szCs w:val="24"/>
        </w:rPr>
      </w:pPr>
      <w:r w:rsidRPr="00185E53">
        <w:rPr>
          <w:rFonts w:asciiTheme="minorHAnsi" w:eastAsia="Times New Roman" w:hAnsiTheme="minorHAnsi" w:cs="Times New Roman"/>
          <w:bCs/>
          <w:color w:val="000000" w:themeColor="text1"/>
          <w:sz w:val="24"/>
          <w:szCs w:val="24"/>
        </w:rPr>
        <w:t>Delega al Governo per il recepimento delle direttive europee e l'attuazione di altri atti dell'Unione europea – legge di delegazione europea 2019</w:t>
      </w:r>
      <w:r w:rsidR="007F4601">
        <w:rPr>
          <w:rFonts w:asciiTheme="minorHAnsi" w:eastAsia="Times New Roman" w:hAnsiTheme="minorHAnsi" w:cs="Times New Roman"/>
          <w:b/>
          <w:color w:val="000000" w:themeColor="text1"/>
          <w:sz w:val="24"/>
          <w:szCs w:val="24"/>
        </w:rPr>
        <w:t>-</w:t>
      </w:r>
      <w:r w:rsidR="007F4601" w:rsidRPr="009D5832">
        <w:rPr>
          <w:rFonts w:asciiTheme="minorHAnsi" w:eastAsia="Times New Roman" w:hAnsiTheme="minorHAnsi" w:cs="Times New Roman"/>
          <w:bCs/>
          <w:color w:val="000000" w:themeColor="text1"/>
          <w:sz w:val="24"/>
          <w:szCs w:val="24"/>
        </w:rPr>
        <w:t>2020</w:t>
      </w:r>
    </w:p>
    <w:p w14:paraId="61B35143" w14:textId="77777777" w:rsidR="00185E53" w:rsidRDefault="00185E53" w:rsidP="00185E5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7416A81" w14:textId="77777777" w:rsidR="009953E0" w:rsidRPr="009953E0" w:rsidRDefault="009953E0" w:rsidP="009953E0">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lastRenderedPageBreak/>
        <w:t>Art. 1.</w:t>
      </w:r>
    </w:p>
    <w:p w14:paraId="639FB7AB"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 xml:space="preserve"> (Delega al Governo per il recepimento delle direttive e l'attuazione degli altri atti dell'Unione europea)</w:t>
      </w:r>
    </w:p>
    <w:p w14:paraId="01560F0A"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1. Il Governo è delegato ad adottare, secondo i termini, le procedure, i princìpi e i criteri direttivi di cui agli articoli 31 e 32 della legge 24 dicembre 2012, n. 234, nonché secondo quelli specifici dettati dalla presente legge e tenendo conto delle eccezionali conseguenze economiche e sociali derivanti dalla pandemia da COVID-19, i decreti legislativi per il recepimento delle direttive europee e l'attuazione degli altri atti dell'Unione europea di cui agli articoli da 3 a 29 e all'allegato A.</w:t>
      </w:r>
    </w:p>
    <w:p w14:paraId="5D8BA608"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2. Gli schemi dei decreti legislativi di cui al comma 1 sono trasmessi, dopo l'acquisizione degli altri pareri previsti dalla legge, alla Camera dei deputati e al Senato della Repubblica affinché su di essi sia espresso il parere dei competenti organi parlamentari.</w:t>
      </w:r>
    </w:p>
    <w:p w14:paraId="516D71F9"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3. Eventuali spese non contemplate da leggi vigenti e che non riguardano l'attività ordinaria delle amministrazioni statali o regionali possono essere previste nei decreti legislativi di cui al comma 1, nei soli limiti occorrenti per l'adempimento degli obblighi derivanti dall'esercizio delle deleghe stesse. Alla relativa copertura, nonché alla copertura delle minori entrate eventualmente derivanti dall'attuazione delle deleghe, laddove non sia possibile farvi fronte con i fondi già assegnati alle competenti amministrazioni, si provvede mediante riduzione del fondo per il recepimento della normativa europea di cui all'articolo 41-bis della citata legge n. 234 del 2012. Qualora la dotazione del predetto fondo si rivelasse insufficiente, i decreti legislativi dai quali derivino nuovi o maggiori oneri sono emanati solo successivamente all'entrata in vigore dei provvedimenti legislativi che stanziano le occorrenti risorse finanziarie, in conformità all'articolo 17, comma 2, della legge 31 dicembre 2009, n. 196.</w:t>
      </w:r>
    </w:p>
    <w:p w14:paraId="6EBA466E"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Allegato A</w:t>
      </w:r>
    </w:p>
    <w:p w14:paraId="7B2CD627"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(articolo 1, comma 1)</w:t>
      </w:r>
    </w:p>
    <w:p w14:paraId="0220A177"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1) direttiva (UE) 2018/1673 del Parlamento europeo e del Consiglio, del 23 ottobre 2018, sulla lotta al riciclaggio mediante il diritto penale (termine di recepimento: 3 dicembre 2020);</w:t>
      </w:r>
    </w:p>
    <w:p w14:paraId="38DEF91E"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2) direttiva (UE) 2018/1808 del Parlamento europeo e del Consiglio, del 14 novembre 2018, recante modifica della direttiva 2010/13/UE, relativa al coordinamento di determinate disposizioni legislative, regolamentari e amministrative degli Stati membri concernenti la fornitura di servizi di media audiovisivi (direttiva sui servizi di media audiovisivi), in considerazione dell'evoluzione delle realtà del mercato (termine di recepimento: 19 settembre 2020);</w:t>
      </w:r>
    </w:p>
    <w:p w14:paraId="5D07D827"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 xml:space="preserve">3) direttiva (UE) 2018/1910 del Consiglio, del 4 dicembre 2018, che modifica la direttiva 2006/112/CE per quanto concerne l'armonizzazione e la semplificazione di determinate norme nel sistema d'imposta sul </w:t>
      </w:r>
      <w:r w:rsidRPr="009953E0">
        <w:rPr>
          <w:rFonts w:asciiTheme="minorHAnsi" w:eastAsia="Times New Roman" w:hAnsiTheme="minorHAnsi" w:cs="Times New Roman"/>
          <w:bCs/>
          <w:color w:val="000000" w:themeColor="text1"/>
          <w:sz w:val="24"/>
          <w:szCs w:val="24"/>
        </w:rPr>
        <w:lastRenderedPageBreak/>
        <w:t>valore aggiunto di imposizione degli scambi tra Stati membri (termine di recepimento: 31 dicembre 2019);</w:t>
      </w:r>
    </w:p>
    <w:p w14:paraId="10FC425D"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4) direttiva (UE) 2018/1972 del Parlamento europeo e del Consiglio, dell'11 dicembre 2018, che istituisce il codice europeo delle comunicazioni elettroniche (rifusione) (Testo rilevante ai fini del SEE) (termine di recepimento: 21 dicembre 2020);</w:t>
      </w:r>
    </w:p>
    <w:p w14:paraId="388A965E"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5) direttiva (UE) 2018/2001 del Parlamento europeo e del Consiglio, dell'11 dicembre 2018, sulla promozione dell'uso dell'energia da fonti rinnovabili (rifusione) (Testo rilevante ai fini del SEE) (termine di recepimento: 30 giugno 2021);</w:t>
      </w:r>
    </w:p>
    <w:p w14:paraId="37B770E9"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6) direttiva (UE) 2019/1 del Parlamento europeo e del Consiglio, dell'11 dicembre 2018, che conferisce alle autorità garanti della concorrenza degli Stati membri poteri di applicazione più efficace e che assicura il corretto funzionamento del mercato interno (Testo rilevante ai fini del SEE) (termine di recepimento: 4 febbraio 2021);</w:t>
      </w:r>
    </w:p>
    <w:p w14:paraId="13736F8B"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7) direttiva (UE) 2019/520 del Parlamento europeo e del Consiglio, del 19 marzo 2019, concernente l'interoperabilità dei sistemi di telepedaggio stradale e intesa ad agevolare lo scambio transfrontaliero di informazioni sul mancato pagamento dei pedaggi stradali nell'Unione (rifusione) (Testo rilevante ai fini del SEE) (termine di recepimento: 19 ottobre 2021);</w:t>
      </w:r>
    </w:p>
    <w:p w14:paraId="4E8AD341"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8) direttiva (UE) 2019/633 del Parlamento europeo e del Consiglio, del 17 aprile 2019, in materia di pratiche commerciali sleali nei rapporti tra imprese nella filiera agricola e alimentare (termine di recepimento: 1° maggio 2021);</w:t>
      </w:r>
    </w:p>
    <w:p w14:paraId="3ED74173"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9) direttiva (UE) 2019/713 del Parlamento europeo e del Consiglio, del 17 aprile 2019, relativa alla lotta contro le frodi e le falsificazioni di mezzi di pagamento diversi dai contanti e che sostituisce la decisione quadro 2001/413/GAI del Consiglio (termine di recepimento: 31 maggio 2021);</w:t>
      </w:r>
    </w:p>
    <w:p w14:paraId="62F6B4A3"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10) direttiva (UE) 2019/770 del Parlamento europeo e del Consiglio, del 20 maggio 2019, relativa a determinati aspetti dei contratti di fornitura di contenuto digitale e di servizi digitali (Testo rilevante ai fini del SEE) (termine di recepimento: 1° luglio 2021);</w:t>
      </w:r>
    </w:p>
    <w:p w14:paraId="2D7CC594"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11) direttiva (UE) 2019/771 del Parlamento europeo e del Consiglio, del 20 maggio 2019, relativa a determinati aspetti dei contratti di vendita di beni, che modifica il regolamento (UE) 2017/2394 e la direttiva 2009/22/CE, e che abroga la direttiva 1999/44/CE (Testo rilevante ai fini del SEE) (termine di recepimento: 1° luglio 2021);</w:t>
      </w:r>
    </w:p>
    <w:p w14:paraId="26B49BFA"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 xml:space="preserve">12) direttiva (UE) 2019/789 del Parlamento europeo e del Consiglio, del 17 aprile 2019, che stabilisce norme relative all'esercizio del diritto d'autore e dei diritti connessi applicabili a talune trasmissioni online </w:t>
      </w:r>
      <w:r w:rsidRPr="009953E0">
        <w:rPr>
          <w:rFonts w:asciiTheme="minorHAnsi" w:eastAsia="Times New Roman" w:hAnsiTheme="minorHAnsi" w:cs="Times New Roman"/>
          <w:bCs/>
          <w:color w:val="000000" w:themeColor="text1"/>
          <w:sz w:val="24"/>
          <w:szCs w:val="24"/>
        </w:rPr>
        <w:lastRenderedPageBreak/>
        <w:t>degli organismi di diffusione radiotelevisiva e ritrasmissioni di programmi televisivi e radiofonici e che modifica la direttiva 93/83/CEE del Consiglio (Testo rilevante ai fini del SEE) (termine di recepimento: 7 giugno 2021);</w:t>
      </w:r>
    </w:p>
    <w:p w14:paraId="79D09E28"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13) direttiva (UE) 2019/790 del Parlamento europeo e del Consiglio, del 17 aprile 2019, sul diritto d'autore e sui diritti connessi nel mercato unico digitale e che modifica le direttive 96/9/CE e 2001/29/CE (Testo rilevante ai fini del SEE) (termine di recepimento: 7 giugno 2021);</w:t>
      </w:r>
    </w:p>
    <w:p w14:paraId="53506AA7"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14) direttiva (UE) 2019/878 del Parlamento europeo e del Consiglio, del 20 maggio 2019, che modifica la direttiva 2013/36/UE per quanto riguarda le entità esentate, le società di partecipazione finanziaria, le società di partecipazione finanziaria mista, la remunerazione, le misure e i poteri di vigilanza e le misure di conservazione del capitale (Testo rilevante ai fini del SEE) (termine di recepimento: 28 dicembre 2020);</w:t>
      </w:r>
    </w:p>
    <w:p w14:paraId="4F1867E7"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15) direttiva (UE) 2019/879 del Parlamento europeo e del Consiglio, del 20 maggio 2019, che modifica la direttiva 2014/59/UE per quanto riguarda la capacità di assorbimento di perdite e di ricapitalizzazione degli enti creditizi e delle imprese di investimento e la direttiva 98/26/CE (termine di recepimento: 28 dicembre 2020);</w:t>
      </w:r>
    </w:p>
    <w:p w14:paraId="7656DD95"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16) direttiva (UE) 2019/882 del Parlamento europeo e del Consiglio, del 17 aprile 2019, sui requisiti di accessibilità dei prodotti e dei servizi (Testo rilevante ai fini del SEE) (termine di recepimento: 28 giugno 2022);</w:t>
      </w:r>
    </w:p>
    <w:p w14:paraId="7D7FA712"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17) direttiva (UE) 2019/883 del Parlamento europeo e del Consiglio, del 17 aprile 2019, relativa agli impianti portuali di raccolta per il conferimento dei rifiuti delle navi, che modifica la direttiva 2010/65/UE e abroga la direttiva 2000/59/CE (Testo rilevante ai fini del SEE) (termine di recepimento: 28 giugno 2021);</w:t>
      </w:r>
    </w:p>
    <w:p w14:paraId="253946D1" w14:textId="77777777" w:rsidR="008F1F46"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18) direttiva (UE) 2019/884 del Parlamento europeo e del Consiglio, del 17 aprile 2019, che modifica la decisione quadro 2009/315/GAI del Consiglio per quanto riguarda lo scambio di informazioni sui cittadini di paesi terzi e il sistema europeo di informazione sui casellari giudiziali (ECRIS), e che sostituisce la decisione 2009/316/GAI del Consiglio (termine di recepimento: 28 giugno 2022);</w:t>
      </w:r>
    </w:p>
    <w:p w14:paraId="215E7B59"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19) direttiva (UE) 2019/904 del Parlamento europeo e del Consiglio, del 5 giugno 2019, sulla riduzione dell'incidenza di determinati prodotti di plastica sull'ambiente (Testo rilevante ai fini del SEE) (termine di recepimento: 3 luglio 2021);</w:t>
      </w:r>
    </w:p>
    <w:p w14:paraId="40AEBA62"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20) direttiva (UE) 2019/944 del Parlamento europeo e del Consiglio, del 5 giugno 2019, relativa a norme comuni per il mercato interno dell'energia elettrica e che modifica la direttiva 2012/27/UE (rifusione) (Testo rilevante ai fini del SEE) (termini di recepimento: 25 ottobre 2020 per l'articolo 70, punto 4), e 31 dicembre 2020 per il resto della direttiva);</w:t>
      </w:r>
    </w:p>
    <w:p w14:paraId="0A310C29"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lastRenderedPageBreak/>
        <w:t>21) direttiva (UE) 2019/1023 del Parlamento europeo e del Consiglio, del 20 giugno 2019, riguardante i quadri di ristrutturazione preventiva, l'esdebitazione e le interdizioni, e le misure volte ad aumentare l'efficacia delle procedure di ristrutturazione, insolvenza ed esdebitazione, e che modifica la direttiva (UE) 2017/1132 (direttiva sulla ristrutturazione e sull'insolvenza) (Testo rilevante ai fini del SEE) (termine di recepimento: 17 luglio 2021);</w:t>
      </w:r>
    </w:p>
    <w:p w14:paraId="16AC2A1C"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22) direttiva (UE) 2019/1024 del Parlamento europeo e del Consiglio, del 20 giugno 2019, relativa all'apertura dei dati e al riutilizzo dell'informazione del settore pubblico (rifusione) (termine di recepimento: 17 luglio 2021);</w:t>
      </w:r>
    </w:p>
    <w:p w14:paraId="65D823E6"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23) direttiva (UE) 2019/1151 del Parlamento europeo e del Consiglio, del 20 giugno 2019, recante modifica della direttiva (UE) 2017/1132 per quanto concerne l'uso di strumenti e processi digitali nel diritto societario (Testo rilevante ai fini del SEE) (termine di recepimento: 1° agosto 2021);</w:t>
      </w:r>
    </w:p>
    <w:p w14:paraId="2FE62372"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24) direttiva (UE) 2019/1152 del Parlamento europeo e del Consiglio, del 20 giugno 2019, relativa a condizioni di lavoro trasparenti e prevedibili nell'Unione europea (termine di recepimento: 1° agosto 2022);</w:t>
      </w:r>
    </w:p>
    <w:p w14:paraId="2AEA8DAE"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25) direttiva (UE) 2019/1153 del Parlamento europeo e del Consiglio, del 20 giugno 2019, che reca disposizioni per agevolare l'uso di informazioni finanziarie e di altro tipo a fini di prevenzione, accertamento, indagine o perseguimento di determinati reati, e che abroga la decisione 2000/642/GAI del Consiglio (termine di recepimento: 1° agosto 2021);</w:t>
      </w:r>
    </w:p>
    <w:p w14:paraId="034A07B5"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26) direttiva (UE) 2019/1158 del Parlamento europeo e del Consiglio, del 20 giugno 2019, relativa all'equilibrio tra attività professionale e vita familiare per i genitori e i prestatori di assistenza e che abroga la direttiva 2010/18/UE del Consiglio (termine di recepimento: 2 agosto 2022);</w:t>
      </w:r>
    </w:p>
    <w:p w14:paraId="4A1666C5"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27) direttiva (UE) 2019/1159 del Parlamento europeo e del Consiglio, del 20 giugno 2019, recante modifica della direttiva 2008/106/CE concernente i requisiti minimi di formazione per la gente di mare e che abroga la direttiva 2005/45/CE riguardante il reciproco riconoscimento dei certificati rilasciati dagli Stati membri alla gente di mare (Testo rilevante ai fini del SEE) (termine di recepimento: 2 agosto 2021);</w:t>
      </w:r>
    </w:p>
    <w:p w14:paraId="5871805D"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28) direttiva (UE) 2019/1160 del Parlamento europeo e del Consiglio, del 20 giugno 2019, che modifica le direttive 2009/65/CE e 2011/61/UE per quanto riguarda la distribuzione transfrontaliera degli organismi di investimento collettivo (Testo rilevante ai fini del SEE) (termine di recepimento: 2 agosto 2021);</w:t>
      </w:r>
    </w:p>
    <w:p w14:paraId="155656BD"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29) direttiva (UE) 2019/1161 del Parlamento europeo e del Consiglio, del 20 giugno 2019, che modifica la direttiva 2009/33/CE relativa alla promozione di veicoli puliti e a basso consumo energetico nel trasporto su strada (Testo rilevante ai fini del SEE) (termine di recepimento: 2 agosto 2021)</w:t>
      </w:r>
    </w:p>
    <w:p w14:paraId="2C4A5A2B"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lastRenderedPageBreak/>
        <w:t>30) direttiva (UE) 2019/1936 del Parlamento europeo e del Consiglio, del 23 ottobre 2019, che modifica la direttiva 2008/96/CE sulla gestione della sicurezza delle infrastrutture stradali (termine di recepimento: 17 dicembre 2021);</w:t>
      </w:r>
    </w:p>
    <w:p w14:paraId="3B71DE5E"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31) direttiva (UE) 2019/1937 del Parlamento europeo e del Consiglio, del 23 ottobre 2019, riguardante la protezione delle persone che segnalano violazioni del diritto dell'Unione (termine di recepimento: 17 dicembre 2021);</w:t>
      </w:r>
    </w:p>
    <w:p w14:paraId="1A6C7F36"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32) direttiva (UE) 2019/1995 del Consiglio, del 21 novembre 2019, che modifica la direttiva 2006/112/CE del Consiglio del 28 novembre 2006 per quanto riguarda le disposizioni relative alle vendite a distanza di beni e a talune cessioni nazionali di beni (termine di recepimento: 31 dicembre 2020).</w:t>
      </w:r>
    </w:p>
    <w:p w14:paraId="4F5903E5"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33) direttiva (UE) 2019/2034 del Parlamento europeo e del Consiglio, del 27 novembre 2019, relativa alla vigilanza prudenziale sulle imprese di investimento e recante modifica delle direttive 2002/87/CE, 2009/65/CE, 2011/61/UE, 2013/36/UE, 2014/59/UE e 2014/65/UE (termini di recepimento: 26 marzo 2020, limitatamente all'articolo 64, punto 5, e 26 giugno 2021);</w:t>
      </w:r>
    </w:p>
    <w:p w14:paraId="24F75AC2"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34) direttiva (UE) 2019/2162 del Parlamento europeo e del Consiglio del 27 novembre 2019 relativa all'emissione di obbligazioni garantite e alla vigilanza pubblica delle obbligazioni garantite e che modifica la direttiva 2009/65/CE e la direttiva 2014/59/UE (termine di recepimento: 8 luglio 2021);</w:t>
      </w:r>
    </w:p>
    <w:p w14:paraId="406193E7" w14:textId="77777777" w:rsidR="008F1F46"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35) direttiva (UE) 2019/2235 del Consiglio, del 16 dicembre 2019, recante modifica della direttiva 2006/112/CE relativa al sistema comune d'imposta sul valore aggiunto e della direttiva 2008/118/CE relativa al regime generale delle accise per quanto riguarda gli sforzi di difesa nell'ambito dell'Unione (termine di recepimento: 30 giugno 2022);</w:t>
      </w:r>
    </w:p>
    <w:p w14:paraId="7A73CD12"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36) direttiva (UE) 2020/262 del Consiglio, del 19 dicembre 2019, che stabilisce il regime generale delle accise (rifusione) (termine di recepimento: 31 dicembre 2021);</w:t>
      </w:r>
    </w:p>
    <w:p w14:paraId="478F28AB" w14:textId="77777777" w:rsidR="009953E0" w:rsidRPr="009953E0"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37) direttiva (UE) 2020/284 del Consiglio, del 18 febbraio 2020, che modifica la direttiva 2006/112/CE per quanto riguarda l'introduzione di taluni obblighi per i prestatori di servizi di pagamento (termine di recepimento: 31 dicembre 2023);</w:t>
      </w:r>
    </w:p>
    <w:p w14:paraId="5A180F25" w14:textId="77777777" w:rsidR="00E874C7" w:rsidRDefault="009953E0"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9953E0">
        <w:rPr>
          <w:rFonts w:asciiTheme="minorHAnsi" w:eastAsia="Times New Roman" w:hAnsiTheme="minorHAnsi" w:cs="Times New Roman"/>
          <w:bCs/>
          <w:color w:val="000000" w:themeColor="text1"/>
          <w:sz w:val="24"/>
          <w:szCs w:val="24"/>
        </w:rPr>
        <w:t>38) direttiva (UE) 2020/285 del Consiglio, del 18 febbraio 2020, che modifica la direttiva 2006/112/CE relativa al sistema comune d'imposta sul valore aggiunto per quanto riguarda il regime speciale per le piccole imprese e il regolamento (UE) n. 904/2010 per quanto riguarda la cooperazione amministrativa e lo scambio di informazioni allo scopo di verificare la corretta applicazione del regime speciale per le piccole imprese (termine di recepimento: 31 dicembre 2024).</w:t>
      </w:r>
    </w:p>
    <w:p w14:paraId="6809F547" w14:textId="77777777" w:rsidR="008F1F46" w:rsidRDefault="008F1F46" w:rsidP="009953E0">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611381C7" w14:textId="77777777" w:rsidR="008F1F46" w:rsidRPr="008F1F46" w:rsidRDefault="008F1F46" w:rsidP="008F1F46">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lastRenderedPageBreak/>
        <w:t>Art. 2.</w:t>
      </w:r>
    </w:p>
    <w:p w14:paraId="44669917"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 xml:space="preserve"> (Delega al Governo per la disciplina sanzionatoria di violazioni di atti normativi dell'Unione europea)</w:t>
      </w:r>
    </w:p>
    <w:p w14:paraId="2F0BF37A"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1. Il Governo, fatte salve le norme penali vigenti, è delegato ad adottare, ai sensi dell'articolo 33 della citata legge n. 234 del 2012, e secondo i princìpi e i criteri direttivi dell'articolo 32, comma 1, lettera d), della medesima legge, entro due anni dalla data di entrata in vigore della presente legge, disposizioni recanti sanzioni penali o amministrative per le violazioni di obblighi contenuti in direttive europee recepite in via regolamentare o amministrativa, o in regolamenti dell'Unione europea pubblicati alla data dell'entrata in vigore della presente legge, per i quali non siano già previste sanzioni penali o amministrative.</w:t>
      </w:r>
    </w:p>
    <w:p w14:paraId="78886D47" w14:textId="77777777" w:rsidR="008F1F46" w:rsidRPr="008F1F46" w:rsidRDefault="008F1F46" w:rsidP="008F1F46">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Art. 3.</w:t>
      </w:r>
    </w:p>
    <w:p w14:paraId="24D53475" w14:textId="77777777" w:rsidR="008F1F46" w:rsidRPr="008F1F46" w:rsidRDefault="008F1F46" w:rsidP="008F1F46">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(Princìpi e criteri direttivi per l'attuazione della direttiva (UE) 2018/1808, recante modifica della direttiva 2010/13/UE, relativa al coordinamento di determinate disposizioni legislative, regolamentari e amministrative degli Stati membri concernenti la fornitura di servizi di media audiovisivi (direttiva sui servizi di media audiovisivi), in considerazione dell'evoluzione delle realtà del mercato)</w:t>
      </w:r>
    </w:p>
    <w:p w14:paraId="224A2321"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1. Nell'esercizio della delega per l'attuazione della direttiva (UE) 2018/1808 del Parlamento europeo e del Consiglio, del 14 novembre 2018, il Governo osserva, oltre ai princìpi e criteri direttivi generali di cui all'articolo 32 della legge n. 234 del 2012, anche i seguenti princìpi e criteri direttivi specifici:</w:t>
      </w:r>
    </w:p>
    <w:p w14:paraId="11326C6D"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a) riordinare le disposizioni del testo unico dei servizi di media audiovisivi e radiofonici, di cui al decreto legislativo 31 luglio 2005, n. 177, attraverso l'emanazione di un nuovo testo unico dei servizi di media digitali con adeguamento delle disposizioni e delle definizioni, comprese quelle relative ai servizi di media audiovisivi, radiofonici e ai servizi di piattaforma per la condivisione di video, alla luce dell'evoluzione tecnologica e di mercato;</w:t>
      </w:r>
    </w:p>
    <w:p w14:paraId="5676575B"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b) prevedere misure atte ad assicurare un'adeguata tutela della dignità umana e dei minori in relazione ai contenuti audiovisivi, ivi inclusi i video generati dagli utenti, e alle comunicazioni commerciali da parte delle piattaforme per la condivisione dei video, affidando i relativi compiti, anche di promozione di procedure di auto-regolamentazione e co-regolamentazione, all'Autorità per le garanzie nelle comunicazioni quale Autorità nazionale di regolamentazione di settore;</w:t>
      </w:r>
    </w:p>
    <w:p w14:paraId="15021C06"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c) prevedere specifiche misure a tutela dei consumatori di servizi di media audiovisivi, lineari e non lineari, anche mediante il ricorso a procedure di risoluzione extragiudiziale delle controversie e meccanismi di indennizzo in caso di disservizi, affidando la regolamentazione di tali procedure all'Autorità per le garanzie nelle comunicazioni;</w:t>
      </w:r>
    </w:p>
    <w:p w14:paraId="0CF9BD1E"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lastRenderedPageBreak/>
        <w:t>d) prevedere misure per la promozione delle opere europee, anche nei servizi di media audiovisivi a richiesta e anche attraverso una semplificazione e razionalizzazione delle misure attualmente vigenti, nonché specifiche misure per la promozione della trasparenza degli assetti proprietari dei fornitori dei servizi di cui alla lettera a);</w:t>
      </w:r>
    </w:p>
    <w:p w14:paraId="63D8DE72"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e) prevedere misure per l'adeguamento delle prescrizioni per le comunicazioni commerciali da applicare anche ai servizi di piattaforma per la condivisione di video e per la revisione dei limiti di affollamento pubblicitario secondo princìpi di flessibilità, proporzionalità e concorrenzialità;</w:t>
      </w:r>
    </w:p>
    <w:p w14:paraId="11DA9E3F"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f) prevedere apposite misure per il contenimento del livello sonoro delle comunicazioni commerciali e dei messaggi trasmessi dalle emittenti radiotelevisive pubbliche e private nonché dai fornitori di contenuti operanti su frequenze terrestri e via satellite, in accordo con le delibere dell'Autorità per le garanzie nelle comunicazioni;</w:t>
      </w:r>
    </w:p>
    <w:p w14:paraId="0AF5A0C5"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g) prevedere che i fornitori di servizi di media, comprese le piattaforme social, forniscano agli utenti informazioni sufficienti in merito a contenuti, anche pubblicitari, che possano nuocere allo sviluppo fisico, mentale o morale dei minori, ivi compreso il divieto di pubblicità relativa al gioco d'azzardo, prevedendo inoltre specifiche misure nei confronti di chi utilizza profili fittizi di soggetti inesistenti ovvero tramite l'appropriazione di identità altrui, al fine di alterare lo scambio di opinioni, per ingenerare allarmi o per trarre vantaggio dalla diffusione di notizie false;</w:t>
      </w:r>
    </w:p>
    <w:p w14:paraId="0C255CCB"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h) prevedere che i fornitori di servizi di media audiovisivi offrano informazioni adeguate sui contenuti che possano nuocere allo sviluppo fisico, mentale o morale dei minori, associandole ad una avvertenza acustica qualora i contenuti siano fruiti su dispositivi mobili;</w:t>
      </w:r>
    </w:p>
    <w:p w14:paraId="10658634"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i) garantire la tutela dei minori dai contenuti, anche pubblicitari, non appropriati che accompagnano programmi per bambini o vi sono inclusi, relativi a prodotti alimentari o bevande, anche alcoliche, che contengono sostanze nutritive e sostanze con un effetto nutrizionale o fisiologico, la cui assunzione eccessiva nella dieta generale non è raccomandata, nonché prevedere idonee misure, anche di promozione di procedure di auto-regolamentazione e di co-regolamentazione, tese a ridurre efficacemente l'esposizione dei bambini alle comunicazioni commerciali audiovisive per tali bevande e prodotti alimentari;</w:t>
      </w:r>
    </w:p>
    <w:p w14:paraId="21DA440C"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l) promuovere l'alfabetizzazione digitale da parte dei fornitori di servizi di media e dei fornitori di piattaforme di condivisione dei video;</w:t>
      </w:r>
    </w:p>
    <w:p w14:paraId="4D713AF4"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m) aggiornare i compiti dell'Autorità delle garanzie nelle comunicazioni, rafforzandone ulteriormente le prerogative di indipendenza;</w:t>
      </w:r>
    </w:p>
    <w:p w14:paraId="0BEF7E22" w14:textId="77777777" w:rsidR="008F1F46" w:rsidRP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lastRenderedPageBreak/>
        <w:t>n) aggiornare l'apparato sanzionatorio amministrativo già previsto dal testo unico dei servizi di media audiovisivi e radiofonici, di cui al decreto legislativo n. 177 del 2005, rispetto ai nuovi obblighi previsti dalla direttiva (UE) 2018/1808, sulla base dei princìpi di ragionevolezza, proporzionalità ed efficacia.</w:t>
      </w:r>
    </w:p>
    <w:p w14:paraId="7DC68982" w14:textId="77777777" w:rsidR="008F1F46" w:rsidRDefault="008F1F46" w:rsidP="008F1F4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8F1F46">
        <w:rPr>
          <w:rFonts w:asciiTheme="minorHAnsi" w:eastAsia="Times New Roman" w:hAnsiTheme="minorHAnsi" w:cs="Times New Roman"/>
          <w:bCs/>
          <w:color w:val="000000" w:themeColor="text1"/>
          <w:sz w:val="24"/>
          <w:szCs w:val="24"/>
        </w:rPr>
        <w:t>2. Dall'attuazione del presente articolo non devono derivare nuovi o maggiori oneri a carico della finanza pubblica. Le amministrazioni interessate provvedono all'adempimento dei compiti derivanti dall'esercizio della delega di cui al presente articolo con le risorse umane, strumentali e finanziarie disponibili a legislazione vigente.</w:t>
      </w:r>
    </w:p>
    <w:p w14:paraId="4496320B" w14:textId="77777777" w:rsidR="0051779D" w:rsidRPr="0051779D" w:rsidRDefault="0051779D" w:rsidP="0051779D">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Pr>
          <w:rFonts w:asciiTheme="minorHAnsi" w:eastAsia="Times New Roman" w:hAnsiTheme="minorHAnsi" w:cs="Times New Roman"/>
          <w:bCs/>
          <w:color w:val="000000" w:themeColor="text1"/>
          <w:sz w:val="24"/>
          <w:szCs w:val="24"/>
        </w:rPr>
        <w:t>A</w:t>
      </w:r>
      <w:r w:rsidRPr="0051779D">
        <w:rPr>
          <w:rFonts w:asciiTheme="minorHAnsi" w:eastAsia="Times New Roman" w:hAnsiTheme="minorHAnsi" w:cs="Times New Roman"/>
          <w:bCs/>
          <w:color w:val="000000" w:themeColor="text1"/>
          <w:sz w:val="24"/>
          <w:szCs w:val="24"/>
        </w:rPr>
        <w:t>rt. 4.</w:t>
      </w:r>
    </w:p>
    <w:p w14:paraId="510AA68A" w14:textId="77777777" w:rsidR="0051779D" w:rsidRPr="0051779D" w:rsidRDefault="0051779D" w:rsidP="0051779D">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(Princìpi e criteri direttivi per l'attuazione della direttiva (UE) 2018/1972, che istituisce il codice europeo delle comunicazioni elettroniche)</w:t>
      </w:r>
    </w:p>
    <w:p w14:paraId="20A3CE1B"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1. Nell'esercizio della delega per l'attuazione della direttiva (UE) 2018/1972 del Parlamento europeo e del Consiglio, dell'11 dicembre 2018, il Governo osserva, oltre ai princìpi e criteri direttivi generali di cui all'articolo 32 della legge n. 234 del 2012, anche i seguenti princìpi e criteri direttivi specifici:</w:t>
      </w:r>
    </w:p>
    <w:p w14:paraId="4726B0B5"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a) riordinare le disposizioni del codice delle comunicazioni elettroniche, di cui al decreto legislativo 1° agosto 2003, n. 259, attraverso l'adozione di un nuovo codice delle comunicazioni elettroniche per l'armonizzazione della normativa di settore, assicurando il necessario coordinamento tra le disposizioni oggetto di modifica o integrazione;</w:t>
      </w:r>
    </w:p>
    <w:p w14:paraId="3255F3DC"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b) prevedere l'assegnazione delle nuove competenze affidate all'Autorità per le garanzie nelle comunicazioni quale Autorità nazionale indipendente di regolamentazione del settore e alle altre autorità amministrative competenti, tra cui il Ministero dello sviluppo economico, nel rispetto del principio di stabilità dell'attuale riparto di competenze sancito dall'articolo 5 della direttiva (UE) 2018/1972;</w:t>
      </w:r>
    </w:p>
    <w:p w14:paraId="26790C2D"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 xml:space="preserve">c) introdurre misure di semplificazione per lo sviluppo della connettività e per potenziare gli investimenti in reti a banda </w:t>
      </w:r>
      <w:proofErr w:type="spellStart"/>
      <w:r w:rsidRPr="0051779D">
        <w:rPr>
          <w:rFonts w:asciiTheme="minorHAnsi" w:eastAsia="Times New Roman" w:hAnsiTheme="minorHAnsi" w:cs="Times New Roman"/>
          <w:bCs/>
          <w:color w:val="000000" w:themeColor="text1"/>
          <w:sz w:val="24"/>
          <w:szCs w:val="24"/>
        </w:rPr>
        <w:t>ultralarga</w:t>
      </w:r>
      <w:proofErr w:type="spellEnd"/>
      <w:r w:rsidRPr="0051779D">
        <w:rPr>
          <w:rFonts w:asciiTheme="minorHAnsi" w:eastAsia="Times New Roman" w:hAnsiTheme="minorHAnsi" w:cs="Times New Roman"/>
          <w:bCs/>
          <w:color w:val="000000" w:themeColor="text1"/>
          <w:sz w:val="24"/>
          <w:szCs w:val="24"/>
        </w:rPr>
        <w:t>, sia fisse che mobili, garantendo altresì l'accesso generalizzato delle reti ad altissima velocità e la loro ampia diffusione per tutti i cittadini, evitando zone bianche in assenza di copertura sul territorio nazionale, a prezzi accessibili e con possibilità di scelta adeguata, nonché introdurre una nozione di servizio universale che rispecchi il progresso tecnologico, l'evoluzione del mercato e della domanda degli utenti;</w:t>
      </w:r>
    </w:p>
    <w:p w14:paraId="0CD4D83E"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d) assicurare il rispetto dei princìpi di concorrenza e di certezza dei tempi nelle procedure di assegnazione e rinnovo dei diritti di uso delle frequenze radiomobili, così come previsto dall'articolo 48 della direttiva (UE) 2018/1972;</w:t>
      </w:r>
    </w:p>
    <w:p w14:paraId="5C787759"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lastRenderedPageBreak/>
        <w:t>e) definire un regime autorizzatorio, senza pregiudizio alla facoltà delle amministrazioni competenti di organizzare la gestione dello spettro radio e di usarlo per fini di ordine pubblico, pubblica sicurezza e difesa, per l'uso delle frequenze utilizzate dalle tecnologie per l'internet delle cose, come il Low Power Wide Area (LPWAN), nel rispetto del principio di proporzionalità, al fine di favorire lo sviluppo di progetti imprenditoriali innovativi;</w:t>
      </w:r>
    </w:p>
    <w:p w14:paraId="14876D59"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f) prevedere oneri amministrativi proporzionati, al fine di non ostacolare lo sviluppo delle attività dei prestatori di servizi;</w:t>
      </w:r>
    </w:p>
    <w:p w14:paraId="2A7AA4E8"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g) prevedere adeguate e specifiche misure per le imprese attive esclusivamente sul mercato all'ingrosso;</w:t>
      </w:r>
    </w:p>
    <w:p w14:paraId="3E152D40"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h) aggiornare i compiti dell'Autorità per le garanzie nelle comunicazioni, anche nell'ottica di rafforzarne le prerogative di indipendenza;</w:t>
      </w:r>
    </w:p>
    <w:p w14:paraId="4D75C957"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i) provvedere alla revisione dell'apparato sanzionatorio amministrativo e penale, già previsto dal codice delle comunicazioni elettroniche, di cui al citato decreto legislativo n. 259 del 2003;</w:t>
      </w:r>
    </w:p>
    <w:p w14:paraId="3AB9E752"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l) provvedere a integrare le limitazioni fatte salve dalla direttiva (UE) 2018/1972 per fini di ordine pubblico, pubblica sicurezza e difesa, includendo le esigenze della sicurezza dello Stato, secondo quanto già previsto dal codice delle comunicazioni elettroniche, di cui al citato decreto legislativo n. 259 del 2003.</w:t>
      </w:r>
    </w:p>
    <w:p w14:paraId="08EC1108" w14:textId="77777777" w:rsidR="008F1F46"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m) provvedere ad annoverare le ricerche di mercato, sociali e di opinione tra le ricerche scientifiche e storiche a fini statistici, nel rispetto delle diverse finalità che le medesime perseguono, essendo orientate alla ricerca del dato, all'aggregazione delle opinioni e all'espletamento dei sondaggi e non alla promozione e commercializzazione di beni e servizi come nelle televendite e nel telemarketing.</w:t>
      </w:r>
    </w:p>
    <w:p w14:paraId="63560405" w14:textId="77777777" w:rsid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75E522C8" w14:textId="77777777" w:rsidR="0051779D" w:rsidRPr="0051779D" w:rsidRDefault="0051779D" w:rsidP="0051779D">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Art. 5.</w:t>
      </w:r>
    </w:p>
    <w:p w14:paraId="7274533B" w14:textId="77777777" w:rsidR="0051779D" w:rsidRPr="0051779D" w:rsidRDefault="0051779D" w:rsidP="0051779D">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(Princìpi e criteri direttivi per l'attuazione della direttiva (UE) 2018/2001, sulla promozione dell'uso dell'energia da fonti rinnovabili)</w:t>
      </w:r>
    </w:p>
    <w:p w14:paraId="73A9F2F2"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1. Nell'esercizio della delega per l'attuazione della direttiva (UE) 2018/2001 del Parlamento europeo e del Consiglio, dell'11 dicembre 2018, il Governo osserva, oltre ai princìpi e criteri direttivi generali di cui all'articolo 32 della legge n. 234 del 2012, anche i seguenti princìpi e criteri direttivi specifici:</w:t>
      </w:r>
    </w:p>
    <w:p w14:paraId="59DA1923"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 xml:space="preserve">a) prevedere, previa intesa con la Conferenza unificata ai sensi dell'articolo 3 del decreto legislativo 28 agosto 1997, n. 281, su proposta del Ministero dello sviluppo economico, di concerto con il Ministero dell'ambiente e della tutela del territorio e del mare e con il Ministero per i beni e le attività culturali e per il turismo, al fine del concreto raggiungimento degli obiettivi indicati nel Piano nazionale integrato </w:t>
      </w:r>
      <w:r w:rsidRPr="0051779D">
        <w:rPr>
          <w:rFonts w:asciiTheme="minorHAnsi" w:eastAsia="Times New Roman" w:hAnsiTheme="minorHAnsi" w:cs="Times New Roman"/>
          <w:bCs/>
          <w:color w:val="000000" w:themeColor="text1"/>
          <w:sz w:val="24"/>
          <w:szCs w:val="24"/>
        </w:rPr>
        <w:lastRenderedPageBreak/>
        <w:t>per l'energia e il clima, una disciplina per l'individuazione delle superfici e delle aree idonee e non idonee per l'installazione di impianti a fonti rinnovabili nel rispetto delle esigenze di tutela del patrimonio culturale e del paesaggio, delle aree agricole e forestali, della qualità dell'aria e dei corpi idrici, nonché delle specifiche competenze dei Ministeri per i beni e le attività culturali e per il turismo, delle politiche agricole alimentari e forestali e dell'ambiente e della tutela del territorio e del mare, privilegiando l'utilizzo di superfici di strutture edificate, quali capannoni industriali e parcheggi, e aree non utilizzabili per altri scopi, compatibilmente con le caratteristiche e le disponibilità delle risorse rinnovabili, delle infrastrutture di rete e della domanda elettrica, nonché tenendo in considerazione la dislocazione della domanda, gli eventuali vincoli di rete e il potenziale di sviluppo della rete stessa. A tal fine sono osservati, in particolare, i seguenti indirizzi:</w:t>
      </w:r>
    </w:p>
    <w:p w14:paraId="1F032ADC"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1) la disciplina è volta a definire criteri per l'individuazione di aree idonee all'installazione di impianti a fonti rinnovabili aventi una potenza complessiva almeno pari a quella individuata come necessaria dal Piano nazionale integrato per l'energia e il clima (PNIEC) per il raggiungimento degli obiettivi di sviluppo delle fonti rinnovabili. A tal fine, la disciplina reca inoltre criteri per la ripartizione fra regioni e province autonome;</w:t>
      </w:r>
    </w:p>
    <w:p w14:paraId="578FF6EA"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 xml:space="preserve">2) il processo programmatorio di individuazione delle aree idonee è effettuato da ciascuna regione o provincia autonoma in attuazione della disciplina di cui al numero 1), entro </w:t>
      </w:r>
      <w:r w:rsidRPr="00B1101B">
        <w:rPr>
          <w:rFonts w:asciiTheme="minorHAnsi" w:eastAsia="Times New Roman" w:hAnsiTheme="minorHAnsi" w:cs="Times New Roman"/>
          <w:bCs/>
          <w:strike/>
          <w:color w:val="000000" w:themeColor="text1"/>
          <w:sz w:val="24"/>
          <w:szCs w:val="24"/>
          <w:highlight w:val="yellow"/>
        </w:rPr>
        <w:t>un termine massimo congruente con i tempi necessari per il raggiungimento degli obiettivi</w:t>
      </w:r>
      <w:r w:rsidR="00B1101B">
        <w:rPr>
          <w:rFonts w:asciiTheme="minorHAnsi" w:eastAsia="Times New Roman" w:hAnsiTheme="minorHAnsi" w:cs="Times New Roman"/>
          <w:bCs/>
          <w:color w:val="000000" w:themeColor="text1"/>
          <w:sz w:val="24"/>
          <w:szCs w:val="24"/>
        </w:rPr>
        <w:t xml:space="preserve"> </w:t>
      </w:r>
      <w:r w:rsidR="00B1101B" w:rsidRPr="00B1101B">
        <w:rPr>
          <w:rFonts w:asciiTheme="minorHAnsi" w:eastAsia="Times New Roman" w:hAnsiTheme="minorHAnsi" w:cs="Times New Roman"/>
          <w:b/>
          <w:color w:val="000000" w:themeColor="text1"/>
          <w:sz w:val="24"/>
          <w:szCs w:val="24"/>
        </w:rPr>
        <w:t>sei mesi</w:t>
      </w:r>
      <w:r w:rsidR="00CE4F73">
        <w:rPr>
          <w:rStyle w:val="Rimandonotaapidipagina"/>
          <w:rFonts w:asciiTheme="minorHAnsi" w:eastAsia="Times New Roman" w:hAnsiTheme="minorHAnsi" w:cs="Times New Roman"/>
          <w:b/>
          <w:color w:val="000000" w:themeColor="text1"/>
          <w:sz w:val="24"/>
          <w:szCs w:val="24"/>
        </w:rPr>
        <w:footnoteReference w:id="1"/>
      </w:r>
      <w:r w:rsidRPr="0051779D">
        <w:rPr>
          <w:rFonts w:asciiTheme="minorHAnsi" w:eastAsia="Times New Roman" w:hAnsiTheme="minorHAnsi" w:cs="Times New Roman"/>
          <w:bCs/>
          <w:color w:val="000000" w:themeColor="text1"/>
          <w:sz w:val="24"/>
          <w:szCs w:val="24"/>
        </w:rPr>
        <w:t>. Nel caso di mancata adozione, è prevista l'applicazione dell'articolo 41 della legge 24 dicembre 2012, n. 234;</w:t>
      </w:r>
    </w:p>
    <w:p w14:paraId="4900434D" w14:textId="77777777" w:rsid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strike/>
          <w:color w:val="000000" w:themeColor="text1"/>
          <w:sz w:val="24"/>
          <w:szCs w:val="24"/>
        </w:rPr>
      </w:pPr>
      <w:r w:rsidRPr="002A406B">
        <w:rPr>
          <w:rFonts w:asciiTheme="minorHAnsi" w:eastAsia="Times New Roman" w:hAnsiTheme="minorHAnsi" w:cs="Times New Roman"/>
          <w:bCs/>
          <w:strike/>
          <w:color w:val="000000" w:themeColor="text1"/>
          <w:sz w:val="24"/>
          <w:szCs w:val="24"/>
          <w:highlight w:val="yellow"/>
        </w:rPr>
        <w:t>b) prevedere che, nell'individuazione delle superfici e delle aree idonee e non idonee per l'installazione di impianti a fonti rinnovabili di cui alla lettera a), le discariche e i lotti di discarica chiusi e ripristinati, nonché le aree, anche comprese nei siti di interesse nazionale, per le quali sia stata rilasciata la certificazione di avvenuta bonifica ai sensi dell'articolo 242, comma 13, del decreto legislativo 3 aprile 2006, n. 152, ovvero per le quali risulti chiuso il procedimento di cui all'articolo 242, comma 2, del medesimo decreto legislativo, possano essere destinati all'installazione dei predetti impianti, a condizione che essi non ricadano in aree a elevato valore naturalistico e paesaggistico previste dalla Strategia nazionale per la biodiversità, adottata nell'ambito degli impegni assunti dall'Italia con la ratifica della Convenzione sulla biodiversità, di cui alla legge 14 febbraio 1994, n. 124;</w:t>
      </w:r>
    </w:p>
    <w:p w14:paraId="2A22C813" w14:textId="77777777" w:rsidR="002A406B" w:rsidRPr="002A406B" w:rsidRDefault="002A406B" w:rsidP="0051779D">
      <w:pPr>
        <w:shd w:val="clear" w:color="auto" w:fill="FFFFFF"/>
        <w:spacing w:before="100" w:beforeAutospacing="1" w:after="100" w:afterAutospacing="1" w:line="240" w:lineRule="auto"/>
        <w:jc w:val="both"/>
        <w:rPr>
          <w:rFonts w:asciiTheme="minorHAnsi" w:eastAsia="Times New Roman" w:hAnsiTheme="minorHAnsi" w:cs="Times New Roman"/>
          <w:bCs/>
          <w:strike/>
          <w:color w:val="000000" w:themeColor="text1"/>
          <w:sz w:val="24"/>
          <w:szCs w:val="24"/>
        </w:rPr>
      </w:pPr>
      <w:r w:rsidRPr="002A406B">
        <w:rPr>
          <w:rFonts w:asciiTheme="minorHAnsi" w:eastAsia="Times New Roman" w:hAnsiTheme="minorHAnsi" w:cs="Times New Roman"/>
          <w:b/>
          <w:color w:val="000000" w:themeColor="text1"/>
          <w:sz w:val="24"/>
          <w:szCs w:val="24"/>
        </w:rPr>
        <w:t xml:space="preserve">b) prevedere che, nell'individuazione delle superfici e delle aree idonee e non idonee per l'installazione di impianti a fonti rinnovabili di cui alla lettera a), siano rispettati i principi della minimizzazione degli impatti sull'ambiente, sul territorio e sul paesaggio, fermo restando il vincolo del raggiungimento degli </w:t>
      </w:r>
      <w:r w:rsidRPr="002A406B">
        <w:rPr>
          <w:rFonts w:asciiTheme="minorHAnsi" w:eastAsia="Times New Roman" w:hAnsiTheme="minorHAnsi" w:cs="Times New Roman"/>
          <w:b/>
          <w:color w:val="000000" w:themeColor="text1"/>
          <w:sz w:val="24"/>
          <w:szCs w:val="24"/>
        </w:rPr>
        <w:lastRenderedPageBreak/>
        <w:t>obiettivi di decarbonizzazione al 2030 e tenendo conto della sostenibilità dei costi correlati al raggiungimento di tale obiettivo;</w:t>
      </w:r>
    </w:p>
    <w:p w14:paraId="13625859" w14:textId="77777777" w:rsidR="0051779D" w:rsidRPr="002A406B"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strike/>
          <w:color w:val="000000" w:themeColor="text1"/>
          <w:sz w:val="24"/>
          <w:szCs w:val="24"/>
        </w:rPr>
      </w:pPr>
      <w:r w:rsidRPr="002A406B">
        <w:rPr>
          <w:rFonts w:asciiTheme="minorHAnsi" w:eastAsia="Times New Roman" w:hAnsiTheme="minorHAnsi" w:cs="Times New Roman"/>
          <w:bCs/>
          <w:strike/>
          <w:color w:val="000000" w:themeColor="text1"/>
          <w:sz w:val="24"/>
          <w:szCs w:val="24"/>
          <w:highlight w:val="yellow"/>
        </w:rPr>
        <w:t>c) prevedere che il comma 1 dell'articolo 65 del decreto-legge 24 gennaio 2012, n. 1, convertito, con modificazioni, dalla legge 24 marzo 2012, n. 27, non si applichi agli impianti solari fotovoltaici realizzati e da realizzare su discariche e lotti di discarica chiusi e ripristinati, cave non suscettibili di ulteriore sfruttamento estrattivo per le quali l'autorità competente al rilascio dell'autorizzazione abbia attestato l'avvenuto completamento delle attività di recupero e ripristino ambientale previste nel titolo autorizzativo nel rispetto delle norme regionali vigenti, nonché su aree, anche comprese nei siti di interesse nazionale, per le quali sia stata rilasciata la certificazione di avvenuta bonifica ai sensi dell'articolo 242, comma 13, del decreto legislativo 3 aprile 2006, n. 152, ovvero per le quali risulti chiuso il procedimento di cui all'articolo 242, comma 2, del medesimo decreto legislativo;</w:t>
      </w:r>
      <w:r w:rsidR="008A5034">
        <w:rPr>
          <w:rStyle w:val="Rimandonotaapidipagina"/>
          <w:rFonts w:asciiTheme="minorHAnsi" w:eastAsia="Times New Roman" w:hAnsiTheme="minorHAnsi" w:cs="Times New Roman"/>
          <w:bCs/>
          <w:strike/>
          <w:color w:val="000000" w:themeColor="text1"/>
          <w:sz w:val="24"/>
          <w:szCs w:val="24"/>
          <w:highlight w:val="yellow"/>
        </w:rPr>
        <w:footnoteReference w:id="2"/>
      </w:r>
    </w:p>
    <w:p w14:paraId="3EE400D6" w14:textId="77777777" w:rsid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d) individuare procedure abilitative semplificate, proporzionate alla tipologia di interventi e alla loro localizzazione, secondo un principio di sussidiarietà verticale, per l'installazione degli impianti nelle aree e siti individuati ai sensi delle lettere a) e r), riducendo altresì i termini dei procedimenti autorizzativi e per l'assegnazione di incentivi e razionalizzandoli rispetto ai termini dei procedimenti per la connessione alla rete elettrica;</w:t>
      </w:r>
    </w:p>
    <w:p w14:paraId="4C00D58D"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e) individuare procedure abilitative semplificate per gli interventi, diversi dalla mera sostituzione di componenti principali che non è sottoposta ad alcuna autorizzazione, di rifacimento totale e parziale, riattivazione, integrale ricostruzione e potenziamento di impianti a fonti rinnovabili già esistenti, razionalizzando altresì i termini dei procedimenti autorizzativi e per l'assegnazione di incentivi;</w:t>
      </w:r>
    </w:p>
    <w:p w14:paraId="570D6AD2"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f) riordinare e semplificare la normativa vigente in materia di configurazioni per l'autoconsumo, ivi incluse quelle inerenti ai sistemi efficienti di utenza e allo scambio sul posto, con l'obiettivo di favorire la realizzazione di tutti i sistemi di autoconsumo, anche collettivi, da fonti rinnovabili, con conseguente minore utilizzo della rete elettrica derivante da sistemi di generazione diffusa;</w:t>
      </w:r>
    </w:p>
    <w:p w14:paraId="38C7EA02"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g) prevedere meccanismi per il monitoraggio degli effetti della diffusione dell'autoconsumo, anche ai fini dell'aggiornamento delle modalità di imposizione e raccolta delle componenti tariffarie a copertura degli oneri generali di sistema, valutando il trasferimento alla fiscalità generale degli oneri non direttamente connessi ad obiettivi di sviluppo ambientalmente sostenibile o di contrasto alla povertà energetica;</w:t>
      </w:r>
    </w:p>
    <w:p w14:paraId="686921E5"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 xml:space="preserve">h) prevedere misure volte a favorire e promuovere la progressiva installazione di impianti di produzione di energia da fonti rinnovabili negli edifici esistenti, anche mediante il riordino delle misure vigenti e </w:t>
      </w:r>
      <w:r w:rsidRPr="0051779D">
        <w:rPr>
          <w:rFonts w:asciiTheme="minorHAnsi" w:eastAsia="Times New Roman" w:hAnsiTheme="minorHAnsi" w:cs="Times New Roman"/>
          <w:bCs/>
          <w:color w:val="000000" w:themeColor="text1"/>
          <w:sz w:val="24"/>
          <w:szCs w:val="24"/>
        </w:rPr>
        <w:lastRenderedPageBreak/>
        <w:t>l'introduzione di meccanismi d'obbligo, fatti salvi i vincoli paesaggistici e i limiti imposti dalla tipologia dell'edificio;</w:t>
      </w:r>
    </w:p>
    <w:p w14:paraId="24463FDC"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i) individuare misure incentivanti per la promozione delle comunità di energia rinnovabile volte a favorire la partecipazione delle comunità locali alla realizzazione degli impianti, valorizzando la rete elettrica esistente e massimizzando l'utilizzo locale della relativa produzione energetica, con conseguente minore utilizzo della rete elettrica derivante da sistemi di generazione diffusa, fatta salva l'applicazione degli oneri generali di sistema sull'energia prelevata dalla rete pubblica dai clienti finali e su quella prodotta e condivisa utilizzando la rete di distribuzione esistente. A tal fine, prevedere che agli impianti a fonti rinnovabili inseriti nelle configurazioni di autoconsumo collettivo e nelle comunità dell'energia sia garantito un accesso paritario e non discriminatorio a tutti i pertinenti regimi di sostegno di natura normativa o regolatoria, con particolare riguardo ai meccanismi di valorizzazione dell'autoconsumo e ai meccanismi di riconoscimento dei costi evitati per il sistema elettrico che tale autoconsumo comporta, evitando comunque effetti distorsivi sul mercato</w:t>
      </w:r>
      <w:r w:rsidR="008A5034">
        <w:rPr>
          <w:rFonts w:asciiTheme="minorHAnsi" w:eastAsia="Times New Roman" w:hAnsiTheme="minorHAnsi" w:cs="Times New Roman"/>
          <w:bCs/>
          <w:color w:val="000000" w:themeColor="text1"/>
          <w:sz w:val="24"/>
          <w:szCs w:val="24"/>
        </w:rPr>
        <w:t xml:space="preserve"> </w:t>
      </w:r>
      <w:r w:rsidR="008A5034" w:rsidRPr="008A5034">
        <w:rPr>
          <w:rFonts w:asciiTheme="minorHAnsi" w:eastAsia="Times New Roman" w:hAnsiTheme="minorHAnsi" w:cs="Times New Roman"/>
          <w:b/>
          <w:color w:val="000000" w:themeColor="text1"/>
          <w:sz w:val="24"/>
          <w:szCs w:val="24"/>
        </w:rPr>
        <w:t xml:space="preserve">e prevedendo meccanismi semplificati secondo cui la quota di energia condivisa, in quanto </w:t>
      </w:r>
      <w:proofErr w:type="spellStart"/>
      <w:r w:rsidR="008A5034" w:rsidRPr="008A5034">
        <w:rPr>
          <w:rFonts w:asciiTheme="minorHAnsi" w:eastAsia="Times New Roman" w:hAnsiTheme="minorHAnsi" w:cs="Times New Roman"/>
          <w:b/>
          <w:color w:val="000000" w:themeColor="text1"/>
          <w:sz w:val="24"/>
          <w:szCs w:val="24"/>
        </w:rPr>
        <w:t>autoconsumata</w:t>
      </w:r>
      <w:proofErr w:type="spellEnd"/>
      <w:r w:rsidR="008A5034" w:rsidRPr="008A5034">
        <w:rPr>
          <w:rFonts w:asciiTheme="minorHAnsi" w:eastAsia="Times New Roman" w:hAnsiTheme="minorHAnsi" w:cs="Times New Roman"/>
          <w:b/>
          <w:color w:val="000000" w:themeColor="text1"/>
          <w:sz w:val="24"/>
          <w:szCs w:val="24"/>
        </w:rPr>
        <w:t xml:space="preserve"> localmente, sia scorporata a priori e non rientri fra le voci oggetto di fornitura da parte dei venditori terzi</w:t>
      </w:r>
      <w:r w:rsidR="008A5034">
        <w:rPr>
          <w:rStyle w:val="Rimandonotaapidipagina"/>
          <w:rFonts w:asciiTheme="minorHAnsi" w:eastAsia="Times New Roman" w:hAnsiTheme="minorHAnsi" w:cs="Times New Roman"/>
          <w:b/>
          <w:color w:val="000000" w:themeColor="text1"/>
          <w:sz w:val="24"/>
          <w:szCs w:val="24"/>
        </w:rPr>
        <w:footnoteReference w:id="3"/>
      </w:r>
      <w:r w:rsidRPr="0051779D">
        <w:rPr>
          <w:rFonts w:asciiTheme="minorHAnsi" w:eastAsia="Times New Roman" w:hAnsiTheme="minorHAnsi" w:cs="Times New Roman"/>
          <w:bCs/>
          <w:color w:val="000000" w:themeColor="text1"/>
          <w:sz w:val="24"/>
          <w:szCs w:val="24"/>
        </w:rPr>
        <w:t>;</w:t>
      </w:r>
    </w:p>
    <w:p w14:paraId="360CA374"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l) prevedere misure per agevolare il massimo utilizzo dell'energia producibile da fonti rinnovabili, anche favorendo la diffusione e l'uso di sistemi di accumulo dell'energia, compresi i veicoli elettrici, anche attraverso un iter autorizzativo semplificato, e le connesse esigenze di ricerca e sviluppo, tenendo conto del principio di neutralità tecnologica;</w:t>
      </w:r>
    </w:p>
    <w:p w14:paraId="1DE76C63"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m) incoraggiare la ricerca per la riduzione della quantità e della pericolosità dei rifiuti prodotti durante il ciclo di produzione dei sistemi di accumulo dell'energia, in particolare attraverso la sostituzione di sostanze nocive e materie prime critiche con altre meno impattanti, per allungare la vita utile in condizione di massimo rendimento dei sistemi di accumulo e per facilitarne il riciclaggio una volta giunti a fine vita;</w:t>
      </w:r>
    </w:p>
    <w:p w14:paraId="5235E43C"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 xml:space="preserve">n) introdurre misure per l'utilizzo energetico di biomasse legnose, nel quadro della gestione forestale sostenibile e della silvicoltura a turno di taglio breve (short </w:t>
      </w:r>
      <w:proofErr w:type="spellStart"/>
      <w:r w:rsidRPr="0051779D">
        <w:rPr>
          <w:rFonts w:asciiTheme="minorHAnsi" w:eastAsia="Times New Roman" w:hAnsiTheme="minorHAnsi" w:cs="Times New Roman"/>
          <w:bCs/>
          <w:color w:val="000000" w:themeColor="text1"/>
          <w:sz w:val="24"/>
          <w:szCs w:val="24"/>
        </w:rPr>
        <w:t>rotation</w:t>
      </w:r>
      <w:proofErr w:type="spellEnd"/>
      <w:r w:rsidRPr="0051779D">
        <w:rPr>
          <w:rFonts w:asciiTheme="minorHAnsi" w:eastAsia="Times New Roman" w:hAnsiTheme="minorHAnsi" w:cs="Times New Roman"/>
          <w:bCs/>
          <w:color w:val="000000" w:themeColor="text1"/>
          <w:sz w:val="24"/>
          <w:szCs w:val="24"/>
        </w:rPr>
        <w:t xml:space="preserve"> </w:t>
      </w:r>
      <w:proofErr w:type="spellStart"/>
      <w:r w:rsidRPr="0051779D">
        <w:rPr>
          <w:rFonts w:asciiTheme="minorHAnsi" w:eastAsia="Times New Roman" w:hAnsiTheme="minorHAnsi" w:cs="Times New Roman"/>
          <w:bCs/>
          <w:color w:val="000000" w:themeColor="text1"/>
          <w:sz w:val="24"/>
          <w:szCs w:val="24"/>
        </w:rPr>
        <w:t>forestry</w:t>
      </w:r>
      <w:proofErr w:type="spellEnd"/>
      <w:r w:rsidRPr="0051779D">
        <w:rPr>
          <w:rFonts w:asciiTheme="minorHAnsi" w:eastAsia="Times New Roman" w:hAnsiTheme="minorHAnsi" w:cs="Times New Roman"/>
          <w:bCs/>
          <w:color w:val="000000" w:themeColor="text1"/>
          <w:sz w:val="24"/>
          <w:szCs w:val="24"/>
        </w:rPr>
        <w:t>), in coerenza con le previsioni europee sull'utilizzo a cascata, in particolare sui princìpi di sostenibilità, uso efficiente delle risorse, circolarità in tutti i flussi e in ogni fase e sussidiarietà, e con le esigenze ambientali di cui alla lettera q), considerando anche le opportunità derivanti dalle biomasse residuali industriali;</w:t>
      </w:r>
    </w:p>
    <w:p w14:paraId="7881BC91"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lastRenderedPageBreak/>
        <w:t>o) favorire lo sviluppo dei biocarburanti ai fini del raggiungimento degli obiettivi delle fonti rinnovabili nel settore dei trasporti, nel rispetto dei criteri di sostenibilità di cui all'articolo 29 della direttiva (UE) 2018/2001;</w:t>
      </w:r>
    </w:p>
    <w:p w14:paraId="242C00A9"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p) prevedere misure di incentivazione per la trasformazione ad uso plurimo di invasi, traverse e dighe esistenti, sia grandi, sia piccole, promuovendone, ove compatibile con gli ecosistemi, con la pianificazione energetica e con gli altri usi, anche l'utilizzo energetico, purché siano rispettati gli standard di sicurezza geomorfologica;</w:t>
      </w:r>
    </w:p>
    <w:p w14:paraId="47222225"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 xml:space="preserve">q) aggiornare e potenziare i meccanismi di sostegno alle fonti rinnovabili, ivi inclusi gli interventi a favore dello sviluppo tecnologico e industriale, di cui al decreto legislativo 3 marzo 2011, n. 28, in coerenza con le diverse esigenze di tutela ambientale, con semplificazione della gestione degli impianti di piccola taglia, valorizzando l'energia prodotta da biogas per la trasformazione in biometano o in </w:t>
      </w:r>
      <w:proofErr w:type="spellStart"/>
      <w:r w:rsidRPr="0051779D">
        <w:rPr>
          <w:rFonts w:asciiTheme="minorHAnsi" w:eastAsia="Times New Roman" w:hAnsiTheme="minorHAnsi" w:cs="Times New Roman"/>
          <w:bCs/>
          <w:color w:val="000000" w:themeColor="text1"/>
          <w:sz w:val="24"/>
          <w:szCs w:val="24"/>
        </w:rPr>
        <w:t>digestato</w:t>
      </w:r>
      <w:proofErr w:type="spellEnd"/>
      <w:r w:rsidRPr="0051779D">
        <w:rPr>
          <w:rFonts w:asciiTheme="minorHAnsi" w:eastAsia="Times New Roman" w:hAnsiTheme="minorHAnsi" w:cs="Times New Roman"/>
          <w:bCs/>
          <w:color w:val="000000" w:themeColor="text1"/>
          <w:sz w:val="24"/>
          <w:szCs w:val="24"/>
        </w:rPr>
        <w:t xml:space="preserve"> equiparato ai sensi del decreto del Ministro delle politiche agricole alimentari e forestali 25 febbraio 2016, pubblicato nel supplemento ordinario alla Gazzetta Ufficiale n. 90 del 18 aprile 2016, e in coordinamento con le disposizioni agevolative per l'autoconsumo, prevedendo la sostituzione di impianti obsoleti e incentivando quelli tecnologicamente avanzati per la riduzione dei gas di scarico e dei particolati inquinanti, promuovendo la realizzazione di impianti fotovoltaici su edifici esistenti, anche al fine della completa rimozione dell'eternit o dell'amianto. Prevedere inoltre che l'aggiornamento e il potenziamento dei meccanismi di incentivazione tengano conto dei seguenti indirizzi:</w:t>
      </w:r>
    </w:p>
    <w:p w14:paraId="0384BB9D"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1) i meccanismi devono promuovere l'accoppiamento delle fonti rinnovabili non programmabili con sistemi di accumulo di energia, in modo da consentire una maggiore programmabilità delle fonti;</w:t>
      </w:r>
    </w:p>
    <w:p w14:paraId="161E252B"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2) il meccanismo dello scambio sul posto sia soppresso, prevedendo meccanismi di tutela degli investimenti già avviati e introducendo nuovi meccanismi volti a premiare l'autoconsumo istantaneo nonché la condivisione dell'energia nell'ambito di configurazioni di autoconsumo multiplo quali l'autoconsumo collettivo e le comunità dell'energia;</w:t>
      </w:r>
    </w:p>
    <w:p w14:paraId="1D849FC4"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r) promuovere l'utilizzo delle risorse rinnovabili disponibili in mare, previa identificazione delle aree idonee e la razionalizzazione dei procedimenti di rilascio delle concessioni demaniali e delle autorizzazioni, nel rispetto delle esigenze di tutela dell'ecosistema marino e costiero, del patrimonio culturale e del paesaggio, privilegiando, ove possibile, l'utilizzo delle piattaforme petrolifere in disuso;</w:t>
      </w:r>
    </w:p>
    <w:p w14:paraId="03F1DE13"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s) semplificare e stimolare il ricorso a strumenti, aggiuntivi ai meccanismi di incentivazione economica, per incrementare il consumo di energia da fonti rinnovabili, ivi inclusi gli accordi di compravendita di energia elettrica da fonti rinnovabili a lungo termine;</w:t>
      </w:r>
    </w:p>
    <w:p w14:paraId="70E13765"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t) introdurre misure per la razionalizzazione, la valorizzazione e l'incremento della produzione del parco di impianti a fonti rinnovabili esistente;</w:t>
      </w:r>
    </w:p>
    <w:p w14:paraId="0B171C40"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lastRenderedPageBreak/>
        <w:t>u) aggiornare, potenziare e introdurre meccanismi di sostegno per la produzione di biometano, biocarburanti avanzati, carburanti derivanti dal carbonio riciclato e idrogeno, per contribuire efficacemente alla decarbonizzazione di tutte le forme di trasporto, in funzione delle emissioni nell'intero ciclo di vita dei vettori energetici e dei veicoli che li utilizzano;</w:t>
      </w:r>
    </w:p>
    <w:p w14:paraId="10A36EC9" w14:textId="77777777" w:rsid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v) prevedere disposizioni volte all'introduzione di misure per lo sviluppo dei biocarburanti avanzati per favorire la decarbonizzazione nel settore dell'aviazione, anche mediante specifiche forme di incentivazione;</w:t>
      </w:r>
    </w:p>
    <w:p w14:paraId="68DDDCF3" w14:textId="77777777" w:rsidR="008A5034" w:rsidRPr="008A5034" w:rsidRDefault="008A5034" w:rsidP="008A5034">
      <w:pPr>
        <w:shd w:val="clear" w:color="auto" w:fill="FFFFFF"/>
        <w:spacing w:before="100" w:beforeAutospacing="1" w:after="100" w:afterAutospacing="1" w:line="240" w:lineRule="auto"/>
        <w:jc w:val="both"/>
        <w:rPr>
          <w:rFonts w:asciiTheme="minorHAnsi" w:eastAsia="Times New Roman" w:hAnsiTheme="minorHAnsi" w:cs="Times New Roman"/>
          <w:b/>
          <w:color w:val="000000" w:themeColor="text1"/>
          <w:sz w:val="24"/>
          <w:szCs w:val="24"/>
        </w:rPr>
      </w:pPr>
      <w:r w:rsidRPr="008A5034">
        <w:rPr>
          <w:rFonts w:asciiTheme="minorHAnsi" w:eastAsia="Times New Roman" w:hAnsiTheme="minorHAnsi" w:cs="Times New Roman"/>
          <w:b/>
          <w:color w:val="000000" w:themeColor="text1"/>
          <w:sz w:val="24"/>
          <w:szCs w:val="24"/>
        </w:rPr>
        <w:t xml:space="preserve"> v-bis) introdurre misure per la promozione dell'utilizzo di energia elettrica rinnovabile per la ricarica di veicoli elettrici, al fine di contribuire al raggiungimento dei target di penetrazione di decarbonizzazione del settore dei trasporti;</w:t>
      </w:r>
    </w:p>
    <w:p w14:paraId="22723E81" w14:textId="77777777" w:rsidR="008A5034" w:rsidRDefault="008A5034" w:rsidP="0051779D">
      <w:pPr>
        <w:shd w:val="clear" w:color="auto" w:fill="FFFFFF"/>
        <w:spacing w:before="100" w:beforeAutospacing="1" w:after="100" w:afterAutospacing="1" w:line="240" w:lineRule="auto"/>
        <w:jc w:val="both"/>
        <w:rPr>
          <w:rFonts w:asciiTheme="minorHAnsi" w:eastAsia="Times New Roman" w:hAnsiTheme="minorHAnsi" w:cs="Times New Roman"/>
          <w:b/>
          <w:color w:val="000000" w:themeColor="text1"/>
          <w:sz w:val="24"/>
          <w:szCs w:val="24"/>
        </w:rPr>
      </w:pPr>
      <w:r w:rsidRPr="008A5034">
        <w:rPr>
          <w:rFonts w:asciiTheme="minorHAnsi" w:eastAsia="Times New Roman" w:hAnsiTheme="minorHAnsi" w:cs="Times New Roman"/>
          <w:b/>
          <w:color w:val="000000" w:themeColor="text1"/>
          <w:sz w:val="24"/>
          <w:szCs w:val="24"/>
        </w:rPr>
        <w:t>v-ter) introdurre misure di semplificazione per la costruzione e l'esercizio delle infrastrutture di ricarica di veicoli elettrici, al fine di supportare il raggiungimento degli obiettivi di diffusione dei veicoli elettrici previsti dal Piano nazionale integrato energia e clima, anche coordinando e integrando le disposizioni di cui all'articolo 57 del decreto-legge 16 luglio 2020, n. 76, convertito con modificazioni, con legge 11 settembre 2020, n. 120;</w:t>
      </w:r>
      <w:r>
        <w:rPr>
          <w:rStyle w:val="Rimandonotaapidipagina"/>
          <w:rFonts w:asciiTheme="minorHAnsi" w:eastAsia="Times New Roman" w:hAnsiTheme="minorHAnsi" w:cs="Times New Roman"/>
          <w:b/>
          <w:color w:val="000000" w:themeColor="text1"/>
          <w:sz w:val="24"/>
          <w:szCs w:val="24"/>
        </w:rPr>
        <w:footnoteReference w:id="4"/>
      </w:r>
    </w:p>
    <w:p w14:paraId="13D4A7BE"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z) semplificare e accelerare il processo di recepimento degli aggiornamenti all'allegato IX della direttiva (UE) 2018/2001 relativo alle materie prime idonee alla produzione di biometano e biocarburanti avanzati al fine di incrementarne lo sviluppo in senso inclusivo, prevedendo che il recepimento degli aggiornamenti sia adottato con decreto del Ministro dello sviluppo economico, di concerto con il Ministro dell'ambiente e della tutela del territorio e del mare;</w:t>
      </w:r>
    </w:p>
    <w:p w14:paraId="6033E56F"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aa) prevedere, al fine di favorire il contributo dei biocarburanti avanzati prodotti a partire dalle materie prime elencate all'allegato IX, parte A, della direttiva (UE) 2018/2001, come quota finale nel settore dei trasporti, un approccio tecnologicamente neutro, evitando la promozione di specifiche fonti di energia rinnovabile, anche alla luce dello stato di sviluppo tecnologico;</w:t>
      </w:r>
    </w:p>
    <w:p w14:paraId="41F5C31E"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roofErr w:type="spellStart"/>
      <w:r w:rsidRPr="0051779D">
        <w:rPr>
          <w:rFonts w:asciiTheme="minorHAnsi" w:eastAsia="Times New Roman" w:hAnsiTheme="minorHAnsi" w:cs="Times New Roman"/>
          <w:bCs/>
          <w:color w:val="000000" w:themeColor="text1"/>
          <w:sz w:val="24"/>
          <w:szCs w:val="24"/>
        </w:rPr>
        <w:t>bb</w:t>
      </w:r>
      <w:proofErr w:type="spellEnd"/>
      <w:r w:rsidRPr="0051779D">
        <w:rPr>
          <w:rFonts w:asciiTheme="minorHAnsi" w:eastAsia="Times New Roman" w:hAnsiTheme="minorHAnsi" w:cs="Times New Roman"/>
          <w:bCs/>
          <w:color w:val="000000" w:themeColor="text1"/>
          <w:sz w:val="24"/>
          <w:szCs w:val="24"/>
        </w:rPr>
        <w:t>) promuovere l'impiego di idrogeno verde nell'industria siderurgica e chimica, volto a soddisfare gli impieghi industriali che necessitano di intensità energetiche molto elevate che non possono essere soddisfatte dalla produzione di energia da fonti rinnovabili;</w:t>
      </w:r>
    </w:p>
    <w:p w14:paraId="0C4B300A" w14:textId="77777777" w:rsidR="0051779D" w:rsidRP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51779D">
        <w:rPr>
          <w:rFonts w:asciiTheme="minorHAnsi" w:eastAsia="Times New Roman" w:hAnsiTheme="minorHAnsi" w:cs="Times New Roman"/>
          <w:bCs/>
          <w:color w:val="000000" w:themeColor="text1"/>
          <w:sz w:val="24"/>
          <w:szCs w:val="24"/>
        </w:rPr>
        <w:t xml:space="preserve">cc) riordinare e semplificare la normativa vigente in materia di procedure di qualificazione degli installatori di impianti a fonti rinnovabili, prevedendo che detta qualificazione professionale, ai sensi </w:t>
      </w:r>
      <w:r w:rsidRPr="0051779D">
        <w:rPr>
          <w:rFonts w:asciiTheme="minorHAnsi" w:eastAsia="Times New Roman" w:hAnsiTheme="minorHAnsi" w:cs="Times New Roman"/>
          <w:bCs/>
          <w:color w:val="000000" w:themeColor="text1"/>
          <w:sz w:val="24"/>
          <w:szCs w:val="24"/>
        </w:rPr>
        <w:lastRenderedPageBreak/>
        <w:t>dell'articolo 18 della direttiva (UE) 2018/2001, sia conseguita con il possesso di almeno uno dei requisiti tecnico-professionali di cui all'articolo 4, comma 1, lettere da a) a d), del regolamento di cui al decreto del Ministro dello sviluppo economico 22 gennaio 2008, n. 37;</w:t>
      </w:r>
    </w:p>
    <w:p w14:paraId="3B7EB6D1" w14:textId="77777777" w:rsidR="0051779D" w:rsidRDefault="0051779D" w:rsidP="0051779D">
      <w:pPr>
        <w:shd w:val="clear" w:color="auto" w:fill="FFFFFF"/>
        <w:spacing w:before="100" w:beforeAutospacing="1" w:after="100" w:afterAutospacing="1" w:line="240" w:lineRule="auto"/>
        <w:jc w:val="both"/>
        <w:rPr>
          <w:rFonts w:asciiTheme="minorHAnsi" w:eastAsia="Times New Roman" w:hAnsiTheme="minorHAnsi" w:cs="Times New Roman"/>
          <w:bCs/>
          <w:strike/>
          <w:color w:val="000000" w:themeColor="text1"/>
          <w:sz w:val="24"/>
          <w:szCs w:val="24"/>
        </w:rPr>
      </w:pPr>
      <w:proofErr w:type="spellStart"/>
      <w:r w:rsidRPr="00C8378B">
        <w:rPr>
          <w:rFonts w:asciiTheme="minorHAnsi" w:eastAsia="Times New Roman" w:hAnsiTheme="minorHAnsi" w:cs="Times New Roman"/>
          <w:bCs/>
          <w:strike/>
          <w:color w:val="000000" w:themeColor="text1"/>
          <w:sz w:val="24"/>
          <w:szCs w:val="24"/>
          <w:highlight w:val="yellow"/>
        </w:rPr>
        <w:t>dd</w:t>
      </w:r>
      <w:proofErr w:type="spellEnd"/>
      <w:r w:rsidRPr="00C8378B">
        <w:rPr>
          <w:rFonts w:asciiTheme="minorHAnsi" w:eastAsia="Times New Roman" w:hAnsiTheme="minorHAnsi" w:cs="Times New Roman"/>
          <w:bCs/>
          <w:strike/>
          <w:color w:val="000000" w:themeColor="text1"/>
          <w:sz w:val="24"/>
          <w:szCs w:val="24"/>
          <w:highlight w:val="yellow"/>
        </w:rPr>
        <w:t>) ai sensi del regolamento delegato (UE) 2019/807 della Commissione, del 13 marzo 2019, prevedere la graduale esclusione dell'olio di palma, a partire dal 1° gennaio 2024, da completare entro il 31 dicembre 2030, dagli obblighi di miscelazione al combustibile diesel e dalla produzione elettrica rinnovabile, nonché dal relativo conteggio delle fonti rinnovabili e dai sussidi di mercato, in ragione delle evidenze sugli impatti causati in termini di deforestazione.</w:t>
      </w:r>
    </w:p>
    <w:p w14:paraId="073838D6" w14:textId="77777777" w:rsidR="00C8378B" w:rsidRPr="00C8378B" w:rsidRDefault="00C8378B" w:rsidP="00C8378B">
      <w:pPr>
        <w:shd w:val="clear" w:color="auto" w:fill="FFFFFF"/>
        <w:spacing w:before="100" w:beforeAutospacing="1" w:after="100" w:afterAutospacing="1" w:line="240" w:lineRule="auto"/>
        <w:jc w:val="both"/>
        <w:rPr>
          <w:rFonts w:asciiTheme="minorHAnsi" w:eastAsia="Times New Roman" w:hAnsiTheme="minorHAnsi" w:cs="Times New Roman"/>
          <w:b/>
          <w:color w:val="000000" w:themeColor="text1"/>
          <w:sz w:val="24"/>
          <w:szCs w:val="24"/>
        </w:rPr>
      </w:pPr>
      <w:proofErr w:type="spellStart"/>
      <w:r w:rsidRPr="00C8378B">
        <w:rPr>
          <w:rFonts w:asciiTheme="minorHAnsi" w:eastAsia="Times New Roman" w:hAnsiTheme="minorHAnsi" w:cs="Times New Roman"/>
          <w:b/>
          <w:color w:val="000000" w:themeColor="text1"/>
          <w:sz w:val="24"/>
          <w:szCs w:val="24"/>
        </w:rPr>
        <w:t>dd</w:t>
      </w:r>
      <w:proofErr w:type="spellEnd"/>
      <w:r w:rsidRPr="00C8378B">
        <w:rPr>
          <w:rFonts w:asciiTheme="minorHAnsi" w:eastAsia="Times New Roman" w:hAnsiTheme="minorHAnsi" w:cs="Times New Roman"/>
          <w:b/>
          <w:color w:val="000000" w:themeColor="text1"/>
          <w:sz w:val="24"/>
          <w:szCs w:val="24"/>
        </w:rPr>
        <w:t>) a partire dal 1° gennaio 2023, escludere dagli obblighi di miscelazione al combustibile diesel e dalla produzione elettrica rinnovabile, così come dal relativo conteggio delle fonti rinnovabili e dai sussidi di mercato (CIC, ex CV o TO), le seguenti materie prime in ragione delle evidenze sugli impatti causati in termini di deforestazione:</w:t>
      </w:r>
    </w:p>
    <w:p w14:paraId="12E9131B" w14:textId="77777777" w:rsidR="00C8378B" w:rsidRPr="00C8378B" w:rsidRDefault="00C8378B" w:rsidP="00C8378B">
      <w:pPr>
        <w:shd w:val="clear" w:color="auto" w:fill="FFFFFF"/>
        <w:spacing w:before="100" w:beforeAutospacing="1" w:after="100" w:afterAutospacing="1" w:line="240" w:lineRule="auto"/>
        <w:jc w:val="both"/>
        <w:rPr>
          <w:rFonts w:asciiTheme="minorHAnsi" w:eastAsia="Times New Roman" w:hAnsiTheme="minorHAnsi" w:cs="Times New Roman"/>
          <w:b/>
          <w:color w:val="000000" w:themeColor="text1"/>
          <w:sz w:val="24"/>
          <w:szCs w:val="24"/>
        </w:rPr>
      </w:pPr>
      <w:r w:rsidRPr="00C8378B">
        <w:rPr>
          <w:rFonts w:asciiTheme="minorHAnsi" w:eastAsia="Times New Roman" w:hAnsiTheme="minorHAnsi" w:cs="Times New Roman"/>
          <w:b/>
          <w:color w:val="000000" w:themeColor="text1"/>
          <w:sz w:val="24"/>
          <w:szCs w:val="24"/>
        </w:rPr>
        <w:t>a) olio di palma, fasci di frutti di olio di palma vuoti, acidi grassi derivanti dal trattamento dei frutti di palma da olio (PFAD);</w:t>
      </w:r>
    </w:p>
    <w:p w14:paraId="128EB07A" w14:textId="77777777" w:rsidR="00C8378B" w:rsidRDefault="00C8378B" w:rsidP="00C8378B">
      <w:pPr>
        <w:shd w:val="clear" w:color="auto" w:fill="FFFFFF"/>
        <w:spacing w:before="100" w:beforeAutospacing="1" w:after="100" w:afterAutospacing="1" w:line="240" w:lineRule="auto"/>
        <w:jc w:val="both"/>
        <w:rPr>
          <w:rFonts w:asciiTheme="minorHAnsi" w:eastAsia="Times New Roman" w:hAnsiTheme="minorHAnsi" w:cs="Times New Roman"/>
          <w:b/>
          <w:color w:val="000000" w:themeColor="text1"/>
          <w:sz w:val="24"/>
          <w:szCs w:val="24"/>
        </w:rPr>
      </w:pPr>
      <w:r w:rsidRPr="00C8378B">
        <w:rPr>
          <w:rFonts w:asciiTheme="minorHAnsi" w:eastAsia="Times New Roman" w:hAnsiTheme="minorHAnsi" w:cs="Times New Roman"/>
          <w:b/>
          <w:color w:val="000000" w:themeColor="text1"/>
          <w:sz w:val="24"/>
          <w:szCs w:val="24"/>
        </w:rPr>
        <w:t>b) olio di soia e acidi grassi derivanti dal trattamento della soia di importazione.</w:t>
      </w:r>
      <w:r>
        <w:rPr>
          <w:rStyle w:val="Rimandonotaapidipagina"/>
          <w:rFonts w:asciiTheme="minorHAnsi" w:eastAsia="Times New Roman" w:hAnsiTheme="minorHAnsi" w:cs="Times New Roman"/>
          <w:b/>
          <w:color w:val="000000" w:themeColor="text1"/>
          <w:sz w:val="24"/>
          <w:szCs w:val="24"/>
        </w:rPr>
        <w:footnoteReference w:id="5"/>
      </w:r>
    </w:p>
    <w:p w14:paraId="0714FE9B" w14:textId="77777777" w:rsidR="007C093F" w:rsidRDefault="007C093F" w:rsidP="00C8378B">
      <w:pPr>
        <w:shd w:val="clear" w:color="auto" w:fill="FFFFFF"/>
        <w:spacing w:before="100" w:beforeAutospacing="1" w:after="100" w:afterAutospacing="1" w:line="240" w:lineRule="auto"/>
        <w:jc w:val="both"/>
        <w:rPr>
          <w:rFonts w:asciiTheme="minorHAnsi" w:eastAsia="Times New Roman" w:hAnsiTheme="minorHAnsi" w:cs="Times New Roman"/>
          <w:b/>
          <w:color w:val="000000" w:themeColor="text1"/>
          <w:sz w:val="24"/>
          <w:szCs w:val="24"/>
        </w:rPr>
      </w:pPr>
    </w:p>
    <w:p w14:paraId="4B784252" w14:textId="77777777" w:rsidR="007C093F" w:rsidRPr="007C093F" w:rsidRDefault="007C093F" w:rsidP="007C093F">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7C093F">
        <w:rPr>
          <w:rFonts w:asciiTheme="minorHAnsi" w:eastAsia="Times New Roman" w:hAnsiTheme="minorHAnsi" w:cs="Times New Roman"/>
          <w:bCs/>
          <w:color w:val="000000" w:themeColor="text1"/>
          <w:sz w:val="24"/>
          <w:szCs w:val="24"/>
        </w:rPr>
        <w:t>Art. 6.</w:t>
      </w:r>
    </w:p>
    <w:p w14:paraId="5F951E9A" w14:textId="77777777" w:rsidR="007C093F" w:rsidRPr="007C093F" w:rsidRDefault="007C093F" w:rsidP="007C093F">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7C093F">
        <w:rPr>
          <w:rFonts w:asciiTheme="minorHAnsi" w:eastAsia="Times New Roman" w:hAnsiTheme="minorHAnsi" w:cs="Times New Roman"/>
          <w:bCs/>
          <w:color w:val="000000" w:themeColor="text1"/>
          <w:sz w:val="24"/>
          <w:szCs w:val="24"/>
        </w:rPr>
        <w:t xml:space="preserve"> (Princìpi e criteri direttivi per l'attuazione della direttiva (UE) 2019/1, che conferisce alle autorità garanti della concorrenza degli Stati membri poteri di applicazione più efficace e che assicura il corretto funzionamento del mercato interno)</w:t>
      </w:r>
    </w:p>
    <w:p w14:paraId="76C3D97A" w14:textId="77777777" w:rsidR="007C093F" w:rsidRPr="007C093F" w:rsidRDefault="007C093F" w:rsidP="007C093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7C093F">
        <w:rPr>
          <w:rFonts w:asciiTheme="minorHAnsi" w:eastAsia="Times New Roman" w:hAnsiTheme="minorHAnsi" w:cs="Times New Roman"/>
          <w:bCs/>
          <w:color w:val="000000" w:themeColor="text1"/>
          <w:sz w:val="24"/>
          <w:szCs w:val="24"/>
        </w:rPr>
        <w:t>1. Nell'esercizio della delega per l'attuazione della direttiva (UE) 2019/1 del Parlamento europeo e del Consiglio, dell'11 dicembre 2018, il Governo osserva, oltre ai princìpi e criteri direttivi generali di cui all'articolo 32 della legge n. 234 del 2012, anche i seguenti princìpi e criteri direttivi specifici:</w:t>
      </w:r>
    </w:p>
    <w:p w14:paraId="527B0DDD" w14:textId="77777777" w:rsidR="007C093F" w:rsidRPr="007C093F" w:rsidRDefault="007C093F" w:rsidP="007C093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7C093F">
        <w:rPr>
          <w:rFonts w:asciiTheme="minorHAnsi" w:eastAsia="Times New Roman" w:hAnsiTheme="minorHAnsi" w:cs="Times New Roman"/>
          <w:bCs/>
          <w:color w:val="000000" w:themeColor="text1"/>
          <w:sz w:val="24"/>
          <w:szCs w:val="24"/>
        </w:rPr>
        <w:t>a) apportare alla normativa vigente le modifiche e le integrazioni necessarie al coordinamento ordinamentale e, in particolare, alla disciplina nazionale in materia di tutela della concorrenza e del mercato di cui alla legge 10 ottobre 1990, n. 287;</w:t>
      </w:r>
    </w:p>
    <w:p w14:paraId="55CFAA88" w14:textId="77777777" w:rsidR="007C093F" w:rsidRPr="007C093F" w:rsidRDefault="007C093F" w:rsidP="007C093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7C093F">
        <w:rPr>
          <w:rFonts w:asciiTheme="minorHAnsi" w:eastAsia="Times New Roman" w:hAnsiTheme="minorHAnsi" w:cs="Times New Roman"/>
          <w:bCs/>
          <w:color w:val="000000" w:themeColor="text1"/>
          <w:sz w:val="24"/>
          <w:szCs w:val="24"/>
        </w:rPr>
        <w:lastRenderedPageBreak/>
        <w:t>b) stabilire che i poteri investigativi e decisori di cui ai capi IV, V e VI della direttiva (UE) 2019/1 siano esercitati dall'Autorità garante della concorrenza e del mercato anche in relazione alle fattispecie di esclusivo rilievo nazionale, cui si applicano gli articoli 2 e 3 della legge n. 287 del 1990;</w:t>
      </w:r>
    </w:p>
    <w:p w14:paraId="1ACDF5AE" w14:textId="77777777" w:rsidR="007C093F" w:rsidRPr="007C093F" w:rsidRDefault="007C093F" w:rsidP="007C093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7C093F">
        <w:rPr>
          <w:rFonts w:asciiTheme="minorHAnsi" w:eastAsia="Times New Roman" w:hAnsiTheme="minorHAnsi" w:cs="Times New Roman"/>
          <w:bCs/>
          <w:color w:val="000000" w:themeColor="text1"/>
          <w:sz w:val="24"/>
          <w:szCs w:val="24"/>
        </w:rPr>
        <w:t>c) apportare alla legge n. 287 del 1990 le modifiche necessarie a consentire all'Autorità garante della concorrenza e del mercato di irrogare sanzioni e penalità di mora efficaci, proporzionate e deterrenti alle imprese che non ottemperino alle decisioni dell'Autorità o non si conformino all'esercizio dei suoi poteri istruttori, in linea con le sanzioni irrogate dalla Commissione per analoghe infrazioni ai sensi degli articoli 23 e 24 del regolamento (CE) n. 1/2003 del Consiglio, del 16 dicembre 2002;</w:t>
      </w:r>
    </w:p>
    <w:p w14:paraId="6A56D89E" w14:textId="77777777" w:rsidR="007C093F" w:rsidRPr="007C093F" w:rsidRDefault="007C093F" w:rsidP="007C093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7C093F">
        <w:rPr>
          <w:rFonts w:asciiTheme="minorHAnsi" w:eastAsia="Times New Roman" w:hAnsiTheme="minorHAnsi" w:cs="Times New Roman"/>
          <w:bCs/>
          <w:color w:val="000000" w:themeColor="text1"/>
          <w:sz w:val="24"/>
          <w:szCs w:val="24"/>
        </w:rPr>
        <w:t>d) prevedere che l'Autorità garante della concorrenza e del mercato possa irrogare, nei limiti edittali fissati dall'articolo 32 della legge n. 234 del 2012, sanzioni e penalità di mora efficaci, proporzionate e deterrenti alle persone fisiche che non adempiano alle richieste di informazioni e alla convocazione in audizione da parte dell'Autorità ovvero si sottraggano alle ispezioni domiciliari o le ostacolino;</w:t>
      </w:r>
    </w:p>
    <w:p w14:paraId="20C11F62" w14:textId="77777777" w:rsidR="007C093F" w:rsidRPr="007C093F" w:rsidRDefault="007C093F" w:rsidP="007C093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2BDDC15A" w14:textId="77777777" w:rsidR="007C093F" w:rsidRPr="006968E2" w:rsidRDefault="007C093F" w:rsidP="007C093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968E2">
        <w:rPr>
          <w:rFonts w:asciiTheme="minorHAnsi" w:eastAsia="Times New Roman" w:hAnsiTheme="minorHAnsi" w:cs="Times New Roman"/>
          <w:bCs/>
          <w:color w:val="000000" w:themeColor="text1"/>
          <w:sz w:val="24"/>
          <w:szCs w:val="24"/>
        </w:rPr>
        <w:t>e) disporre che il termine di prescrizione per l'irrogazione della sanzione da parte dell'Autorità sia interrotto dagli eventi di cui all'articolo 29, paragrafo 1, della direttiva (UE) 2019/1 e che, in analogia con quanto previsto dal regolamento (CE) n. 1/2003, la prescrizione operi comunque alla scadenza del termine doppio di quello originariamente previsto, fatte salve le cause di sospensione di cui al medesimo articolo 29, paragrafo 2;</w:t>
      </w:r>
    </w:p>
    <w:p w14:paraId="754F6FDC" w14:textId="77777777" w:rsidR="007C093F" w:rsidRPr="006968E2" w:rsidRDefault="007C093F" w:rsidP="007C093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968E2">
        <w:rPr>
          <w:rFonts w:asciiTheme="minorHAnsi" w:eastAsia="Times New Roman" w:hAnsiTheme="minorHAnsi" w:cs="Times New Roman"/>
          <w:bCs/>
          <w:color w:val="000000" w:themeColor="text1"/>
          <w:sz w:val="24"/>
          <w:szCs w:val="24"/>
        </w:rPr>
        <w:t xml:space="preserve">f) prevedere che l'Autorità garante della concorrenza e del mercato disponga di personale e risorse adeguate </w:t>
      </w:r>
      <w:proofErr w:type="gramStart"/>
      <w:r w:rsidRPr="006968E2">
        <w:rPr>
          <w:rFonts w:asciiTheme="minorHAnsi" w:eastAsia="Times New Roman" w:hAnsiTheme="minorHAnsi" w:cs="Times New Roman"/>
          <w:bCs/>
          <w:color w:val="000000" w:themeColor="text1"/>
          <w:sz w:val="24"/>
          <w:szCs w:val="24"/>
        </w:rPr>
        <w:t>per lo</w:t>
      </w:r>
      <w:proofErr w:type="gramEnd"/>
      <w:r w:rsidRPr="006968E2">
        <w:rPr>
          <w:rFonts w:asciiTheme="minorHAnsi" w:eastAsia="Times New Roman" w:hAnsiTheme="minorHAnsi" w:cs="Times New Roman"/>
          <w:bCs/>
          <w:color w:val="000000" w:themeColor="text1"/>
          <w:sz w:val="24"/>
          <w:szCs w:val="24"/>
        </w:rPr>
        <w:t xml:space="preserve"> svolgimento dei maggiori compiti previsti.</w:t>
      </w:r>
    </w:p>
    <w:p w14:paraId="038346C8" w14:textId="77777777" w:rsidR="007C093F" w:rsidRDefault="007C093F" w:rsidP="007C093F">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6968E2">
        <w:rPr>
          <w:rFonts w:asciiTheme="minorHAnsi" w:eastAsia="Times New Roman" w:hAnsiTheme="minorHAnsi" w:cs="Times New Roman"/>
          <w:bCs/>
          <w:color w:val="000000" w:themeColor="text1"/>
          <w:sz w:val="24"/>
          <w:szCs w:val="24"/>
        </w:rPr>
        <w:t>2. Dall'attuazione del presente articolo non devono derivare nuovi o maggiori oneri a carico del bilancio dello Stato e l'Autorità garante della concorrenza e del mercato provvede all'adempimento dei compiti derivanti dall'esercizio della delega di cui al presente articolo nei limiti delle proprie disponibilità finanziarie.</w:t>
      </w:r>
    </w:p>
    <w:p w14:paraId="5E3F23DF" w14:textId="77777777" w:rsidR="001427AC" w:rsidRDefault="001427AC" w:rsidP="001427AC">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p>
    <w:p w14:paraId="37500B36" w14:textId="77777777" w:rsidR="001427AC" w:rsidRPr="001427AC" w:rsidRDefault="001427AC" w:rsidP="001427AC">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Art. 7.</w:t>
      </w:r>
    </w:p>
    <w:p w14:paraId="14CAF15C" w14:textId="77777777" w:rsidR="001427AC" w:rsidRPr="001427AC" w:rsidRDefault="001427AC" w:rsidP="001427AC">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(Princìpi e criteri direttivi per l'attuazione della direttiva (UE) 2019/633, in materia di pratiche commerciali sleali nei rapporti tra imprese nella filiera agricola e alimentare)</w:t>
      </w:r>
    </w:p>
    <w:p w14:paraId="489A08A0"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lastRenderedPageBreak/>
        <w:t>1. Nell'esercizio della delega per l'attuazione della direttiva (UE) 2019/633 del Parlamento europeo e del Consiglio, del 17 aprile 2019, il Governo osserva, oltre ai princìpi e criteri direttivi generali di cui all'articolo 32 della legge n. 234 del 2012, anche i seguenti princìpi e criteri direttivi specifici:</w:t>
      </w:r>
    </w:p>
    <w:p w14:paraId="5849B06D"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a) adottare le occorrenti modificazioni e integrazioni alla normativa vigente in merito alla commercializzazione dei prodotti agricoli e alimentari, in particolare con riferimento all'articolo 62 del decreto-legge 24 gennaio 2012, n. 1, convertito, con modificazioni, dalla legge 24 marzo 2012, n. 27, e all'articolo 78, commi 2-bis, 2-ter e 2-quater, del decreto-legge 17 marzo 2020, n. 18, convertito, con modificazioni, dalla legge 24 aprile 2020, n. 27, razionalizzando e rafforzando il quadro giuridico esistente nella direzione di una maggiore tutela degli operatori delle filiere agricole e alimentari rispetto alla problematica delle pratiche sleali, ferma restando l'applicazione della disciplina a tutte le cessioni di prodotti agricoli e agroalimentari, indipendentemente dal fatturato aziendale;</w:t>
      </w:r>
    </w:p>
    <w:p w14:paraId="1E021852"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b) mantenere e ulteriormente definire i princìpi generali di buone pratiche commerciali di trasparenza, buona fede, correttezza, proporzionalità e reciproca corrispettività delle prestazioni a cui gli acquirenti di prodotti agricoli e alimentari debbano attenersi prima, durante e dopo l'instaurazione della relazione commerciale;</w:t>
      </w:r>
    </w:p>
    <w:p w14:paraId="516BC9A5"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c) coordinare la normativa vigente in materia di termini di pagamento del corrispettivo, di cui all'articolo 62 del decreto-legge n. 1 del 2012, convertito, con modificazioni, dalla legge n. 27 del 2012, con le previsioni relative alla fatturazione elettronica;</w:t>
      </w:r>
    </w:p>
    <w:p w14:paraId="2F23A033"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d) prevedere che i contratti di cessione dei prodotti agricoli e alimentari, ad eccezione di quelli conclusi con il consumatore e delle cessioni con contestuale consegna e pagamento del prezzo pattuito, siano stipulati obbligatoriamente in forma scritta e prima della consegna;</w:t>
      </w:r>
    </w:p>
    <w:p w14:paraId="04C59587"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e) salvaguardare la specificità dei rapporti intercorrenti tra imprenditore agricolo e cooperativa agricola di cui è socio per il prodotto conferito, avuto riguardo sia alla materia dei termini di pagamento sia alla forma scritta del contratto;</w:t>
      </w:r>
    </w:p>
    <w:p w14:paraId="2B061D15"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f) confermare che i princìpi della direttiva (UE) 2019/633, compreso il divieto previsto con riferimento ai termini di pagamento per i prodotti deperibili dall'articolo 3, paragrafo 1, lettera a), della medesima direttiva, si applicano anche alle pubbliche amministrazioni e che, in ogni caso, alle amministrazioni del settore scolastico e sanitario, quando debitrici in una transazione commerciale, seppur escluse dall'applicazione del citato articolo 3, paragrafo 1, lettera a), si applica quanto previsto dall'articolo 4, comma 4, del decreto legislativo 9 ottobre 2002, n. 231, ai sensi del quale nelle transazioni commerciali in cui il debitore è una pubblica amministrazione le parti possono pattuire, purché in modo espresso, un termine per il pagamento non superiore a sessanta giorni;</w:t>
      </w:r>
    </w:p>
    <w:p w14:paraId="24967B95"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lastRenderedPageBreak/>
        <w:t>g) confermare che l'obbligo della forma scritta dei contratti di cessione dei prodotti agricoli e alimentari non possa essere assolto esclusivamente mediante forme equipollenti secondo le disposizioni vigenti, definendo in modo puntuale le condizioni di applicazione;</w:t>
      </w:r>
    </w:p>
    <w:p w14:paraId="3C0FCB83"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h) prevedere, ai sensi dell'articolo 9, paragrafo 1, della direttiva (UE) 2019/633, tra le pratiche commerciali sleali vietate le vendite dei prodotti agricoli e alimentari attraverso il ricorso a gare e aste elettroniche a doppio ribasso, nonché la vendita di prodotti agricoli e alimentari realizzata ad un livello tale che determini condizioni contrattuali eccessivamente gravose, ivi compresa quella di vendere a prezzi palesemente al di sotto dei costi di produzione, definendo in modo puntuale condizioni e ambiti di applicazione, nonché i limiti di utilizzabilità del commercio elettronico;</w:t>
      </w:r>
    </w:p>
    <w:p w14:paraId="44FF25E6"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i) garantire la tutela dell'anonimato delle denunce relative alle pratiche sleali, che possono provenire da singoli operatori, da singole imprese o da associazioni e organismi di rappresentanza delle imprese della filiera agro-alimentare;</w:t>
      </w:r>
    </w:p>
    <w:p w14:paraId="0B5DC312"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l) prevedere la possibilità di ricorrere a meccanismi di mediazione o di risoluzione alternativa delle controversie tra le parti, al fine di facilitare la risoluzione delle controversie senza dover forzatamente ricorrere ad una denuncia, ai sensi di quanto disposto dall'articolo 7 della direttiva (UE) 2019/633;</w:t>
      </w:r>
    </w:p>
    <w:p w14:paraId="27114D33"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m) introdurre sanzioni efficaci, proporzionate e dissuasive ai sensi dell'articolo 6, paragrafo 1, secondo comma, della direttiva (UE) 2019/633, entro il limite massimo del 10 per cento del fatturato realizzato nell'ultimo esercizio precedente all'accertamento.</w:t>
      </w:r>
    </w:p>
    <w:p w14:paraId="5DCB7830"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n) valorizzare il ruolo delle organizzazioni di rappresentanza nella presentazione delle denunce come previsto dall'articolo 5, paragrafo 2, della direttiva (UE) 2019/633, estendendolo alle organizzazioni di imprese rilevanti a livello nazionale;</w:t>
      </w:r>
    </w:p>
    <w:p w14:paraId="61CEC165"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o) adottare con rigore il principio della riservatezza nella denuncia all'autorità nazionale di un'eventuale pratica sleale, previsto dall'articolo 5 della direttiva (UE) 2019/633;</w:t>
      </w:r>
    </w:p>
    <w:p w14:paraId="53DE387A"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p) adottare le occorrenti modificazioni e integrazioni all'articolo 62 del decreto-legge 24 gennaio 2012, n. 1, convertito, con modificazioni, dalla legge 24 marzo 2012, n. 27, al fine di designare l'Ispettorato centrale della tutela della qualità e della repressione frodi dei prodotti agroalimentari (ICQRF) quale autorità nazionale di contrasto deputata all'attività di vigilanza sull'applicazione delle disposizioni che disciplinano le relazioni commerciali in materia di cessione di prodotti agricoli e alimentari, all'applicazione dei divieti stabiliti dalla direttiva (UE) 2019/ 633 e all'applicazione delle relative sanzioni, nel rispetto delle procedure di cui alla legge 24 novembre 1981, n. 689. A tal fine, l'Ispettorato può avvalersi dell'Arma dei carabinieri, e in particolare del Comando per la tutela agroalimentare, oltre che della Guardia di finanza, fermo restando quanto previsto in ordine ai poteri di accertamento degli ufficiali e degli agenti di polizia giudiziaria dall'articolo 13 della citata legge n. 689 del 1981;</w:t>
      </w:r>
    </w:p>
    <w:p w14:paraId="0F2972AB"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lastRenderedPageBreak/>
        <w:t>q) prevedere che la mancanza di almeno una delle condizioni richieste dall'articolo 168, paragrafo 4, del regolamento (UE) n. 1308/2013 del Parlamento europeo e del Consiglio, del 17 dicembre 2013, costituisca in ogni caso una pratica commerciale sleale e, nel caso in cui sia fissato dall'acquirente un prezzo del 15 per cento inferiore ai costi medi di produzione risultanti dall'elaborazione dell'Istituto di servizi per il mercato agricolo alimentare - ISMEA, questo sia considerato quale parametro di controllo per la sussistenza della pratica commerciale sleale;</w:t>
      </w:r>
    </w:p>
    <w:p w14:paraId="4420D580"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r) prevedere la revisione del regolamento recante disciplina delle vendite sottocosto, di cui al decreto del Presidente della Repubblica 6 aprile 2001, n. 218, al fine di consentire che la vendita sottocosto dei prodotti alimentari freschi e deperibili sia ammessa solo nel caso si registri del prodotto invenduto a rischio di deperibilità o nel caso di operazioni commerciali programmate e concordate con il fornitore in forma scritta, salvo comunque il divieto di imporre unilateralmente al fornitore, in modo diretto o indiretto, la perdita o il costo della vendita sottocosto;</w:t>
      </w:r>
    </w:p>
    <w:p w14:paraId="3AAB5F00"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s) prevedere che siano fatte salve le condizioni contrattuali, comprese quelle relative ai prezzi, che siano definite nell'ambito di accordi quadro nazionali aventi ad oggetto la fornitura dei prodotti agricoli e alimentari stipulati dalle organizzazioni professionali maggiormente rappresentative a livello nazionale;</w:t>
      </w:r>
    </w:p>
    <w:p w14:paraId="5B68521F"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t) prevedere che all'accertamento delle violazioni delle disposizioni in materia di pratiche commerciali sleali al di fuori delle previsioni di cui alla direttiva (UE) 2019/633, l'Autorità garante della concorrenza e del mercato provveda d'ufficio o su segnalazione delle organizzazioni professionali maggiormente rappresentative a livello nazionale, assicurando, in ogni caso, la legittimazione delle organizzazioni professionali ad agire in giudizio per la tutela degli interessi delle imprese rappresentate qualora siano state lese da pratiche commerciali sleali;</w:t>
      </w:r>
    </w:p>
    <w:p w14:paraId="4C236845" w14:textId="77777777" w:rsidR="001427AC" w:rsidRP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u) prevedere l'applicabilità della normativa risultante dall'esercizio della delega di cui al presente articolo a favore di tutti i fornitori di prodotti agricoli e alimentari operanti in Italia indipendentemente dal fatturato.</w:t>
      </w:r>
    </w:p>
    <w:p w14:paraId="05640652" w14:textId="77777777" w:rsidR="006968E2"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1427AC">
        <w:rPr>
          <w:rFonts w:asciiTheme="minorHAnsi" w:eastAsia="Times New Roman" w:hAnsiTheme="minorHAnsi" w:cs="Times New Roman"/>
          <w:bCs/>
          <w:color w:val="000000" w:themeColor="text1"/>
          <w:sz w:val="24"/>
          <w:szCs w:val="24"/>
        </w:rPr>
        <w:t>2. Dall'attuazione del presente articolo non devono derivare nuovi o maggiori oneri a carico della finanza pubblica. Le amministrazioni interessate provvedono all'adempimento dei compiti derivanti dall'esercizio della delega di cui al presente articolo con le risorse umane, strumentali e finanziarie disponibili a legislazione vigente.</w:t>
      </w:r>
    </w:p>
    <w:p w14:paraId="695336CD" w14:textId="77777777" w:rsidR="001427AC" w:rsidRDefault="001427AC" w:rsidP="001427AC">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386A4D76" w14:textId="77777777" w:rsidR="00020A86" w:rsidRPr="00020A86" w:rsidRDefault="00020A86" w:rsidP="00020A86">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Art. 8.</w:t>
      </w:r>
    </w:p>
    <w:p w14:paraId="612A6C6D" w14:textId="77777777" w:rsidR="00020A86" w:rsidRPr="00020A86" w:rsidRDefault="00020A86" w:rsidP="00020A86">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 xml:space="preserve"> (Princìpi e criteri direttivi per il recepimento della direttiva (UE) 2019/789, che stabilisce norme relative all'esercizio del diritto d'autore e dei diritti connessi applicabili a talune trasmissioni online degli </w:t>
      </w:r>
      <w:r w:rsidRPr="00020A86">
        <w:rPr>
          <w:rFonts w:asciiTheme="minorHAnsi" w:eastAsia="Times New Roman" w:hAnsiTheme="minorHAnsi" w:cs="Times New Roman"/>
          <w:bCs/>
          <w:color w:val="000000" w:themeColor="text1"/>
          <w:sz w:val="24"/>
          <w:szCs w:val="24"/>
        </w:rPr>
        <w:lastRenderedPageBreak/>
        <w:t>organismi di diffusione radiotelevisiva e ritrasmissioni di programmi televisivi e radiofonici e che modifica la direttiva 93/83/CEE del Consiglio)</w:t>
      </w:r>
    </w:p>
    <w:p w14:paraId="338E7328"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1. Nell'esercizio della delega per l'attuazione della direttiva (UE) 2019/789, del Parlamento europeo e del Consiglio, del 17 aprile 2019, il Governo osserva, oltre ai princìpi e criteri direttivi generali di cui all'articolo 32 della legge n. 234 del 2012, anche i seguenti princìpi e criteri direttivi specifici:</w:t>
      </w:r>
    </w:p>
    <w:p w14:paraId="7AE48C09"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a) definire in modo restrittivo i «programmi di produzione propria che sono finanziati interamente dall'organismo di diffusione radiotelevisiva» di cui all'articolo 3, paragrafo 1, lettera b), punto ii), della direttiva (UE) 2019/789, in particolare riconducendo il concetto di «produzione propria» alla nozione di «produzione interna»;</w:t>
      </w:r>
    </w:p>
    <w:p w14:paraId="2CDD328D"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b) individuare i requisiti degli organismi di gestione collettiva autorizzati a rilasciare le licenze obbligatorie di cui all'articolo 4 della direttiva (UE) 2019/789, tenendo in considerazione quanto disposto dall'articolo 8 del decreto legislativo 15 marzo 2017, n. 35.</w:t>
      </w:r>
    </w:p>
    <w:p w14:paraId="3CE919AC"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2. Dall'attuazione del presente articolo non devono derivare nuovi o maggiori oneri a carico della finanza pubblica. Le amministrazioni interessate provvedono all'adempimento dei compiti derivanti dall'esercizio della delega di cui al presente articolo con le risorse umane, strumentali e finanziarie disponibili a legislazione vigente.</w:t>
      </w:r>
    </w:p>
    <w:p w14:paraId="558ABC24" w14:textId="77777777" w:rsidR="00020A86" w:rsidRPr="00020A86" w:rsidRDefault="00020A86" w:rsidP="00020A86">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Art. 9.</w:t>
      </w:r>
    </w:p>
    <w:p w14:paraId="4660970E" w14:textId="77777777" w:rsidR="00020A86" w:rsidRPr="00020A86" w:rsidRDefault="00020A86" w:rsidP="00020A86">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(Princìpi e criteri direttivi per il recepimento della direttiva (UE) 2019/790, sul diritto d'autore e sui diritti connessi nel mercato unico digitale e che modifica le direttive 96/9/CE e 2001/29/CE)</w:t>
      </w:r>
    </w:p>
    <w:p w14:paraId="028FD619"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1. Nell'esercizio della delega per l'attuazione della direttiva (UE) 2019/790, del Parlamento europeo e del Consiglio, del 17 aprile 2019, il Governo osserva, oltre ai princìpi e criteri direttivi generali di cui all'articolo 32 della legge n. 234 del 2012, anche i seguenti princìpi e criteri direttivi specifici:</w:t>
      </w:r>
    </w:p>
    <w:p w14:paraId="631520AC"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a) applicare la definizione di «istituti di tutela del patrimonio culturale», nell'accezione più ampia possibile, al fine di favorire l'accesso ai beni ivi custoditi;</w:t>
      </w:r>
    </w:p>
    <w:p w14:paraId="3C934B0B"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b) disciplinare le eccezioni o limitazioni ai fini dell'estrazione di testo e dati di cui all'articolo 3 della direttiva (UE) 2019/790, garantendo adeguati livelli di sicurezza delle reti e delle banche dati nonché definire l'accesso legale e i requisiti dei soggetti coinvolti;</w:t>
      </w:r>
    </w:p>
    <w:p w14:paraId="79B2A655"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c) esercitare l'opzione di cui all'articolo 5, paragrafo 2, della direttiva (UE) 2019/790, che consente di escludere o limitare l'applicazione dell'eccezione o limitazione di cui al paragrafo 1 del medesimo articolo, per determinati utilizzi o tipi di opere o altri materiali;</w:t>
      </w:r>
    </w:p>
    <w:p w14:paraId="55A3F3B4"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lastRenderedPageBreak/>
        <w:t>d) stabilire le procedure che permettono ai titolari dei diritti che non abbiano autorizzato gli organismi di gestione collettiva a rappresentarli di escludere le loro opere o altri materiali dal meccanismo di concessione delle licenze di cui all'articolo 8, paragrafo 1, della direttiva (UE) 2019/790 o dall'applicazione dell'eccezione o limitazione di cui al paragrafo 2 del medesimo articolo;</w:t>
      </w:r>
    </w:p>
    <w:p w14:paraId="0DC91EBB"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e) esercitare l'opzione di cui all'articolo 8, paragrafo 5, della direttiva (UE) 2019/790, che consente di stabilire requisiti specifici per determinare se un'opera e altri materiali possano essere considerati fuori commercio;</w:t>
      </w:r>
    </w:p>
    <w:p w14:paraId="77AC9358"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f) individuare la disciplina applicabile nel caso l'opera, oltre ad essere fuori commercio ai sensi dell'articolo 8 della direttiva (UE) 2019/790, sia anche «orfana» e quindi soggetta alle disposizioni della direttiva 2012/28/UE del Parlamento europeo e del Consiglio, del 25 ottobre 2012;</w:t>
      </w:r>
    </w:p>
    <w:p w14:paraId="329D85A4"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g) prevedere, ai sensi dell'articolo 10, paragrafo 2, della direttiva (UE) 2019/790, ulteriori misure di pubblicità a favore dei titolari dei diritti oltre quelle previste dal paragrafo 1 del medesimo articolo;</w:t>
      </w:r>
    </w:p>
    <w:p w14:paraId="601CA2FE"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h) prevedere, ai sensi dell'articolo 15 della direttiva (UE) 2019/790, che nel caso di utilizzo online delle pubblicazioni di carattere giornalistico da parte dei prestatori di servizi della società dell'informazione trovino adeguata tutela i diritti degli editori, tenendo in debita considerazione i diritti degli autori di tali pubblicazioni;</w:t>
      </w:r>
    </w:p>
    <w:p w14:paraId="45A5CFE0"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i) definire il concetto di «estratti molto brevi» in modo da non pregiudicare la libera circolazione delle informazioni;</w:t>
      </w:r>
    </w:p>
    <w:p w14:paraId="0524A9E8"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l) definire la quota adeguata dei proventi percepiti dagli editori per l'utilizzo delle pubblicazioni di carattere giornalistico di cui all'articolo 15, paragrafo 5, della direttiva (UE) 2019/790, destinata agli autori, tenendo in particolare considerazione i diritti di questi ultimi;</w:t>
      </w:r>
    </w:p>
    <w:p w14:paraId="6A96E17A"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m) definire la quota del compenso di cui all'articolo 16 della direttiva (UE) 2019/ 790 spettante agli editori nel caso l'opera sia utilizzata in virtù di un'eccezione o di una limitazione, tenuti in debito conto i diritti degli autori;</w:t>
      </w:r>
    </w:p>
    <w:p w14:paraId="3954E800"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n) definire le attività di cui all'articolo 17, paragrafo 4, della direttiva (UE) 2019/790, con particolare riferimento al livello di diligenza richiesto al fine di ritenere integrato il criterio dei «massimi sforzi», nel rispetto del principio di ragionevolezza;</w:t>
      </w:r>
    </w:p>
    <w:p w14:paraId="09552A4F"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o) individuare la disciplina relativa ai reclami e ai ricorsi di cui all'articolo 17, paragrafo 9, della direttiva (UE) 2019/790, ivi compreso l'organismo preposto alla gestione delle rispettive procedure;</w:t>
      </w:r>
    </w:p>
    <w:p w14:paraId="2344D82A"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lastRenderedPageBreak/>
        <w:t>p) stabilire le modalità e i criteri del meccanismo di adeguamento contrattuale previsto in mancanza di un accordo di contrattazione collettiva applicabile, di cui all'articolo 20 della direttiva (UE) 2019/790;</w:t>
      </w:r>
    </w:p>
    <w:p w14:paraId="23259754" w14:textId="77777777" w:rsidR="001427AC"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q) stabilire le modalità e i criteri, anche variabili in base ai diversi settori e al genere di opera, per l'esercizio del diritto di revoca di cui all'articolo 22 della direttiva (UE) 2019/790.</w:t>
      </w:r>
    </w:p>
    <w:p w14:paraId="742B43B6" w14:textId="77777777" w:rsid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p>
    <w:p w14:paraId="3AD180EC" w14:textId="77777777" w:rsidR="00020A86" w:rsidRPr="00020A86" w:rsidRDefault="00020A86" w:rsidP="00020A86">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Art. 10.</w:t>
      </w:r>
    </w:p>
    <w:p w14:paraId="124BB57B" w14:textId="77777777" w:rsidR="00020A86" w:rsidRPr="00020A86" w:rsidRDefault="00020A86" w:rsidP="00020A86">
      <w:pPr>
        <w:shd w:val="clear" w:color="auto" w:fill="FFFFFF"/>
        <w:spacing w:before="100" w:beforeAutospacing="1" w:after="100" w:afterAutospacing="1" w:line="240" w:lineRule="auto"/>
        <w:jc w:val="center"/>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(Princìpi e criteri direttivi per il recepimento della direttiva (UE) 2019/878, che modifica la direttiva 2013/36/UE per quanto riguarda le entità esentate, le società di partecipazione finanziaria, le società di partecipazione finanziaria mista, la remunerazione, le misure e i poteri di vigilanza e le misure di conservazione del capitale, nonché per l'adeguamento al regolamento (UE) 2019/876, che modifica il regolamento (UE) 575/2013, relativo ai requisiti prudenziali per gli enti creditizi)</w:t>
      </w:r>
    </w:p>
    <w:p w14:paraId="7D7DD7B1"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1. Nell'esercizio della delega per l'attuazione della direttiva (UE) 2019/878 del Parlamento europeo e del Consiglio, del 20 maggio 2019, e per l'adeguamento della normativa nazionale alle disposizioni del regolamento (UE) 2019/876 del Parlamento europeo e del Consiglio, del 20 maggio 2019, il Governo osserva, oltre ai princìpi e criteri direttivi generali di cui all'articolo 32 della legge n. 234 del 2012, anche i seguenti princìpi e criteri direttivi specifici:</w:t>
      </w:r>
    </w:p>
    <w:p w14:paraId="5FC8A15A"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a) apportare alla normativa vigente e, in particolare, al testo unico delle leggi in materia bancaria e creditizia, di cui al decreto legislativo 1° settembre 1993, n. 385, le modifiche e le integrazioni necessarie al corretto e integrale recepimento della direttiva (UE) 2019/878 e all'applicazione del regolamento (UE) 2019/876, relativi ai requisiti prudenziali per gli enti creditizi, nonché delle pertinenti norme tecniche di regolamentazione di attuazione della direttiva e del regolamento tenendo conto degli orientamenti delle Autorità di vigilanza europee;</w:t>
      </w:r>
    </w:p>
    <w:p w14:paraId="2EE2E3DF"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b) prevedere il ricorso alla disciplina secondaria adottata dalla Banca d'Italia che, nell'esercizio dei propri poteri regolamentari, tiene conto degli orientamenti emanati dalle Autorità di vigilanza europee;</w:t>
      </w:r>
    </w:p>
    <w:p w14:paraId="514CA43F"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c) confermare, ai sensi dell'articolo 53 del citato testo unico di cui al decreto legislativo n. 385 del 1993, l'individuazione nella Banca d'Italia dell'autorità competente a esercitare le opzioni che la direttiva (UE) 2019/878 e il regolamento (UE) 2019/876 attribuiscono agli Stati membri;</w:t>
      </w:r>
    </w:p>
    <w:p w14:paraId="0445F49C"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d) attribuire all'autorità designata ai sensi dell'articolo 53-ter del citato testo unico di cui al decreto legislativo n. 385 del 1993, i poteri previsti dagli articoli 124 e 164 del regolamento (UE) n. 2013/575 del Parlamento europeo e del Consiglio, del 26 giugno 2013, come modificato dal regolamento (UE) 2019/876;</w:t>
      </w:r>
    </w:p>
    <w:p w14:paraId="0AC5B17C"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lastRenderedPageBreak/>
        <w:t>e) estendere la disciplina delle sanzioni amministrative di cui al titolo VIII del citato testo unico di cui al decreto legislativo n. 385 del 1993 alle violazioni delle disposizioni dettate in attuazione della direttiva (UE) 2019/878 e delle disposizioni emanate in attuazione del presente articolo, nel rispetto dei criteri, dei limiti e delle procedure previste dalle disposizioni nazionali vigenti che disciplinano l'esercizio del potere sanzionatorio da parte delle autorità competenti a irrogarle;</w:t>
      </w:r>
    </w:p>
    <w:p w14:paraId="5D3686FC"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f) con riferimento al potere di rimuovere il soggetto incaricato della revisione legale dei conti in banche e imprese di investimento, previsto in attuazione dell'articolo 1, punto 15), della direttiva (UE) 2019/878, estendere l'applicazione di tale potere a tutti gli enti sottoposti a regime intermedio disciplinati ai sensi del citato testo unico di cui al decreto legislativo n. 385 del 1993 e del testo unico delle disposizioni in materia di intermediazione finanziaria, di cui al decreto legislativo 24 febbraio 1998, n. 58, in coerenza con quanto previsto dall'articolo 19-ter, comma 1, lettera b), del decreto legislativo 27 gennaio 2010, n. 39, per quanto attiene al rinvio all'articolo 12 del regolamento (UE) n. 537/2014 del Parlamento europeo e del Consiglio, del 16 aprile 2014;</w:t>
      </w:r>
    </w:p>
    <w:p w14:paraId="0FE56072" w14:textId="77777777" w:rsidR="00020A86" w:rsidRP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g) apportare alla disciplina in materia di assetti proprietari contenuta nel testo unico delle leggi in materia bancaria e creditizia, di cui al decreto legislativo n. 385 del 1993, e nel testo unico delle disposizioni in materia di intermediazione finanziaria, di cui al decreto legislativo n. 58 del 1998, le modifiche volte ad assicurarne la conformità agli orientamenti delle Autorità di vigilanza europee in materia e, in particolare, alle previsioni riguardanti l'individuazione delle partecipazioni rilevanti acquisite in via indiretta e tramite patti parasociali.</w:t>
      </w:r>
    </w:p>
    <w:p w14:paraId="6DB1A24B" w14:textId="77777777" w:rsidR="00020A86" w:rsidRDefault="00020A86" w:rsidP="00020A86">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sz w:val="24"/>
          <w:szCs w:val="24"/>
        </w:rPr>
      </w:pPr>
      <w:r w:rsidRPr="00020A86">
        <w:rPr>
          <w:rFonts w:asciiTheme="minorHAnsi" w:eastAsia="Times New Roman" w:hAnsiTheme="minorHAnsi" w:cs="Times New Roman"/>
          <w:bCs/>
          <w:color w:val="000000" w:themeColor="text1"/>
          <w:sz w:val="24"/>
          <w:szCs w:val="24"/>
        </w:rPr>
        <w:t>2. Dall'attuazione del presente articolo non devono derivare nuovi o maggiori oneri a carico della finanza pubblica. Le amministrazioni interessate provvedono all'adempimento dei compiti derivanti dall'esercizio della delega di cui al presente articolo con le risorse umane, strumentali e finanziarie disponibili a legislazione vigente.</w:t>
      </w:r>
    </w:p>
    <w:sectPr w:rsidR="00020A86"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660B9" w14:textId="77777777" w:rsidR="00FB5F11" w:rsidRDefault="00FB5F11">
      <w:pPr>
        <w:spacing w:after="0" w:line="240" w:lineRule="auto"/>
      </w:pPr>
      <w:r>
        <w:separator/>
      </w:r>
    </w:p>
  </w:endnote>
  <w:endnote w:type="continuationSeparator" w:id="0">
    <w:p w14:paraId="660A78B0" w14:textId="77777777" w:rsidR="00FB5F11" w:rsidRDefault="00FB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64D2" w14:textId="51DB80E9" w:rsidR="008E0122" w:rsidRPr="004D0F93" w:rsidRDefault="008E0122"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20</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8666DD">
      <w:fldChar w:fldCharType="begin"/>
    </w:r>
    <w:r w:rsidR="008666DD">
      <w:instrText>NUMPAGES  \* Arabic  \* MERGEFORMAT</w:instrText>
    </w:r>
    <w:r w:rsidR="008666DD">
      <w:fldChar w:fldCharType="separate"/>
    </w:r>
    <w:r w:rsidRPr="004A5847">
      <w:rPr>
        <w:rFonts w:asciiTheme="majorHAnsi" w:hAnsiTheme="majorHAnsi"/>
        <w:noProof/>
        <w:color w:val="595959" w:themeColor="text1" w:themeTint="A6"/>
        <w:sz w:val="18"/>
        <w:szCs w:val="18"/>
      </w:rPr>
      <w:t>35</w:t>
    </w:r>
    <w:r w:rsidR="008666DD">
      <w:rPr>
        <w:rFonts w:asciiTheme="majorHAnsi" w:hAnsiTheme="majorHAnsi"/>
        <w:noProof/>
        <w:color w:val="595959" w:themeColor="text1" w:themeTint="A6"/>
        <w:sz w:val="18"/>
        <w:szCs w:val="18"/>
      </w:rPr>
      <w:fldChar w:fldCharType="end"/>
    </w:r>
  </w:p>
  <w:p w14:paraId="238EA17C" w14:textId="77777777" w:rsidR="008E0122" w:rsidRDefault="008E012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CB48F" w14:textId="687CB748" w:rsidR="008E0122" w:rsidRDefault="008E0122" w:rsidP="004532C6">
    <w:pPr>
      <w:pStyle w:val="Pidipagina"/>
      <w:tabs>
        <w:tab w:val="clear" w:pos="9638"/>
        <w:tab w:val="right" w:pos="10034"/>
      </w:tabs>
      <w:rPr>
        <w:rFonts w:asciiTheme="majorHAnsi" w:hAnsiTheme="majorHAnsi"/>
        <w:sz w:val="18"/>
        <w:szCs w:val="18"/>
      </w:rPr>
    </w:pPr>
  </w:p>
  <w:p w14:paraId="2677D5AD" w14:textId="77777777" w:rsidR="008E0122" w:rsidRPr="005F27F8" w:rsidRDefault="008E0122" w:rsidP="004532C6">
    <w:pPr>
      <w:pStyle w:val="Pidipagina"/>
      <w:tabs>
        <w:tab w:val="clear" w:pos="9638"/>
        <w:tab w:val="right" w:pos="10034"/>
      </w:tabs>
      <w:rPr>
        <w:rFonts w:asciiTheme="majorHAnsi" w:hAnsiTheme="majorHAnsi"/>
        <w:color w:val="595959" w:themeColor="text1" w:themeTint="A6"/>
        <w:sz w:val="18"/>
        <w:szCs w:val="18"/>
      </w:rPr>
    </w:pPr>
  </w:p>
  <w:p w14:paraId="5E4D0DE9" w14:textId="77777777" w:rsidR="008E0122" w:rsidRPr="005F27F8" w:rsidRDefault="008E0122"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21</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8666DD">
      <w:fldChar w:fldCharType="begin"/>
    </w:r>
    <w:r w:rsidR="008666DD">
      <w:instrText>NUMPAGES  \* Arabic  \* MERGEFORMAT</w:instrText>
    </w:r>
    <w:r w:rsidR="008666DD">
      <w:fldChar w:fldCharType="separate"/>
    </w:r>
    <w:r w:rsidRPr="004A5847">
      <w:rPr>
        <w:rFonts w:asciiTheme="majorHAnsi" w:hAnsiTheme="majorHAnsi"/>
        <w:noProof/>
        <w:color w:val="595959" w:themeColor="text1" w:themeTint="A6"/>
        <w:sz w:val="18"/>
        <w:szCs w:val="18"/>
      </w:rPr>
      <w:t>35</w:t>
    </w:r>
    <w:r w:rsidR="008666DD">
      <w:rPr>
        <w:rFonts w:asciiTheme="majorHAnsi" w:hAnsiTheme="majorHAnsi"/>
        <w:noProof/>
        <w:color w:val="595959" w:themeColor="text1" w:themeTint="A6"/>
        <w:sz w:val="18"/>
        <w:szCs w:val="18"/>
      </w:rPr>
      <w:fldChar w:fldCharType="end"/>
    </w:r>
  </w:p>
  <w:p w14:paraId="4D1B8919" w14:textId="77777777" w:rsidR="008E0122" w:rsidRPr="002739D4" w:rsidRDefault="008E0122"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270114"/>
      <w:docPartObj>
        <w:docPartGallery w:val="Page Numbers (Bottom of Page)"/>
        <w:docPartUnique/>
      </w:docPartObj>
    </w:sdtPr>
    <w:sdtContent>
      <w:p w14:paraId="0D23E8BC" w14:textId="73FE7AF7" w:rsidR="008666DD" w:rsidRDefault="008666DD">
        <w:pPr>
          <w:pStyle w:val="Pidipagina"/>
          <w:jc w:val="center"/>
        </w:pPr>
        <w:r>
          <w:fldChar w:fldCharType="begin"/>
        </w:r>
        <w:r>
          <w:instrText>PAGE   \* MERGEFORMAT</w:instrText>
        </w:r>
        <w:r>
          <w:fldChar w:fldCharType="separate"/>
        </w:r>
        <w:r>
          <w:t>2</w:t>
        </w:r>
        <w:r>
          <w:fldChar w:fldCharType="end"/>
        </w:r>
      </w:p>
    </w:sdtContent>
  </w:sdt>
  <w:p w14:paraId="0C2B932D" w14:textId="77777777" w:rsidR="008E0122" w:rsidRPr="002739D4" w:rsidRDefault="008E0122"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C0FE1" w14:textId="77777777" w:rsidR="00FB5F11" w:rsidRDefault="00FB5F11">
      <w:pPr>
        <w:spacing w:after="0" w:line="240" w:lineRule="auto"/>
      </w:pPr>
      <w:r>
        <w:separator/>
      </w:r>
    </w:p>
  </w:footnote>
  <w:footnote w:type="continuationSeparator" w:id="0">
    <w:p w14:paraId="084DD5F4" w14:textId="77777777" w:rsidR="00FB5F11" w:rsidRDefault="00FB5F11">
      <w:pPr>
        <w:spacing w:after="0" w:line="240" w:lineRule="auto"/>
      </w:pPr>
      <w:r>
        <w:continuationSeparator/>
      </w:r>
    </w:p>
  </w:footnote>
  <w:footnote w:id="1">
    <w:p w14:paraId="56574DCA" w14:textId="77777777" w:rsidR="00CE4F73" w:rsidRPr="00CE4F73" w:rsidRDefault="00CE4F73" w:rsidP="00CE4F73">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CE4F73">
        <w:rPr>
          <w:rFonts w:asciiTheme="minorHAnsi" w:eastAsia="Times New Roman" w:hAnsiTheme="minorHAnsi" w:cs="Times New Roman"/>
          <w:bCs/>
          <w:color w:val="000000" w:themeColor="text1"/>
        </w:rPr>
        <w:t>5.303 Girotto, De Petris</w:t>
      </w:r>
    </w:p>
    <w:p w14:paraId="6E501F56" w14:textId="77777777" w:rsidR="00CE4F73" w:rsidRDefault="00CE4F73">
      <w:pPr>
        <w:pStyle w:val="Testonotaapidipagina"/>
      </w:pPr>
    </w:p>
  </w:footnote>
  <w:footnote w:id="2">
    <w:p w14:paraId="12CF2819" w14:textId="77777777" w:rsidR="008A5034" w:rsidRPr="002A406B" w:rsidRDefault="008A5034" w:rsidP="008A5034">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2A406B">
        <w:rPr>
          <w:rFonts w:asciiTheme="minorHAnsi" w:eastAsia="Times New Roman" w:hAnsiTheme="minorHAnsi" w:cs="Times New Roman"/>
          <w:bCs/>
          <w:color w:val="000000" w:themeColor="text1"/>
        </w:rPr>
        <w:t>5.304 Girotto, De Petris</w:t>
      </w:r>
    </w:p>
    <w:p w14:paraId="3041F251" w14:textId="77777777" w:rsidR="008A5034" w:rsidRDefault="008A5034">
      <w:pPr>
        <w:pStyle w:val="Testonotaapidipagina"/>
      </w:pPr>
    </w:p>
  </w:footnote>
  <w:footnote w:id="3">
    <w:p w14:paraId="6CF9DFD8" w14:textId="77777777" w:rsidR="008A5034" w:rsidRPr="008A5034" w:rsidRDefault="008A5034" w:rsidP="008A5034">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8A5034">
        <w:rPr>
          <w:rFonts w:asciiTheme="minorHAnsi" w:eastAsia="Times New Roman" w:hAnsiTheme="minorHAnsi" w:cs="Times New Roman"/>
          <w:bCs/>
          <w:color w:val="000000" w:themeColor="text1"/>
        </w:rPr>
        <w:t>5.305 Girotto, Lorefice, De Petris</w:t>
      </w:r>
    </w:p>
    <w:p w14:paraId="490D5A2E" w14:textId="77777777" w:rsidR="008A5034" w:rsidRDefault="008A5034">
      <w:pPr>
        <w:pStyle w:val="Testonotaapidipagina"/>
      </w:pPr>
    </w:p>
  </w:footnote>
  <w:footnote w:id="4">
    <w:p w14:paraId="2049622A" w14:textId="77777777" w:rsidR="008A5034" w:rsidRPr="008A5034" w:rsidRDefault="008A5034" w:rsidP="008A5034">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8A5034">
        <w:rPr>
          <w:rFonts w:asciiTheme="minorHAnsi" w:eastAsia="Times New Roman" w:hAnsiTheme="minorHAnsi" w:cs="Times New Roman"/>
          <w:bCs/>
          <w:color w:val="000000" w:themeColor="text1"/>
        </w:rPr>
        <w:t>5.306 Girotto, Lorefice, De Petris</w:t>
      </w:r>
    </w:p>
    <w:p w14:paraId="3A47BBBA" w14:textId="77777777" w:rsidR="008A5034" w:rsidRDefault="008A5034">
      <w:pPr>
        <w:pStyle w:val="Testonotaapidipagina"/>
      </w:pPr>
    </w:p>
  </w:footnote>
  <w:footnote w:id="5">
    <w:p w14:paraId="6CF99992" w14:textId="77777777" w:rsidR="00C8378B" w:rsidRPr="00C8378B" w:rsidRDefault="00C8378B" w:rsidP="00C8378B">
      <w:pPr>
        <w:shd w:val="clear" w:color="auto" w:fill="FFFFFF"/>
        <w:spacing w:before="100" w:beforeAutospacing="1" w:after="100" w:afterAutospacing="1" w:line="240" w:lineRule="auto"/>
        <w:jc w:val="both"/>
        <w:rPr>
          <w:rFonts w:asciiTheme="minorHAnsi" w:eastAsia="Times New Roman" w:hAnsiTheme="minorHAnsi" w:cs="Times New Roman"/>
          <w:bCs/>
          <w:color w:val="000000" w:themeColor="text1"/>
        </w:rPr>
      </w:pPr>
      <w:r>
        <w:rPr>
          <w:rStyle w:val="Rimandonotaapidipagina"/>
        </w:rPr>
        <w:footnoteRef/>
      </w:r>
      <w:r>
        <w:t xml:space="preserve"> </w:t>
      </w:r>
      <w:r w:rsidRPr="00C8378B">
        <w:rPr>
          <w:rFonts w:asciiTheme="minorHAnsi" w:eastAsia="Times New Roman" w:hAnsiTheme="minorHAnsi" w:cs="Times New Roman"/>
          <w:bCs/>
          <w:color w:val="000000" w:themeColor="text1"/>
        </w:rPr>
        <w:t>5.310 De Petris, Nugnes, Buccarella, Ruotolo, Fattori, La Mura (firma aggiunta in corso di seduta)</w:t>
      </w:r>
    </w:p>
    <w:p w14:paraId="3E856F6C" w14:textId="77777777" w:rsidR="00C8378B" w:rsidRDefault="00C8378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23C04" w14:textId="2291E3C3" w:rsidR="008E0122" w:rsidRDefault="008E0122"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88D57" w14:textId="6CED5903" w:rsidR="008E0122" w:rsidRPr="00A82891" w:rsidRDefault="008E0122"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BC48" w14:textId="2EFFB365" w:rsidR="008E0122" w:rsidRDefault="008E0122"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0B16"/>
    <w:rsid w:val="00000DCB"/>
    <w:rsid w:val="0000283B"/>
    <w:rsid w:val="0000392B"/>
    <w:rsid w:val="00007452"/>
    <w:rsid w:val="00011639"/>
    <w:rsid w:val="00012BB5"/>
    <w:rsid w:val="0001354D"/>
    <w:rsid w:val="0001412B"/>
    <w:rsid w:val="00014F29"/>
    <w:rsid w:val="0001565E"/>
    <w:rsid w:val="00016031"/>
    <w:rsid w:val="0001790C"/>
    <w:rsid w:val="00020A86"/>
    <w:rsid w:val="00020E62"/>
    <w:rsid w:val="00026241"/>
    <w:rsid w:val="00030D03"/>
    <w:rsid w:val="000312C3"/>
    <w:rsid w:val="000331CC"/>
    <w:rsid w:val="000334E1"/>
    <w:rsid w:val="00037EE5"/>
    <w:rsid w:val="00040E4A"/>
    <w:rsid w:val="0004270D"/>
    <w:rsid w:val="00042E03"/>
    <w:rsid w:val="000436F3"/>
    <w:rsid w:val="0004407E"/>
    <w:rsid w:val="00050426"/>
    <w:rsid w:val="00051A57"/>
    <w:rsid w:val="000525CC"/>
    <w:rsid w:val="0005286F"/>
    <w:rsid w:val="000548FD"/>
    <w:rsid w:val="000554CC"/>
    <w:rsid w:val="0005597D"/>
    <w:rsid w:val="00055E6C"/>
    <w:rsid w:val="00061FCA"/>
    <w:rsid w:val="00062B9B"/>
    <w:rsid w:val="00065D85"/>
    <w:rsid w:val="00072C1B"/>
    <w:rsid w:val="00081CED"/>
    <w:rsid w:val="0009180C"/>
    <w:rsid w:val="00095FE5"/>
    <w:rsid w:val="000A078D"/>
    <w:rsid w:val="000A0A41"/>
    <w:rsid w:val="000A4D3D"/>
    <w:rsid w:val="000B4E72"/>
    <w:rsid w:val="000B5D07"/>
    <w:rsid w:val="000C3A15"/>
    <w:rsid w:val="000C45FD"/>
    <w:rsid w:val="000C5070"/>
    <w:rsid w:val="000C50F1"/>
    <w:rsid w:val="000C61B5"/>
    <w:rsid w:val="000D6B51"/>
    <w:rsid w:val="000D78D2"/>
    <w:rsid w:val="000E2A19"/>
    <w:rsid w:val="000E58CB"/>
    <w:rsid w:val="000F53CD"/>
    <w:rsid w:val="000F5D28"/>
    <w:rsid w:val="000F5ED8"/>
    <w:rsid w:val="000F7413"/>
    <w:rsid w:val="000F7F93"/>
    <w:rsid w:val="00103DF8"/>
    <w:rsid w:val="00105332"/>
    <w:rsid w:val="0011107C"/>
    <w:rsid w:val="00112F2F"/>
    <w:rsid w:val="00113CFE"/>
    <w:rsid w:val="00113F64"/>
    <w:rsid w:val="001160F9"/>
    <w:rsid w:val="0012190D"/>
    <w:rsid w:val="00125203"/>
    <w:rsid w:val="00125CBA"/>
    <w:rsid w:val="00126E8F"/>
    <w:rsid w:val="0013117C"/>
    <w:rsid w:val="0013176B"/>
    <w:rsid w:val="00133E8D"/>
    <w:rsid w:val="001340A7"/>
    <w:rsid w:val="00134C90"/>
    <w:rsid w:val="00137B3F"/>
    <w:rsid w:val="001406E9"/>
    <w:rsid w:val="001413DF"/>
    <w:rsid w:val="00141485"/>
    <w:rsid w:val="001420B8"/>
    <w:rsid w:val="001427AC"/>
    <w:rsid w:val="001533B3"/>
    <w:rsid w:val="0015538C"/>
    <w:rsid w:val="0015730E"/>
    <w:rsid w:val="00163604"/>
    <w:rsid w:val="001636BB"/>
    <w:rsid w:val="00164786"/>
    <w:rsid w:val="00165484"/>
    <w:rsid w:val="00166CB1"/>
    <w:rsid w:val="0017004E"/>
    <w:rsid w:val="00175EC9"/>
    <w:rsid w:val="0017723D"/>
    <w:rsid w:val="00182895"/>
    <w:rsid w:val="00183B02"/>
    <w:rsid w:val="00185E53"/>
    <w:rsid w:val="00187C58"/>
    <w:rsid w:val="00187D36"/>
    <w:rsid w:val="0019195A"/>
    <w:rsid w:val="001927D7"/>
    <w:rsid w:val="00193CF8"/>
    <w:rsid w:val="001A1A70"/>
    <w:rsid w:val="001A22CF"/>
    <w:rsid w:val="001A275C"/>
    <w:rsid w:val="001A749A"/>
    <w:rsid w:val="001B3F84"/>
    <w:rsid w:val="001B687E"/>
    <w:rsid w:val="001C0AB0"/>
    <w:rsid w:val="001D04E2"/>
    <w:rsid w:val="001D1E46"/>
    <w:rsid w:val="001D3118"/>
    <w:rsid w:val="001E2F6E"/>
    <w:rsid w:val="001E46E2"/>
    <w:rsid w:val="001E773C"/>
    <w:rsid w:val="001F378B"/>
    <w:rsid w:val="001F5EA4"/>
    <w:rsid w:val="001F6D3A"/>
    <w:rsid w:val="001F75AD"/>
    <w:rsid w:val="00200CEE"/>
    <w:rsid w:val="0020198A"/>
    <w:rsid w:val="00201A99"/>
    <w:rsid w:val="00201DD5"/>
    <w:rsid w:val="0020737D"/>
    <w:rsid w:val="0021022B"/>
    <w:rsid w:val="00213445"/>
    <w:rsid w:val="00215E69"/>
    <w:rsid w:val="00216079"/>
    <w:rsid w:val="00220748"/>
    <w:rsid w:val="0022078B"/>
    <w:rsid w:val="002240C5"/>
    <w:rsid w:val="002273FB"/>
    <w:rsid w:val="00227FEC"/>
    <w:rsid w:val="00234096"/>
    <w:rsid w:val="00236326"/>
    <w:rsid w:val="0024185D"/>
    <w:rsid w:val="0024213A"/>
    <w:rsid w:val="00245260"/>
    <w:rsid w:val="00246D60"/>
    <w:rsid w:val="00251FEF"/>
    <w:rsid w:val="002565F2"/>
    <w:rsid w:val="00257BDB"/>
    <w:rsid w:val="002620AF"/>
    <w:rsid w:val="00262F41"/>
    <w:rsid w:val="00264750"/>
    <w:rsid w:val="002739D4"/>
    <w:rsid w:val="00276E23"/>
    <w:rsid w:val="0028362B"/>
    <w:rsid w:val="00283714"/>
    <w:rsid w:val="00283BD7"/>
    <w:rsid w:val="002846E6"/>
    <w:rsid w:val="002857B8"/>
    <w:rsid w:val="0029104D"/>
    <w:rsid w:val="00294ADF"/>
    <w:rsid w:val="0029625E"/>
    <w:rsid w:val="002971FC"/>
    <w:rsid w:val="002A02BE"/>
    <w:rsid w:val="002A0A24"/>
    <w:rsid w:val="002A406B"/>
    <w:rsid w:val="002B44C9"/>
    <w:rsid w:val="002B4832"/>
    <w:rsid w:val="002B4AB3"/>
    <w:rsid w:val="002C1B13"/>
    <w:rsid w:val="002C7E0D"/>
    <w:rsid w:val="002D243B"/>
    <w:rsid w:val="002D68BA"/>
    <w:rsid w:val="002D6ED1"/>
    <w:rsid w:val="002D7712"/>
    <w:rsid w:val="002D7720"/>
    <w:rsid w:val="002F07F7"/>
    <w:rsid w:val="002F18B4"/>
    <w:rsid w:val="002F1EE7"/>
    <w:rsid w:val="002F2BAA"/>
    <w:rsid w:val="002F506C"/>
    <w:rsid w:val="002F779C"/>
    <w:rsid w:val="003063A8"/>
    <w:rsid w:val="003078B7"/>
    <w:rsid w:val="0031282F"/>
    <w:rsid w:val="00312DBA"/>
    <w:rsid w:val="003151B6"/>
    <w:rsid w:val="00315935"/>
    <w:rsid w:val="003169C1"/>
    <w:rsid w:val="0031763F"/>
    <w:rsid w:val="003178E9"/>
    <w:rsid w:val="00322A69"/>
    <w:rsid w:val="00323F0B"/>
    <w:rsid w:val="00325718"/>
    <w:rsid w:val="00327588"/>
    <w:rsid w:val="00327D1A"/>
    <w:rsid w:val="003315DB"/>
    <w:rsid w:val="00334BAF"/>
    <w:rsid w:val="00337302"/>
    <w:rsid w:val="00341212"/>
    <w:rsid w:val="0034367D"/>
    <w:rsid w:val="00346C59"/>
    <w:rsid w:val="00351552"/>
    <w:rsid w:val="003545CA"/>
    <w:rsid w:val="00354FAF"/>
    <w:rsid w:val="00355958"/>
    <w:rsid w:val="00356968"/>
    <w:rsid w:val="0036194E"/>
    <w:rsid w:val="00363304"/>
    <w:rsid w:val="00364A97"/>
    <w:rsid w:val="00367574"/>
    <w:rsid w:val="0037282C"/>
    <w:rsid w:val="00375658"/>
    <w:rsid w:val="00376984"/>
    <w:rsid w:val="00377D10"/>
    <w:rsid w:val="003905DB"/>
    <w:rsid w:val="0039147F"/>
    <w:rsid w:val="00395798"/>
    <w:rsid w:val="003A2813"/>
    <w:rsid w:val="003A7318"/>
    <w:rsid w:val="003B1F9C"/>
    <w:rsid w:val="003B55CF"/>
    <w:rsid w:val="003B6094"/>
    <w:rsid w:val="003B618F"/>
    <w:rsid w:val="003C13CE"/>
    <w:rsid w:val="003C2822"/>
    <w:rsid w:val="003D1E5D"/>
    <w:rsid w:val="003D2A0B"/>
    <w:rsid w:val="003D492A"/>
    <w:rsid w:val="003D602D"/>
    <w:rsid w:val="003D6F56"/>
    <w:rsid w:val="003E19B6"/>
    <w:rsid w:val="003E6C3F"/>
    <w:rsid w:val="003F2553"/>
    <w:rsid w:val="003F3306"/>
    <w:rsid w:val="003F3E64"/>
    <w:rsid w:val="003F43DE"/>
    <w:rsid w:val="003F51F8"/>
    <w:rsid w:val="003F699C"/>
    <w:rsid w:val="004019F7"/>
    <w:rsid w:val="004033D2"/>
    <w:rsid w:val="004035C7"/>
    <w:rsid w:val="004041F4"/>
    <w:rsid w:val="00410BE0"/>
    <w:rsid w:val="00410C42"/>
    <w:rsid w:val="004123DB"/>
    <w:rsid w:val="0041357C"/>
    <w:rsid w:val="004162E1"/>
    <w:rsid w:val="004165E3"/>
    <w:rsid w:val="00420460"/>
    <w:rsid w:val="004226BC"/>
    <w:rsid w:val="00422E52"/>
    <w:rsid w:val="00424DB6"/>
    <w:rsid w:val="00434AA2"/>
    <w:rsid w:val="00437644"/>
    <w:rsid w:val="00440598"/>
    <w:rsid w:val="00440F4A"/>
    <w:rsid w:val="00441A04"/>
    <w:rsid w:val="00441B99"/>
    <w:rsid w:val="00442433"/>
    <w:rsid w:val="00442627"/>
    <w:rsid w:val="00450D5B"/>
    <w:rsid w:val="004519D7"/>
    <w:rsid w:val="00451BB1"/>
    <w:rsid w:val="004532C6"/>
    <w:rsid w:val="004545F6"/>
    <w:rsid w:val="00454637"/>
    <w:rsid w:val="00456787"/>
    <w:rsid w:val="00457B6C"/>
    <w:rsid w:val="00462AE5"/>
    <w:rsid w:val="00465F1C"/>
    <w:rsid w:val="00473B76"/>
    <w:rsid w:val="004764A8"/>
    <w:rsid w:val="0048054C"/>
    <w:rsid w:val="00481C8C"/>
    <w:rsid w:val="004832BA"/>
    <w:rsid w:val="0048371F"/>
    <w:rsid w:val="004850A2"/>
    <w:rsid w:val="00485D5D"/>
    <w:rsid w:val="00487615"/>
    <w:rsid w:val="00496E31"/>
    <w:rsid w:val="00497358"/>
    <w:rsid w:val="00497BC7"/>
    <w:rsid w:val="004A4EDA"/>
    <w:rsid w:val="004A5847"/>
    <w:rsid w:val="004B288A"/>
    <w:rsid w:val="004B4327"/>
    <w:rsid w:val="004C16CF"/>
    <w:rsid w:val="004C7110"/>
    <w:rsid w:val="004C7ECF"/>
    <w:rsid w:val="004D04A9"/>
    <w:rsid w:val="004D07BE"/>
    <w:rsid w:val="004D0F93"/>
    <w:rsid w:val="004D533E"/>
    <w:rsid w:val="004D588C"/>
    <w:rsid w:val="004D72A3"/>
    <w:rsid w:val="004D7FDD"/>
    <w:rsid w:val="004E4696"/>
    <w:rsid w:val="004E56A0"/>
    <w:rsid w:val="004E6060"/>
    <w:rsid w:val="004F0EE3"/>
    <w:rsid w:val="004F163D"/>
    <w:rsid w:val="004F227F"/>
    <w:rsid w:val="004F3B9F"/>
    <w:rsid w:val="004F4075"/>
    <w:rsid w:val="004F5448"/>
    <w:rsid w:val="0050083B"/>
    <w:rsid w:val="0050205B"/>
    <w:rsid w:val="005028B7"/>
    <w:rsid w:val="00510FB9"/>
    <w:rsid w:val="005127BF"/>
    <w:rsid w:val="005155CB"/>
    <w:rsid w:val="00516E7D"/>
    <w:rsid w:val="005171AF"/>
    <w:rsid w:val="0051779D"/>
    <w:rsid w:val="0052054E"/>
    <w:rsid w:val="00522252"/>
    <w:rsid w:val="00523A2C"/>
    <w:rsid w:val="00525326"/>
    <w:rsid w:val="00533418"/>
    <w:rsid w:val="005334F4"/>
    <w:rsid w:val="005345AF"/>
    <w:rsid w:val="00535DE3"/>
    <w:rsid w:val="0053600A"/>
    <w:rsid w:val="00536959"/>
    <w:rsid w:val="00537EE1"/>
    <w:rsid w:val="00541DE4"/>
    <w:rsid w:val="00541E41"/>
    <w:rsid w:val="005455B5"/>
    <w:rsid w:val="00553F54"/>
    <w:rsid w:val="00557F8F"/>
    <w:rsid w:val="00564A0B"/>
    <w:rsid w:val="0056677D"/>
    <w:rsid w:val="005705AA"/>
    <w:rsid w:val="0057099F"/>
    <w:rsid w:val="005711BE"/>
    <w:rsid w:val="00571386"/>
    <w:rsid w:val="00572BE9"/>
    <w:rsid w:val="00572E04"/>
    <w:rsid w:val="0058489B"/>
    <w:rsid w:val="00590380"/>
    <w:rsid w:val="00592362"/>
    <w:rsid w:val="005926F7"/>
    <w:rsid w:val="005928D0"/>
    <w:rsid w:val="005934CD"/>
    <w:rsid w:val="00594BB4"/>
    <w:rsid w:val="005A0F9A"/>
    <w:rsid w:val="005A7736"/>
    <w:rsid w:val="005B18A9"/>
    <w:rsid w:val="005B3648"/>
    <w:rsid w:val="005B4354"/>
    <w:rsid w:val="005B4FD5"/>
    <w:rsid w:val="005C16F5"/>
    <w:rsid w:val="005C55A6"/>
    <w:rsid w:val="005C7C10"/>
    <w:rsid w:val="005D483F"/>
    <w:rsid w:val="005D50F5"/>
    <w:rsid w:val="005D520C"/>
    <w:rsid w:val="005D53A6"/>
    <w:rsid w:val="005E0892"/>
    <w:rsid w:val="005E472D"/>
    <w:rsid w:val="005E72C2"/>
    <w:rsid w:val="005F1255"/>
    <w:rsid w:val="005F1A2D"/>
    <w:rsid w:val="005F22B0"/>
    <w:rsid w:val="005F27F8"/>
    <w:rsid w:val="005F4267"/>
    <w:rsid w:val="005F741C"/>
    <w:rsid w:val="006054DE"/>
    <w:rsid w:val="00606053"/>
    <w:rsid w:val="0061002C"/>
    <w:rsid w:val="006173DE"/>
    <w:rsid w:val="0062159B"/>
    <w:rsid w:val="00622F5A"/>
    <w:rsid w:val="00623045"/>
    <w:rsid w:val="00623577"/>
    <w:rsid w:val="0062528E"/>
    <w:rsid w:val="006361BB"/>
    <w:rsid w:val="00636700"/>
    <w:rsid w:val="00640BDC"/>
    <w:rsid w:val="00643A2C"/>
    <w:rsid w:val="00644AD8"/>
    <w:rsid w:val="006508D0"/>
    <w:rsid w:val="006518C5"/>
    <w:rsid w:val="00652AF5"/>
    <w:rsid w:val="00653758"/>
    <w:rsid w:val="00653A9F"/>
    <w:rsid w:val="0065552E"/>
    <w:rsid w:val="0065699F"/>
    <w:rsid w:val="00656B6D"/>
    <w:rsid w:val="0066178A"/>
    <w:rsid w:val="00662854"/>
    <w:rsid w:val="00666366"/>
    <w:rsid w:val="00671FC2"/>
    <w:rsid w:val="00677E92"/>
    <w:rsid w:val="00682580"/>
    <w:rsid w:val="006839D6"/>
    <w:rsid w:val="0068767B"/>
    <w:rsid w:val="00690660"/>
    <w:rsid w:val="0069179E"/>
    <w:rsid w:val="00693D52"/>
    <w:rsid w:val="00695884"/>
    <w:rsid w:val="0069655C"/>
    <w:rsid w:val="006968E2"/>
    <w:rsid w:val="006973EE"/>
    <w:rsid w:val="006A1DE0"/>
    <w:rsid w:val="006A579B"/>
    <w:rsid w:val="006A5C67"/>
    <w:rsid w:val="006A7CC3"/>
    <w:rsid w:val="006B110D"/>
    <w:rsid w:val="006B30B2"/>
    <w:rsid w:val="006B616A"/>
    <w:rsid w:val="006C4125"/>
    <w:rsid w:val="006C4C74"/>
    <w:rsid w:val="006D1C75"/>
    <w:rsid w:val="006D6DD1"/>
    <w:rsid w:val="006E2B63"/>
    <w:rsid w:val="006E302B"/>
    <w:rsid w:val="006E4F7A"/>
    <w:rsid w:val="006E522F"/>
    <w:rsid w:val="006E6FFB"/>
    <w:rsid w:val="006F1E43"/>
    <w:rsid w:val="006F37CC"/>
    <w:rsid w:val="006F455D"/>
    <w:rsid w:val="006F5E11"/>
    <w:rsid w:val="006F6F3C"/>
    <w:rsid w:val="00700E36"/>
    <w:rsid w:val="00703482"/>
    <w:rsid w:val="00704B03"/>
    <w:rsid w:val="007053B8"/>
    <w:rsid w:val="0070663F"/>
    <w:rsid w:val="007156B5"/>
    <w:rsid w:val="007207DA"/>
    <w:rsid w:val="0072446D"/>
    <w:rsid w:val="007329D0"/>
    <w:rsid w:val="00734D39"/>
    <w:rsid w:val="00736B5B"/>
    <w:rsid w:val="00737D4C"/>
    <w:rsid w:val="00740F55"/>
    <w:rsid w:val="00744976"/>
    <w:rsid w:val="0074526D"/>
    <w:rsid w:val="0074650F"/>
    <w:rsid w:val="00747EC8"/>
    <w:rsid w:val="00751D46"/>
    <w:rsid w:val="00753E34"/>
    <w:rsid w:val="00754B81"/>
    <w:rsid w:val="00755C76"/>
    <w:rsid w:val="00756258"/>
    <w:rsid w:val="00761D41"/>
    <w:rsid w:val="00761F7D"/>
    <w:rsid w:val="007634CC"/>
    <w:rsid w:val="007667A5"/>
    <w:rsid w:val="00772DFA"/>
    <w:rsid w:val="007739F3"/>
    <w:rsid w:val="0077462B"/>
    <w:rsid w:val="007754BD"/>
    <w:rsid w:val="007811E7"/>
    <w:rsid w:val="0078197C"/>
    <w:rsid w:val="00783AF0"/>
    <w:rsid w:val="00784015"/>
    <w:rsid w:val="00786639"/>
    <w:rsid w:val="00787EEB"/>
    <w:rsid w:val="00790DC5"/>
    <w:rsid w:val="00791340"/>
    <w:rsid w:val="00792ADB"/>
    <w:rsid w:val="00793B10"/>
    <w:rsid w:val="00793CC1"/>
    <w:rsid w:val="0079622F"/>
    <w:rsid w:val="007A1606"/>
    <w:rsid w:val="007A35B6"/>
    <w:rsid w:val="007A66FC"/>
    <w:rsid w:val="007B112D"/>
    <w:rsid w:val="007B16C8"/>
    <w:rsid w:val="007B1DB6"/>
    <w:rsid w:val="007B2AF0"/>
    <w:rsid w:val="007B3A12"/>
    <w:rsid w:val="007B5023"/>
    <w:rsid w:val="007B5275"/>
    <w:rsid w:val="007B65DD"/>
    <w:rsid w:val="007C093F"/>
    <w:rsid w:val="007C3B1E"/>
    <w:rsid w:val="007C436B"/>
    <w:rsid w:val="007C573D"/>
    <w:rsid w:val="007C5D86"/>
    <w:rsid w:val="007C6467"/>
    <w:rsid w:val="007C70BC"/>
    <w:rsid w:val="007D14FF"/>
    <w:rsid w:val="007D36E1"/>
    <w:rsid w:val="007D6828"/>
    <w:rsid w:val="007D7409"/>
    <w:rsid w:val="007E050F"/>
    <w:rsid w:val="007E1E10"/>
    <w:rsid w:val="007E4D43"/>
    <w:rsid w:val="007E4F90"/>
    <w:rsid w:val="007E5AE3"/>
    <w:rsid w:val="007E5FDD"/>
    <w:rsid w:val="007F03D7"/>
    <w:rsid w:val="007F1389"/>
    <w:rsid w:val="007F1549"/>
    <w:rsid w:val="007F2DFA"/>
    <w:rsid w:val="007F34E5"/>
    <w:rsid w:val="007F4601"/>
    <w:rsid w:val="007F4B1D"/>
    <w:rsid w:val="007F50A8"/>
    <w:rsid w:val="007F6AB0"/>
    <w:rsid w:val="007F755E"/>
    <w:rsid w:val="00800796"/>
    <w:rsid w:val="00800D74"/>
    <w:rsid w:val="008018CC"/>
    <w:rsid w:val="0080396B"/>
    <w:rsid w:val="00804187"/>
    <w:rsid w:val="0081046E"/>
    <w:rsid w:val="00814947"/>
    <w:rsid w:val="00814BD1"/>
    <w:rsid w:val="00816A2D"/>
    <w:rsid w:val="00821E66"/>
    <w:rsid w:val="00822FD9"/>
    <w:rsid w:val="008246C0"/>
    <w:rsid w:val="00830635"/>
    <w:rsid w:val="00836945"/>
    <w:rsid w:val="00841A50"/>
    <w:rsid w:val="0084772D"/>
    <w:rsid w:val="00854469"/>
    <w:rsid w:val="0086411D"/>
    <w:rsid w:val="008666DD"/>
    <w:rsid w:val="00873812"/>
    <w:rsid w:val="0088040D"/>
    <w:rsid w:val="00881817"/>
    <w:rsid w:val="008819A9"/>
    <w:rsid w:val="008826E5"/>
    <w:rsid w:val="00882933"/>
    <w:rsid w:val="008857CB"/>
    <w:rsid w:val="00885EE4"/>
    <w:rsid w:val="0089166C"/>
    <w:rsid w:val="00891EE5"/>
    <w:rsid w:val="00892983"/>
    <w:rsid w:val="0089371A"/>
    <w:rsid w:val="00897768"/>
    <w:rsid w:val="008A08A2"/>
    <w:rsid w:val="008A15BB"/>
    <w:rsid w:val="008A5034"/>
    <w:rsid w:val="008A7373"/>
    <w:rsid w:val="008B2177"/>
    <w:rsid w:val="008B2FFB"/>
    <w:rsid w:val="008B4FC2"/>
    <w:rsid w:val="008C18C2"/>
    <w:rsid w:val="008C1950"/>
    <w:rsid w:val="008C4C14"/>
    <w:rsid w:val="008C6A11"/>
    <w:rsid w:val="008D0E7A"/>
    <w:rsid w:val="008D18BC"/>
    <w:rsid w:val="008D24AE"/>
    <w:rsid w:val="008D3ABD"/>
    <w:rsid w:val="008D5A12"/>
    <w:rsid w:val="008E0122"/>
    <w:rsid w:val="008E2800"/>
    <w:rsid w:val="008E3353"/>
    <w:rsid w:val="008E3C4F"/>
    <w:rsid w:val="008E6485"/>
    <w:rsid w:val="008F0156"/>
    <w:rsid w:val="008F1B4E"/>
    <w:rsid w:val="008F1F46"/>
    <w:rsid w:val="008F586D"/>
    <w:rsid w:val="008F7901"/>
    <w:rsid w:val="00900942"/>
    <w:rsid w:val="00902675"/>
    <w:rsid w:val="00903114"/>
    <w:rsid w:val="00906464"/>
    <w:rsid w:val="00906668"/>
    <w:rsid w:val="00906D72"/>
    <w:rsid w:val="009154FE"/>
    <w:rsid w:val="0092229A"/>
    <w:rsid w:val="00924849"/>
    <w:rsid w:val="00930666"/>
    <w:rsid w:val="00931222"/>
    <w:rsid w:val="0093508D"/>
    <w:rsid w:val="009369D2"/>
    <w:rsid w:val="00936FBB"/>
    <w:rsid w:val="00937028"/>
    <w:rsid w:val="009413E8"/>
    <w:rsid w:val="00943748"/>
    <w:rsid w:val="009457E9"/>
    <w:rsid w:val="00952A50"/>
    <w:rsid w:val="00954A51"/>
    <w:rsid w:val="00954CF6"/>
    <w:rsid w:val="00954FA6"/>
    <w:rsid w:val="009553AE"/>
    <w:rsid w:val="00955763"/>
    <w:rsid w:val="00956698"/>
    <w:rsid w:val="0096056C"/>
    <w:rsid w:val="009624C1"/>
    <w:rsid w:val="009636B3"/>
    <w:rsid w:val="00964A36"/>
    <w:rsid w:val="00971381"/>
    <w:rsid w:val="00972961"/>
    <w:rsid w:val="00974127"/>
    <w:rsid w:val="00977105"/>
    <w:rsid w:val="009837D1"/>
    <w:rsid w:val="009868D8"/>
    <w:rsid w:val="0099337D"/>
    <w:rsid w:val="00993538"/>
    <w:rsid w:val="00994F45"/>
    <w:rsid w:val="009953B3"/>
    <w:rsid w:val="009953E0"/>
    <w:rsid w:val="009962ED"/>
    <w:rsid w:val="009968B3"/>
    <w:rsid w:val="009A377A"/>
    <w:rsid w:val="009A4340"/>
    <w:rsid w:val="009A74B2"/>
    <w:rsid w:val="009B23A9"/>
    <w:rsid w:val="009B53F9"/>
    <w:rsid w:val="009C53EF"/>
    <w:rsid w:val="009C570D"/>
    <w:rsid w:val="009D2A31"/>
    <w:rsid w:val="009D5832"/>
    <w:rsid w:val="009E014F"/>
    <w:rsid w:val="009F006D"/>
    <w:rsid w:val="009F11A4"/>
    <w:rsid w:val="009F160C"/>
    <w:rsid w:val="009F26AF"/>
    <w:rsid w:val="009F3802"/>
    <w:rsid w:val="009F3C67"/>
    <w:rsid w:val="009F54CA"/>
    <w:rsid w:val="009F6350"/>
    <w:rsid w:val="00A00765"/>
    <w:rsid w:val="00A03B51"/>
    <w:rsid w:val="00A07323"/>
    <w:rsid w:val="00A07672"/>
    <w:rsid w:val="00A16EC0"/>
    <w:rsid w:val="00A16FC1"/>
    <w:rsid w:val="00A20209"/>
    <w:rsid w:val="00A20BEE"/>
    <w:rsid w:val="00A2263E"/>
    <w:rsid w:val="00A24F3A"/>
    <w:rsid w:val="00A272F1"/>
    <w:rsid w:val="00A30BD7"/>
    <w:rsid w:val="00A313F5"/>
    <w:rsid w:val="00A33CDD"/>
    <w:rsid w:val="00A34AE9"/>
    <w:rsid w:val="00A35C5F"/>
    <w:rsid w:val="00A37720"/>
    <w:rsid w:val="00A410E7"/>
    <w:rsid w:val="00A43B43"/>
    <w:rsid w:val="00A44CD5"/>
    <w:rsid w:val="00A5014D"/>
    <w:rsid w:val="00A504CE"/>
    <w:rsid w:val="00A5211E"/>
    <w:rsid w:val="00A52E1C"/>
    <w:rsid w:val="00A54685"/>
    <w:rsid w:val="00A55601"/>
    <w:rsid w:val="00A55A78"/>
    <w:rsid w:val="00A61AF7"/>
    <w:rsid w:val="00A626DF"/>
    <w:rsid w:val="00A6378C"/>
    <w:rsid w:val="00A705D9"/>
    <w:rsid w:val="00A726C2"/>
    <w:rsid w:val="00A75719"/>
    <w:rsid w:val="00A7707F"/>
    <w:rsid w:val="00A808EB"/>
    <w:rsid w:val="00A82891"/>
    <w:rsid w:val="00A8481E"/>
    <w:rsid w:val="00A854AD"/>
    <w:rsid w:val="00A918F9"/>
    <w:rsid w:val="00A91E21"/>
    <w:rsid w:val="00A92EF0"/>
    <w:rsid w:val="00AA11AD"/>
    <w:rsid w:val="00AA120E"/>
    <w:rsid w:val="00AA127C"/>
    <w:rsid w:val="00AA5107"/>
    <w:rsid w:val="00AA706F"/>
    <w:rsid w:val="00AB2325"/>
    <w:rsid w:val="00AB6F71"/>
    <w:rsid w:val="00AC3A3B"/>
    <w:rsid w:val="00AD1B0C"/>
    <w:rsid w:val="00AD4292"/>
    <w:rsid w:val="00AD5AFD"/>
    <w:rsid w:val="00AE708D"/>
    <w:rsid w:val="00AF590A"/>
    <w:rsid w:val="00B0286F"/>
    <w:rsid w:val="00B04A5E"/>
    <w:rsid w:val="00B0631B"/>
    <w:rsid w:val="00B07423"/>
    <w:rsid w:val="00B1101B"/>
    <w:rsid w:val="00B13F9F"/>
    <w:rsid w:val="00B14E53"/>
    <w:rsid w:val="00B159D2"/>
    <w:rsid w:val="00B16393"/>
    <w:rsid w:val="00B20235"/>
    <w:rsid w:val="00B2344F"/>
    <w:rsid w:val="00B23C5F"/>
    <w:rsid w:val="00B2603D"/>
    <w:rsid w:val="00B26435"/>
    <w:rsid w:val="00B26C50"/>
    <w:rsid w:val="00B32CFF"/>
    <w:rsid w:val="00B32F3D"/>
    <w:rsid w:val="00B42702"/>
    <w:rsid w:val="00B42FCB"/>
    <w:rsid w:val="00B44950"/>
    <w:rsid w:val="00B4529F"/>
    <w:rsid w:val="00B45315"/>
    <w:rsid w:val="00B51638"/>
    <w:rsid w:val="00B520D6"/>
    <w:rsid w:val="00B5230B"/>
    <w:rsid w:val="00B52F6C"/>
    <w:rsid w:val="00B54B25"/>
    <w:rsid w:val="00B56801"/>
    <w:rsid w:val="00B56886"/>
    <w:rsid w:val="00B61054"/>
    <w:rsid w:val="00B62016"/>
    <w:rsid w:val="00B6344D"/>
    <w:rsid w:val="00B645F5"/>
    <w:rsid w:val="00B67116"/>
    <w:rsid w:val="00B67C39"/>
    <w:rsid w:val="00B71A33"/>
    <w:rsid w:val="00B76C9A"/>
    <w:rsid w:val="00B778D4"/>
    <w:rsid w:val="00B80E82"/>
    <w:rsid w:val="00B82448"/>
    <w:rsid w:val="00B82DA5"/>
    <w:rsid w:val="00B935CC"/>
    <w:rsid w:val="00B93B12"/>
    <w:rsid w:val="00B97B64"/>
    <w:rsid w:val="00BA0EF2"/>
    <w:rsid w:val="00BA3423"/>
    <w:rsid w:val="00BA3669"/>
    <w:rsid w:val="00BB608C"/>
    <w:rsid w:val="00BB62AF"/>
    <w:rsid w:val="00BB79A6"/>
    <w:rsid w:val="00BC2F2E"/>
    <w:rsid w:val="00BC2F98"/>
    <w:rsid w:val="00BC49F4"/>
    <w:rsid w:val="00BC4B89"/>
    <w:rsid w:val="00BD0B59"/>
    <w:rsid w:val="00BD415D"/>
    <w:rsid w:val="00BD4A22"/>
    <w:rsid w:val="00BE2E33"/>
    <w:rsid w:val="00BE31DC"/>
    <w:rsid w:val="00BE3369"/>
    <w:rsid w:val="00BE42ED"/>
    <w:rsid w:val="00BE42FB"/>
    <w:rsid w:val="00BE50CB"/>
    <w:rsid w:val="00BE5171"/>
    <w:rsid w:val="00BE5A1B"/>
    <w:rsid w:val="00BE5EE1"/>
    <w:rsid w:val="00BE6A6C"/>
    <w:rsid w:val="00BF2293"/>
    <w:rsid w:val="00C025B8"/>
    <w:rsid w:val="00C02901"/>
    <w:rsid w:val="00C051A0"/>
    <w:rsid w:val="00C0623F"/>
    <w:rsid w:val="00C06430"/>
    <w:rsid w:val="00C11BA4"/>
    <w:rsid w:val="00C14E8D"/>
    <w:rsid w:val="00C2005D"/>
    <w:rsid w:val="00C20DE6"/>
    <w:rsid w:val="00C2564D"/>
    <w:rsid w:val="00C31801"/>
    <w:rsid w:val="00C32577"/>
    <w:rsid w:val="00C4624D"/>
    <w:rsid w:val="00C500B3"/>
    <w:rsid w:val="00C5098D"/>
    <w:rsid w:val="00C50D23"/>
    <w:rsid w:val="00C50F7C"/>
    <w:rsid w:val="00C51C68"/>
    <w:rsid w:val="00C5243A"/>
    <w:rsid w:val="00C553DF"/>
    <w:rsid w:val="00C71E1B"/>
    <w:rsid w:val="00C730AC"/>
    <w:rsid w:val="00C76E5E"/>
    <w:rsid w:val="00C82114"/>
    <w:rsid w:val="00C8378B"/>
    <w:rsid w:val="00C86438"/>
    <w:rsid w:val="00C86C0D"/>
    <w:rsid w:val="00C87005"/>
    <w:rsid w:val="00C8754B"/>
    <w:rsid w:val="00C908BC"/>
    <w:rsid w:val="00C91B38"/>
    <w:rsid w:val="00C91B6A"/>
    <w:rsid w:val="00C9381B"/>
    <w:rsid w:val="00C973FC"/>
    <w:rsid w:val="00CA3C06"/>
    <w:rsid w:val="00CA6FB6"/>
    <w:rsid w:val="00CA7386"/>
    <w:rsid w:val="00CB0296"/>
    <w:rsid w:val="00CB2D1D"/>
    <w:rsid w:val="00CB3CA1"/>
    <w:rsid w:val="00CB401B"/>
    <w:rsid w:val="00CB5E62"/>
    <w:rsid w:val="00CB5F02"/>
    <w:rsid w:val="00CC3DC5"/>
    <w:rsid w:val="00CD386D"/>
    <w:rsid w:val="00CE0751"/>
    <w:rsid w:val="00CE0C9A"/>
    <w:rsid w:val="00CE264D"/>
    <w:rsid w:val="00CE4F73"/>
    <w:rsid w:val="00CE692C"/>
    <w:rsid w:val="00CE7AE2"/>
    <w:rsid w:val="00CF3CDD"/>
    <w:rsid w:val="00CF5AF0"/>
    <w:rsid w:val="00CF5ED7"/>
    <w:rsid w:val="00CF781C"/>
    <w:rsid w:val="00CF78B9"/>
    <w:rsid w:val="00D015AC"/>
    <w:rsid w:val="00D025C8"/>
    <w:rsid w:val="00D039E3"/>
    <w:rsid w:val="00D03F5F"/>
    <w:rsid w:val="00D05683"/>
    <w:rsid w:val="00D13684"/>
    <w:rsid w:val="00D13A58"/>
    <w:rsid w:val="00D16843"/>
    <w:rsid w:val="00D17D4D"/>
    <w:rsid w:val="00D17DE3"/>
    <w:rsid w:val="00D22E40"/>
    <w:rsid w:val="00D26D33"/>
    <w:rsid w:val="00D2768C"/>
    <w:rsid w:val="00D27808"/>
    <w:rsid w:val="00D3222E"/>
    <w:rsid w:val="00D3239E"/>
    <w:rsid w:val="00D330CF"/>
    <w:rsid w:val="00D335B0"/>
    <w:rsid w:val="00D33922"/>
    <w:rsid w:val="00D346FB"/>
    <w:rsid w:val="00D34A99"/>
    <w:rsid w:val="00D35B55"/>
    <w:rsid w:val="00D41117"/>
    <w:rsid w:val="00D41C2F"/>
    <w:rsid w:val="00D43152"/>
    <w:rsid w:val="00D455DA"/>
    <w:rsid w:val="00D52D9C"/>
    <w:rsid w:val="00D55161"/>
    <w:rsid w:val="00D62F5B"/>
    <w:rsid w:val="00D6531E"/>
    <w:rsid w:val="00D66E90"/>
    <w:rsid w:val="00D6709B"/>
    <w:rsid w:val="00D727AF"/>
    <w:rsid w:val="00D76A6D"/>
    <w:rsid w:val="00D80B36"/>
    <w:rsid w:val="00D83DA1"/>
    <w:rsid w:val="00D854D2"/>
    <w:rsid w:val="00D90935"/>
    <w:rsid w:val="00D90D1C"/>
    <w:rsid w:val="00D946FA"/>
    <w:rsid w:val="00DA1D50"/>
    <w:rsid w:val="00DB2AA9"/>
    <w:rsid w:val="00DB5538"/>
    <w:rsid w:val="00DC03D0"/>
    <w:rsid w:val="00DC0921"/>
    <w:rsid w:val="00DC19C1"/>
    <w:rsid w:val="00DC3B6D"/>
    <w:rsid w:val="00DC77AE"/>
    <w:rsid w:val="00DD1A90"/>
    <w:rsid w:val="00DD243B"/>
    <w:rsid w:val="00DD5954"/>
    <w:rsid w:val="00DD7918"/>
    <w:rsid w:val="00DE0168"/>
    <w:rsid w:val="00DE23E5"/>
    <w:rsid w:val="00DE294B"/>
    <w:rsid w:val="00DE371A"/>
    <w:rsid w:val="00DE41E7"/>
    <w:rsid w:val="00DE54E2"/>
    <w:rsid w:val="00DE709C"/>
    <w:rsid w:val="00DF1B53"/>
    <w:rsid w:val="00DF1D3E"/>
    <w:rsid w:val="00DF3B3B"/>
    <w:rsid w:val="00DF4C64"/>
    <w:rsid w:val="00DF61F7"/>
    <w:rsid w:val="00DF6578"/>
    <w:rsid w:val="00DF6986"/>
    <w:rsid w:val="00DF7694"/>
    <w:rsid w:val="00DF787F"/>
    <w:rsid w:val="00E00823"/>
    <w:rsid w:val="00E0084A"/>
    <w:rsid w:val="00E10939"/>
    <w:rsid w:val="00E10B48"/>
    <w:rsid w:val="00E10F35"/>
    <w:rsid w:val="00E119AB"/>
    <w:rsid w:val="00E12D33"/>
    <w:rsid w:val="00E12DC7"/>
    <w:rsid w:val="00E149B5"/>
    <w:rsid w:val="00E15C6E"/>
    <w:rsid w:val="00E20887"/>
    <w:rsid w:val="00E24809"/>
    <w:rsid w:val="00E257C8"/>
    <w:rsid w:val="00E34094"/>
    <w:rsid w:val="00E37BEC"/>
    <w:rsid w:val="00E447A6"/>
    <w:rsid w:val="00E44F44"/>
    <w:rsid w:val="00E477A5"/>
    <w:rsid w:val="00E52027"/>
    <w:rsid w:val="00E52913"/>
    <w:rsid w:val="00E56837"/>
    <w:rsid w:val="00E56DC1"/>
    <w:rsid w:val="00E60703"/>
    <w:rsid w:val="00E76893"/>
    <w:rsid w:val="00E7709B"/>
    <w:rsid w:val="00E810E2"/>
    <w:rsid w:val="00E8364C"/>
    <w:rsid w:val="00E87237"/>
    <w:rsid w:val="00E874C7"/>
    <w:rsid w:val="00E94B93"/>
    <w:rsid w:val="00EA0661"/>
    <w:rsid w:val="00EA221E"/>
    <w:rsid w:val="00EA41FC"/>
    <w:rsid w:val="00EA7EA2"/>
    <w:rsid w:val="00EB45F6"/>
    <w:rsid w:val="00EB6C23"/>
    <w:rsid w:val="00EC0CF6"/>
    <w:rsid w:val="00EC1DCD"/>
    <w:rsid w:val="00EC58C7"/>
    <w:rsid w:val="00EC58EB"/>
    <w:rsid w:val="00ED0087"/>
    <w:rsid w:val="00ED2781"/>
    <w:rsid w:val="00ED3475"/>
    <w:rsid w:val="00EE1DD8"/>
    <w:rsid w:val="00EE3B84"/>
    <w:rsid w:val="00EE4D49"/>
    <w:rsid w:val="00EE5B75"/>
    <w:rsid w:val="00EE5D4B"/>
    <w:rsid w:val="00EE65BC"/>
    <w:rsid w:val="00EE7D35"/>
    <w:rsid w:val="00EF0D42"/>
    <w:rsid w:val="00EF1F89"/>
    <w:rsid w:val="00EF3D6D"/>
    <w:rsid w:val="00EF5680"/>
    <w:rsid w:val="00EF702D"/>
    <w:rsid w:val="00EF7DC4"/>
    <w:rsid w:val="00EF7E38"/>
    <w:rsid w:val="00F00276"/>
    <w:rsid w:val="00F009FD"/>
    <w:rsid w:val="00F00B1C"/>
    <w:rsid w:val="00F02DE5"/>
    <w:rsid w:val="00F05A11"/>
    <w:rsid w:val="00F11629"/>
    <w:rsid w:val="00F11632"/>
    <w:rsid w:val="00F13D70"/>
    <w:rsid w:val="00F21119"/>
    <w:rsid w:val="00F238A8"/>
    <w:rsid w:val="00F25B8E"/>
    <w:rsid w:val="00F25BDF"/>
    <w:rsid w:val="00F305F6"/>
    <w:rsid w:val="00F30C03"/>
    <w:rsid w:val="00F347CD"/>
    <w:rsid w:val="00F41ECE"/>
    <w:rsid w:val="00F41FA0"/>
    <w:rsid w:val="00F42C0E"/>
    <w:rsid w:val="00F43227"/>
    <w:rsid w:val="00F454A2"/>
    <w:rsid w:val="00F462C5"/>
    <w:rsid w:val="00F46BB9"/>
    <w:rsid w:val="00F4765F"/>
    <w:rsid w:val="00F51528"/>
    <w:rsid w:val="00F5379F"/>
    <w:rsid w:val="00F574FB"/>
    <w:rsid w:val="00F61292"/>
    <w:rsid w:val="00F627C9"/>
    <w:rsid w:val="00F64885"/>
    <w:rsid w:val="00F65A63"/>
    <w:rsid w:val="00F66284"/>
    <w:rsid w:val="00F6661B"/>
    <w:rsid w:val="00F679DD"/>
    <w:rsid w:val="00F70338"/>
    <w:rsid w:val="00F70679"/>
    <w:rsid w:val="00F74A55"/>
    <w:rsid w:val="00F758B5"/>
    <w:rsid w:val="00F75ED6"/>
    <w:rsid w:val="00F774D5"/>
    <w:rsid w:val="00F77BB8"/>
    <w:rsid w:val="00F8139A"/>
    <w:rsid w:val="00F8188D"/>
    <w:rsid w:val="00F8514A"/>
    <w:rsid w:val="00F8557B"/>
    <w:rsid w:val="00F86181"/>
    <w:rsid w:val="00F863AD"/>
    <w:rsid w:val="00F873D5"/>
    <w:rsid w:val="00F916C7"/>
    <w:rsid w:val="00F932CC"/>
    <w:rsid w:val="00F93539"/>
    <w:rsid w:val="00F96968"/>
    <w:rsid w:val="00FA0928"/>
    <w:rsid w:val="00FA0BE3"/>
    <w:rsid w:val="00FA1C9C"/>
    <w:rsid w:val="00FA41CA"/>
    <w:rsid w:val="00FA77CE"/>
    <w:rsid w:val="00FB097F"/>
    <w:rsid w:val="00FB5F11"/>
    <w:rsid w:val="00FB6FCB"/>
    <w:rsid w:val="00FC1D7E"/>
    <w:rsid w:val="00FC3D6D"/>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22785D"/>
  <w15:docId w15:val="{B83F6EF8-9D48-4F4D-9210-6E443655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character" w:customStyle="1" w:styleId="saltopagina">
    <w:name w:val="saltopagina"/>
    <w:basedOn w:val="Carpredefinitoparagrafo"/>
    <w:rsid w:val="00C82114"/>
  </w:style>
  <w:style w:type="paragraph" w:customStyle="1" w:styleId="ancora">
    <w:name w:val="ancora"/>
    <w:basedOn w:val="Normale"/>
    <w:rsid w:val="00C8211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74156303">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1611106">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31DE0-11F2-4327-9FB6-5E75BB92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9719</Words>
  <Characters>55404</Characters>
  <Application>Microsoft Office Word</Application>
  <DocSecurity>0</DocSecurity>
  <Lines>461</Lines>
  <Paragraphs>129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3</cp:revision>
  <cp:lastPrinted>2019-01-08T11:23:00Z</cp:lastPrinted>
  <dcterms:created xsi:type="dcterms:W3CDTF">2020-10-28T10:09:00Z</dcterms:created>
  <dcterms:modified xsi:type="dcterms:W3CDTF">2020-10-28T10:14:00Z</dcterms:modified>
</cp:coreProperties>
</file>