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A41F9F" w14:textId="77777777" w:rsidR="00F46BB9" w:rsidRPr="00793CC1" w:rsidRDefault="00F46BB9" w:rsidP="00793CC1">
      <w:pPr>
        <w:tabs>
          <w:tab w:val="left" w:pos="993"/>
        </w:tabs>
        <w:spacing w:after="140"/>
        <w:rPr>
          <w:rFonts w:asciiTheme="minorHAnsi" w:hAnsiTheme="minorHAnsi"/>
          <w:sz w:val="24"/>
          <w:szCs w:val="24"/>
        </w:rPr>
      </w:pPr>
    </w:p>
    <w:p w14:paraId="0F5DC3F2" w14:textId="77777777" w:rsidR="00F6661B" w:rsidRPr="00793CC1" w:rsidRDefault="002C1B13"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S. 1721</w:t>
      </w:r>
    </w:p>
    <w:p w14:paraId="1B32E2B3"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603E85C2"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99E4A80" w14:textId="77777777" w:rsidR="004162E1" w:rsidRDefault="002C1B13" w:rsidP="002C1B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
          <w:bCs/>
          <w:color w:val="000000" w:themeColor="text1"/>
          <w:sz w:val="24"/>
          <w:szCs w:val="24"/>
          <w:u w:val="single"/>
        </w:rPr>
        <w:t>S. 1721</w:t>
      </w:r>
      <w:r w:rsidR="00C87005">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w:t>
      </w:r>
      <w:r w:rsidR="00C87005">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Nell</w:t>
      </w:r>
      <w:r w:rsidR="004162E1">
        <w:rPr>
          <w:rFonts w:asciiTheme="minorHAnsi" w:eastAsia="Times New Roman" w:hAnsiTheme="minorHAnsi" w:cs="Times New Roman"/>
          <w:bCs/>
          <w:i/>
          <w:color w:val="000000" w:themeColor="text1"/>
          <w:sz w:val="24"/>
          <w:szCs w:val="24"/>
        </w:rPr>
        <w:t>a</w:t>
      </w:r>
      <w:r w:rsidR="00CF781C">
        <w:rPr>
          <w:rFonts w:asciiTheme="minorHAnsi" w:eastAsia="Times New Roman" w:hAnsiTheme="minorHAnsi" w:cs="Times New Roman"/>
          <w:bCs/>
          <w:i/>
          <w:color w:val="000000" w:themeColor="text1"/>
          <w:sz w:val="24"/>
          <w:szCs w:val="24"/>
        </w:rPr>
        <w:t xml:space="preserve"> giornat</w:t>
      </w:r>
      <w:r w:rsidR="004162E1">
        <w:rPr>
          <w:rFonts w:asciiTheme="minorHAnsi" w:eastAsia="Times New Roman" w:hAnsiTheme="minorHAnsi" w:cs="Times New Roman"/>
          <w:bCs/>
          <w:i/>
          <w:color w:val="000000" w:themeColor="text1"/>
          <w:sz w:val="24"/>
          <w:szCs w:val="24"/>
        </w:rPr>
        <w:t>a di ieri, 9</w:t>
      </w:r>
      <w:r w:rsidR="00CF781C">
        <w:rPr>
          <w:rFonts w:asciiTheme="minorHAnsi" w:eastAsia="Times New Roman" w:hAnsiTheme="minorHAnsi" w:cs="Times New Roman"/>
          <w:bCs/>
          <w:i/>
          <w:color w:val="000000" w:themeColor="text1"/>
          <w:sz w:val="24"/>
          <w:szCs w:val="24"/>
        </w:rPr>
        <w:t xml:space="preserve"> settembre 2020</w:t>
      </w:r>
      <w:r w:rsidR="004162E1">
        <w:rPr>
          <w:rFonts w:asciiTheme="minorHAnsi" w:eastAsia="Times New Roman" w:hAnsiTheme="minorHAnsi" w:cs="Times New Roman"/>
          <w:bCs/>
          <w:i/>
          <w:color w:val="000000" w:themeColor="text1"/>
          <w:sz w:val="24"/>
          <w:szCs w:val="24"/>
        </w:rPr>
        <w:t>,</w:t>
      </w:r>
      <w:r w:rsidR="00CF781C">
        <w:rPr>
          <w:rFonts w:asciiTheme="minorHAnsi" w:eastAsia="Times New Roman" w:hAnsiTheme="minorHAnsi" w:cs="Times New Roman"/>
          <w:bCs/>
          <w:i/>
          <w:color w:val="000000" w:themeColor="text1"/>
          <w:sz w:val="24"/>
          <w:szCs w:val="24"/>
        </w:rPr>
        <w:t xml:space="preserve"> la Commissione Politiche Ue del Senato ha proseguito </w:t>
      </w:r>
      <w:r w:rsidR="004162E1">
        <w:rPr>
          <w:rFonts w:asciiTheme="minorHAnsi" w:eastAsia="Times New Roman" w:hAnsiTheme="minorHAnsi" w:cs="Times New Roman"/>
          <w:bCs/>
          <w:i/>
          <w:color w:val="000000" w:themeColor="text1"/>
          <w:sz w:val="24"/>
          <w:szCs w:val="24"/>
        </w:rPr>
        <w:t xml:space="preserve">e concluso </w:t>
      </w:r>
      <w:r w:rsidR="00CF781C">
        <w:rPr>
          <w:rFonts w:asciiTheme="minorHAnsi" w:eastAsia="Times New Roman" w:hAnsiTheme="minorHAnsi" w:cs="Times New Roman"/>
          <w:bCs/>
          <w:i/>
          <w:color w:val="000000" w:themeColor="text1"/>
          <w:sz w:val="24"/>
          <w:szCs w:val="24"/>
        </w:rPr>
        <w:t>l’esame in sede referente del provvedimento, approvando una serie di emendamenti</w:t>
      </w:r>
      <w:r w:rsidR="004162E1">
        <w:rPr>
          <w:rFonts w:asciiTheme="minorHAnsi" w:eastAsia="Times New Roman" w:hAnsiTheme="minorHAnsi" w:cs="Times New Roman"/>
          <w:bCs/>
          <w:i/>
          <w:color w:val="000000" w:themeColor="text1"/>
          <w:sz w:val="24"/>
          <w:szCs w:val="24"/>
        </w:rPr>
        <w:t>.</w:t>
      </w:r>
    </w:p>
    <w:p w14:paraId="289D0757" w14:textId="17611F6B" w:rsidR="00D346FB" w:rsidRDefault="003029F3" w:rsidP="002C1B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w:t>
      </w:r>
      <w:r w:rsidR="00CF781C">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 xml:space="preserve">la nostra ricostruzione del </w:t>
      </w:r>
      <w:proofErr w:type="spellStart"/>
      <w:r w:rsidR="00CF781C">
        <w:rPr>
          <w:rFonts w:asciiTheme="minorHAnsi" w:eastAsia="Times New Roman" w:hAnsiTheme="minorHAnsi" w:cs="Times New Roman"/>
          <w:bCs/>
          <w:i/>
          <w:color w:val="000000" w:themeColor="text1"/>
          <w:sz w:val="24"/>
          <w:szCs w:val="24"/>
        </w:rPr>
        <w:t>ddl</w:t>
      </w:r>
      <w:proofErr w:type="spellEnd"/>
      <w:r w:rsidR="00CF781C">
        <w:rPr>
          <w:rFonts w:asciiTheme="minorHAnsi" w:eastAsia="Times New Roman" w:hAnsiTheme="minorHAnsi" w:cs="Times New Roman"/>
          <w:bCs/>
          <w:i/>
          <w:color w:val="000000" w:themeColor="text1"/>
          <w:sz w:val="24"/>
          <w:szCs w:val="24"/>
        </w:rPr>
        <w:t xml:space="preserve"> con in evidenza </w:t>
      </w:r>
      <w:r w:rsidR="004162E1">
        <w:rPr>
          <w:rFonts w:asciiTheme="minorHAnsi" w:eastAsia="Times New Roman" w:hAnsiTheme="minorHAnsi" w:cs="Times New Roman"/>
          <w:bCs/>
          <w:i/>
          <w:color w:val="000000" w:themeColor="text1"/>
          <w:sz w:val="24"/>
          <w:szCs w:val="24"/>
        </w:rPr>
        <w:t xml:space="preserve">tutte </w:t>
      </w:r>
      <w:r w:rsidR="00CF781C">
        <w:rPr>
          <w:rFonts w:asciiTheme="minorHAnsi" w:eastAsia="Times New Roman" w:hAnsiTheme="minorHAnsi" w:cs="Times New Roman"/>
          <w:bCs/>
          <w:i/>
          <w:color w:val="000000" w:themeColor="text1"/>
          <w:sz w:val="24"/>
          <w:szCs w:val="24"/>
        </w:rPr>
        <w:t>le modifiche apportate dalla Commissione.</w:t>
      </w:r>
      <w:r w:rsidR="004A5847">
        <w:rPr>
          <w:rFonts w:asciiTheme="minorHAnsi" w:eastAsia="Times New Roman" w:hAnsiTheme="minorHAnsi" w:cs="Times New Roman"/>
          <w:bCs/>
          <w:i/>
          <w:color w:val="000000" w:themeColor="text1"/>
          <w:sz w:val="24"/>
          <w:szCs w:val="24"/>
        </w:rPr>
        <w:t xml:space="preserve"> </w:t>
      </w:r>
    </w:p>
    <w:p w14:paraId="5CB5D921" w14:textId="4757A061" w:rsidR="003029F3" w:rsidRDefault="003029F3" w:rsidP="002C1B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17E3DBFC" w14:textId="3635E507" w:rsidR="003029F3" w:rsidRDefault="003029F3" w:rsidP="003029F3">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3CC1">
        <w:rPr>
          <w:rFonts w:asciiTheme="minorHAnsi" w:eastAsia="Times New Roman" w:hAnsiTheme="minorHAnsi" w:cs="Times New Roman"/>
          <w:b/>
          <w:bCs/>
          <w:color w:val="000000" w:themeColor="text1"/>
          <w:sz w:val="24"/>
          <w:szCs w:val="24"/>
        </w:rPr>
        <w:t xml:space="preserve">Le modifiche introdotte dagli emendamenti approvati si riportano in grassetto, 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I subemendamenti approvati si evidenziano facendo uso del colore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A piè di pagina si riportano i riferimenti della proposta di modifica approvata.</w:t>
      </w:r>
    </w:p>
    <w:p w14:paraId="07B07778" w14:textId="77777777" w:rsidR="003029F3" w:rsidRDefault="003029F3" w:rsidP="002C1B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2B2F4B3B" w14:textId="77777777" w:rsidR="007F03D7"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5065D9DE" w14:textId="77777777" w:rsidR="00C87005" w:rsidRPr="00774097"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6E6405C4" w14:textId="77777777" w:rsid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DISEGNO DI LEGGE</w:t>
      </w:r>
    </w:p>
    <w:p w14:paraId="0E3E3488" w14:textId="77777777" w:rsidR="00185E53" w:rsidRPr="007F4601" w:rsidRDefault="00185E53" w:rsidP="00185E53">
      <w:pPr>
        <w:shd w:val="clear" w:color="auto" w:fill="FFFFFF"/>
        <w:tabs>
          <w:tab w:val="left" w:pos="993"/>
        </w:tabs>
        <w:spacing w:after="120" w:line="240" w:lineRule="auto"/>
        <w:jc w:val="center"/>
        <w:rPr>
          <w:rFonts w:asciiTheme="minorHAnsi" w:eastAsia="Times New Roman" w:hAnsiTheme="minorHAnsi" w:cs="Times New Roman"/>
          <w:b/>
          <w:color w:val="000000" w:themeColor="text1"/>
          <w:sz w:val="24"/>
          <w:szCs w:val="24"/>
        </w:rPr>
      </w:pPr>
      <w:r w:rsidRPr="00185E53">
        <w:rPr>
          <w:rFonts w:asciiTheme="minorHAnsi" w:eastAsia="Times New Roman" w:hAnsiTheme="minorHAnsi" w:cs="Times New Roman"/>
          <w:bCs/>
          <w:color w:val="000000" w:themeColor="text1"/>
          <w:sz w:val="24"/>
          <w:szCs w:val="24"/>
        </w:rPr>
        <w:t>Delega al Governo per il recepimento delle direttive europee e l'attuazione di altri atti dell'Unione europea – legge di delegazione europea 2019</w:t>
      </w:r>
      <w:r w:rsidR="007F4601">
        <w:rPr>
          <w:rFonts w:asciiTheme="minorHAnsi" w:eastAsia="Times New Roman" w:hAnsiTheme="minorHAnsi" w:cs="Times New Roman"/>
          <w:b/>
          <w:color w:val="000000" w:themeColor="text1"/>
          <w:sz w:val="24"/>
          <w:szCs w:val="24"/>
        </w:rPr>
        <w:t>-2020</w:t>
      </w:r>
      <w:r w:rsidR="007F4601">
        <w:rPr>
          <w:rStyle w:val="Rimandonotaapidipagina"/>
          <w:rFonts w:asciiTheme="minorHAnsi" w:eastAsia="Times New Roman" w:hAnsiTheme="minorHAnsi" w:cs="Times New Roman"/>
          <w:b/>
          <w:color w:val="000000" w:themeColor="text1"/>
          <w:sz w:val="24"/>
          <w:szCs w:val="24"/>
        </w:rPr>
        <w:footnoteReference w:id="1"/>
      </w:r>
    </w:p>
    <w:p w14:paraId="0371F07E" w14:textId="77777777" w:rsidR="00185E53" w:rsidRDefault="00185E5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523D642" w14:textId="77777777"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w:t>
      </w:r>
    </w:p>
    <w:p w14:paraId="0ADF7C92" w14:textId="77777777"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w:t>
      </w:r>
      <w:r w:rsidRPr="00185E53">
        <w:rPr>
          <w:rFonts w:asciiTheme="minorHAnsi" w:eastAsia="Times New Roman" w:hAnsiTheme="minorHAnsi" w:cs="Times New Roman"/>
          <w:bCs/>
          <w:i/>
          <w:color w:val="000000" w:themeColor="text1"/>
          <w:sz w:val="24"/>
          <w:szCs w:val="24"/>
        </w:rPr>
        <w:t>Delega al Governo per il recepimento delle direttive e l'attuazione degli altri atti dell'Unione europea)</w:t>
      </w:r>
    </w:p>
    <w:p w14:paraId="3ABA914E" w14:textId="77777777" w:rsidR="00CB401B" w:rsidRDefault="00CB401B"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6533E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Il Governo è delegato ad adottare, secondo i termini, le procedure, i princìpi e i criteri direttivi di cui agli articoli 31 e 32 della legge 24 dicembre 2012, n. 234, nonché secondo quelli specifi</w:t>
      </w:r>
      <w:r w:rsidR="00CB401B">
        <w:rPr>
          <w:rFonts w:asciiTheme="minorHAnsi" w:eastAsia="Times New Roman" w:hAnsiTheme="minorHAnsi" w:cs="Times New Roman"/>
          <w:bCs/>
          <w:color w:val="000000" w:themeColor="text1"/>
          <w:sz w:val="24"/>
          <w:szCs w:val="24"/>
        </w:rPr>
        <w:t>ci dettati dalla presente legge</w:t>
      </w:r>
      <w:r w:rsidRPr="002C1B13">
        <w:rPr>
          <w:rFonts w:asciiTheme="minorHAnsi" w:eastAsia="Times New Roman" w:hAnsiTheme="minorHAnsi" w:cs="Times New Roman"/>
          <w:bCs/>
          <w:color w:val="000000" w:themeColor="text1"/>
          <w:sz w:val="24"/>
          <w:szCs w:val="24"/>
        </w:rPr>
        <w:t xml:space="preserve"> </w:t>
      </w:r>
      <w:r w:rsidR="00CB401B" w:rsidRPr="00CB401B">
        <w:rPr>
          <w:rFonts w:asciiTheme="minorHAnsi" w:eastAsia="Times New Roman" w:hAnsiTheme="minorHAnsi" w:cs="Times New Roman"/>
          <w:b/>
          <w:bCs/>
          <w:color w:val="000000" w:themeColor="text1"/>
          <w:sz w:val="24"/>
          <w:szCs w:val="24"/>
        </w:rPr>
        <w:t>e tenendo conto delle eccezionali conseguenze economiche e sociali derivanti dalla pandemia da Covid-19</w:t>
      </w:r>
      <w:r w:rsidR="00CB401B">
        <w:rPr>
          <w:rStyle w:val="Rimandonotaapidipagina"/>
          <w:rFonts w:asciiTheme="minorHAnsi" w:eastAsia="Times New Roman" w:hAnsiTheme="minorHAnsi" w:cs="Times New Roman"/>
          <w:b/>
          <w:bCs/>
          <w:color w:val="000000" w:themeColor="text1"/>
          <w:sz w:val="24"/>
          <w:szCs w:val="24"/>
        </w:rPr>
        <w:footnoteReference w:id="2"/>
      </w:r>
      <w:r w:rsidR="00CB401B">
        <w:rPr>
          <w:rFonts w:asciiTheme="minorHAnsi" w:eastAsia="Times New Roman" w:hAnsiTheme="minorHAnsi" w:cs="Times New Roman"/>
          <w:b/>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i decreti legislativi per il recepimento delle direttive europee e l'attuazione degli altri atti dell'Unione europea di cui agli articoli da 3 a 20 e all'allegato A.</w:t>
      </w:r>
    </w:p>
    <w:p w14:paraId="1F8410B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81E50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2. Gli schemi dei decreti legislativi di cui al comma 1 sono trasmessi, dopo l'acquisizione degli altri pareri previsti dalla legge, alla Camera dei deputati e al Senato della Repubblica affinché su di essi sia espresso il parere dei competenti organi parlamentari.</w:t>
      </w:r>
    </w:p>
    <w:p w14:paraId="1A3BAE8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A4713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3. Eventuali spese non contemplate da leggi vigenti e che non riguardano l'attività ordinaria delle amministrazioni statali o regionali possono essere previste nei decreti legislativi di cui al comma 1, nei soli limiti occorrenti per l'adempimento degli obblighi derivanti dall'esercizio delle deleghe stesse. Alla relativa copertura, nonché alla copertura delle minori entrate eventualmente derivanti dall'attuazione delle deleghe, laddove non sia possibile farvi fronte con i fondi già assegnati alle competenti amministrazioni, si provvede mediante riduzione del fondo per il recepimento della normativa europea di cui all'articolo 41-bis della citata legge n. 234 del 2012. Qualora la dotazione del predetto fondo si rivelasse insufficiente, i decreti legislativi dai quali derivino nuovi o maggiori oneri sono emanati solo successivamente all'entrata in vigore dei provvedimenti legislativi che stanziano le occorrenti risorse finanziarie, in conformità all'articolo 17, comma 2, della legge 31 dicembre 2009, n. 196.</w:t>
      </w:r>
    </w:p>
    <w:p w14:paraId="059795C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59F4FF" w14:textId="77777777"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2.</w:t>
      </w:r>
    </w:p>
    <w:p w14:paraId="4D189E39" w14:textId="77777777"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(Delega al Governo per la disciplina sanzionatoria di violazioni di atti normativi dell'Unione europea)</w:t>
      </w:r>
    </w:p>
    <w:p w14:paraId="447AC46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CD792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Il Governo, fatte salve le norme penali vigenti, è delegato ad adottare, ai sensi dell'articolo 33 della citata legge n. 234 del 2012, e secondo i princìpi e i criteri direttivi dell'articolo 32, comma 1, lettera d), della medesima legge, entro due anni dalla data di entrata in vigore della presente legge, disposizioni recanti sanzioni penali o amministrative per le violazioni di obblighi contenuti in direttive europee recepite in via regolamentare o amministrativa, o in regolamenti dell'Unione europea pubblicati alla data dell'entrata in vigore della presente legge, per i quali non siano già previste sanzioni penali o amministrative.</w:t>
      </w:r>
    </w:p>
    <w:p w14:paraId="49AD05C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C2DFB6" w14:textId="77777777"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3.</w:t>
      </w:r>
    </w:p>
    <w:p w14:paraId="080D02BE" w14:textId="77777777"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(Princìpi e criteri direttivi per l'attuazione della direttiva (UE) 2018/1808, recante modifica della direttiva 2010/13/UE, relativa al coordinamento di determinate disposizioni legislative, regolamentari e amministrative degli Stati membri concernenti la fornitura di servizi di media audiovisivi (direttiva sui servizi di media audiovisivi), in considerazione dell'evoluzione delle realtà del mercato)</w:t>
      </w:r>
    </w:p>
    <w:p w14:paraId="762EDA4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79034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Nell'esercizio della delega per l'attuazione della direttiva (UE) 2018/1808 del Parlamento europeo e del Consiglio, del 14 novembre 2018, il Governo osserva, oltre ai princìpi e criteri direttivi generali di cui all'articolo 32 della legge n. 234 del 2012, anche i seguenti princìpi e criteri direttivi specifici:</w:t>
      </w:r>
    </w:p>
    <w:p w14:paraId="037E9B4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a) riordinare le disposizioni del testo unico dei servizi di media audiovisivi e radiofonici, di cui al decreto legislativo 31 luglio 2005, n. 177, recante testo unico dei servizi di media audiovisivi e radiofonici, attraverso l'emanazione di un nuovo testo unico dei servizi di media digitali con adeguamento delle disposizioni e delle definizioni, comprese quelle relative ai servizi di media audiovisivi, radiofonici e ai servizi di piattaforma per la condivisione di video, alla luce dell'evoluzione tecnologica e di mercato;</w:t>
      </w:r>
    </w:p>
    <w:p w14:paraId="2B178AF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prevedere misure atte ad assicurare un'adeguata tutela della dignità umana e dei minori in relazione ai contenuti audiovisivi, ivi inclusi i video generati dagli utenti, e alle comunicazioni commerciali da parte delle piattaforme per la condivisione dei video, affidando i relativi compiti, anche di promozione di procedure di auto-regolamentazione e co-regolamentazione, all'Autorità per le garanzie nelle comunicazioni quale Autorità nazionale di regolamentazione di settore;</w:t>
      </w:r>
    </w:p>
    <w:p w14:paraId="413C25D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prevedere specifiche misure a tutela dei consumatori di servizi di media audiovisivi, lineari e non lineari, anche mediante il ricorso a procedure di risoluzione extragiudiziale delle controversie e meccanismi di indennizzo in caso di disservizi, affidando la regolamentazione di tali procedure all'Autorità per le garanzie nelle comunicazioni;</w:t>
      </w:r>
    </w:p>
    <w:p w14:paraId="3B8379D9" w14:textId="77777777" w:rsidR="002C1B13" w:rsidRPr="002C1B13" w:rsidRDefault="002C1B13" w:rsidP="00F454A2">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prevedere misure per la promozione delle opere europee, anche nei servizi di media audiovisivi a richiesta</w:t>
      </w:r>
      <w:r w:rsidR="00F454A2">
        <w:rPr>
          <w:rFonts w:asciiTheme="minorHAnsi" w:eastAsia="Times New Roman" w:hAnsiTheme="minorHAnsi" w:cs="Times New Roman"/>
          <w:bCs/>
          <w:color w:val="000000" w:themeColor="text1"/>
          <w:sz w:val="24"/>
          <w:szCs w:val="24"/>
        </w:rPr>
        <w:t xml:space="preserve"> </w:t>
      </w:r>
      <w:r w:rsidR="00F454A2" w:rsidRPr="00DE0D2C">
        <w:rPr>
          <w:b/>
          <w:bCs/>
          <w:color w:val="000000" w:themeColor="text1"/>
          <w:sz w:val="24"/>
          <w:szCs w:val="24"/>
        </w:rPr>
        <w:t>anche attraverso una semplificazione e razionalizzazione delle misure attualmente vigenti</w:t>
      </w:r>
      <w:r w:rsidR="00F454A2">
        <w:rPr>
          <w:rStyle w:val="Rimandonotaapidipagina"/>
          <w:b/>
          <w:bCs/>
          <w:color w:val="000000" w:themeColor="text1"/>
          <w:sz w:val="24"/>
          <w:szCs w:val="24"/>
        </w:rPr>
        <w:footnoteReference w:id="3"/>
      </w:r>
      <w:r w:rsidRPr="002C1B13">
        <w:rPr>
          <w:rFonts w:asciiTheme="minorHAnsi" w:eastAsia="Times New Roman" w:hAnsiTheme="minorHAnsi" w:cs="Times New Roman"/>
          <w:bCs/>
          <w:color w:val="000000" w:themeColor="text1"/>
          <w:sz w:val="24"/>
          <w:szCs w:val="24"/>
        </w:rPr>
        <w:t>, nonché di specifiche misure per la promozione della trasparenza degli assetti proprietari dei fornitori dei servizi di cui alla lettera a);</w:t>
      </w:r>
    </w:p>
    <w:p w14:paraId="3DE65924"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prevedere misure per l'adeguamento delle prescrizioni per le comunicazioni commerciali da applicare anche ai servizi di piattaforma per la condivisione di video e per la revisione dei limiti di affollamento pubblicitario secondo princìpi di flessibilità, proporzionalità e concorrenzialità;</w:t>
      </w:r>
    </w:p>
    <w:p w14:paraId="48F695B7" w14:textId="77777777" w:rsidR="00CB401B" w:rsidRPr="00CB401B" w:rsidRDefault="00CB401B"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e-bis) prevedere apposite misure per il contenimento del livello sonoro delle comunicazioni commerciali e dei messaggi trasmessi dalle emittenti radiotelevisive pubbliche e private, dai fornitori di contenuti operanti su frequenze terrestri e via satellite, in accordo con le delibere dell'Autorità delle garanzie nelle comunicazioni;</w:t>
      </w:r>
      <w:r>
        <w:rPr>
          <w:rStyle w:val="Rimandonotaapidipagina"/>
          <w:rFonts w:asciiTheme="minorHAnsi" w:eastAsia="Times New Roman" w:hAnsiTheme="minorHAnsi" w:cs="Times New Roman"/>
          <w:b/>
          <w:bCs/>
          <w:color w:val="000000" w:themeColor="text1"/>
          <w:sz w:val="24"/>
          <w:szCs w:val="24"/>
        </w:rPr>
        <w:footnoteReference w:id="4"/>
      </w:r>
    </w:p>
    <w:p w14:paraId="36DA6CF1"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EE3B84">
        <w:rPr>
          <w:rFonts w:asciiTheme="minorHAnsi" w:eastAsia="Times New Roman" w:hAnsiTheme="minorHAnsi" w:cs="Times New Roman"/>
          <w:bCs/>
          <w:strike/>
          <w:color w:val="000000" w:themeColor="text1"/>
          <w:sz w:val="24"/>
          <w:szCs w:val="24"/>
          <w:highlight w:val="yellow"/>
        </w:rPr>
        <w:t>f) garantire la tutela dei minori dai contenuti, anche pubblicitari, che possono nuocere al loro sviluppo fisico, mentale o morale, ivi compreso il divieto di pubblicità relativa al gioco d'azzardo</w:t>
      </w:r>
      <w:r w:rsidRPr="002C1B13">
        <w:rPr>
          <w:rFonts w:asciiTheme="minorHAnsi" w:eastAsia="Times New Roman" w:hAnsiTheme="minorHAnsi" w:cs="Times New Roman"/>
          <w:bCs/>
          <w:color w:val="000000" w:themeColor="text1"/>
          <w:sz w:val="24"/>
          <w:szCs w:val="24"/>
        </w:rPr>
        <w:t>;</w:t>
      </w:r>
    </w:p>
    <w:p w14:paraId="74921CC2" w14:textId="77777777" w:rsidR="00EE3B84" w:rsidRPr="00EE3B84" w:rsidRDefault="00EE3B84"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f) p</w:t>
      </w:r>
      <w:r w:rsidRPr="00EE3B84">
        <w:rPr>
          <w:rFonts w:asciiTheme="minorHAnsi" w:eastAsia="Times New Roman" w:hAnsiTheme="minorHAnsi" w:cs="Times New Roman"/>
          <w:b/>
          <w:bCs/>
          <w:color w:val="000000" w:themeColor="text1"/>
          <w:sz w:val="24"/>
          <w:szCs w:val="24"/>
        </w:rPr>
        <w:t xml:space="preserve">revedere che i fornitori di servizi di media, comprese le piattaforme social, forniscano agli utenti informazioni sufficienti in merito a contenuti, anche pubblicitari, che possano nuocere allo sviluppo fisico, mentale o morale dei minori, ivi compreso il divieto di pubblicità relativa al gioco d'azzardo, prevedendo inoltre specifiche misure nei confronti di chi utilizza profili fittizi di soggetti inesistenti </w:t>
      </w:r>
      <w:r w:rsidRPr="00EE3B84">
        <w:rPr>
          <w:rFonts w:asciiTheme="minorHAnsi" w:eastAsia="Times New Roman" w:hAnsiTheme="minorHAnsi" w:cs="Times New Roman"/>
          <w:b/>
          <w:bCs/>
          <w:color w:val="000000" w:themeColor="text1"/>
          <w:sz w:val="24"/>
          <w:szCs w:val="24"/>
        </w:rPr>
        <w:lastRenderedPageBreak/>
        <w:t>ovvero tramite l'appropriazione di identità altrui, al fine de alterare lo scambio di opinioni, per ingenerare allarmi, per trarre vantaggio da</w:t>
      </w:r>
      <w:r>
        <w:rPr>
          <w:rFonts w:asciiTheme="minorHAnsi" w:eastAsia="Times New Roman" w:hAnsiTheme="minorHAnsi" w:cs="Times New Roman"/>
          <w:b/>
          <w:bCs/>
          <w:color w:val="000000" w:themeColor="text1"/>
          <w:sz w:val="24"/>
          <w:szCs w:val="24"/>
        </w:rPr>
        <w:t>lla diffusione di notizie false;</w:t>
      </w:r>
      <w:r>
        <w:rPr>
          <w:rStyle w:val="Rimandonotaapidipagina"/>
          <w:rFonts w:asciiTheme="minorHAnsi" w:eastAsia="Times New Roman" w:hAnsiTheme="minorHAnsi" w:cs="Times New Roman"/>
          <w:b/>
          <w:bCs/>
          <w:color w:val="000000" w:themeColor="text1"/>
          <w:sz w:val="24"/>
          <w:szCs w:val="24"/>
        </w:rPr>
        <w:footnoteReference w:id="5"/>
      </w:r>
    </w:p>
    <w:p w14:paraId="24663C0F" w14:textId="77777777" w:rsidR="00EE3B84" w:rsidRDefault="00EE3B84"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f-bis) </w:t>
      </w:r>
      <w:r w:rsidRPr="00EE3B84">
        <w:rPr>
          <w:rFonts w:asciiTheme="minorHAnsi" w:eastAsia="Times New Roman" w:hAnsiTheme="minorHAnsi" w:cs="Times New Roman"/>
          <w:b/>
          <w:bCs/>
          <w:color w:val="000000" w:themeColor="text1"/>
          <w:sz w:val="24"/>
          <w:szCs w:val="24"/>
        </w:rPr>
        <w:t>prevede</w:t>
      </w:r>
      <w:r>
        <w:rPr>
          <w:rFonts w:asciiTheme="minorHAnsi" w:eastAsia="Times New Roman" w:hAnsiTheme="minorHAnsi" w:cs="Times New Roman"/>
          <w:b/>
          <w:bCs/>
          <w:color w:val="000000" w:themeColor="text1"/>
          <w:sz w:val="24"/>
          <w:szCs w:val="24"/>
        </w:rPr>
        <w:t>re</w:t>
      </w:r>
      <w:r w:rsidRPr="00EE3B84">
        <w:rPr>
          <w:rFonts w:asciiTheme="minorHAnsi" w:eastAsia="Times New Roman" w:hAnsiTheme="minorHAnsi" w:cs="Times New Roman"/>
          <w:b/>
          <w:bCs/>
          <w:color w:val="000000" w:themeColor="text1"/>
          <w:sz w:val="24"/>
          <w:szCs w:val="24"/>
        </w:rPr>
        <w:t xml:space="preserve"> che i fornitori di servizi di media audiovisivi offrano informazioni adeguate sui contenuti che possano nuocere allo sviluppo fisico, mentale o morale dei minori, associandola ad una avvertenza acustica qualora i contenuti siano fruiti su dispositivi mobili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
      </w:r>
    </w:p>
    <w:p w14:paraId="011ACF6A" w14:textId="77777777" w:rsidR="007F1549" w:rsidRPr="00DE0D2C" w:rsidRDefault="007F1549" w:rsidP="007F1549">
      <w:pPr>
        <w:jc w:val="both"/>
        <w:rPr>
          <w:b/>
          <w:bCs/>
          <w:color w:val="000000" w:themeColor="text1"/>
          <w:sz w:val="24"/>
          <w:szCs w:val="24"/>
        </w:rPr>
      </w:pPr>
      <w:r w:rsidRPr="00364E35">
        <w:rPr>
          <w:color w:val="000000" w:themeColor="text1"/>
          <w:sz w:val="24"/>
          <w:szCs w:val="24"/>
        </w:rPr>
        <w:t xml:space="preserve">      </w:t>
      </w:r>
      <w:r w:rsidRPr="00DE0D2C">
        <w:rPr>
          <w:b/>
          <w:bCs/>
          <w:color w:val="000000" w:themeColor="text1"/>
          <w:sz w:val="24"/>
          <w:szCs w:val="24"/>
        </w:rPr>
        <w:t xml:space="preserve">  f-bis) garantire la tutela dei minori dai contenuti, anche pubblicitari, non appropriati che accompagnano programmi per bambini o vi sono inclusi, relativi a prodotti alimentari o bevande, anche alcoliche, che contengono sostanze nutritive e sostanze con un effetto nutrizionale o fisiologico, la cui assunzione eccessiva nella dieta generale non è raccomandata, nonché prevedere idonee misure, anche di promozione di procedure di auto-regolamentazione e di co-regolamentazione, intese a ridurre efficacemente l'esposizione dei bambini alle comunicazioni commerciali audiovisive per tali bevande e prodotti alimentari.</w:t>
      </w:r>
      <w:r>
        <w:rPr>
          <w:rStyle w:val="Rimandonotaapidipagina"/>
          <w:b/>
          <w:bCs/>
          <w:color w:val="000000" w:themeColor="text1"/>
          <w:sz w:val="24"/>
          <w:szCs w:val="24"/>
        </w:rPr>
        <w:footnoteReference w:id="7"/>
      </w:r>
    </w:p>
    <w:p w14:paraId="7C93BF5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promuovere l'alfabetizzazione digitale da parte dei fornitori di servizi di media e dei fornitori di piattaforme di condivisione dei video;</w:t>
      </w:r>
    </w:p>
    <w:p w14:paraId="4B1F6DE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h) aggiornare i compiti dell'Autorità delle garanzie nelle comunicazioni, rafforzandone ulteriormente le prerogative di indipendenza;</w:t>
      </w:r>
    </w:p>
    <w:p w14:paraId="0FC8167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EE3B84">
        <w:rPr>
          <w:rFonts w:asciiTheme="minorHAnsi" w:eastAsia="Times New Roman" w:hAnsiTheme="minorHAnsi" w:cs="Times New Roman"/>
          <w:bCs/>
          <w:strike/>
          <w:color w:val="000000" w:themeColor="text1"/>
          <w:sz w:val="24"/>
          <w:szCs w:val="24"/>
          <w:highlight w:val="yellow"/>
        </w:rPr>
        <w:t>i) rivedere l'apparato sanzionatorio amministrativo e penale, già previsto dal testo unico dei servizi di media audiovisivi e radiofonici, di cui al decreto legislativo n. 177 del 2005</w:t>
      </w:r>
      <w:r w:rsidRPr="002C1B13">
        <w:rPr>
          <w:rFonts w:asciiTheme="minorHAnsi" w:eastAsia="Times New Roman" w:hAnsiTheme="minorHAnsi" w:cs="Times New Roman"/>
          <w:bCs/>
          <w:color w:val="000000" w:themeColor="text1"/>
          <w:sz w:val="24"/>
          <w:szCs w:val="24"/>
        </w:rPr>
        <w:t>.</w:t>
      </w:r>
    </w:p>
    <w:p w14:paraId="0A122A53" w14:textId="77777777" w:rsidR="002C1B13" w:rsidRPr="00EE3B84" w:rsidRDefault="00EE3B84"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B84">
        <w:rPr>
          <w:rFonts w:asciiTheme="minorHAnsi" w:eastAsia="Times New Roman" w:hAnsiTheme="minorHAnsi" w:cs="Times New Roman"/>
          <w:b/>
          <w:bCs/>
          <w:color w:val="000000" w:themeColor="text1"/>
          <w:sz w:val="24"/>
          <w:szCs w:val="24"/>
        </w:rPr>
        <w:t>i) aggiornare l'apparato sanzionatorio amministrativo già previsto dal testo unico dei servizi di media audiovisivi e radiofonici, di cui al decreto legislativo n. 177 del 2005, rispetto ai nuovi obblighi previsti dalla direttiva (UE) 2018/1808, sulla base dei principi di ragionevolezz</w:t>
      </w:r>
      <w:r>
        <w:rPr>
          <w:rFonts w:asciiTheme="minorHAnsi" w:eastAsia="Times New Roman" w:hAnsiTheme="minorHAnsi" w:cs="Times New Roman"/>
          <w:b/>
          <w:bCs/>
          <w:color w:val="000000" w:themeColor="text1"/>
          <w:sz w:val="24"/>
          <w:szCs w:val="24"/>
        </w:rPr>
        <w:t>a, proporzionalità ed efficacia.</w:t>
      </w:r>
      <w:r>
        <w:rPr>
          <w:rStyle w:val="Rimandonotaapidipagina"/>
          <w:rFonts w:asciiTheme="minorHAnsi" w:eastAsia="Times New Roman" w:hAnsiTheme="minorHAnsi" w:cs="Times New Roman"/>
          <w:b/>
          <w:bCs/>
          <w:color w:val="000000" w:themeColor="text1"/>
          <w:sz w:val="24"/>
          <w:szCs w:val="24"/>
        </w:rPr>
        <w:footnoteReference w:id="8"/>
      </w:r>
    </w:p>
    <w:p w14:paraId="75EE5EE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54BAEEC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67FB20" w14:textId="77777777"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4.</w:t>
      </w:r>
    </w:p>
    <w:p w14:paraId="0A19CD80" w14:textId="77777777"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lastRenderedPageBreak/>
        <w:t>(Princìpi e criteri direttivi per l'attuazione della direttiva (UE) 2018/1972, che istituisce il codice europeo delle comunicazioni elettroniche)</w:t>
      </w:r>
    </w:p>
    <w:p w14:paraId="1AED56E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2CC17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Nell'esercizio della delega per l'attuazione della direttiva (UE) 2018/1972 del Parlamento europeo e del Consiglio, dell'11 dicembre 2018, il Governo osserva, oltre ai princìpi e criteri direttivi generali di cui all'articolo 32 della legge n. 234 del 2012, anche i seguenti princìpi e criteri direttivi specifici:</w:t>
      </w:r>
    </w:p>
    <w:p w14:paraId="3607371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riordinare le disposizioni del codice delle comunicazioni elettroniche, di cui al decreto legislativo 1° agosto 2003, n. 259, attraverso l'adozione di un nuovo codice delle comunicazioni elettroniche per l'armonizzazione della normativa di settore, assicurando il necessario coordinamento tra le disposizioni oggetto di modifica o integrazione;</w:t>
      </w:r>
    </w:p>
    <w:p w14:paraId="4DD8678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prevedere l'assegnazione delle nuove competenze affidate all'Autorità per le garanzie nelle comunicazioni quale Autorità nazionale indipendente di regolamentazione del settore e alle altre autorità amministrative competenti, tra cui il Ministero dello sviluppo economico, nel rispetto del principio di stabilità dell'attuale riparto di competenze sancito dall'articolo 5 della direttiva (UE) 2018/1972;</w:t>
      </w:r>
    </w:p>
    <w:p w14:paraId="0208BCE1"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introdurre misure</w:t>
      </w:r>
      <w:r w:rsidR="008D18BC">
        <w:rPr>
          <w:rFonts w:asciiTheme="minorHAnsi" w:eastAsia="Times New Roman" w:hAnsiTheme="minorHAnsi" w:cs="Times New Roman"/>
          <w:bCs/>
          <w:color w:val="000000" w:themeColor="text1"/>
          <w:sz w:val="24"/>
          <w:szCs w:val="24"/>
        </w:rPr>
        <w:t xml:space="preserve"> </w:t>
      </w:r>
      <w:r w:rsidR="008D18BC" w:rsidRPr="00D80B94">
        <w:rPr>
          <w:b/>
          <w:bCs/>
          <w:color w:val="000000" w:themeColor="text1"/>
          <w:sz w:val="24"/>
          <w:szCs w:val="24"/>
        </w:rPr>
        <w:t>di semplificazione</w:t>
      </w:r>
      <w:r w:rsidR="008D18BC">
        <w:rPr>
          <w:rStyle w:val="Rimandonotaapidipagina"/>
          <w:b/>
          <w:bCs/>
          <w:color w:val="000000" w:themeColor="text1"/>
          <w:sz w:val="24"/>
          <w:szCs w:val="24"/>
        </w:rPr>
        <w:footnoteReference w:id="9"/>
      </w:r>
      <w:r w:rsidRPr="002C1B13">
        <w:rPr>
          <w:rFonts w:asciiTheme="minorHAnsi" w:eastAsia="Times New Roman" w:hAnsiTheme="minorHAnsi" w:cs="Times New Roman"/>
          <w:bCs/>
          <w:color w:val="000000" w:themeColor="text1"/>
          <w:sz w:val="24"/>
          <w:szCs w:val="24"/>
        </w:rPr>
        <w:t xml:space="preserve"> per lo sviluppo della connettività e per potenziare gli investimenti in reti a banda </w:t>
      </w:r>
      <w:proofErr w:type="spellStart"/>
      <w:r w:rsidRPr="002C1B13">
        <w:rPr>
          <w:rFonts w:asciiTheme="minorHAnsi" w:eastAsia="Times New Roman" w:hAnsiTheme="minorHAnsi" w:cs="Times New Roman"/>
          <w:bCs/>
          <w:color w:val="000000" w:themeColor="text1"/>
          <w:sz w:val="24"/>
          <w:szCs w:val="24"/>
        </w:rPr>
        <w:t>ultralarga</w:t>
      </w:r>
      <w:proofErr w:type="spellEnd"/>
      <w:r w:rsidR="000F5ED8">
        <w:rPr>
          <w:rFonts w:asciiTheme="minorHAnsi" w:eastAsia="Times New Roman" w:hAnsiTheme="minorHAnsi" w:cs="Times New Roman"/>
          <w:bCs/>
          <w:color w:val="000000" w:themeColor="text1"/>
          <w:sz w:val="24"/>
          <w:szCs w:val="24"/>
        </w:rPr>
        <w:t xml:space="preserve"> </w:t>
      </w:r>
      <w:r w:rsidR="000F5ED8" w:rsidRPr="00D80B94">
        <w:rPr>
          <w:b/>
          <w:bCs/>
          <w:color w:val="000000" w:themeColor="text1"/>
          <w:sz w:val="24"/>
          <w:szCs w:val="24"/>
        </w:rPr>
        <w:t>sia fisse che mobili</w:t>
      </w:r>
      <w:r w:rsidR="000F5ED8">
        <w:rPr>
          <w:rStyle w:val="Rimandonotaapidipagina"/>
          <w:b/>
          <w:bCs/>
          <w:color w:val="000000" w:themeColor="text1"/>
          <w:sz w:val="24"/>
          <w:szCs w:val="24"/>
        </w:rPr>
        <w:footnoteReference w:id="10"/>
      </w:r>
      <w:r w:rsidRPr="002C1B13">
        <w:rPr>
          <w:rFonts w:asciiTheme="minorHAnsi" w:eastAsia="Times New Roman" w:hAnsiTheme="minorHAnsi" w:cs="Times New Roman"/>
          <w:bCs/>
          <w:color w:val="000000" w:themeColor="text1"/>
          <w:sz w:val="24"/>
          <w:szCs w:val="24"/>
        </w:rPr>
        <w:t>, garantendo altresì l'accesso generalizzato delle reti ad altissima velocità e la loro ampia diffusione per tutti i cittadini</w:t>
      </w:r>
      <w:r w:rsidR="00EE3B84">
        <w:rPr>
          <w:rFonts w:asciiTheme="minorHAnsi" w:eastAsia="Times New Roman" w:hAnsiTheme="minorHAnsi" w:cs="Times New Roman"/>
          <w:b/>
          <w:bCs/>
          <w:color w:val="000000" w:themeColor="text1"/>
          <w:sz w:val="24"/>
          <w:szCs w:val="24"/>
        </w:rPr>
        <w:t xml:space="preserve">, </w:t>
      </w:r>
      <w:r w:rsidR="00EE3B84" w:rsidRPr="00EE3B84">
        <w:rPr>
          <w:rFonts w:asciiTheme="minorHAnsi" w:eastAsia="Times New Roman" w:hAnsiTheme="minorHAnsi" w:cs="Times New Roman"/>
          <w:b/>
          <w:bCs/>
          <w:color w:val="000000" w:themeColor="text1"/>
          <w:sz w:val="24"/>
          <w:szCs w:val="24"/>
        </w:rPr>
        <w:t>evitando zone bianche in assenza di copertura sul territorio nazionale,</w:t>
      </w:r>
      <w:r w:rsidR="00EE3B84">
        <w:rPr>
          <w:rStyle w:val="Rimandonotaapidipagina"/>
          <w:rFonts w:asciiTheme="minorHAnsi" w:eastAsia="Times New Roman" w:hAnsiTheme="minorHAnsi" w:cs="Times New Roman"/>
          <w:b/>
          <w:bCs/>
          <w:color w:val="000000" w:themeColor="text1"/>
          <w:sz w:val="24"/>
          <w:szCs w:val="24"/>
        </w:rPr>
        <w:footnoteReference w:id="11"/>
      </w:r>
      <w:r w:rsidRPr="002C1B13">
        <w:rPr>
          <w:rFonts w:asciiTheme="minorHAnsi" w:eastAsia="Times New Roman" w:hAnsiTheme="minorHAnsi" w:cs="Times New Roman"/>
          <w:bCs/>
          <w:color w:val="000000" w:themeColor="text1"/>
          <w:sz w:val="24"/>
          <w:szCs w:val="24"/>
        </w:rPr>
        <w:t xml:space="preserve"> a prezzi accessibili e con possibilità di scelta adeguata, nonché introdurre una nozione di servizio universale che rispecchi il progresso tecnologico, l'evoluzione del mercato e della domanda degli utenti;</w:t>
      </w:r>
    </w:p>
    <w:p w14:paraId="2442A981" w14:textId="77777777" w:rsidR="00EE3B84" w:rsidRDefault="00EE3B84"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B84">
        <w:rPr>
          <w:rFonts w:asciiTheme="minorHAnsi" w:eastAsia="Times New Roman" w:hAnsiTheme="minorHAnsi" w:cs="Times New Roman"/>
          <w:b/>
          <w:bCs/>
          <w:color w:val="000000" w:themeColor="text1"/>
          <w:sz w:val="24"/>
          <w:szCs w:val="24"/>
        </w:rPr>
        <w:t>c-bis) assicurare il rispetto dei principi di concorrenza e di certezza dei tempi nelle procedure di assegnazione e rinnovo dei diritti di uso delle frequenze radiomobili così come previsto dall'articolo 48 della direttiva (UE) 2018/1972</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2"/>
      </w:r>
    </w:p>
    <w:p w14:paraId="2C6D8253" w14:textId="77777777" w:rsidR="00EF702D" w:rsidRPr="00EE3B84" w:rsidRDefault="00EF702D"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80B94">
        <w:rPr>
          <w:b/>
          <w:bCs/>
          <w:color w:val="000000" w:themeColor="text1"/>
          <w:sz w:val="24"/>
          <w:szCs w:val="24"/>
        </w:rPr>
        <w:t>c-bis) definire un regime autorizzatorio, senza pregiudizio alla facoltà in capo alle amministrazioni competenti di organizzare la gestione dello spettro radio e di usarlo per fini di ordine pubblico, pubblica sicurezza e difesa, per l'uso delle frequenze utilizzate dalle tecnologie per l'Internet delle cose, come il Low Power Wide Area (LPWAN), nel rispetto del principio di proporzionalità, al fine di favorire lo sviluppo di progetti imprenditoriali innovativi;</w:t>
      </w:r>
      <w:r>
        <w:rPr>
          <w:rStyle w:val="Rimandonotaapidipagina"/>
          <w:b/>
          <w:bCs/>
          <w:color w:val="000000" w:themeColor="text1"/>
          <w:sz w:val="24"/>
          <w:szCs w:val="24"/>
        </w:rPr>
        <w:footnoteReference w:id="13"/>
      </w:r>
    </w:p>
    <w:p w14:paraId="002D671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d) prevedere oneri amministrativi proporzionati, al fine di non ostacolare lo sviluppo delle attività dei prestatori di servizi;</w:t>
      </w:r>
    </w:p>
    <w:p w14:paraId="68D7EAD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prevedere adeguate e specifiche misure per le imprese attive esclusivamente sul mercato all'ingrosso;</w:t>
      </w:r>
    </w:p>
    <w:p w14:paraId="3E5A0B8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f) aggiornare i compiti dell'Autorità delle garanzie nelle comunicazioni, anche nell'ottica di rafforzarne le prerogative di indipendenza;</w:t>
      </w:r>
    </w:p>
    <w:p w14:paraId="1F785FA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provvedere alla revisione dell'apparato sanzionatorio amministrativo e penale, già previsto dal codice delle comunicazioni elettroniche, di cui al citato decreto legislativo n. 259 del 2003;</w:t>
      </w:r>
    </w:p>
    <w:p w14:paraId="67FB6DC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h) provvedere a integrare le limitazioni fatte salve dalla direttiva (UE) 2018/1972 per fini di ordine pubblico, pubblica sicurezza e difesa, includendo le esigenze della sicurezza dello Stato, secondo quanto già previsto dal codice delle comunicazioni elettroniche, di cui al citato decreto legislativo n. 259 del 2003.</w:t>
      </w:r>
    </w:p>
    <w:p w14:paraId="33B03846" w14:textId="77777777" w:rsidR="002C1B13" w:rsidRPr="002C1B13" w:rsidRDefault="00EE3B84"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EE3B84">
        <w:rPr>
          <w:rFonts w:asciiTheme="minorHAnsi" w:eastAsia="Times New Roman" w:hAnsiTheme="minorHAnsi" w:cs="Times New Roman"/>
          <w:b/>
          <w:bCs/>
          <w:color w:val="000000" w:themeColor="text1"/>
          <w:sz w:val="24"/>
          <w:szCs w:val="24"/>
        </w:rPr>
        <w:t>h-bis) provvedere ad annoverare le ricerche di mercato, sociali e di opinione tra le ricerche scientifiche e storiche a fini statistici, nel rispetto delle diverse finalità che le medesime perseguono, essendo orientate alla ricerca del dato, all'aggregazione delle opinioni e all'espletamento dei sondaggi e non alla promozione e commercializzazione di beni e servizi come nelle televendite e il telemarketing;</w:t>
      </w:r>
      <w:r>
        <w:rPr>
          <w:rStyle w:val="Rimandonotaapidipagina"/>
          <w:rFonts w:asciiTheme="minorHAnsi" w:eastAsia="Times New Roman" w:hAnsiTheme="minorHAnsi" w:cs="Times New Roman"/>
          <w:b/>
          <w:bCs/>
          <w:color w:val="000000" w:themeColor="text1"/>
          <w:sz w:val="24"/>
          <w:szCs w:val="24"/>
        </w:rPr>
        <w:footnoteReference w:id="14"/>
      </w:r>
    </w:p>
    <w:p w14:paraId="0A6BB75D" w14:textId="77777777"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5.</w:t>
      </w:r>
    </w:p>
    <w:p w14:paraId="61662DC5" w14:textId="77777777"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(Princìpi e criteri direttivi per l'attuazione della direttiva (UE) 2018/2001, sulla promozione dell'uso dell'energia da fonti rinnovabili)</w:t>
      </w:r>
    </w:p>
    <w:p w14:paraId="27F6C73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4665D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Nell'esercizio della delega per l'attuazione della direttiva (UE) 2018/2001 del Parlamento europeo e del Consiglio, dell'11 dicembre 2018, il Governo osserva, oltre ai princìpi e criteri direttivi generali di cui all'articolo 32 della legge n. 234 del 2012, anche i seguenti princìpi e criteri direttivi specifici:</w:t>
      </w:r>
    </w:p>
    <w:p w14:paraId="44BE04E2" w14:textId="77777777" w:rsidR="009A377A" w:rsidRPr="00C81E3B" w:rsidRDefault="002C1B13" w:rsidP="009A377A">
      <w:pPr>
        <w:jc w:val="both"/>
        <w:rPr>
          <w:b/>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prevedere, previa intesa con la Conferenza unificata ai sensi dell'articolo 3 del decreto legislativo 28 agosto 1997, n. 281, su proposta del </w:t>
      </w:r>
      <w:r w:rsidRPr="009A377A">
        <w:rPr>
          <w:rFonts w:asciiTheme="minorHAnsi" w:eastAsia="Times New Roman" w:hAnsiTheme="minorHAnsi" w:cs="Times New Roman"/>
          <w:bCs/>
          <w:strike/>
          <w:color w:val="000000" w:themeColor="text1"/>
          <w:sz w:val="24"/>
          <w:szCs w:val="24"/>
          <w:highlight w:val="yellow"/>
        </w:rPr>
        <w:t>Ministero dello sviluppo economico</w:t>
      </w:r>
      <w:r w:rsidR="009A377A" w:rsidRPr="009A377A">
        <w:rPr>
          <w:b/>
          <w:bCs/>
          <w:color w:val="000000" w:themeColor="text1"/>
          <w:sz w:val="24"/>
          <w:szCs w:val="24"/>
        </w:rPr>
        <w:t xml:space="preserve"> </w:t>
      </w:r>
      <w:r w:rsidR="009A377A" w:rsidRPr="00C81E3B">
        <w:rPr>
          <w:b/>
          <w:bCs/>
          <w:color w:val="000000" w:themeColor="text1"/>
          <w:sz w:val="24"/>
          <w:szCs w:val="24"/>
        </w:rPr>
        <w:t>Ministero dello sviluppo economico, di concerto con il Ministero dell'ambiente e della tutela del territorio e del mare e con il Ministero per i beni e le attività culturali e il turismo</w:t>
      </w:r>
      <w:r w:rsidR="009A377A">
        <w:rPr>
          <w:rStyle w:val="Rimandonotaapidipagina"/>
          <w:b/>
          <w:bCs/>
          <w:color w:val="000000" w:themeColor="text1"/>
          <w:sz w:val="24"/>
          <w:szCs w:val="24"/>
        </w:rPr>
        <w:footnoteReference w:id="15"/>
      </w:r>
      <w:r w:rsidRPr="002C1B13">
        <w:rPr>
          <w:rFonts w:asciiTheme="minorHAnsi" w:eastAsia="Times New Roman" w:hAnsiTheme="minorHAnsi" w:cs="Times New Roman"/>
          <w:bCs/>
          <w:color w:val="000000" w:themeColor="text1"/>
          <w:sz w:val="24"/>
          <w:szCs w:val="24"/>
        </w:rPr>
        <w:t xml:space="preserve">, </w:t>
      </w:r>
      <w:r w:rsidRPr="00CF3CDD">
        <w:rPr>
          <w:rFonts w:asciiTheme="minorHAnsi" w:eastAsia="Times New Roman" w:hAnsiTheme="minorHAnsi" w:cs="Times New Roman"/>
          <w:bCs/>
          <w:strike/>
          <w:color w:val="000000" w:themeColor="text1"/>
          <w:sz w:val="24"/>
          <w:szCs w:val="24"/>
          <w:highlight w:val="yellow"/>
        </w:rPr>
        <w:t>nell'ambito</w:t>
      </w:r>
      <w:r w:rsidR="00CF3CDD">
        <w:rPr>
          <w:rFonts w:asciiTheme="minorHAnsi" w:eastAsia="Times New Roman" w:hAnsiTheme="minorHAnsi" w:cs="Times New Roman"/>
          <w:bCs/>
          <w:color w:val="000000" w:themeColor="text1"/>
          <w:sz w:val="24"/>
          <w:szCs w:val="24"/>
        </w:rPr>
        <w:t xml:space="preserve"> </w:t>
      </w:r>
      <w:r w:rsidR="00CF3CDD" w:rsidRPr="00CF3CDD">
        <w:rPr>
          <w:rFonts w:asciiTheme="minorHAnsi" w:hAnsiTheme="minorHAnsi"/>
          <w:b/>
          <w:bCs/>
          <w:color w:val="000000" w:themeColor="text1"/>
          <w:sz w:val="24"/>
          <w:szCs w:val="24"/>
        </w:rPr>
        <w:t>al fine del concreto raggiungimento</w:t>
      </w:r>
      <w:r w:rsidR="00CF3CDD">
        <w:rPr>
          <w:rStyle w:val="Rimandonotaapidipagina"/>
          <w:rFonts w:asciiTheme="minorHAnsi" w:hAnsiTheme="minorHAnsi"/>
          <w:b/>
          <w:bCs/>
          <w:color w:val="000000" w:themeColor="text1"/>
          <w:sz w:val="24"/>
          <w:szCs w:val="24"/>
        </w:rPr>
        <w:footnoteReference w:id="16"/>
      </w:r>
      <w:r w:rsidRPr="00CF3CDD">
        <w:rPr>
          <w:rFonts w:asciiTheme="minorHAnsi" w:eastAsia="Times New Roman" w:hAnsiTheme="minorHAnsi" w:cs="Times New Roman"/>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 xml:space="preserve">degli obiettivi indicati nel piano nazionale integrato per l'energia e il clima, una disciplina per la </w:t>
      </w:r>
      <w:r w:rsidRPr="00CF3CDD">
        <w:rPr>
          <w:rFonts w:asciiTheme="minorHAnsi" w:eastAsia="Times New Roman" w:hAnsiTheme="minorHAnsi" w:cs="Times New Roman"/>
          <w:bCs/>
          <w:strike/>
          <w:color w:val="000000" w:themeColor="text1"/>
          <w:sz w:val="24"/>
          <w:szCs w:val="24"/>
          <w:highlight w:val="yellow"/>
        </w:rPr>
        <w:lastRenderedPageBreak/>
        <w:t>definizione</w:t>
      </w:r>
      <w:r w:rsidRPr="002C1B13">
        <w:rPr>
          <w:rFonts w:asciiTheme="minorHAnsi" w:eastAsia="Times New Roman" w:hAnsiTheme="minorHAnsi" w:cs="Times New Roman"/>
          <w:bCs/>
          <w:color w:val="000000" w:themeColor="text1"/>
          <w:sz w:val="24"/>
          <w:szCs w:val="24"/>
        </w:rPr>
        <w:t xml:space="preserve"> </w:t>
      </w:r>
      <w:r w:rsidR="00CF3CDD" w:rsidRPr="009E33E6">
        <w:rPr>
          <w:rFonts w:asciiTheme="minorHAnsi" w:hAnsiTheme="minorHAnsi"/>
          <w:b/>
          <w:bCs/>
          <w:color w:val="000000" w:themeColor="text1"/>
          <w:sz w:val="24"/>
          <w:szCs w:val="24"/>
        </w:rPr>
        <w:t>individuazione</w:t>
      </w:r>
      <w:r w:rsidR="00CF3CDD">
        <w:rPr>
          <w:rStyle w:val="Rimandonotaapidipagina"/>
          <w:rFonts w:asciiTheme="minorHAnsi" w:hAnsiTheme="minorHAnsi"/>
          <w:b/>
          <w:bCs/>
          <w:color w:val="000000" w:themeColor="text1"/>
          <w:sz w:val="24"/>
          <w:szCs w:val="24"/>
        </w:rPr>
        <w:footnoteReference w:id="17"/>
      </w:r>
      <w:r w:rsidR="00CF3CDD" w:rsidRPr="002C1B13">
        <w:rPr>
          <w:rFonts w:asciiTheme="minorHAnsi" w:eastAsia="Times New Roman" w:hAnsiTheme="minorHAnsi" w:cs="Times New Roman"/>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delle superfici e delle aree idonee e non idonee per l'installazione di impianti a fonti rinnovabili nel rispetto delle esigenze di tutela del patrimonio culturale e del paesaggio, delle aree agricole e forestali, della qualità dell'aria e dei corpi idrici, nonché delle specifiche competenze dei Ministeri per i beni e le attività culturali e per il turismo, delle politiche agricole alimentari e forestali e dell'ambiente e della tutela del territorio e del mare, privilegiando l'utilizzo di superfici di strutture edificate</w:t>
      </w:r>
      <w:r w:rsidR="009A377A" w:rsidRPr="00C81E3B">
        <w:rPr>
          <w:b/>
          <w:bCs/>
          <w:color w:val="000000" w:themeColor="text1"/>
          <w:sz w:val="24"/>
          <w:szCs w:val="24"/>
        </w:rPr>
        <w:t>, quali capannoni industriali e parcheggi,</w:t>
      </w:r>
      <w:r w:rsidR="009A377A">
        <w:rPr>
          <w:rStyle w:val="Rimandonotaapidipagina"/>
          <w:b/>
          <w:bCs/>
          <w:color w:val="000000" w:themeColor="text1"/>
          <w:sz w:val="24"/>
          <w:szCs w:val="24"/>
        </w:rPr>
        <w:footnoteReference w:id="18"/>
      </w:r>
      <w:r w:rsidRPr="002C1B13">
        <w:rPr>
          <w:rFonts w:asciiTheme="minorHAnsi" w:eastAsia="Times New Roman" w:hAnsiTheme="minorHAnsi" w:cs="Times New Roman"/>
          <w:bCs/>
          <w:color w:val="000000" w:themeColor="text1"/>
          <w:sz w:val="24"/>
          <w:szCs w:val="24"/>
        </w:rPr>
        <w:t xml:space="preserve"> e aree non utilizzabili per altri scopi, compatibilmente con le caratteristiche e le disponibilità delle risorse rinnovabili</w:t>
      </w:r>
      <w:r w:rsidR="00CF3CDD">
        <w:rPr>
          <w:rFonts w:asciiTheme="minorHAnsi" w:eastAsia="Times New Roman" w:hAnsiTheme="minorHAnsi" w:cs="Times New Roman"/>
          <w:bCs/>
          <w:color w:val="000000" w:themeColor="text1"/>
          <w:sz w:val="24"/>
          <w:szCs w:val="24"/>
        </w:rPr>
        <w:t xml:space="preserve"> </w:t>
      </w:r>
      <w:r w:rsidR="00CF3CDD" w:rsidRPr="009E33E6">
        <w:rPr>
          <w:rFonts w:asciiTheme="minorHAnsi" w:hAnsiTheme="minorHAnsi"/>
          <w:b/>
          <w:bCs/>
          <w:color w:val="000000" w:themeColor="text1"/>
          <w:sz w:val="24"/>
          <w:szCs w:val="24"/>
        </w:rPr>
        <w:t>, delle infrastrutture di rete e della domanda elettrica</w:t>
      </w:r>
      <w:r w:rsidR="00CF3CDD">
        <w:rPr>
          <w:rStyle w:val="Rimandonotaapidipagina"/>
          <w:rFonts w:asciiTheme="minorHAnsi" w:hAnsiTheme="minorHAnsi"/>
          <w:b/>
          <w:bCs/>
          <w:color w:val="000000" w:themeColor="text1"/>
          <w:sz w:val="24"/>
          <w:szCs w:val="24"/>
        </w:rPr>
        <w:footnoteReference w:id="19"/>
      </w:r>
      <w:r w:rsidR="00DF787F">
        <w:rPr>
          <w:rFonts w:asciiTheme="minorHAnsi" w:eastAsia="Times New Roman" w:hAnsiTheme="minorHAnsi" w:cs="Times New Roman"/>
          <w:bCs/>
          <w:color w:val="000000" w:themeColor="text1"/>
          <w:sz w:val="24"/>
          <w:szCs w:val="24"/>
        </w:rPr>
        <w:t xml:space="preserve"> </w:t>
      </w:r>
      <w:r w:rsidR="00DF787F" w:rsidRPr="00377B72">
        <w:rPr>
          <w:b/>
          <w:bCs/>
          <w:color w:val="000000" w:themeColor="text1"/>
          <w:sz w:val="24"/>
          <w:szCs w:val="24"/>
        </w:rPr>
        <w:t>nonché tenendo in considerazione la dislocazione della domanda, gli eventuali vincoli di rete ed il potenziale di sviluppo della rete stessa</w:t>
      </w:r>
      <w:r w:rsidR="00DF787F">
        <w:rPr>
          <w:rStyle w:val="Rimandonotaapidipagina"/>
          <w:b/>
          <w:bCs/>
          <w:color w:val="000000" w:themeColor="text1"/>
          <w:sz w:val="24"/>
          <w:szCs w:val="24"/>
        </w:rPr>
        <w:footnoteReference w:id="20"/>
      </w:r>
      <w:r w:rsidR="009A377A">
        <w:rPr>
          <w:rFonts w:asciiTheme="minorHAnsi" w:eastAsia="Times New Roman" w:hAnsiTheme="minorHAnsi" w:cs="Times New Roman"/>
          <w:bCs/>
          <w:color w:val="000000" w:themeColor="text1"/>
          <w:sz w:val="24"/>
          <w:szCs w:val="24"/>
        </w:rPr>
        <w:t xml:space="preserve">. </w:t>
      </w:r>
      <w:r w:rsidR="009A377A" w:rsidRPr="00C81E3B">
        <w:rPr>
          <w:b/>
          <w:bCs/>
          <w:color w:val="000000" w:themeColor="text1"/>
          <w:sz w:val="24"/>
          <w:szCs w:val="24"/>
        </w:rPr>
        <w:t>A tal fine sono osservati, in particolare, i seguenti indirizzi:</w:t>
      </w:r>
    </w:p>
    <w:p w14:paraId="48CE1DC7" w14:textId="77777777" w:rsidR="009A377A" w:rsidRPr="00C81E3B" w:rsidRDefault="009A377A" w:rsidP="009A377A">
      <w:pPr>
        <w:jc w:val="both"/>
        <w:rPr>
          <w:b/>
          <w:bCs/>
          <w:color w:val="000000" w:themeColor="text1"/>
          <w:sz w:val="24"/>
          <w:szCs w:val="24"/>
        </w:rPr>
      </w:pPr>
    </w:p>
    <w:p w14:paraId="265946AB" w14:textId="77777777" w:rsidR="009A377A" w:rsidRPr="00C81E3B" w:rsidRDefault="009A377A" w:rsidP="009A377A">
      <w:pPr>
        <w:jc w:val="both"/>
        <w:rPr>
          <w:b/>
          <w:bCs/>
          <w:color w:val="000000" w:themeColor="text1"/>
          <w:sz w:val="24"/>
          <w:szCs w:val="24"/>
        </w:rPr>
      </w:pPr>
      <w:r w:rsidRPr="00C81E3B">
        <w:rPr>
          <w:b/>
          <w:bCs/>
          <w:color w:val="000000" w:themeColor="text1"/>
          <w:sz w:val="24"/>
          <w:szCs w:val="24"/>
        </w:rPr>
        <w:t xml:space="preserve">            1) la disciplina è volta a definire criteri per l'individuazione di aree idonee all'installazione di impianti a fonti rinnovabili aventi una potenza complessiva almeno pari a quella individuata come necessaria dal Piano nazionale integrato per l'energia e il clima (PNIEC) per il raggiungimento degli obiettivi di sviluppo delle fonti rinnovabili. A tal fine, la disciplina reca, inoltre, criteri per la ripartizione fra regioni e province autonome;</w:t>
      </w:r>
    </w:p>
    <w:p w14:paraId="49F8CCC3" w14:textId="77777777" w:rsidR="009A377A" w:rsidRPr="00C81E3B" w:rsidRDefault="009A377A" w:rsidP="009A377A">
      <w:pPr>
        <w:jc w:val="both"/>
        <w:rPr>
          <w:b/>
          <w:bCs/>
          <w:color w:val="000000" w:themeColor="text1"/>
          <w:sz w:val="24"/>
          <w:szCs w:val="24"/>
        </w:rPr>
      </w:pPr>
    </w:p>
    <w:p w14:paraId="68D428FB" w14:textId="77777777" w:rsidR="009A377A" w:rsidRPr="00C81E3B" w:rsidRDefault="009A377A" w:rsidP="009A377A">
      <w:pPr>
        <w:jc w:val="both"/>
        <w:rPr>
          <w:b/>
          <w:bCs/>
          <w:color w:val="000000" w:themeColor="text1"/>
          <w:sz w:val="24"/>
          <w:szCs w:val="24"/>
        </w:rPr>
      </w:pPr>
      <w:r w:rsidRPr="00C81E3B">
        <w:rPr>
          <w:b/>
          <w:bCs/>
          <w:color w:val="000000" w:themeColor="text1"/>
          <w:sz w:val="24"/>
          <w:szCs w:val="24"/>
        </w:rPr>
        <w:t xml:space="preserve">            2) il processo programmatorio di individuazione delle aree idonee è effettuato da ciascuna regione o provincia autonoma in attuazione della disciplina di cui al punto 1), entro un termine massimo congruente con i tempi necessari per il raggiungimento degli obiettivi. Nel caso di mancata adozione, è prevista l'applicazione dell'articolo 41 della legge 24 dicembre 2012, n. 234;</w:t>
      </w:r>
    </w:p>
    <w:p w14:paraId="2E3524B7" w14:textId="77777777" w:rsidR="009A377A" w:rsidRPr="00C81E3B" w:rsidRDefault="009A377A" w:rsidP="009A377A">
      <w:pPr>
        <w:jc w:val="both"/>
        <w:rPr>
          <w:b/>
          <w:bCs/>
          <w:color w:val="000000" w:themeColor="text1"/>
          <w:sz w:val="24"/>
          <w:szCs w:val="24"/>
        </w:rPr>
      </w:pPr>
    </w:p>
    <w:p w14:paraId="47CE39CD" w14:textId="77777777" w:rsidR="002C1B13" w:rsidRDefault="009A377A" w:rsidP="009A377A">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C81E3B">
        <w:rPr>
          <w:b/>
          <w:bCs/>
          <w:color w:val="000000" w:themeColor="text1"/>
          <w:sz w:val="24"/>
          <w:szCs w:val="24"/>
        </w:rPr>
        <w:lastRenderedPageBreak/>
        <w:t xml:space="preserve">        b) alla lettera b), dopo le parole: «procedimenti autorizzativi», inserire le seguenti: «con quelli dei procedimenti per la connessione alla rete elettrica e con quelli</w:t>
      </w:r>
      <w:r>
        <w:rPr>
          <w:rStyle w:val="Rimandonotaapidipagina"/>
          <w:b/>
          <w:bCs/>
          <w:color w:val="000000" w:themeColor="text1"/>
          <w:sz w:val="24"/>
          <w:szCs w:val="24"/>
        </w:rPr>
        <w:footnoteReference w:id="21"/>
      </w:r>
      <w:r w:rsidR="002C1B13" w:rsidRPr="002C1B13">
        <w:rPr>
          <w:rFonts w:asciiTheme="minorHAnsi" w:eastAsia="Times New Roman" w:hAnsiTheme="minorHAnsi" w:cs="Times New Roman"/>
          <w:bCs/>
          <w:color w:val="000000" w:themeColor="text1"/>
          <w:sz w:val="24"/>
          <w:szCs w:val="24"/>
        </w:rPr>
        <w:t>;</w:t>
      </w:r>
    </w:p>
    <w:p w14:paraId="4D8C4596" w14:textId="77777777" w:rsidR="00DF787F" w:rsidRDefault="00DF787F" w:rsidP="009A377A">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567CB6" w14:textId="77777777" w:rsidR="00DF787F" w:rsidRPr="00377B72" w:rsidRDefault="00DF787F" w:rsidP="00DF787F">
      <w:pPr>
        <w:jc w:val="both"/>
        <w:rPr>
          <w:b/>
          <w:bCs/>
          <w:color w:val="000000" w:themeColor="text1"/>
          <w:sz w:val="24"/>
          <w:szCs w:val="24"/>
        </w:rPr>
      </w:pPr>
      <w:r w:rsidRPr="00377B72">
        <w:rPr>
          <w:b/>
          <w:bCs/>
          <w:color w:val="000000" w:themeColor="text1"/>
          <w:sz w:val="24"/>
          <w:szCs w:val="24"/>
        </w:rPr>
        <w:t xml:space="preserve">        a-bis) nella definizione delle superfici e delle aree idonee e non idonee per l'istallazione  di impianti a fonti rinnovabili di cui alla lettera a), le discariche e i lotti di discarica chiusi e ripristinati, nonché le aree, anche comprese nei siti di interesse nazionale, per le quali sia stata rilasciata la certificazione di avvenuta bonifica ai sensi dell'art. 242, comma 13, del decreto legislativo 3 aprile 2006, n. 152 ovvero per le quali risulti chiuso il procedimento di cui all'art. 242, comma 2, del medesimo decreto legislativo, possono essere destinati all'istallazione dei predetti impianti, a condizione, tuttavia, che essi non ricadano in aree ad elevato valore naturalistico e paesaggistico previste dalla Strategia nazionale per la biodiversità, adottata nell'ambito degli impegni assunti dall'Italia con la ratifica della Convenzione sulla Diversità Biologica (CBD, Rio de Janeiro 1992) avvenuta con la Legge n. 124 del 14 febbraio 1994;</w:t>
      </w:r>
      <w:r>
        <w:rPr>
          <w:rStyle w:val="Rimandonotaapidipagina"/>
          <w:b/>
          <w:bCs/>
          <w:color w:val="000000" w:themeColor="text1"/>
          <w:sz w:val="24"/>
          <w:szCs w:val="24"/>
        </w:rPr>
        <w:footnoteReference w:id="22"/>
      </w:r>
    </w:p>
    <w:p w14:paraId="25FB1734" w14:textId="77777777" w:rsidR="00755C76" w:rsidRPr="00377B72" w:rsidRDefault="00755C76" w:rsidP="00755C76">
      <w:pPr>
        <w:jc w:val="both"/>
        <w:rPr>
          <w:b/>
          <w:bCs/>
          <w:color w:val="000000" w:themeColor="text1"/>
          <w:sz w:val="24"/>
          <w:szCs w:val="24"/>
        </w:rPr>
      </w:pPr>
      <w:r w:rsidRPr="00377B72">
        <w:rPr>
          <w:b/>
          <w:bCs/>
          <w:color w:val="000000" w:themeColor="text1"/>
          <w:sz w:val="24"/>
          <w:szCs w:val="24"/>
        </w:rPr>
        <w:t xml:space="preserve">        a-bis) prevedere che il comma 1 dell'articolo 65, del decreto-legge 24 gennaio 2012, n. 1, convertito, con modificazioni, dalla legge 24 marzo 2012, n. 27, non si applica agli impianti solari fotovoltaici realizzati e da realizzare su discariche e lotti di discarica chiusi e ripristinati, cave non suscettibili di ulteriore sfruttamento estrattivo per le quali l'autorità competente al rilascio dell'autorizzazione abbia attestato l'avvenuto completamento delle attività di recupero e ripristino ambientale previste nel titolo autorizzativo nel rispetto delle norme regionali vigenti, nonché su aree, anche comprese nei siti di interesse nazionale, per le quali sia stata rilasciata la certificazione di avvenuta bonifica ai sensi dell'art.242, comma 13, del decreto legislativo 3 aprile 2006, n.152 ovvero per le quali risulti chiuso il procedimento di cui all'art.242, comma 2, del medesimo decreto legislativo;</w:t>
      </w:r>
      <w:r>
        <w:rPr>
          <w:rStyle w:val="Rimandonotaapidipagina"/>
          <w:b/>
          <w:bCs/>
          <w:color w:val="000000" w:themeColor="text1"/>
          <w:sz w:val="24"/>
          <w:szCs w:val="24"/>
        </w:rPr>
        <w:footnoteReference w:id="23"/>
      </w:r>
    </w:p>
    <w:p w14:paraId="2CB5EB80" w14:textId="77777777" w:rsidR="00DF787F" w:rsidRPr="002C1B13" w:rsidRDefault="00DF787F" w:rsidP="009A377A">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185D8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individuare procedure abilitative semplificate, proporzionate alla tipologia di interventi e alla loro localizzazione</w:t>
      </w:r>
      <w:r w:rsidR="00662854">
        <w:rPr>
          <w:rFonts w:asciiTheme="minorHAnsi" w:eastAsia="Times New Roman" w:hAnsiTheme="minorHAnsi" w:cs="Times New Roman"/>
          <w:bCs/>
          <w:color w:val="000000" w:themeColor="text1"/>
          <w:sz w:val="24"/>
          <w:szCs w:val="24"/>
        </w:rPr>
        <w:t xml:space="preserve"> </w:t>
      </w:r>
      <w:r w:rsidR="00662854" w:rsidRPr="00377B72">
        <w:rPr>
          <w:b/>
          <w:bCs/>
          <w:color w:val="000000" w:themeColor="text1"/>
          <w:sz w:val="24"/>
          <w:szCs w:val="24"/>
        </w:rPr>
        <w:t>secondo un principio di sussidiarietà verticale</w:t>
      </w:r>
      <w:r w:rsidR="00662854">
        <w:rPr>
          <w:rStyle w:val="Rimandonotaapidipagina"/>
          <w:b/>
          <w:bCs/>
          <w:color w:val="000000" w:themeColor="text1"/>
          <w:sz w:val="24"/>
          <w:szCs w:val="24"/>
        </w:rPr>
        <w:footnoteReference w:id="24"/>
      </w:r>
      <w:r w:rsidRPr="002C1B13">
        <w:rPr>
          <w:rFonts w:asciiTheme="minorHAnsi" w:eastAsia="Times New Roman" w:hAnsiTheme="minorHAnsi" w:cs="Times New Roman"/>
          <w:bCs/>
          <w:color w:val="000000" w:themeColor="text1"/>
          <w:sz w:val="24"/>
          <w:szCs w:val="24"/>
        </w:rPr>
        <w:t xml:space="preserve">, per l'installazione degli impianti nelle </w:t>
      </w:r>
      <w:r w:rsidRPr="002C1B13">
        <w:rPr>
          <w:rFonts w:asciiTheme="minorHAnsi" w:eastAsia="Times New Roman" w:hAnsiTheme="minorHAnsi" w:cs="Times New Roman"/>
          <w:bCs/>
          <w:color w:val="000000" w:themeColor="text1"/>
          <w:sz w:val="24"/>
          <w:szCs w:val="24"/>
        </w:rPr>
        <w:lastRenderedPageBreak/>
        <w:t xml:space="preserve">aree e siti individuati ai sensi delle lettere a) e m), </w:t>
      </w:r>
      <w:r w:rsidRPr="006E4F7A">
        <w:rPr>
          <w:rFonts w:asciiTheme="minorHAnsi" w:eastAsia="Times New Roman" w:hAnsiTheme="minorHAnsi" w:cs="Times New Roman"/>
          <w:bCs/>
          <w:strike/>
          <w:color w:val="000000" w:themeColor="text1"/>
          <w:sz w:val="24"/>
          <w:szCs w:val="24"/>
          <w:highlight w:val="yellow"/>
        </w:rPr>
        <w:t>razionalizzando</w:t>
      </w:r>
      <w:r w:rsidRPr="002C1B13">
        <w:rPr>
          <w:rFonts w:asciiTheme="minorHAnsi" w:eastAsia="Times New Roman" w:hAnsiTheme="minorHAnsi" w:cs="Times New Roman"/>
          <w:bCs/>
          <w:color w:val="000000" w:themeColor="text1"/>
          <w:sz w:val="24"/>
          <w:szCs w:val="24"/>
        </w:rPr>
        <w:t xml:space="preserve"> </w:t>
      </w:r>
      <w:r w:rsidR="006E4F7A" w:rsidRPr="006E4F7A">
        <w:rPr>
          <w:rFonts w:asciiTheme="minorHAnsi" w:hAnsiTheme="minorHAnsi"/>
          <w:b/>
          <w:bCs/>
          <w:color w:val="000000" w:themeColor="text1"/>
          <w:sz w:val="24"/>
          <w:szCs w:val="24"/>
        </w:rPr>
        <w:t>riducendo</w:t>
      </w:r>
      <w:r w:rsidR="005F22B0">
        <w:rPr>
          <w:rStyle w:val="Rimandonotaapidipagina"/>
          <w:rFonts w:asciiTheme="minorHAnsi" w:hAnsiTheme="minorHAnsi"/>
          <w:b/>
          <w:bCs/>
          <w:color w:val="000000" w:themeColor="text1"/>
          <w:sz w:val="24"/>
          <w:szCs w:val="24"/>
        </w:rPr>
        <w:footnoteReference w:id="25"/>
      </w:r>
      <w:r w:rsidR="006E4F7A" w:rsidRPr="006E4F7A">
        <w:rPr>
          <w:rFonts w:asciiTheme="minorHAnsi" w:eastAsia="Times New Roman" w:hAnsiTheme="minorHAnsi" w:cs="Times New Roman"/>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altresì i termini dei procedimenti autorizzativi e per l'assegnazione di incentivi;</w:t>
      </w:r>
    </w:p>
    <w:p w14:paraId="73C8B737" w14:textId="77777777" w:rsidR="00662854" w:rsidRDefault="00662854"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29BB81" w14:textId="77777777" w:rsidR="00662854" w:rsidRPr="00377B72" w:rsidRDefault="00662854" w:rsidP="00662854">
      <w:pPr>
        <w:jc w:val="both"/>
        <w:rPr>
          <w:b/>
          <w:bCs/>
          <w:color w:val="000000" w:themeColor="text1"/>
          <w:sz w:val="24"/>
          <w:szCs w:val="24"/>
        </w:rPr>
      </w:pPr>
      <w:r w:rsidRPr="00377B72">
        <w:rPr>
          <w:b/>
          <w:bCs/>
          <w:color w:val="000000" w:themeColor="text1"/>
          <w:sz w:val="24"/>
          <w:szCs w:val="24"/>
        </w:rPr>
        <w:t xml:space="preserve">        b-bis) individuare procedure abilitative semplificate per gli interventi - diversi dalla mera sostituzione di componenti principali che non è sottoposta ad alcuna autorizzazione - di rifacimento totale e parziale, riattivazione, integrale ricostruzione e potenziamento su impianti a fonti rinnovabili già esistenti, razionalizzando altresì i termini dei procedimenti autorizzativi e per l'assegnazione di incentivi;</w:t>
      </w:r>
      <w:r>
        <w:rPr>
          <w:rStyle w:val="Rimandonotaapidipagina"/>
          <w:b/>
          <w:bCs/>
          <w:color w:val="000000" w:themeColor="text1"/>
          <w:sz w:val="24"/>
          <w:szCs w:val="24"/>
        </w:rPr>
        <w:footnoteReference w:id="26"/>
      </w:r>
    </w:p>
    <w:p w14:paraId="3A0B2DE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riordinare </w:t>
      </w:r>
      <w:r w:rsidR="00AB2325" w:rsidRPr="00377B72">
        <w:rPr>
          <w:b/>
          <w:bCs/>
          <w:color w:val="000000" w:themeColor="text1"/>
          <w:sz w:val="24"/>
          <w:szCs w:val="24"/>
        </w:rPr>
        <w:t>e semplificare</w:t>
      </w:r>
      <w:r w:rsidR="00AB2325" w:rsidRPr="002C1B13">
        <w:rPr>
          <w:rFonts w:asciiTheme="minorHAnsi" w:eastAsia="Times New Roman" w:hAnsiTheme="minorHAnsi" w:cs="Times New Roman"/>
          <w:bCs/>
          <w:color w:val="000000" w:themeColor="text1"/>
          <w:sz w:val="24"/>
          <w:szCs w:val="24"/>
        </w:rPr>
        <w:t xml:space="preserve"> </w:t>
      </w:r>
      <w:r w:rsidR="00AB2325">
        <w:rPr>
          <w:rStyle w:val="Rimandonotaapidipagina"/>
          <w:rFonts w:asciiTheme="minorHAnsi" w:eastAsia="Times New Roman" w:hAnsiTheme="minorHAnsi" w:cs="Times New Roman"/>
          <w:bCs/>
          <w:color w:val="000000" w:themeColor="text1"/>
          <w:sz w:val="24"/>
          <w:szCs w:val="24"/>
        </w:rPr>
        <w:footnoteReference w:id="27"/>
      </w:r>
      <w:r w:rsidRPr="002C1B13">
        <w:rPr>
          <w:rFonts w:asciiTheme="minorHAnsi" w:eastAsia="Times New Roman" w:hAnsiTheme="minorHAnsi" w:cs="Times New Roman"/>
          <w:bCs/>
          <w:color w:val="000000" w:themeColor="text1"/>
          <w:sz w:val="24"/>
          <w:szCs w:val="24"/>
        </w:rPr>
        <w:t xml:space="preserve">la normativa vigente in materia di configurazioni per l'autoconsumo, ivi incluse quelle inerenti </w:t>
      </w:r>
      <w:proofErr w:type="gramStart"/>
      <w:r w:rsidRPr="002C1B13">
        <w:rPr>
          <w:rFonts w:asciiTheme="minorHAnsi" w:eastAsia="Times New Roman" w:hAnsiTheme="minorHAnsi" w:cs="Times New Roman"/>
          <w:bCs/>
          <w:color w:val="000000" w:themeColor="text1"/>
          <w:sz w:val="24"/>
          <w:szCs w:val="24"/>
        </w:rPr>
        <w:t>i</w:t>
      </w:r>
      <w:proofErr w:type="gramEnd"/>
      <w:r w:rsidRPr="002C1B13">
        <w:rPr>
          <w:rFonts w:asciiTheme="minorHAnsi" w:eastAsia="Times New Roman" w:hAnsiTheme="minorHAnsi" w:cs="Times New Roman"/>
          <w:bCs/>
          <w:color w:val="000000" w:themeColor="text1"/>
          <w:sz w:val="24"/>
          <w:szCs w:val="24"/>
        </w:rPr>
        <w:t xml:space="preserve"> sistemi efficienti di utenza e lo scambio sul posto, con l'obiettivo di favorire la realizzazione di tutti i sistemi di autoconsumo, anche collettivi, da fonti rinnovabili, con conseguente minore utilizzo della rete elettrica derivante da sistemi di generazione diffusa;</w:t>
      </w:r>
    </w:p>
    <w:p w14:paraId="59EC383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prevedere meccanismi per il monitoraggio degli effetti della diffusione dell'autoconsumo, anche ai fini dell'aggiornamento delle modalità di imposizione e raccolta delle componenti tariffarie a copertura degli oneri generali di sistema</w:t>
      </w:r>
      <w:r w:rsidR="005C55A6">
        <w:rPr>
          <w:rFonts w:asciiTheme="minorHAnsi" w:eastAsia="Times New Roman" w:hAnsiTheme="minorHAnsi" w:cs="Times New Roman"/>
          <w:bCs/>
          <w:color w:val="000000" w:themeColor="text1"/>
          <w:sz w:val="24"/>
          <w:szCs w:val="24"/>
        </w:rPr>
        <w:t xml:space="preserve"> </w:t>
      </w:r>
      <w:r w:rsidR="005C55A6" w:rsidRPr="002115F2">
        <w:rPr>
          <w:b/>
          <w:bCs/>
          <w:color w:val="000000" w:themeColor="text1"/>
          <w:sz w:val="24"/>
          <w:szCs w:val="24"/>
        </w:rPr>
        <w:t>valutando il trasferimento alla fiscalità generale degli oneri non direttamente connessi ad obiettivi di sviluppo ambientalmente sostenibile o di contrasto alla povertà energetica</w:t>
      </w:r>
      <w:r w:rsidR="005C55A6">
        <w:rPr>
          <w:rStyle w:val="Rimandonotaapidipagina"/>
          <w:b/>
          <w:bCs/>
          <w:color w:val="000000" w:themeColor="text1"/>
          <w:sz w:val="24"/>
          <w:szCs w:val="24"/>
        </w:rPr>
        <w:footnoteReference w:id="28"/>
      </w:r>
      <w:r w:rsidRPr="002C1B13">
        <w:rPr>
          <w:rFonts w:asciiTheme="minorHAnsi" w:eastAsia="Times New Roman" w:hAnsiTheme="minorHAnsi" w:cs="Times New Roman"/>
          <w:bCs/>
          <w:color w:val="000000" w:themeColor="text1"/>
          <w:sz w:val="24"/>
          <w:szCs w:val="24"/>
        </w:rPr>
        <w:t>;</w:t>
      </w:r>
    </w:p>
    <w:p w14:paraId="5634FB74" w14:textId="77777777" w:rsidR="002C1B13" w:rsidRPr="00A726C2" w:rsidRDefault="002C1B13" w:rsidP="00A726C2">
      <w:pPr>
        <w:jc w:val="both"/>
        <w:rPr>
          <w:rFonts w:asciiTheme="minorHAnsi" w:hAnsiTheme="minorHAnsi"/>
          <w:b/>
          <w:bCs/>
          <w:color w:val="000000" w:themeColor="text1"/>
          <w:sz w:val="24"/>
          <w:szCs w:val="24"/>
        </w:rPr>
      </w:pPr>
      <w:r w:rsidRPr="002C1B13">
        <w:rPr>
          <w:rFonts w:asciiTheme="minorHAnsi" w:eastAsia="Times New Roman" w:hAnsiTheme="minorHAnsi" w:cs="Times New Roman"/>
          <w:bCs/>
          <w:color w:val="000000" w:themeColor="text1"/>
          <w:sz w:val="24"/>
          <w:szCs w:val="24"/>
        </w:rPr>
        <w:t>e) prevedere misure volte a favorire e promuovere la progressiva installazione di impianti di produzione di energia da fonti rinnovabili negli edifici esistenti, anche mediante riordino delle misure vigenti</w:t>
      </w:r>
      <w:r w:rsidR="00A726C2">
        <w:rPr>
          <w:rFonts w:asciiTheme="minorHAnsi" w:eastAsia="Times New Roman" w:hAnsiTheme="minorHAnsi" w:cs="Times New Roman"/>
          <w:bCs/>
          <w:color w:val="000000" w:themeColor="text1"/>
          <w:sz w:val="24"/>
          <w:szCs w:val="24"/>
        </w:rPr>
        <w:t xml:space="preserve"> </w:t>
      </w:r>
      <w:r w:rsidR="00A726C2" w:rsidRPr="00341A03">
        <w:rPr>
          <w:rFonts w:asciiTheme="minorHAnsi" w:hAnsiTheme="minorHAnsi"/>
          <w:b/>
          <w:bCs/>
          <w:color w:val="000000" w:themeColor="text1"/>
          <w:sz w:val="24"/>
          <w:szCs w:val="24"/>
        </w:rPr>
        <w:t>e l'introduzione di meccanismi d'obbligo"</w:t>
      </w:r>
      <w:r w:rsidR="00A726C2">
        <w:rPr>
          <w:rStyle w:val="Rimandonotaapidipagina"/>
          <w:rFonts w:asciiTheme="minorHAnsi" w:hAnsiTheme="minorHAnsi"/>
          <w:b/>
          <w:bCs/>
          <w:color w:val="000000" w:themeColor="text1"/>
          <w:sz w:val="24"/>
          <w:szCs w:val="24"/>
        </w:rPr>
        <w:footnoteReference w:id="29"/>
      </w:r>
      <w:r w:rsidR="00BF2293">
        <w:rPr>
          <w:rFonts w:asciiTheme="minorHAnsi" w:hAnsiTheme="minorHAnsi"/>
          <w:b/>
          <w:bCs/>
          <w:color w:val="000000" w:themeColor="text1"/>
          <w:sz w:val="24"/>
          <w:szCs w:val="24"/>
        </w:rPr>
        <w:t xml:space="preserve"> </w:t>
      </w:r>
      <w:r w:rsidR="00BF2293" w:rsidRPr="00052EF6">
        <w:rPr>
          <w:rFonts w:asciiTheme="minorHAnsi" w:hAnsiTheme="minorHAnsi"/>
          <w:b/>
          <w:bCs/>
          <w:color w:val="000000" w:themeColor="text1"/>
          <w:sz w:val="24"/>
          <w:szCs w:val="24"/>
        </w:rPr>
        <w:t>fatti salvi i vincoli paesaggistici e i limiti imposti dalla tipologia dell'edificio</w:t>
      </w:r>
      <w:r w:rsidR="00BF2293">
        <w:rPr>
          <w:rFonts w:asciiTheme="minorHAnsi" w:hAnsiTheme="minorHAnsi"/>
          <w:b/>
          <w:bCs/>
          <w:color w:val="000000" w:themeColor="text1"/>
          <w:sz w:val="24"/>
          <w:szCs w:val="24"/>
        </w:rPr>
        <w:t>;</w:t>
      </w:r>
      <w:r w:rsidR="00BF2293">
        <w:rPr>
          <w:rStyle w:val="Rimandonotaapidipagina"/>
          <w:rFonts w:asciiTheme="minorHAnsi" w:hAnsiTheme="minorHAnsi"/>
          <w:b/>
          <w:bCs/>
          <w:color w:val="000000" w:themeColor="text1"/>
          <w:sz w:val="24"/>
          <w:szCs w:val="24"/>
        </w:rPr>
        <w:footnoteReference w:id="30"/>
      </w:r>
    </w:p>
    <w:p w14:paraId="499F85CE" w14:textId="77777777" w:rsidR="002C1B13" w:rsidRPr="002C1B13" w:rsidRDefault="002C1B13" w:rsidP="005C55A6">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f) individuare misure incentivanti per la promozione delle comunità di energia rinnovabile volte a favorire la partecipazione delle comunità locali alla realizzazione degli impianti, valorizzando la rete elettrica esistente e massimizzando l'utilizzo locale della relativa produzione energetica, con conseguente minore utilizzo della rete elettrica derivante da sistemi di generazione diffusa</w:t>
      </w:r>
      <w:r w:rsidR="005C55A6">
        <w:rPr>
          <w:rFonts w:asciiTheme="minorHAnsi" w:eastAsia="Times New Roman" w:hAnsiTheme="minorHAnsi" w:cs="Times New Roman"/>
          <w:bCs/>
          <w:color w:val="000000" w:themeColor="text1"/>
          <w:sz w:val="24"/>
          <w:szCs w:val="24"/>
        </w:rPr>
        <w:t xml:space="preserve"> </w:t>
      </w:r>
      <w:r w:rsidR="005C55A6" w:rsidRPr="00255D85">
        <w:rPr>
          <w:b/>
          <w:bCs/>
          <w:color w:val="000000" w:themeColor="text1"/>
          <w:sz w:val="24"/>
          <w:szCs w:val="24"/>
        </w:rPr>
        <w:t>fatto salvo l'applicazione degli oneri generali di sistema sull'energia prelevata dalla rete pubblica dai clienti finali e su quella prodotta e condivisa utilizzando la rete di distribuzione esistente</w:t>
      </w:r>
      <w:r w:rsidR="005C55A6">
        <w:rPr>
          <w:rStyle w:val="Rimandonotaapidipagina"/>
          <w:b/>
          <w:bCs/>
          <w:color w:val="000000" w:themeColor="text1"/>
          <w:sz w:val="24"/>
          <w:szCs w:val="24"/>
        </w:rPr>
        <w:footnoteReference w:id="31"/>
      </w:r>
      <w:r w:rsidR="005C55A6">
        <w:rPr>
          <w:b/>
          <w:bCs/>
          <w:color w:val="000000" w:themeColor="text1"/>
          <w:sz w:val="24"/>
          <w:szCs w:val="24"/>
        </w:rPr>
        <w:t xml:space="preserve">. </w:t>
      </w:r>
      <w:r w:rsidR="005928D0" w:rsidRPr="00341A03">
        <w:rPr>
          <w:rFonts w:asciiTheme="minorHAnsi" w:hAnsiTheme="minorHAnsi"/>
          <w:b/>
          <w:bCs/>
          <w:color w:val="000000" w:themeColor="text1"/>
          <w:sz w:val="24"/>
          <w:szCs w:val="24"/>
        </w:rPr>
        <w:t>A tal fine, agli impianti a fonti rinnovabili inseriti nelle configurazioni di autoconsumo collettivo e nelle comunità dell'energia è garantito un accesso paritario e non discriminatorio a tutti i pertinenti regimi di sostegno di natura normativa o regolatoria, con particolare riguardo ai meccanismi di valorizzazione dell'autoconsumo e ai meccanismi di riconoscimento dei costi evitati per il sistema elettrico che tale autoconsumo comporta, evitando comunque effetti distorsivi sul mercato</w:t>
      </w:r>
      <w:r w:rsidR="005928D0">
        <w:rPr>
          <w:rStyle w:val="Rimandonotaapidipagina"/>
          <w:rFonts w:asciiTheme="minorHAnsi" w:hAnsiTheme="minorHAnsi"/>
          <w:b/>
          <w:bCs/>
          <w:color w:val="000000" w:themeColor="text1"/>
          <w:sz w:val="24"/>
          <w:szCs w:val="24"/>
        </w:rPr>
        <w:footnoteReference w:id="32"/>
      </w:r>
      <w:r w:rsidRPr="002C1B13">
        <w:rPr>
          <w:rFonts w:asciiTheme="minorHAnsi" w:eastAsia="Times New Roman" w:hAnsiTheme="minorHAnsi" w:cs="Times New Roman"/>
          <w:bCs/>
          <w:color w:val="000000" w:themeColor="text1"/>
          <w:sz w:val="24"/>
          <w:szCs w:val="24"/>
        </w:rPr>
        <w:t>;</w:t>
      </w:r>
    </w:p>
    <w:p w14:paraId="07DD028F"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prevedere misure per agevolare il massimo utilizzo dell'energia producibile da fonti rinnovabili, anche favorendo la diffusione e l'uso di sistemi di accumulo dell'energia</w:t>
      </w:r>
      <w:r w:rsidR="00F462C5">
        <w:rPr>
          <w:rFonts w:asciiTheme="minorHAnsi" w:eastAsia="Times New Roman" w:hAnsiTheme="minorHAnsi" w:cs="Times New Roman"/>
          <w:bCs/>
          <w:color w:val="000000" w:themeColor="text1"/>
          <w:sz w:val="24"/>
          <w:szCs w:val="24"/>
        </w:rPr>
        <w:t xml:space="preserve"> </w:t>
      </w:r>
      <w:r w:rsidR="00F462C5" w:rsidRPr="00255D85">
        <w:rPr>
          <w:b/>
          <w:bCs/>
          <w:color w:val="000000" w:themeColor="text1"/>
          <w:sz w:val="24"/>
          <w:szCs w:val="24"/>
        </w:rPr>
        <w:t>anche attraverso un iter autorizzativo semplificato</w:t>
      </w:r>
      <w:r w:rsidR="00F462C5">
        <w:rPr>
          <w:rStyle w:val="Rimandonotaapidipagina"/>
          <w:b/>
          <w:bCs/>
          <w:color w:val="000000" w:themeColor="text1"/>
          <w:sz w:val="24"/>
          <w:szCs w:val="24"/>
        </w:rPr>
        <w:footnoteReference w:id="33"/>
      </w:r>
      <w:r w:rsidRPr="002C1B13">
        <w:rPr>
          <w:rFonts w:asciiTheme="minorHAnsi" w:eastAsia="Times New Roman" w:hAnsiTheme="minorHAnsi" w:cs="Times New Roman"/>
          <w:bCs/>
          <w:color w:val="000000" w:themeColor="text1"/>
          <w:sz w:val="24"/>
          <w:szCs w:val="24"/>
        </w:rPr>
        <w:t>, compresi i veicoli elettrici, e le connesse esigenze di ricerca e sviluppo</w:t>
      </w:r>
      <w:r w:rsidR="00DF6986">
        <w:rPr>
          <w:rFonts w:asciiTheme="minorHAnsi" w:eastAsia="Times New Roman" w:hAnsiTheme="minorHAnsi" w:cs="Times New Roman"/>
          <w:bCs/>
          <w:color w:val="000000" w:themeColor="text1"/>
          <w:sz w:val="24"/>
          <w:szCs w:val="24"/>
        </w:rPr>
        <w:t xml:space="preserve"> </w:t>
      </w:r>
      <w:r w:rsidR="00DF6986" w:rsidRPr="00C81E3B">
        <w:rPr>
          <w:b/>
          <w:bCs/>
          <w:color w:val="000000" w:themeColor="text1"/>
          <w:sz w:val="24"/>
          <w:szCs w:val="24"/>
        </w:rPr>
        <w:t>tenendo conto del principio di neutralità tecnologica</w:t>
      </w:r>
      <w:r w:rsidR="00DF6986">
        <w:rPr>
          <w:rStyle w:val="Rimandonotaapidipagina"/>
          <w:b/>
          <w:bCs/>
          <w:color w:val="000000" w:themeColor="text1"/>
          <w:sz w:val="24"/>
          <w:szCs w:val="24"/>
        </w:rPr>
        <w:footnoteReference w:id="34"/>
      </w:r>
      <w:r w:rsidRPr="002C1B13">
        <w:rPr>
          <w:rFonts w:asciiTheme="minorHAnsi" w:eastAsia="Times New Roman" w:hAnsiTheme="minorHAnsi" w:cs="Times New Roman"/>
          <w:bCs/>
          <w:color w:val="000000" w:themeColor="text1"/>
          <w:sz w:val="24"/>
          <w:szCs w:val="24"/>
        </w:rPr>
        <w:t>;</w:t>
      </w:r>
    </w:p>
    <w:p w14:paraId="44B7EFCE" w14:textId="77777777" w:rsidR="00F462C5" w:rsidRPr="002C1B13" w:rsidRDefault="00F462C5"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55D85">
        <w:rPr>
          <w:b/>
          <w:bCs/>
          <w:color w:val="000000" w:themeColor="text1"/>
          <w:sz w:val="24"/>
          <w:szCs w:val="24"/>
        </w:rPr>
        <w:t>g-bis) incoraggiare la ricerca per la riduzione della quantità e della pericolosità dei rifiuti prodotti durante il ciclo di produzione dei sistemi di accumulo dell'energia, in particolare attraverso la sostituzione di sostanze nocive e materie prime critiche con altre meno impattanti, per allungare la vita utile in condizione di massimo rendimento dei sistemi di accumulo e per facilitarne il riciclaggio una volta giunti a fine vita</w:t>
      </w:r>
      <w:r>
        <w:rPr>
          <w:b/>
          <w:bCs/>
          <w:color w:val="000000" w:themeColor="text1"/>
          <w:sz w:val="24"/>
          <w:szCs w:val="24"/>
        </w:rPr>
        <w:t>;</w:t>
      </w:r>
      <w:r>
        <w:rPr>
          <w:rStyle w:val="Rimandonotaapidipagina"/>
          <w:b/>
          <w:bCs/>
          <w:color w:val="000000" w:themeColor="text1"/>
          <w:sz w:val="24"/>
          <w:szCs w:val="24"/>
        </w:rPr>
        <w:footnoteReference w:id="35"/>
      </w:r>
    </w:p>
    <w:p w14:paraId="5F779317"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r w:rsidRPr="00050426">
        <w:rPr>
          <w:rFonts w:asciiTheme="minorHAnsi" w:eastAsia="Times New Roman" w:hAnsiTheme="minorHAnsi" w:cs="Times New Roman"/>
          <w:bCs/>
          <w:strike/>
          <w:color w:val="000000" w:themeColor="text1"/>
          <w:sz w:val="24"/>
          <w:szCs w:val="24"/>
          <w:highlight w:val="yellow"/>
        </w:rPr>
        <w:t xml:space="preserve">h) introdurre misure per la promozione dell'utilizzo energetico di biomasse legnose, nel quadro della gestione forestale sostenibile e della valorizzazione della silvicoltura a turno di taglio breve (short </w:t>
      </w:r>
      <w:proofErr w:type="spellStart"/>
      <w:r w:rsidRPr="00050426">
        <w:rPr>
          <w:rFonts w:asciiTheme="minorHAnsi" w:eastAsia="Times New Roman" w:hAnsiTheme="minorHAnsi" w:cs="Times New Roman"/>
          <w:bCs/>
          <w:strike/>
          <w:color w:val="000000" w:themeColor="text1"/>
          <w:sz w:val="24"/>
          <w:szCs w:val="24"/>
          <w:highlight w:val="yellow"/>
        </w:rPr>
        <w:t>rotation</w:t>
      </w:r>
      <w:proofErr w:type="spellEnd"/>
      <w:r w:rsidRPr="00050426">
        <w:rPr>
          <w:rFonts w:asciiTheme="minorHAnsi" w:eastAsia="Times New Roman" w:hAnsiTheme="minorHAnsi" w:cs="Times New Roman"/>
          <w:bCs/>
          <w:strike/>
          <w:color w:val="000000" w:themeColor="text1"/>
          <w:sz w:val="24"/>
          <w:szCs w:val="24"/>
          <w:highlight w:val="yellow"/>
        </w:rPr>
        <w:t xml:space="preserve"> </w:t>
      </w:r>
      <w:proofErr w:type="spellStart"/>
      <w:r w:rsidRPr="00050426">
        <w:rPr>
          <w:rFonts w:asciiTheme="minorHAnsi" w:eastAsia="Times New Roman" w:hAnsiTheme="minorHAnsi" w:cs="Times New Roman"/>
          <w:bCs/>
          <w:strike/>
          <w:color w:val="000000" w:themeColor="text1"/>
          <w:sz w:val="24"/>
          <w:szCs w:val="24"/>
          <w:highlight w:val="yellow"/>
        </w:rPr>
        <w:lastRenderedPageBreak/>
        <w:t>forestry</w:t>
      </w:r>
      <w:proofErr w:type="spellEnd"/>
      <w:r w:rsidRPr="00050426">
        <w:rPr>
          <w:rFonts w:asciiTheme="minorHAnsi" w:eastAsia="Times New Roman" w:hAnsiTheme="minorHAnsi" w:cs="Times New Roman"/>
          <w:bCs/>
          <w:strike/>
          <w:color w:val="000000" w:themeColor="text1"/>
          <w:sz w:val="24"/>
          <w:szCs w:val="24"/>
          <w:highlight w:val="yellow"/>
        </w:rPr>
        <w:t>) e in coerenza con le previsioni europee dell'utilizzo a cascata e con le esigenze ambientali di cui alla lettera l)</w:t>
      </w:r>
      <w:r w:rsidR="00BF2293" w:rsidRPr="00050426">
        <w:rPr>
          <w:rFonts w:asciiTheme="minorHAnsi" w:hAnsiTheme="minorHAnsi"/>
          <w:b/>
          <w:bCs/>
          <w:strike/>
          <w:color w:val="000000" w:themeColor="text1"/>
          <w:sz w:val="24"/>
          <w:szCs w:val="24"/>
          <w:highlight w:val="yellow"/>
        </w:rPr>
        <w:t>, considerando anche le opportunità derivanti anche dalle biomasse residuali industriali</w:t>
      </w:r>
      <w:r w:rsidR="00BF2293" w:rsidRPr="00050426">
        <w:rPr>
          <w:rStyle w:val="Rimandonotaapidipagina"/>
          <w:rFonts w:asciiTheme="minorHAnsi" w:hAnsiTheme="minorHAnsi"/>
          <w:b/>
          <w:bCs/>
          <w:strike/>
          <w:color w:val="000000" w:themeColor="text1"/>
          <w:sz w:val="24"/>
          <w:szCs w:val="24"/>
          <w:highlight w:val="yellow"/>
        </w:rPr>
        <w:footnoteReference w:id="36"/>
      </w:r>
      <w:r w:rsidRPr="00050426">
        <w:rPr>
          <w:rFonts w:asciiTheme="minorHAnsi" w:eastAsia="Times New Roman" w:hAnsiTheme="minorHAnsi" w:cs="Times New Roman"/>
          <w:bCs/>
          <w:strike/>
          <w:color w:val="000000" w:themeColor="text1"/>
          <w:sz w:val="24"/>
          <w:szCs w:val="24"/>
          <w:highlight w:val="yellow"/>
        </w:rPr>
        <w:t>;</w:t>
      </w:r>
    </w:p>
    <w:p w14:paraId="0952D0B8" w14:textId="77777777" w:rsidR="00050426" w:rsidRPr="00255D85" w:rsidRDefault="00050426" w:rsidP="00050426">
      <w:pPr>
        <w:jc w:val="both"/>
        <w:rPr>
          <w:b/>
          <w:bCs/>
          <w:color w:val="000000" w:themeColor="text1"/>
          <w:sz w:val="24"/>
          <w:szCs w:val="24"/>
        </w:rPr>
      </w:pPr>
      <w:r w:rsidRPr="00255D85">
        <w:rPr>
          <w:b/>
          <w:bCs/>
          <w:color w:val="000000" w:themeColor="text1"/>
          <w:sz w:val="24"/>
          <w:szCs w:val="24"/>
        </w:rPr>
        <w:t xml:space="preserve">        h) introdurre misure per l'utilizzo energetico di biomasse legnose, nel quadro della gestione forestale sostenibile, e della silvicoltura a turno di taglio breve (short </w:t>
      </w:r>
      <w:proofErr w:type="spellStart"/>
      <w:r w:rsidRPr="00255D85">
        <w:rPr>
          <w:b/>
          <w:bCs/>
          <w:color w:val="000000" w:themeColor="text1"/>
          <w:sz w:val="24"/>
          <w:szCs w:val="24"/>
        </w:rPr>
        <w:t>rotation</w:t>
      </w:r>
      <w:proofErr w:type="spellEnd"/>
      <w:r w:rsidRPr="00255D85">
        <w:rPr>
          <w:b/>
          <w:bCs/>
          <w:color w:val="000000" w:themeColor="text1"/>
          <w:sz w:val="24"/>
          <w:szCs w:val="24"/>
        </w:rPr>
        <w:t xml:space="preserve"> </w:t>
      </w:r>
      <w:proofErr w:type="spellStart"/>
      <w:r w:rsidRPr="00255D85">
        <w:rPr>
          <w:b/>
          <w:bCs/>
          <w:color w:val="000000" w:themeColor="text1"/>
          <w:sz w:val="24"/>
          <w:szCs w:val="24"/>
        </w:rPr>
        <w:t>forestry</w:t>
      </w:r>
      <w:proofErr w:type="spellEnd"/>
      <w:r w:rsidRPr="00255D85">
        <w:rPr>
          <w:b/>
          <w:bCs/>
          <w:color w:val="000000" w:themeColor="text1"/>
          <w:sz w:val="24"/>
          <w:szCs w:val="24"/>
        </w:rPr>
        <w:t>) in coerenza con le previsioni europee dell'utilizzo a cascata, in particolare dei principi di sostenibilità, uso efficiente delle risorse, circolarità in tutti i flussi e in ogni fase e sussidiarietà, e con le esigenze ambientali di cui alla lettera l).</w:t>
      </w:r>
      <w:r>
        <w:rPr>
          <w:rStyle w:val="Rimandonotaapidipagina"/>
          <w:b/>
          <w:bCs/>
          <w:color w:val="000000" w:themeColor="text1"/>
          <w:sz w:val="24"/>
          <w:szCs w:val="24"/>
        </w:rPr>
        <w:footnoteReference w:id="37"/>
      </w:r>
    </w:p>
    <w:p w14:paraId="491DE3E2" w14:textId="77777777" w:rsidR="00050426" w:rsidRPr="00050426" w:rsidRDefault="00050426" w:rsidP="002C1B13">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p>
    <w:p w14:paraId="1ABC220E" w14:textId="77777777" w:rsidR="00BF2293" w:rsidRPr="00052EF6" w:rsidRDefault="00BF2293" w:rsidP="00BF2293">
      <w:pPr>
        <w:jc w:val="both"/>
        <w:rPr>
          <w:rFonts w:asciiTheme="minorHAnsi" w:hAnsiTheme="minorHAnsi"/>
          <w:b/>
          <w:bCs/>
          <w:color w:val="000000" w:themeColor="text1"/>
          <w:sz w:val="24"/>
          <w:szCs w:val="24"/>
        </w:rPr>
      </w:pPr>
      <w:r w:rsidRPr="00052EF6">
        <w:rPr>
          <w:rFonts w:asciiTheme="minorHAnsi" w:hAnsiTheme="minorHAnsi"/>
          <w:b/>
          <w:bCs/>
          <w:color w:val="000000" w:themeColor="text1"/>
          <w:sz w:val="24"/>
          <w:szCs w:val="24"/>
        </w:rPr>
        <w:t>h-bis) favorire lo sviluppo dei biocarburanti ai fini del raggiungimento degli obiettivi delle fonti rinnovabili nel settore dei trasporti, nel rispetto dei criteri di sostenibilità di cui all'articolo 29 della direttiva (UE) 2018/2001</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38"/>
      </w:r>
    </w:p>
    <w:p w14:paraId="3E733B78" w14:textId="77777777" w:rsidR="002C1B13" w:rsidRPr="002C1B13" w:rsidRDefault="002C1B13" w:rsidP="00B935CC">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i) prevedere misure di incentivazione per la trasformazione ad uso plurimo di invasi, traverse e dighe esistenti, sia grandi, sia piccole, promuovendone, ove compatibile </w:t>
      </w:r>
      <w:r w:rsidR="00050426" w:rsidRPr="00255D85">
        <w:rPr>
          <w:b/>
          <w:bCs/>
          <w:color w:val="000000" w:themeColor="text1"/>
          <w:sz w:val="24"/>
          <w:szCs w:val="24"/>
        </w:rPr>
        <w:t>con gli ecosistemi, la pianificazione energetica e</w:t>
      </w:r>
      <w:r w:rsidR="00050426" w:rsidRPr="002C1B13">
        <w:rPr>
          <w:rFonts w:asciiTheme="minorHAnsi" w:eastAsia="Times New Roman" w:hAnsiTheme="minorHAnsi" w:cs="Times New Roman"/>
          <w:bCs/>
          <w:color w:val="000000" w:themeColor="text1"/>
          <w:sz w:val="24"/>
          <w:szCs w:val="24"/>
        </w:rPr>
        <w:t xml:space="preserve"> </w:t>
      </w:r>
      <w:r w:rsidR="00050426">
        <w:rPr>
          <w:rStyle w:val="Rimandonotaapidipagina"/>
          <w:rFonts w:asciiTheme="minorHAnsi" w:eastAsia="Times New Roman" w:hAnsiTheme="minorHAnsi" w:cs="Times New Roman"/>
          <w:bCs/>
          <w:color w:val="000000" w:themeColor="text1"/>
          <w:sz w:val="24"/>
          <w:szCs w:val="24"/>
        </w:rPr>
        <w:footnoteReference w:id="39"/>
      </w:r>
      <w:r w:rsidRPr="002C1B13">
        <w:rPr>
          <w:rFonts w:asciiTheme="minorHAnsi" w:eastAsia="Times New Roman" w:hAnsiTheme="minorHAnsi" w:cs="Times New Roman"/>
          <w:bCs/>
          <w:color w:val="000000" w:themeColor="text1"/>
          <w:sz w:val="24"/>
          <w:szCs w:val="24"/>
        </w:rPr>
        <w:t>con gli altri usi, anche l'utilizzo energetico</w:t>
      </w:r>
      <w:r w:rsidR="00B935CC" w:rsidRPr="00C805EF">
        <w:rPr>
          <w:b/>
          <w:bCs/>
          <w:color w:val="000000" w:themeColor="text1"/>
          <w:sz w:val="24"/>
          <w:szCs w:val="24"/>
        </w:rPr>
        <w:t>, purché siano rispettati gli standard di sicurezza geomorfologica</w:t>
      </w:r>
      <w:r w:rsidR="00B935CC">
        <w:rPr>
          <w:rStyle w:val="Rimandonotaapidipagina"/>
          <w:b/>
          <w:bCs/>
          <w:color w:val="000000" w:themeColor="text1"/>
          <w:sz w:val="24"/>
          <w:szCs w:val="24"/>
        </w:rPr>
        <w:footnoteReference w:id="40"/>
      </w:r>
      <w:r w:rsidRPr="002C1B13">
        <w:rPr>
          <w:rFonts w:asciiTheme="minorHAnsi" w:eastAsia="Times New Roman" w:hAnsiTheme="minorHAnsi" w:cs="Times New Roman"/>
          <w:bCs/>
          <w:color w:val="000000" w:themeColor="text1"/>
          <w:sz w:val="24"/>
          <w:szCs w:val="24"/>
        </w:rPr>
        <w:t>;</w:t>
      </w:r>
    </w:p>
    <w:p w14:paraId="65BD2FE7" w14:textId="77777777" w:rsidR="0056677D" w:rsidRPr="005E5DC0" w:rsidRDefault="002C1B13" w:rsidP="0056677D">
      <w:pPr>
        <w:jc w:val="both"/>
        <w:rPr>
          <w:b/>
          <w:bCs/>
          <w:color w:val="000000" w:themeColor="text1"/>
          <w:sz w:val="24"/>
          <w:szCs w:val="24"/>
        </w:rPr>
      </w:pPr>
      <w:r w:rsidRPr="002C1B13">
        <w:rPr>
          <w:rFonts w:asciiTheme="minorHAnsi" w:eastAsia="Times New Roman" w:hAnsiTheme="minorHAnsi" w:cs="Times New Roman"/>
          <w:bCs/>
          <w:color w:val="000000" w:themeColor="text1"/>
          <w:sz w:val="24"/>
          <w:szCs w:val="24"/>
        </w:rPr>
        <w:t>l) aggiornare e potenziare i meccanismi di sostegno alle fonti rinnovabili, ivi inclusi gli interventi a favore dello sviluppo tecnologico e industriale, di cui al decreto legislativo 3 marzo 2011, n. 28, in coerenza con le diverse esigenze di tutela ambientale, con semplificazione della gestione degli impianti di piccola taglia</w:t>
      </w:r>
      <w:r w:rsidR="00B935CC" w:rsidRPr="00C805EF">
        <w:rPr>
          <w:b/>
          <w:bCs/>
          <w:color w:val="000000" w:themeColor="text1"/>
          <w:sz w:val="24"/>
          <w:szCs w:val="24"/>
        </w:rPr>
        <w:t xml:space="preserve">, valorizzando l'energia prodotta da biogas per la trasformazione in biometano o in </w:t>
      </w:r>
      <w:proofErr w:type="spellStart"/>
      <w:r w:rsidR="00B935CC" w:rsidRPr="00C805EF">
        <w:rPr>
          <w:b/>
          <w:bCs/>
          <w:color w:val="000000" w:themeColor="text1"/>
          <w:sz w:val="24"/>
          <w:szCs w:val="24"/>
        </w:rPr>
        <w:t>digestato</w:t>
      </w:r>
      <w:proofErr w:type="spellEnd"/>
      <w:r w:rsidR="00B935CC" w:rsidRPr="00C805EF">
        <w:rPr>
          <w:b/>
          <w:bCs/>
          <w:color w:val="000000" w:themeColor="text1"/>
          <w:sz w:val="24"/>
          <w:szCs w:val="24"/>
        </w:rPr>
        <w:t xml:space="preserve"> equiparato </w:t>
      </w:r>
      <w:r w:rsidR="00B935CC" w:rsidRPr="00C805EF">
        <w:rPr>
          <w:b/>
          <w:bCs/>
          <w:color w:val="000000" w:themeColor="text1"/>
          <w:sz w:val="24"/>
          <w:szCs w:val="24"/>
        </w:rPr>
        <w:lastRenderedPageBreak/>
        <w:t>ai sensi del decreto ministeriale 25 febbraio 2016</w:t>
      </w:r>
      <w:r w:rsidR="00B935CC">
        <w:rPr>
          <w:rStyle w:val="Rimandonotaapidipagina"/>
          <w:b/>
          <w:bCs/>
          <w:color w:val="000000" w:themeColor="text1"/>
          <w:sz w:val="24"/>
          <w:szCs w:val="24"/>
        </w:rPr>
        <w:footnoteReference w:id="41"/>
      </w:r>
      <w:r w:rsidR="00B935CC">
        <w:rPr>
          <w:b/>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 xml:space="preserve">e in coordinamento con le disposizioni agevolative per l'autoconsumo, </w:t>
      </w:r>
      <w:r w:rsidRPr="00B935CC">
        <w:rPr>
          <w:rFonts w:asciiTheme="minorHAnsi" w:eastAsia="Times New Roman" w:hAnsiTheme="minorHAnsi" w:cs="Times New Roman"/>
          <w:bCs/>
          <w:strike/>
          <w:color w:val="000000" w:themeColor="text1"/>
          <w:sz w:val="24"/>
          <w:szCs w:val="24"/>
          <w:highlight w:val="yellow"/>
        </w:rPr>
        <w:t>anche favorendo</w:t>
      </w:r>
      <w:r w:rsidR="00B935CC">
        <w:rPr>
          <w:rFonts w:asciiTheme="minorHAnsi" w:eastAsia="Times New Roman" w:hAnsiTheme="minorHAnsi" w:cs="Times New Roman"/>
          <w:bCs/>
          <w:color w:val="000000" w:themeColor="text1"/>
          <w:sz w:val="24"/>
          <w:szCs w:val="24"/>
        </w:rPr>
        <w:t xml:space="preserve"> </w:t>
      </w:r>
      <w:r w:rsidR="00B935CC" w:rsidRPr="00C805EF">
        <w:rPr>
          <w:b/>
          <w:bCs/>
          <w:color w:val="000000" w:themeColor="text1"/>
          <w:sz w:val="24"/>
          <w:szCs w:val="24"/>
        </w:rPr>
        <w:t>prevedendo</w:t>
      </w:r>
      <w:r w:rsidR="00B935CC">
        <w:rPr>
          <w:rStyle w:val="Rimandonotaapidipagina"/>
          <w:b/>
          <w:bCs/>
          <w:color w:val="000000" w:themeColor="text1"/>
          <w:sz w:val="24"/>
          <w:szCs w:val="24"/>
        </w:rPr>
        <w:footnoteReference w:id="42"/>
      </w:r>
      <w:r w:rsidR="00B935CC">
        <w:rPr>
          <w:rFonts w:asciiTheme="minorHAnsi" w:eastAsia="Times New Roman" w:hAnsiTheme="minorHAnsi" w:cs="Times New Roman"/>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la sostituzione di impianti obsoleti e incentivando quelli tecnologicamente avanzati per la riduzione dei gas di scarico e dei particolati inquinanti, promuovendo la realizzazione di impianti fotovoltaici su edifici esistenti, anche al fine della completa rimozione dell’eternit o dell'amianto</w:t>
      </w:r>
      <w:r w:rsidR="0056677D">
        <w:rPr>
          <w:rFonts w:asciiTheme="minorHAnsi" w:eastAsia="Times New Roman" w:hAnsiTheme="minorHAnsi" w:cs="Times New Roman"/>
          <w:bCs/>
          <w:color w:val="000000" w:themeColor="text1"/>
          <w:sz w:val="24"/>
          <w:szCs w:val="24"/>
        </w:rPr>
        <w:t xml:space="preserve">. </w:t>
      </w:r>
      <w:r w:rsidR="0056677D" w:rsidRPr="005E5DC0">
        <w:rPr>
          <w:b/>
          <w:bCs/>
          <w:color w:val="000000" w:themeColor="text1"/>
          <w:sz w:val="24"/>
          <w:szCs w:val="24"/>
        </w:rPr>
        <w:t>L'aggiornamento e potenziamento dei meccanismi di incentivazione tiene inoltre conto dei seguenti indirizzi:</w:t>
      </w:r>
    </w:p>
    <w:p w14:paraId="25E38B6F" w14:textId="77777777" w:rsidR="0056677D" w:rsidRPr="005E5DC0" w:rsidRDefault="0056677D" w:rsidP="0056677D">
      <w:pPr>
        <w:jc w:val="both"/>
        <w:rPr>
          <w:b/>
          <w:bCs/>
          <w:color w:val="000000" w:themeColor="text1"/>
          <w:sz w:val="24"/>
          <w:szCs w:val="24"/>
        </w:rPr>
      </w:pPr>
    </w:p>
    <w:p w14:paraId="2568E4FD" w14:textId="77777777" w:rsidR="0056677D" w:rsidRPr="005E5DC0" w:rsidRDefault="0056677D" w:rsidP="0056677D">
      <w:pPr>
        <w:jc w:val="both"/>
        <w:rPr>
          <w:b/>
          <w:bCs/>
          <w:color w:val="000000" w:themeColor="text1"/>
          <w:sz w:val="24"/>
          <w:szCs w:val="24"/>
        </w:rPr>
      </w:pPr>
      <w:r w:rsidRPr="005E5DC0">
        <w:rPr>
          <w:b/>
          <w:bCs/>
          <w:color w:val="000000" w:themeColor="text1"/>
          <w:sz w:val="24"/>
          <w:szCs w:val="24"/>
        </w:rPr>
        <w:t xml:space="preserve">            1) i meccanismi devono promuovere l'accoppiamento delle fonti rinnovabili non programmabili con sistemi di accumulo di energia, in modo da consentire una maggiore programmabilità delle fonti;</w:t>
      </w:r>
    </w:p>
    <w:p w14:paraId="44257236" w14:textId="77777777" w:rsidR="0056677D" w:rsidRPr="005E5DC0" w:rsidRDefault="0056677D" w:rsidP="0056677D">
      <w:pPr>
        <w:jc w:val="both"/>
        <w:rPr>
          <w:b/>
          <w:bCs/>
          <w:color w:val="000000" w:themeColor="text1"/>
          <w:sz w:val="24"/>
          <w:szCs w:val="24"/>
        </w:rPr>
      </w:pPr>
    </w:p>
    <w:p w14:paraId="6B9B5336" w14:textId="77777777" w:rsidR="002C1B13" w:rsidRPr="002C1B13" w:rsidRDefault="0056677D" w:rsidP="00B935CC">
      <w:pPr>
        <w:jc w:val="both"/>
        <w:rPr>
          <w:rFonts w:asciiTheme="minorHAnsi" w:eastAsia="Times New Roman" w:hAnsiTheme="minorHAnsi" w:cs="Times New Roman"/>
          <w:bCs/>
          <w:color w:val="000000" w:themeColor="text1"/>
          <w:sz w:val="24"/>
          <w:szCs w:val="24"/>
        </w:rPr>
      </w:pPr>
      <w:r w:rsidRPr="005E5DC0">
        <w:rPr>
          <w:b/>
          <w:bCs/>
          <w:color w:val="000000" w:themeColor="text1"/>
          <w:sz w:val="24"/>
          <w:szCs w:val="24"/>
        </w:rPr>
        <w:t xml:space="preserve">            2) il meccanismo dello scambio sul posto è abrogato, prevedendo meccanismi di tutela degli investimenti già avviati e introducendo nuovi meccanismi volti a premiare l'autoconsumo istantaneo nonché la condivisione dell'energia nell'ambito di configurazioni di autoconsumo multiplo quali l'autoconsumo collettivo e le comunità dell'energia;</w:t>
      </w:r>
      <w:r>
        <w:rPr>
          <w:rStyle w:val="Rimandonotaapidipagina"/>
          <w:b/>
          <w:bCs/>
          <w:color w:val="000000" w:themeColor="text1"/>
          <w:sz w:val="24"/>
          <w:szCs w:val="24"/>
        </w:rPr>
        <w:footnoteReference w:id="43"/>
      </w:r>
    </w:p>
    <w:p w14:paraId="40D43767" w14:textId="77777777" w:rsidR="002C1B13" w:rsidRDefault="002C1B13" w:rsidP="0056677D">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m) promuovere l'utilizzo delle risorse rinnovabili disponibili in mare, previa identificazione delle aree idonee e la razionalizzazione dei procedimenti di rilascio delle concessioni demaniali e delle autorizzazioni, nel rispetto delle esigenze di tutela </w:t>
      </w:r>
      <w:r w:rsidR="0056677D" w:rsidRPr="005E5DC0">
        <w:rPr>
          <w:b/>
          <w:bCs/>
          <w:color w:val="000000" w:themeColor="text1"/>
          <w:sz w:val="24"/>
          <w:szCs w:val="24"/>
        </w:rPr>
        <w:t>dell'ecosistema marino e costiero,</w:t>
      </w:r>
      <w:r w:rsidR="0056677D">
        <w:rPr>
          <w:rStyle w:val="Rimandonotaapidipagina"/>
          <w:b/>
          <w:bCs/>
          <w:color w:val="000000" w:themeColor="text1"/>
          <w:sz w:val="24"/>
          <w:szCs w:val="24"/>
        </w:rPr>
        <w:footnoteReference w:id="44"/>
      </w:r>
      <w:r w:rsidR="0056677D">
        <w:rPr>
          <w:b/>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del patrimonio culturale e del paesaggio</w:t>
      </w:r>
      <w:r w:rsidR="00DC0921">
        <w:rPr>
          <w:rFonts w:asciiTheme="minorHAnsi" w:eastAsia="Times New Roman" w:hAnsiTheme="minorHAnsi" w:cs="Times New Roman"/>
          <w:bCs/>
          <w:color w:val="000000" w:themeColor="text1"/>
          <w:sz w:val="24"/>
          <w:szCs w:val="24"/>
        </w:rPr>
        <w:t xml:space="preserve"> </w:t>
      </w:r>
      <w:r w:rsidR="00DC0921" w:rsidRPr="005E5DC0">
        <w:rPr>
          <w:b/>
          <w:bCs/>
          <w:color w:val="000000" w:themeColor="text1"/>
          <w:sz w:val="24"/>
          <w:szCs w:val="24"/>
        </w:rPr>
        <w:t>privilegiando, ove possibile, l'utilizzo delle piattaforme petrolifere in disuso</w:t>
      </w:r>
      <w:r w:rsidR="00DC0921">
        <w:rPr>
          <w:rStyle w:val="Rimandonotaapidipagina"/>
          <w:b/>
          <w:bCs/>
          <w:color w:val="000000" w:themeColor="text1"/>
          <w:sz w:val="24"/>
          <w:szCs w:val="24"/>
        </w:rPr>
        <w:footnoteReference w:id="45"/>
      </w:r>
      <w:r w:rsidRPr="002C1B13">
        <w:rPr>
          <w:rFonts w:asciiTheme="minorHAnsi" w:eastAsia="Times New Roman" w:hAnsiTheme="minorHAnsi" w:cs="Times New Roman"/>
          <w:bCs/>
          <w:color w:val="000000" w:themeColor="text1"/>
          <w:sz w:val="24"/>
          <w:szCs w:val="24"/>
        </w:rPr>
        <w:t>;</w:t>
      </w:r>
    </w:p>
    <w:p w14:paraId="285E3CC4" w14:textId="77777777" w:rsidR="007C6467" w:rsidRPr="005E5DC0" w:rsidRDefault="007C6467" w:rsidP="007C6467">
      <w:pPr>
        <w:jc w:val="both"/>
        <w:rPr>
          <w:b/>
          <w:bCs/>
          <w:color w:val="000000" w:themeColor="text1"/>
          <w:sz w:val="24"/>
          <w:szCs w:val="24"/>
        </w:rPr>
      </w:pPr>
      <w:r w:rsidRPr="005E5DC0">
        <w:rPr>
          <w:b/>
          <w:bCs/>
          <w:color w:val="000000" w:themeColor="text1"/>
          <w:sz w:val="24"/>
          <w:szCs w:val="24"/>
        </w:rPr>
        <w:lastRenderedPageBreak/>
        <w:t xml:space="preserve">        m-bis) prevedere disposizioni volte all'introduzione di misure per lo sviluppo dei biocarburanti avanzati per favorire la decarbonizzazione nel settore dell'aviazione, anche mediante specifiche forme di incentivazione;</w:t>
      </w:r>
      <w:r>
        <w:rPr>
          <w:rStyle w:val="Rimandonotaapidipagina"/>
          <w:b/>
          <w:bCs/>
          <w:color w:val="000000" w:themeColor="text1"/>
          <w:sz w:val="24"/>
          <w:szCs w:val="24"/>
        </w:rPr>
        <w:footnoteReference w:id="46"/>
      </w:r>
    </w:p>
    <w:p w14:paraId="424DF695" w14:textId="77777777" w:rsidR="007C6467" w:rsidRPr="002C1B13" w:rsidRDefault="007C6467" w:rsidP="0056677D">
      <w:pPr>
        <w:jc w:val="both"/>
        <w:rPr>
          <w:rFonts w:asciiTheme="minorHAnsi" w:eastAsia="Times New Roman" w:hAnsiTheme="minorHAnsi" w:cs="Times New Roman"/>
          <w:bCs/>
          <w:color w:val="000000" w:themeColor="text1"/>
          <w:sz w:val="24"/>
          <w:szCs w:val="24"/>
        </w:rPr>
      </w:pPr>
    </w:p>
    <w:p w14:paraId="43F981A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n) semplificare e stimolare il ricorso a strumenti, aggiuntivi ai meccanismi di incentivazione economica, per incrementare il consumo di energia da fonti rinnovabili, ivi inclusi gli accordi di compravendita di energia elettrica da fonti rinnovabili a lungo termine;</w:t>
      </w:r>
    </w:p>
    <w:p w14:paraId="55EECC9D"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o) introdurre misure per la razionalizzazione, la valorizzazione e l'incremento della produzione del parco di impianti a fonti rinnovabili esistente, </w:t>
      </w:r>
      <w:r w:rsidRPr="000554CC">
        <w:rPr>
          <w:rFonts w:asciiTheme="minorHAnsi" w:eastAsia="Times New Roman" w:hAnsiTheme="minorHAnsi" w:cs="Times New Roman"/>
          <w:bCs/>
          <w:strike/>
          <w:color w:val="000000" w:themeColor="text1"/>
          <w:sz w:val="24"/>
          <w:szCs w:val="24"/>
          <w:highlight w:val="yellow"/>
        </w:rPr>
        <w:t>fatte salve le disposizioni dell'articolo 11-quater del decreto-legge 14 dicembre 2018, n. 135, convertito, con modificazioni, dalla legge 11 febbraio 2019, n. 12</w:t>
      </w:r>
      <w:r w:rsidRPr="002C1B13">
        <w:rPr>
          <w:rFonts w:asciiTheme="minorHAnsi" w:eastAsia="Times New Roman" w:hAnsiTheme="minorHAnsi" w:cs="Times New Roman"/>
          <w:bCs/>
          <w:color w:val="000000" w:themeColor="text1"/>
          <w:sz w:val="24"/>
          <w:szCs w:val="24"/>
        </w:rPr>
        <w:t>.</w:t>
      </w:r>
      <w:r w:rsidR="000554CC">
        <w:rPr>
          <w:rStyle w:val="Rimandonotaapidipagina"/>
          <w:rFonts w:asciiTheme="minorHAnsi" w:eastAsia="Times New Roman" w:hAnsiTheme="minorHAnsi" w:cs="Times New Roman"/>
          <w:bCs/>
          <w:color w:val="000000" w:themeColor="text1"/>
          <w:sz w:val="24"/>
          <w:szCs w:val="24"/>
        </w:rPr>
        <w:footnoteReference w:id="47"/>
      </w:r>
    </w:p>
    <w:p w14:paraId="452C75AE" w14:textId="77777777" w:rsidR="009D2A31" w:rsidRPr="00683687" w:rsidRDefault="009D2A31" w:rsidP="009D2A31">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o-bis) riordinare e semplificare la normativa vigente in materia di procedure di qualificazione degli installatori di impianti a fonti rinnovabili, prevedendo che detta qualificazione professionale, ai sensi dell'articolo 18 della direttiva (UE) 2018/2001, sia conseguita con il possesso dei requisiti tecnico professionali di cui ad almeno una delle lettere di cui all'articolo 4 del decreto del Ministro dello sviluppo economico 22 gennaio 2008, n. 37, come modificato dall'articolo 1, comma 50, della legge n. 107 del 2015</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48"/>
      </w:r>
    </w:p>
    <w:p w14:paraId="55AB7B76" w14:textId="77777777" w:rsidR="007F755E" w:rsidRDefault="007F755E" w:rsidP="007F755E">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o-bis) ai sensi del regolamento delegato (UE) 2019/807, prevedere la graduale esclusione, a partire dal 1° gennaio 2024, che dovrà essere totale entro il 31 dicembre 2030, dagli obblighi di miscelazione al combustibile diesel e dalla produzione elettrica rinnovabile, così come dal relativo conteggio delle fonti rinnovabili e dai sussidi di mercato, in ragione delle evidenze sugli impatti causati in termini di deforestazione, di olio di palma.</w:t>
      </w:r>
      <w:r>
        <w:rPr>
          <w:rStyle w:val="Rimandonotaapidipagina"/>
          <w:rFonts w:asciiTheme="minorHAnsi" w:hAnsiTheme="minorHAnsi"/>
          <w:b/>
          <w:bCs/>
          <w:color w:val="000000" w:themeColor="text1"/>
          <w:sz w:val="24"/>
          <w:szCs w:val="24"/>
        </w:rPr>
        <w:footnoteReference w:id="49"/>
      </w:r>
    </w:p>
    <w:p w14:paraId="2EAC433F" w14:textId="77777777" w:rsidR="008826E5" w:rsidRDefault="008826E5" w:rsidP="007F755E">
      <w:pPr>
        <w:jc w:val="both"/>
        <w:rPr>
          <w:rFonts w:asciiTheme="minorHAnsi" w:hAnsiTheme="minorHAnsi"/>
          <w:b/>
          <w:bCs/>
          <w:color w:val="000000" w:themeColor="text1"/>
          <w:sz w:val="24"/>
          <w:szCs w:val="24"/>
        </w:rPr>
      </w:pPr>
      <w:r w:rsidRPr="00B25B6B">
        <w:rPr>
          <w:rFonts w:asciiTheme="minorHAnsi" w:hAnsiTheme="minorHAnsi"/>
          <w:b/>
          <w:bCs/>
          <w:color w:val="000000" w:themeColor="text1"/>
          <w:sz w:val="24"/>
          <w:szCs w:val="24"/>
        </w:rPr>
        <w:t xml:space="preserve">        o-bis) riordinare e semplificare la normativa vigente in materia di procedure di qualificazione degli installatori di impianti a fonti rinnovabili, prevedendo che detta qualificazione professionale, ai sensi </w:t>
      </w:r>
      <w:r w:rsidRPr="00B25B6B">
        <w:rPr>
          <w:rFonts w:asciiTheme="minorHAnsi" w:hAnsiTheme="minorHAnsi"/>
          <w:b/>
          <w:bCs/>
          <w:color w:val="000000" w:themeColor="text1"/>
          <w:sz w:val="24"/>
          <w:szCs w:val="24"/>
        </w:rPr>
        <w:lastRenderedPageBreak/>
        <w:t>dell'articolo 18 della direttiva (UE) 2018/2001, sia conseguita con il possesso dei requisiti tecnico professionali di cui ad almeno una delle lettere di cui all'articolo 4 del decreto del Ministro dello sviluppo economico 22 gennaio 2008, n. 37, come modificato dall'articolo 1, comma 50, della legge 13 luglio 2015, n. 107</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50"/>
      </w:r>
    </w:p>
    <w:p w14:paraId="219C9883" w14:textId="77777777" w:rsidR="00DF6986" w:rsidRPr="006725C6" w:rsidRDefault="00DF6986" w:rsidP="00DF6986">
      <w:pPr>
        <w:jc w:val="both"/>
        <w:rPr>
          <w:b/>
          <w:bCs/>
          <w:color w:val="000000" w:themeColor="text1"/>
          <w:sz w:val="24"/>
          <w:szCs w:val="24"/>
        </w:rPr>
      </w:pPr>
      <w:r w:rsidRPr="006725C6">
        <w:rPr>
          <w:b/>
          <w:bCs/>
          <w:color w:val="000000" w:themeColor="text1"/>
          <w:sz w:val="24"/>
          <w:szCs w:val="24"/>
        </w:rPr>
        <w:t xml:space="preserve">            o-bis) aggiornare, potenziare e introdurre meccanismi di sostegno per la produzione di biometano, biocarburanti avanzati, carburanti derivanti dal carbonio riciclato e idrogeno, per contribuire efficacemente alla decarbonizzazione di tutte le forme di trasporto, in funzione delle emissioni nell'intero ciclo di vita dei vettori energetici e dei veicoli che li utilizzano;</w:t>
      </w:r>
    </w:p>
    <w:p w14:paraId="0F939E27" w14:textId="77777777" w:rsidR="00DF6986" w:rsidRPr="006725C6" w:rsidRDefault="00DF6986" w:rsidP="00DF6986">
      <w:pPr>
        <w:jc w:val="both"/>
        <w:rPr>
          <w:b/>
          <w:bCs/>
          <w:color w:val="000000" w:themeColor="text1"/>
          <w:sz w:val="24"/>
          <w:szCs w:val="24"/>
        </w:rPr>
      </w:pPr>
    </w:p>
    <w:p w14:paraId="2D26F95D" w14:textId="77777777" w:rsidR="00DF6986" w:rsidRDefault="00DF6986" w:rsidP="00DF6986">
      <w:pPr>
        <w:jc w:val="both"/>
        <w:rPr>
          <w:b/>
          <w:bCs/>
          <w:color w:val="000000" w:themeColor="text1"/>
          <w:sz w:val="24"/>
          <w:szCs w:val="24"/>
        </w:rPr>
      </w:pPr>
      <w:r w:rsidRPr="006725C6">
        <w:rPr>
          <w:b/>
          <w:bCs/>
          <w:color w:val="000000" w:themeColor="text1"/>
          <w:sz w:val="24"/>
          <w:szCs w:val="24"/>
        </w:rPr>
        <w:t xml:space="preserve">            o-ter) semplificare e accelerare il processo di recepimento degli aggiornamenti all'allegato IX della direttiva (UE) 2018/2001 relativo alle materie prime idonee alla produzione di biometano e biocarburanti avanzati al fine di incrementarne lo sviluppo in senso inclusivo, prevedendo che il recepimento degli aggiornamenti sia adottato con decreto del Ministro dello sviluppo economico, di concerto con il Ministro dell'ambiente e della tutela del territorio e del mare.</w:t>
      </w:r>
      <w:r>
        <w:rPr>
          <w:rStyle w:val="Rimandonotaapidipagina"/>
          <w:b/>
          <w:bCs/>
          <w:color w:val="000000" w:themeColor="text1"/>
          <w:sz w:val="24"/>
          <w:szCs w:val="24"/>
        </w:rPr>
        <w:footnoteReference w:id="51"/>
      </w:r>
    </w:p>
    <w:p w14:paraId="4B392B4B" w14:textId="77777777" w:rsidR="00790DC5" w:rsidRPr="00FC07A5" w:rsidRDefault="00790DC5" w:rsidP="00790DC5">
      <w:pPr>
        <w:jc w:val="both"/>
        <w:rPr>
          <w:b/>
          <w:bCs/>
          <w:color w:val="000000" w:themeColor="text1"/>
          <w:sz w:val="24"/>
          <w:szCs w:val="24"/>
        </w:rPr>
      </w:pPr>
      <w:r w:rsidRPr="00FC07A5">
        <w:rPr>
          <w:b/>
          <w:bCs/>
          <w:color w:val="000000" w:themeColor="text1"/>
          <w:sz w:val="24"/>
          <w:szCs w:val="24"/>
        </w:rPr>
        <w:t xml:space="preserve">        o-bis) prevedere, al fine di favorire il contributo dei biocarburanti avanzati prodotti a partire dalle materie prime elencate all'Allegato IX, parte A, della direttiva, come quota finale nel settore dei trasporti, un approccio tecnologicamente neutro, evitando la promozione di specifiche fonti di energia rinnovabile, anche alla luce dello stato di sviluppo tecnologico;</w:t>
      </w:r>
      <w:r>
        <w:rPr>
          <w:rStyle w:val="Rimandonotaapidipagina"/>
          <w:b/>
          <w:bCs/>
          <w:color w:val="000000" w:themeColor="text1"/>
          <w:sz w:val="24"/>
          <w:szCs w:val="24"/>
        </w:rPr>
        <w:footnoteReference w:id="52"/>
      </w:r>
    </w:p>
    <w:p w14:paraId="6B3EB329" w14:textId="77777777" w:rsidR="001420B8" w:rsidRPr="00FC07A5" w:rsidRDefault="001420B8" w:rsidP="001420B8">
      <w:pPr>
        <w:jc w:val="both"/>
        <w:rPr>
          <w:b/>
          <w:bCs/>
          <w:color w:val="000000" w:themeColor="text1"/>
          <w:sz w:val="24"/>
          <w:szCs w:val="24"/>
        </w:rPr>
      </w:pPr>
      <w:r w:rsidRPr="00FC07A5">
        <w:rPr>
          <w:b/>
          <w:bCs/>
          <w:color w:val="000000" w:themeColor="text1"/>
          <w:sz w:val="24"/>
          <w:szCs w:val="24"/>
        </w:rPr>
        <w:t xml:space="preserve">        o-bis) promuovere l'impiego di idrogeno verde nell'industria siderurgica e chimica, volto a soddisfare gli impieghi industriali che necessitano di intensità energetiche molto elevate che non possono essere soddisfatte dalla produzione di energia da fonti rinnovabili;</w:t>
      </w:r>
      <w:r>
        <w:rPr>
          <w:rStyle w:val="Rimandonotaapidipagina"/>
          <w:b/>
          <w:bCs/>
          <w:color w:val="000000" w:themeColor="text1"/>
          <w:sz w:val="24"/>
          <w:szCs w:val="24"/>
        </w:rPr>
        <w:footnoteReference w:id="53"/>
      </w:r>
    </w:p>
    <w:p w14:paraId="5F6C20B5" w14:textId="77777777" w:rsidR="009D2A31" w:rsidRPr="002C1B13" w:rsidRDefault="009D2A31"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2FA07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2CA1FF" w14:textId="77777777"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6.</w:t>
      </w:r>
    </w:p>
    <w:p w14:paraId="334F6B29" w14:textId="77777777"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(Princìpi e criteri direttivi per l'attuazione della direttiva (UE) 2019/1, che conferisce alle autorità garanti della concorrenza degli Stati membri poteri di applicazione più efficace e che assicura il corretto funzionamento del mercato interno)</w:t>
      </w:r>
    </w:p>
    <w:p w14:paraId="08CECE3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CA41B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Nell'esercizio della delega per l'attuazione della direttiva (UE) 2019/1 del Parlamento europeo e del Consiglio, dell'11 dicembre 2018, il Governo osserva, oltre ai princìpi e criteri direttivi generali di cui all'articolo 32 della legge n. 234 del 2012, anche i seguenti princìpi e criteri direttivi specifici:</w:t>
      </w:r>
    </w:p>
    <w:p w14:paraId="6A48D21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apportare alla normativa vigente le modifiche e le integrazioni necessarie al coordinamento ordinamentale e, in particolare, alla disciplina nazionale in materia di tutela della concorrenza e del mercato di cui alla legge 10 ottobre 1990, n. 287;</w:t>
      </w:r>
    </w:p>
    <w:p w14:paraId="06B1964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stabilire che i poteri investigativi e decisori di cui ai capi IV, V e VI della direttiva (UE) 2019/1 siano esercitati dall'Autorità garante della concorrenza e del mercato anche in relazione alle fattispecie di esclusivo rilievo nazionale, cui si applicano gli articoli 2 e 3 della legge n. 287 del 1990;</w:t>
      </w:r>
    </w:p>
    <w:p w14:paraId="65DFDF4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apportare alla legge n. 287 del 1990 le modifiche necessarie a consentire all'Autorità garante della concorrenza e del mercato di irrogare sanzioni e penalità di mora efficaci, proporzionate e deterrenti alle imprese che non ottemperino alle decisioni dell'Autorità o non si conformino all'esercizio dei suoi poteri istruttori, in linea con le sanzioni irrogate dalla Commissione per analoghe infrazioni ai sensi degli articoli 23 e 24 del regolamento (CE) n. 1/2003 del Consiglio, del 16 dicembre 2002;</w:t>
      </w:r>
    </w:p>
    <w:p w14:paraId="5884FEA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prevedere che l'Autorità garante della concorrenza e del mercato possa irrogare, nei limiti edittali fissati dall'articolo 32 della legge n. 234 del 2012, sanzioni e penalità di mora efficaci, proporzionate e deterrenti alle persone fisiche che non adempiano alle richieste di informazioni e alla convocazione in audizione da parte dell'Autorità ovvero si sottraggano alle ispezioni domiciliari o le ostacolino;</w:t>
      </w:r>
    </w:p>
    <w:p w14:paraId="012958E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disporre che il termine di prescrizione per l'irrogazione della sanzione da parte dell'Autorità sia interrotto dagli eventi di cui all'articolo 29, paragrafo 1, della direttiva (UE) 2019/1 e che, in analogia con quanto previsto dal regolamento (CE) n. 1/2003, la prescrizione operi comunque alla scadenza del termine doppio di quello originariamente previsto, fatte salve le cause di sospensione di cui al medesimo articolo 29, paragrafo 2;</w:t>
      </w:r>
    </w:p>
    <w:p w14:paraId="2A447DC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prevedere che l'Autorità garante della concorrenza e del mercato disponga di personale e risorse adeguate </w:t>
      </w:r>
      <w:proofErr w:type="gramStart"/>
      <w:r w:rsidRPr="002C1B13">
        <w:rPr>
          <w:rFonts w:asciiTheme="minorHAnsi" w:eastAsia="Times New Roman" w:hAnsiTheme="minorHAnsi" w:cs="Times New Roman"/>
          <w:bCs/>
          <w:color w:val="000000" w:themeColor="text1"/>
          <w:sz w:val="24"/>
          <w:szCs w:val="24"/>
        </w:rPr>
        <w:t>per lo</w:t>
      </w:r>
      <w:proofErr w:type="gramEnd"/>
      <w:r w:rsidRPr="002C1B13">
        <w:rPr>
          <w:rFonts w:asciiTheme="minorHAnsi" w:eastAsia="Times New Roman" w:hAnsiTheme="minorHAnsi" w:cs="Times New Roman"/>
          <w:bCs/>
          <w:color w:val="000000" w:themeColor="text1"/>
          <w:sz w:val="24"/>
          <w:szCs w:val="24"/>
        </w:rPr>
        <w:t xml:space="preserve"> svolgimento dei maggiori compiti previsti.</w:t>
      </w:r>
    </w:p>
    <w:p w14:paraId="2099BEF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3FEB4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Dall'attuazione del presente articolo non devono derivare nuovi o maggiori oneri a carico del bilancio dello Stato e l'Autorità garante della concorrenza e del mercato provvede all'adempimento dei compiti </w:t>
      </w:r>
      <w:r w:rsidRPr="002C1B13">
        <w:rPr>
          <w:rFonts w:asciiTheme="minorHAnsi" w:eastAsia="Times New Roman" w:hAnsiTheme="minorHAnsi" w:cs="Times New Roman"/>
          <w:bCs/>
          <w:color w:val="000000" w:themeColor="text1"/>
          <w:sz w:val="24"/>
          <w:szCs w:val="24"/>
        </w:rPr>
        <w:lastRenderedPageBreak/>
        <w:t>derivanti dall'esercizio della delega di cui al presente articolo nei limiti delle proprie disponibilità finanziarie.</w:t>
      </w:r>
    </w:p>
    <w:p w14:paraId="4030CC7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206A57" w14:textId="77777777"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7.</w:t>
      </w:r>
    </w:p>
    <w:p w14:paraId="159C4A2C" w14:textId="77777777"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(Princìpi e criteri direttivi per l'attuazione della direttiva (UE) 2019/633, in materia di pratiche commerciali sleali nei rapporti tra imprese nella filiera agricola e alimentare)</w:t>
      </w:r>
    </w:p>
    <w:p w14:paraId="27D6472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74CD2E" w14:textId="77777777" w:rsidR="00D335B0" w:rsidRPr="00D335B0" w:rsidRDefault="002C1B13" w:rsidP="00D335B0">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Nell'esercizio della delega per l'attuazione della direttiva (UE) 2019/633 del Parlamento europeo e del Consiglio, del 17 aprile 2019, il Governo osserva, oltre ai princìpi e criteri direttivi generali di cui all'articolo 32 della legge n. 234 del 2012, anche i seguenti princìpi e criteri direttivi specifici:</w:t>
      </w:r>
    </w:p>
    <w:p w14:paraId="35F03D05"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C1B13">
        <w:rPr>
          <w:rFonts w:asciiTheme="minorHAnsi" w:eastAsia="Times New Roman" w:hAnsiTheme="minorHAnsi" w:cs="Times New Roman"/>
          <w:bCs/>
          <w:color w:val="000000" w:themeColor="text1"/>
          <w:sz w:val="24"/>
          <w:szCs w:val="24"/>
        </w:rPr>
        <w:t>a) adottare le occorrenti modificazioni e integrazioni alla normativa vigente in merito alla commercializzazione dei prodotti agricoli e alimentari, in particolare con riferimento all'articolo 62 del decreto-legge 24 gennaio 2012, n. 1, convertito, con modificazioni, dalla legge 24 marzo 2012, n. 27</w:t>
      </w:r>
      <w:r w:rsidR="00D335B0">
        <w:rPr>
          <w:rFonts w:asciiTheme="minorHAnsi" w:eastAsia="Times New Roman" w:hAnsiTheme="minorHAnsi" w:cs="Times New Roman"/>
          <w:bCs/>
          <w:color w:val="000000" w:themeColor="text1"/>
          <w:sz w:val="24"/>
          <w:szCs w:val="24"/>
        </w:rPr>
        <w:t xml:space="preserve"> </w:t>
      </w:r>
      <w:r w:rsidR="00D335B0" w:rsidRPr="00D335B0">
        <w:rPr>
          <w:rFonts w:asciiTheme="minorHAnsi" w:eastAsia="Times New Roman" w:hAnsiTheme="minorHAnsi" w:cs="Times New Roman"/>
          <w:b/>
          <w:bCs/>
          <w:color w:val="000000" w:themeColor="text1"/>
          <w:sz w:val="24"/>
          <w:szCs w:val="24"/>
        </w:rPr>
        <w:t>razionalizzando e rafforzando il quadro giuridico esistente nella direzione di una maggiore tutela degli operatori delle filiere agricole e alimentari rispetto alla problematica delle pratiche sleali</w:t>
      </w:r>
      <w:r w:rsidR="00D335B0">
        <w:rPr>
          <w:rStyle w:val="Rimandonotaapidipagina"/>
          <w:rFonts w:asciiTheme="minorHAnsi" w:eastAsia="Times New Roman" w:hAnsiTheme="minorHAnsi" w:cs="Times New Roman"/>
          <w:bCs/>
          <w:color w:val="000000" w:themeColor="text1"/>
          <w:sz w:val="24"/>
          <w:szCs w:val="24"/>
        </w:rPr>
        <w:footnoteReference w:id="54"/>
      </w:r>
      <w:r w:rsidR="00D335B0">
        <w:rPr>
          <w:rFonts w:asciiTheme="minorHAnsi" w:eastAsia="Times New Roman" w:hAnsiTheme="minorHAnsi" w:cs="Times New Roman"/>
          <w:b/>
          <w:bCs/>
          <w:color w:val="000000" w:themeColor="text1"/>
          <w:sz w:val="24"/>
          <w:szCs w:val="24"/>
        </w:rPr>
        <w:t xml:space="preserve">, </w:t>
      </w:r>
      <w:r w:rsidR="00D335B0" w:rsidRPr="00D335B0">
        <w:rPr>
          <w:rFonts w:asciiTheme="minorHAnsi" w:eastAsia="Times New Roman" w:hAnsiTheme="minorHAnsi" w:cs="Times New Roman"/>
          <w:b/>
          <w:bCs/>
          <w:color w:val="000000" w:themeColor="text1"/>
          <w:sz w:val="24"/>
          <w:szCs w:val="24"/>
        </w:rPr>
        <w:t>e all'articolo 78, commi 2-bis, 2-ter e 2-quater del decreto-legge 17 marzo 2020, n. 18, convertito con modificazioni dalla legge 24 aprile 2020, n. 27</w:t>
      </w:r>
      <w:r w:rsidR="00D335B0">
        <w:rPr>
          <w:rStyle w:val="Rimandonotaapidipagina"/>
          <w:rFonts w:asciiTheme="minorHAnsi" w:eastAsia="Times New Roman" w:hAnsiTheme="minorHAnsi" w:cs="Times New Roman"/>
          <w:b/>
          <w:bCs/>
          <w:color w:val="000000" w:themeColor="text1"/>
          <w:sz w:val="24"/>
          <w:szCs w:val="24"/>
        </w:rPr>
        <w:footnoteReference w:id="55"/>
      </w:r>
      <w:r w:rsidR="00D335B0">
        <w:rPr>
          <w:rFonts w:asciiTheme="minorHAnsi" w:eastAsia="Times New Roman" w:hAnsiTheme="minorHAnsi" w:cs="Times New Roman"/>
          <w:b/>
          <w:bCs/>
          <w:color w:val="000000" w:themeColor="text1"/>
          <w:sz w:val="24"/>
          <w:szCs w:val="24"/>
        </w:rPr>
        <w:t xml:space="preserve"> </w:t>
      </w:r>
      <w:r w:rsidR="00D335B0" w:rsidRPr="00D335B0">
        <w:rPr>
          <w:rFonts w:asciiTheme="minorHAnsi" w:eastAsia="Times New Roman" w:hAnsiTheme="minorHAnsi" w:cs="Times New Roman"/>
          <w:b/>
          <w:bCs/>
          <w:color w:val="000000" w:themeColor="text1"/>
          <w:sz w:val="24"/>
          <w:szCs w:val="24"/>
        </w:rPr>
        <w:t>ferma restando l'applicazione della disciplina a tutte le cessioni di prodotti agricoli e agroalimentari, indipendentemente dal fatturato aziendale</w:t>
      </w:r>
      <w:r w:rsidR="00D335B0">
        <w:rPr>
          <w:rStyle w:val="Rimandonotaapidipagina"/>
          <w:rFonts w:asciiTheme="minorHAnsi" w:eastAsia="Times New Roman" w:hAnsiTheme="minorHAnsi" w:cs="Times New Roman"/>
          <w:b/>
          <w:bCs/>
          <w:color w:val="000000" w:themeColor="text1"/>
          <w:sz w:val="24"/>
          <w:szCs w:val="24"/>
        </w:rPr>
        <w:footnoteReference w:id="56"/>
      </w:r>
      <w:r w:rsidR="00B54B25">
        <w:rPr>
          <w:rFonts w:asciiTheme="minorHAnsi" w:eastAsia="Times New Roman" w:hAnsiTheme="minorHAnsi" w:cs="Times New Roman"/>
          <w:b/>
          <w:bCs/>
          <w:color w:val="000000" w:themeColor="text1"/>
          <w:sz w:val="24"/>
          <w:szCs w:val="24"/>
        </w:rPr>
        <w:t xml:space="preserve"> </w:t>
      </w:r>
      <w:r w:rsidR="00B54B25" w:rsidRPr="00B54B25">
        <w:rPr>
          <w:rFonts w:asciiTheme="minorHAnsi" w:eastAsia="Times New Roman" w:hAnsiTheme="minorHAnsi" w:cs="Times New Roman"/>
          <w:b/>
          <w:bCs/>
          <w:color w:val="000000" w:themeColor="text1"/>
          <w:sz w:val="24"/>
          <w:szCs w:val="24"/>
        </w:rPr>
        <w:t>, razionalizzando e rafforzando il quadro giuridico esistente nella direzione di una maggiore tutela degli operatori delle filiere agricole e alimentari rispetto alla problematica delle pratiche sleali</w:t>
      </w:r>
      <w:r w:rsidR="00B54B25">
        <w:rPr>
          <w:rStyle w:val="Rimandonotaapidipagina"/>
          <w:rFonts w:asciiTheme="minorHAnsi" w:eastAsia="Times New Roman" w:hAnsiTheme="minorHAnsi" w:cs="Times New Roman"/>
          <w:b/>
          <w:bCs/>
          <w:color w:val="000000" w:themeColor="text1"/>
          <w:sz w:val="24"/>
          <w:szCs w:val="24"/>
        </w:rPr>
        <w:footnoteReference w:id="57"/>
      </w:r>
      <w:r w:rsidR="00D335B0">
        <w:rPr>
          <w:rFonts w:asciiTheme="minorHAnsi" w:eastAsia="Times New Roman" w:hAnsiTheme="minorHAnsi" w:cs="Times New Roman"/>
          <w:b/>
          <w:bCs/>
          <w:color w:val="000000" w:themeColor="text1"/>
          <w:sz w:val="24"/>
          <w:szCs w:val="24"/>
        </w:rPr>
        <w:t>;</w:t>
      </w:r>
    </w:p>
    <w:p w14:paraId="5C61C474" w14:textId="77777777" w:rsid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54B25">
        <w:rPr>
          <w:rFonts w:asciiTheme="minorHAnsi" w:eastAsia="Times New Roman" w:hAnsiTheme="minorHAnsi" w:cs="Times New Roman"/>
          <w:b/>
          <w:bCs/>
          <w:color w:val="000000" w:themeColor="text1"/>
          <w:sz w:val="24"/>
          <w:szCs w:val="24"/>
        </w:rPr>
        <w:t>a-bis) prevedere l'applicabilità della normativa risultante dall'esercizio della presente delega a favore di tutti i fornitori di prodotti agricoli e alimentari operanti in Italia indipendentemente dal fatturato;</w:t>
      </w:r>
      <w:r>
        <w:rPr>
          <w:rStyle w:val="Rimandonotaapidipagina"/>
          <w:rFonts w:asciiTheme="minorHAnsi" w:eastAsia="Times New Roman" w:hAnsiTheme="minorHAnsi" w:cs="Times New Roman"/>
          <w:b/>
          <w:bCs/>
          <w:color w:val="000000" w:themeColor="text1"/>
          <w:sz w:val="24"/>
          <w:szCs w:val="24"/>
        </w:rPr>
        <w:footnoteReference w:id="58"/>
      </w:r>
    </w:p>
    <w:p w14:paraId="2DBA759A" w14:textId="77777777" w:rsidR="00B54B25" w:rsidRP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54B25">
        <w:rPr>
          <w:rFonts w:asciiTheme="minorHAnsi" w:eastAsia="Times New Roman" w:hAnsiTheme="minorHAnsi" w:cs="Times New Roman"/>
          <w:b/>
          <w:bCs/>
          <w:color w:val="000000" w:themeColor="text1"/>
          <w:sz w:val="24"/>
          <w:szCs w:val="24"/>
        </w:rPr>
        <w:t>a-bis) mantenere e ulteriormente definire i principi generali di buone pratiche commerciali di trasparenza, buona fede, correttezza, proporzionalità e reciproca corrispettività delle prestazioni a cui gli acquirenti di prodotti agricoli e alimentari debbano attenersi prima, durante e dopo l'instaurazione della relazione commerciale;</w:t>
      </w:r>
      <w:r>
        <w:rPr>
          <w:rStyle w:val="Rimandonotaapidipagina"/>
          <w:rFonts w:asciiTheme="minorHAnsi" w:eastAsia="Times New Roman" w:hAnsiTheme="minorHAnsi" w:cs="Times New Roman"/>
          <w:b/>
          <w:bCs/>
          <w:color w:val="000000" w:themeColor="text1"/>
          <w:sz w:val="24"/>
          <w:szCs w:val="24"/>
        </w:rPr>
        <w:footnoteReference w:id="59"/>
      </w:r>
    </w:p>
    <w:p w14:paraId="653E582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coordinare la normativa vigente in materia di termini di pagamento del corrispettivo, di cui all'articolo 62 del decreto-legge n. 1 del 2012, convertito, con modificazioni, dalla legge n. 27 del 2012, con le previsioni relative alla fatturazione elettronica;</w:t>
      </w:r>
    </w:p>
    <w:p w14:paraId="23C8CDC0"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c) prevedere che i contratti di cessione dei prodotti agricoli e alimentari, ad eccezione di quelli conclusi con il consumatore e delle cessioni con contestuale consegna e pagamento del prezzo pattuito, siano stipulati obbligatoriamente in forma scritta</w:t>
      </w:r>
      <w:r w:rsidR="009A4340">
        <w:rPr>
          <w:rFonts w:asciiTheme="minorHAnsi" w:eastAsia="Times New Roman" w:hAnsiTheme="minorHAnsi" w:cs="Times New Roman"/>
          <w:bCs/>
          <w:color w:val="000000" w:themeColor="text1"/>
          <w:sz w:val="24"/>
          <w:szCs w:val="24"/>
        </w:rPr>
        <w:t xml:space="preserve"> </w:t>
      </w:r>
      <w:r w:rsidR="009A4340" w:rsidRPr="00FC07A5">
        <w:rPr>
          <w:b/>
          <w:bCs/>
          <w:color w:val="000000" w:themeColor="text1"/>
          <w:sz w:val="24"/>
          <w:szCs w:val="24"/>
        </w:rPr>
        <w:t>e prima della consegna</w:t>
      </w:r>
      <w:r w:rsidR="009A4340">
        <w:rPr>
          <w:rStyle w:val="Rimandonotaapidipagina"/>
          <w:b/>
          <w:bCs/>
          <w:color w:val="000000" w:themeColor="text1"/>
          <w:sz w:val="24"/>
          <w:szCs w:val="24"/>
        </w:rPr>
        <w:footnoteReference w:id="60"/>
      </w:r>
      <w:r w:rsidRPr="002C1B13">
        <w:rPr>
          <w:rFonts w:asciiTheme="minorHAnsi" w:eastAsia="Times New Roman" w:hAnsiTheme="minorHAnsi" w:cs="Times New Roman"/>
          <w:bCs/>
          <w:color w:val="000000" w:themeColor="text1"/>
          <w:sz w:val="24"/>
          <w:szCs w:val="24"/>
        </w:rPr>
        <w:t>;</w:t>
      </w:r>
    </w:p>
    <w:p w14:paraId="698A02B5" w14:textId="77777777" w:rsid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54B25">
        <w:rPr>
          <w:rFonts w:asciiTheme="minorHAnsi" w:eastAsia="Times New Roman" w:hAnsiTheme="minorHAnsi" w:cs="Times New Roman"/>
          <w:b/>
          <w:bCs/>
          <w:color w:val="000000" w:themeColor="text1"/>
          <w:sz w:val="24"/>
          <w:szCs w:val="24"/>
        </w:rPr>
        <w:t>c-bis) salvaguardare la specificità dei rapporti intercorrenti tra imprenditore agricolo e cooperativa agricola di cui è socio per il prodotto conferito, avuto riguardo sia alla materia dei termini di pagamento sia a</w:t>
      </w:r>
      <w:r>
        <w:rPr>
          <w:rFonts w:asciiTheme="minorHAnsi" w:eastAsia="Times New Roman" w:hAnsiTheme="minorHAnsi" w:cs="Times New Roman"/>
          <w:b/>
          <w:bCs/>
          <w:color w:val="000000" w:themeColor="text1"/>
          <w:sz w:val="24"/>
          <w:szCs w:val="24"/>
        </w:rPr>
        <w:t>lla forma scritta del contratto;</w:t>
      </w:r>
      <w:r>
        <w:rPr>
          <w:rStyle w:val="Rimandonotaapidipagina"/>
          <w:rFonts w:asciiTheme="minorHAnsi" w:eastAsia="Times New Roman" w:hAnsiTheme="minorHAnsi" w:cs="Times New Roman"/>
          <w:b/>
          <w:bCs/>
          <w:color w:val="000000" w:themeColor="text1"/>
          <w:sz w:val="24"/>
          <w:szCs w:val="24"/>
        </w:rPr>
        <w:footnoteReference w:id="61"/>
      </w:r>
    </w:p>
    <w:p w14:paraId="6E96D04A" w14:textId="77777777" w:rsidR="00B54B25" w:rsidRP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c-bis) confermare </w:t>
      </w:r>
      <w:r w:rsidRPr="00B54B25">
        <w:rPr>
          <w:rFonts w:asciiTheme="minorHAnsi" w:eastAsia="Times New Roman" w:hAnsiTheme="minorHAnsi" w:cs="Times New Roman"/>
          <w:b/>
          <w:bCs/>
          <w:color w:val="000000" w:themeColor="text1"/>
          <w:sz w:val="24"/>
          <w:szCs w:val="24"/>
        </w:rPr>
        <w:t>che i princìpi della direttiva, compreso il divieto previsto con riferimento ai termini di pagamento per i prodotti deperibili dall'articolo 3, comma 1, lettera a), si applicano anche alle pubbliche amministrazioni e che, in ogni caso, alle amministrazioni del settore scolastico e sanitario, quando debitrici in una transazione commerciale, seppur siano escluse dall'applicazione dell'articolo 3, comma 1, lettera a), si applica quanto previsto dall'articolo 4, comma 4, del decreto legislativo 9 ottobre 2002, n. 231, ai sensi del quale nelle transazioni commerciali in cui il debitore è una pubblica amministrazione le parti possono pattuire, purché in modo espresso, un termine per il pagamento mai superiore a sessanta giorni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2"/>
      </w:r>
    </w:p>
    <w:p w14:paraId="2AC18E5C" w14:textId="77777777" w:rsidR="00943748" w:rsidRPr="007C7983" w:rsidRDefault="002C1B13" w:rsidP="00943748">
      <w:pPr>
        <w:jc w:val="both"/>
        <w:rPr>
          <w:b/>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confermare che l'obbligo della forma scritta dei contratti di cessione dei prodotti agricoli e alimentari </w:t>
      </w:r>
      <w:r w:rsidRPr="00943748">
        <w:rPr>
          <w:rFonts w:asciiTheme="minorHAnsi" w:eastAsia="Times New Roman" w:hAnsiTheme="minorHAnsi" w:cs="Times New Roman"/>
          <w:bCs/>
          <w:strike/>
          <w:color w:val="000000" w:themeColor="text1"/>
          <w:sz w:val="24"/>
          <w:szCs w:val="24"/>
          <w:highlight w:val="yellow"/>
        </w:rPr>
        <w:t>non possa essere assolto mediante forme equipollenti quali documenti di trasporto o di consegna e fatture, secondo le disposizioni vigenti</w:t>
      </w:r>
      <w:r w:rsidR="00943748" w:rsidRPr="00943748">
        <w:rPr>
          <w:rFonts w:asciiTheme="minorHAnsi" w:eastAsia="Times New Roman" w:hAnsiTheme="minorHAnsi" w:cs="Times New Roman"/>
          <w:bCs/>
          <w:color w:val="000000" w:themeColor="text1"/>
          <w:sz w:val="24"/>
          <w:szCs w:val="24"/>
        </w:rPr>
        <w:t xml:space="preserve"> </w:t>
      </w:r>
      <w:r w:rsidR="00943748" w:rsidRPr="007C7983">
        <w:rPr>
          <w:b/>
          <w:bCs/>
          <w:color w:val="000000" w:themeColor="text1"/>
          <w:sz w:val="24"/>
          <w:szCs w:val="24"/>
        </w:rPr>
        <w:t>non possa essere assolto esclusivamente mediante forme equipollenti secondo le disposizioni vigenti, definendo in modo puntuale le condizioni di applicazione;</w:t>
      </w:r>
      <w:r w:rsidR="00943748">
        <w:rPr>
          <w:rStyle w:val="Rimandonotaapidipagina"/>
          <w:b/>
          <w:bCs/>
          <w:color w:val="000000" w:themeColor="text1"/>
          <w:sz w:val="24"/>
          <w:szCs w:val="24"/>
        </w:rPr>
        <w:footnoteReference w:id="63"/>
      </w:r>
    </w:p>
    <w:p w14:paraId="5E7F336A" w14:textId="77777777" w:rsidR="002C1B13" w:rsidRDefault="002C1B13" w:rsidP="00BA0EF2">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prevedere, ai sensi dell'articolo 9, paragrafo 1, della direttiva (UE) 2019/633, tra le pratiche commerciali sleali vietate le vendite dei prodotti agricoli e alimentari attraverso il ricorso a gare </w:t>
      </w:r>
      <w:r w:rsidR="009A4340" w:rsidRPr="00FC07A5">
        <w:rPr>
          <w:b/>
          <w:bCs/>
          <w:color w:val="000000" w:themeColor="text1"/>
          <w:sz w:val="24"/>
          <w:szCs w:val="24"/>
        </w:rPr>
        <w:t>e aste elettroniche</w:t>
      </w:r>
      <w:r w:rsidR="009A4340">
        <w:rPr>
          <w:rStyle w:val="Rimandonotaapidipagina"/>
          <w:b/>
          <w:bCs/>
          <w:color w:val="000000" w:themeColor="text1"/>
          <w:sz w:val="24"/>
          <w:szCs w:val="24"/>
        </w:rPr>
        <w:footnoteReference w:id="64"/>
      </w:r>
      <w:r w:rsidR="009A4340" w:rsidRPr="002C1B13">
        <w:rPr>
          <w:rFonts w:asciiTheme="minorHAnsi" w:eastAsia="Times New Roman" w:hAnsiTheme="minorHAnsi" w:cs="Times New Roman"/>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a doppio ribasso</w:t>
      </w:r>
      <w:r w:rsidR="008E0122">
        <w:rPr>
          <w:rFonts w:asciiTheme="minorHAnsi" w:eastAsia="Times New Roman" w:hAnsiTheme="minorHAnsi" w:cs="Times New Roman"/>
          <w:bCs/>
          <w:color w:val="000000" w:themeColor="text1"/>
          <w:sz w:val="24"/>
          <w:szCs w:val="24"/>
        </w:rPr>
        <w:t xml:space="preserve"> </w:t>
      </w:r>
      <w:r w:rsidR="008E0122" w:rsidRPr="007C7983">
        <w:rPr>
          <w:b/>
          <w:bCs/>
          <w:color w:val="000000" w:themeColor="text1"/>
          <w:sz w:val="24"/>
          <w:szCs w:val="24"/>
        </w:rPr>
        <w:t>e le vendite sottocosto di prodotti agricoli e alimentari, definendone in modo puntuale condizioni e ambiti di applicazione, nonché i limiti di utilizzabilità dell'e-commerce</w:t>
      </w:r>
      <w:r w:rsidR="00BA0EF2">
        <w:rPr>
          <w:rStyle w:val="Rimandonotaapidipagina"/>
          <w:b/>
          <w:bCs/>
          <w:color w:val="000000" w:themeColor="text1"/>
          <w:sz w:val="24"/>
          <w:szCs w:val="24"/>
        </w:rPr>
        <w:footnoteReference w:id="65"/>
      </w:r>
      <w:r w:rsidR="00D335B0">
        <w:rPr>
          <w:rFonts w:asciiTheme="minorHAnsi" w:eastAsia="Times New Roman" w:hAnsiTheme="minorHAnsi" w:cs="Times New Roman"/>
          <w:bCs/>
          <w:color w:val="000000" w:themeColor="text1"/>
          <w:sz w:val="24"/>
          <w:szCs w:val="24"/>
        </w:rPr>
        <w:t xml:space="preserve"> </w:t>
      </w:r>
      <w:r w:rsidR="00D335B0" w:rsidRPr="00D335B0">
        <w:rPr>
          <w:rFonts w:asciiTheme="minorHAnsi" w:eastAsia="Times New Roman" w:hAnsiTheme="minorHAnsi" w:cs="Times New Roman"/>
          <w:b/>
          <w:bCs/>
          <w:color w:val="000000" w:themeColor="text1"/>
          <w:sz w:val="24"/>
          <w:szCs w:val="24"/>
        </w:rPr>
        <w:lastRenderedPageBreak/>
        <w:t>nonché la vendita di prodotti agricoli realizzata ad un livello tale che determini condizioni contrattuali eccessivamente gravose, ivi compresa quella di vendere a prezzi palesemente al di sotto dei costi di produzione</w:t>
      </w:r>
      <w:r w:rsidRPr="002C1B13">
        <w:rPr>
          <w:rFonts w:asciiTheme="minorHAnsi" w:eastAsia="Times New Roman" w:hAnsiTheme="minorHAnsi" w:cs="Times New Roman"/>
          <w:bCs/>
          <w:color w:val="000000" w:themeColor="text1"/>
          <w:sz w:val="24"/>
          <w:szCs w:val="24"/>
        </w:rPr>
        <w:t>;</w:t>
      </w:r>
      <w:r w:rsidR="00D335B0">
        <w:rPr>
          <w:rStyle w:val="Rimandonotaapidipagina"/>
          <w:rFonts w:asciiTheme="minorHAnsi" w:eastAsia="Times New Roman" w:hAnsiTheme="minorHAnsi" w:cs="Times New Roman"/>
          <w:bCs/>
          <w:color w:val="000000" w:themeColor="text1"/>
          <w:sz w:val="24"/>
          <w:szCs w:val="24"/>
        </w:rPr>
        <w:footnoteReference w:id="66"/>
      </w:r>
    </w:p>
    <w:p w14:paraId="50E45B19" w14:textId="77777777" w:rsid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e-bis). p</w:t>
      </w:r>
      <w:r w:rsidRPr="00B54B25">
        <w:rPr>
          <w:rFonts w:asciiTheme="minorHAnsi" w:eastAsia="Times New Roman" w:hAnsiTheme="minorHAnsi" w:cs="Times New Roman"/>
          <w:b/>
          <w:bCs/>
          <w:color w:val="000000" w:themeColor="text1"/>
          <w:sz w:val="24"/>
          <w:szCs w:val="24"/>
        </w:rPr>
        <w:t xml:space="preserve">revedere la possibilità di ricorrere a meccanismi di mediazione o di risoluzione alternativa delle controversie tra le parti, al fine di facilitare la risoluzione delle controversie senza dover forzatamente ricorrere ad una denuncia, ai sensi di quanto disposto dall'articolo </w:t>
      </w:r>
      <w:proofErr w:type="gramStart"/>
      <w:r w:rsidRPr="00B54B25">
        <w:rPr>
          <w:rFonts w:asciiTheme="minorHAnsi" w:eastAsia="Times New Roman" w:hAnsiTheme="minorHAnsi" w:cs="Times New Roman"/>
          <w:b/>
          <w:bCs/>
          <w:color w:val="000000" w:themeColor="text1"/>
          <w:sz w:val="24"/>
          <w:szCs w:val="24"/>
        </w:rPr>
        <w:t>7 ,</w:t>
      </w:r>
      <w:proofErr w:type="gramEnd"/>
      <w:r w:rsidRPr="00B54B25">
        <w:rPr>
          <w:rFonts w:asciiTheme="minorHAnsi" w:eastAsia="Times New Roman" w:hAnsiTheme="minorHAnsi" w:cs="Times New Roman"/>
          <w:b/>
          <w:bCs/>
          <w:color w:val="000000" w:themeColor="text1"/>
          <w:sz w:val="24"/>
          <w:szCs w:val="24"/>
        </w:rPr>
        <w:t xml:space="preserve"> della direttiva (UE) 2019/633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7"/>
      </w:r>
    </w:p>
    <w:p w14:paraId="6387B601" w14:textId="77777777" w:rsidR="00BA0EF2" w:rsidRPr="00800FDC" w:rsidRDefault="00BA0EF2" w:rsidP="00BA0EF2">
      <w:pPr>
        <w:jc w:val="both"/>
        <w:rPr>
          <w:b/>
          <w:bCs/>
          <w:color w:val="000000" w:themeColor="text1"/>
          <w:sz w:val="24"/>
          <w:szCs w:val="24"/>
        </w:rPr>
      </w:pPr>
      <w:r w:rsidRPr="00800FDC">
        <w:rPr>
          <w:b/>
          <w:bCs/>
          <w:color w:val="000000" w:themeColor="text1"/>
          <w:sz w:val="24"/>
          <w:szCs w:val="24"/>
        </w:rPr>
        <w:t>e-bis) garantire la tutela dell'anonimato delle denunce relative alle pratiche sleali, che possono provenire da singoli operatori, da singole imprese o da associazioni e organismi di rappresentanza delle imprese della filiera agro-alimentare;</w:t>
      </w:r>
      <w:r>
        <w:rPr>
          <w:rStyle w:val="Rimandonotaapidipagina"/>
          <w:b/>
          <w:bCs/>
          <w:color w:val="000000" w:themeColor="text1"/>
          <w:sz w:val="24"/>
          <w:szCs w:val="24"/>
        </w:rPr>
        <w:footnoteReference w:id="68"/>
      </w:r>
    </w:p>
    <w:p w14:paraId="685E4217"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f) introdurre sanzioni efficaci, proporzionate e dissuasive ai sensi dell'articolo 6, paragrafo 1, secondo comma, della direttiva (UE) 2019/633, entro il limite massimo del 10 per cento del fatturato realizzato nell'ultimo esercizio precedente all'accertame</w:t>
      </w:r>
      <w:r w:rsidR="00B54B25">
        <w:rPr>
          <w:rFonts w:asciiTheme="minorHAnsi" w:eastAsia="Times New Roman" w:hAnsiTheme="minorHAnsi" w:cs="Times New Roman"/>
          <w:bCs/>
          <w:color w:val="000000" w:themeColor="text1"/>
          <w:sz w:val="24"/>
          <w:szCs w:val="24"/>
        </w:rPr>
        <w:t>nto;</w:t>
      </w:r>
    </w:p>
    <w:p w14:paraId="031A649F" w14:textId="77777777" w:rsidR="0005597D" w:rsidRPr="00FC07A5" w:rsidRDefault="0005597D" w:rsidP="0005597D">
      <w:pPr>
        <w:jc w:val="both"/>
        <w:rPr>
          <w:b/>
          <w:bCs/>
          <w:color w:val="000000" w:themeColor="text1"/>
          <w:sz w:val="24"/>
          <w:szCs w:val="24"/>
        </w:rPr>
      </w:pPr>
      <w:r w:rsidRPr="00FC07A5">
        <w:rPr>
          <w:b/>
          <w:bCs/>
          <w:color w:val="000000" w:themeColor="text1"/>
          <w:sz w:val="24"/>
          <w:szCs w:val="24"/>
        </w:rPr>
        <w:t xml:space="preserve">            g) adottare le occorrenti modificazioni e integrazioni all'articolo 62 del decreto-legge 24 gennaio 2012, n. 1, convertito, con modificazioni, dalla legge 24 marzo 2012, n. 27, al fine di designare l'Ispettorato centrale della tutela della qualità e della repressione frodi dei prodotti agroalimentari (ICQRF) quale Autorità nazionale di contrasto deputata all'attività di vigilanza sull'applicazione delle disposizioni che disciplinano le relazioni commerciali in materia di cessione di prodotti agricoli e alimentari, all'applicazione dei divieti stabiliti dalla direttiva (UE) 2019/633 e all'applicazione delle relative sanzioni, nel rispetto delle procedure di cui alla legge 24 novembre 1981, n. 689. A tal fine, l'Ispettorato può avvalersi dell'Arma dei Carabinieri, e in particolare del Comando per la tutela agroalimentare, oltre che della Guardia di finanza, fermo restando quanto previsto in ordine ai poteri di accertamento degli ufficiali e degli agenti di polizia giudiziaria dall'articolo 13 della predetta legge n. 689 del 1981;</w:t>
      </w:r>
    </w:p>
    <w:p w14:paraId="2692C955" w14:textId="77777777" w:rsidR="0005597D" w:rsidRPr="00FC07A5" w:rsidRDefault="0005597D" w:rsidP="0005597D">
      <w:pPr>
        <w:jc w:val="both"/>
        <w:rPr>
          <w:b/>
          <w:bCs/>
          <w:color w:val="000000" w:themeColor="text1"/>
          <w:sz w:val="24"/>
          <w:szCs w:val="24"/>
        </w:rPr>
      </w:pPr>
    </w:p>
    <w:p w14:paraId="684283BE" w14:textId="77777777" w:rsidR="0005597D" w:rsidRPr="00FC07A5" w:rsidRDefault="0005597D" w:rsidP="0005597D">
      <w:pPr>
        <w:jc w:val="both"/>
        <w:rPr>
          <w:b/>
          <w:bCs/>
          <w:color w:val="000000" w:themeColor="text1"/>
          <w:sz w:val="24"/>
          <w:szCs w:val="24"/>
        </w:rPr>
      </w:pPr>
      <w:r w:rsidRPr="00FC07A5">
        <w:rPr>
          <w:b/>
          <w:bCs/>
          <w:color w:val="000000" w:themeColor="text1"/>
          <w:sz w:val="24"/>
          <w:szCs w:val="24"/>
        </w:rPr>
        <w:t xml:space="preserve">            h) prevedere che la mancanza di almeno una delle  condizioni  richieste dall'articolo 168, paragrafo 4, del regolamento (UE) n. 1308/2013 del Parlamento europeo e del Consiglio, del 17 dicembre 2013, costituisca in ogni caso una pratica commerciale sleale e, nel caso in cui sia fissato dall'acquirente un prezzo del 15 per cento inferiore ai costi medi di produzione risultanti </w:t>
      </w:r>
      <w:r w:rsidRPr="00FC07A5">
        <w:rPr>
          <w:b/>
          <w:bCs/>
          <w:color w:val="000000" w:themeColor="text1"/>
          <w:sz w:val="24"/>
          <w:szCs w:val="24"/>
        </w:rPr>
        <w:lastRenderedPageBreak/>
        <w:t>dall'elaborazione dell'ISMEA, questo sia considerato quale parametro di controllo per la sussistenza della pratica commerciale sleale;</w:t>
      </w:r>
    </w:p>
    <w:p w14:paraId="5AC4F3E7" w14:textId="77777777" w:rsidR="0005597D" w:rsidRPr="00FC07A5" w:rsidRDefault="0005597D" w:rsidP="0005597D">
      <w:pPr>
        <w:jc w:val="both"/>
        <w:rPr>
          <w:b/>
          <w:bCs/>
          <w:color w:val="000000" w:themeColor="text1"/>
          <w:sz w:val="24"/>
          <w:szCs w:val="24"/>
        </w:rPr>
      </w:pPr>
    </w:p>
    <w:p w14:paraId="50CDC3A0" w14:textId="77777777" w:rsidR="0005597D" w:rsidRPr="00FC07A5" w:rsidRDefault="0005597D" w:rsidP="0005597D">
      <w:pPr>
        <w:jc w:val="both"/>
        <w:rPr>
          <w:b/>
          <w:bCs/>
          <w:color w:val="000000" w:themeColor="text1"/>
          <w:sz w:val="24"/>
          <w:szCs w:val="24"/>
        </w:rPr>
      </w:pPr>
      <w:r w:rsidRPr="00FC07A5">
        <w:rPr>
          <w:b/>
          <w:bCs/>
          <w:color w:val="000000" w:themeColor="text1"/>
          <w:sz w:val="24"/>
          <w:szCs w:val="24"/>
        </w:rPr>
        <w:t xml:space="preserve">            i) prevedere la revisione del regolamento recante disciplina delle vendite sottocosto, a norma dell'articolo 15, comma 8, del decreto legislativo 31 marzo 1998, n. 114, di cui al decreto del Presidente della Repubblica 6 aprile 2001, n. 218, al fine di consentire che la vendita sottocosto dei prodotti alimentari freschi e deperibili sia ammessa solo nel caso si registri del prodotto invenduto a rischio di deperibilità o nel caso di operazioni commerciali programmate e concordate con il fornitore in forma scritta, salvo comunque il divieto di imporre unilateralmente al fornitore, in modo diretto o indiretto, la perdita o il costo della vendita sottocosto;</w:t>
      </w:r>
    </w:p>
    <w:p w14:paraId="00D6C1BF" w14:textId="77777777" w:rsidR="0005597D" w:rsidRPr="00FC07A5" w:rsidRDefault="0005597D" w:rsidP="0005597D">
      <w:pPr>
        <w:jc w:val="both"/>
        <w:rPr>
          <w:b/>
          <w:bCs/>
          <w:color w:val="000000" w:themeColor="text1"/>
          <w:sz w:val="24"/>
          <w:szCs w:val="24"/>
        </w:rPr>
      </w:pPr>
    </w:p>
    <w:p w14:paraId="49D37016" w14:textId="77777777" w:rsidR="0005597D" w:rsidRPr="00FC07A5" w:rsidRDefault="0005597D" w:rsidP="0005597D">
      <w:pPr>
        <w:jc w:val="both"/>
        <w:rPr>
          <w:b/>
          <w:bCs/>
          <w:color w:val="000000" w:themeColor="text1"/>
          <w:sz w:val="24"/>
          <w:szCs w:val="24"/>
        </w:rPr>
      </w:pPr>
      <w:r w:rsidRPr="00FC07A5">
        <w:rPr>
          <w:b/>
          <w:bCs/>
          <w:color w:val="000000" w:themeColor="text1"/>
          <w:sz w:val="24"/>
          <w:szCs w:val="24"/>
        </w:rPr>
        <w:t xml:space="preserve">            l) prevedere che siano fatte salve le condizioni contrattuali, comprese quelle relative ai prezzi, che siano definite nell'ambito di accordi quadro nazionali aventi ad oggetto la fornitura dei prodotti agricoli e alimentari stipulati dalle organizzazioni professionali maggiormente rappresentative a livello nazionale;</w:t>
      </w:r>
    </w:p>
    <w:p w14:paraId="4F7FE292" w14:textId="77777777" w:rsidR="0005597D" w:rsidRPr="00FC07A5" w:rsidRDefault="0005597D" w:rsidP="0005597D">
      <w:pPr>
        <w:jc w:val="both"/>
        <w:rPr>
          <w:b/>
          <w:bCs/>
          <w:color w:val="000000" w:themeColor="text1"/>
          <w:sz w:val="24"/>
          <w:szCs w:val="24"/>
        </w:rPr>
      </w:pPr>
    </w:p>
    <w:p w14:paraId="7823D387" w14:textId="77777777" w:rsidR="0005597D" w:rsidRDefault="0005597D" w:rsidP="0005597D">
      <w:pPr>
        <w:jc w:val="both"/>
        <w:rPr>
          <w:rFonts w:asciiTheme="minorHAnsi" w:eastAsia="Times New Roman" w:hAnsiTheme="minorHAnsi" w:cs="Times New Roman"/>
          <w:bCs/>
          <w:color w:val="000000" w:themeColor="text1"/>
          <w:sz w:val="24"/>
          <w:szCs w:val="24"/>
        </w:rPr>
      </w:pPr>
      <w:r w:rsidRPr="00FC07A5">
        <w:rPr>
          <w:b/>
          <w:bCs/>
          <w:color w:val="000000" w:themeColor="text1"/>
          <w:sz w:val="24"/>
          <w:szCs w:val="24"/>
        </w:rPr>
        <w:t xml:space="preserve">            m) prevedere che all'accertamento delle violazioni delle disposizioni in materia di pratiche commerciali sleali al di fuori delle previsioni di cui alla direttiva (UE) 2019/633, l'Autorità garante della concorrenza e del mercato provveda d'ufficio o su segnalazione delle organizzazioni professionali maggiormente rappresentative a livello nazionale, assicurando, in ogni caso, la legittimazione delle organizzazioni professionali ad agire in giudizio per la tutela degli interessi delle imprese rappresentate qualora siano state lese da pratiche commerciali sleali.;</w:t>
      </w:r>
      <w:r>
        <w:rPr>
          <w:rStyle w:val="Rimandonotaapidipagina"/>
          <w:rFonts w:asciiTheme="minorHAnsi" w:eastAsia="Times New Roman" w:hAnsiTheme="minorHAnsi" w:cs="Times New Roman"/>
          <w:bCs/>
          <w:color w:val="000000" w:themeColor="text1"/>
          <w:sz w:val="24"/>
          <w:szCs w:val="24"/>
        </w:rPr>
        <w:footnoteReference w:id="69"/>
      </w:r>
    </w:p>
    <w:p w14:paraId="1176CFBE" w14:textId="77777777" w:rsidR="00B54B25" w:rsidRP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54B25">
        <w:rPr>
          <w:rFonts w:asciiTheme="minorHAnsi" w:eastAsia="Times New Roman" w:hAnsiTheme="minorHAnsi" w:cs="Times New Roman"/>
          <w:b/>
          <w:bCs/>
          <w:color w:val="000000" w:themeColor="text1"/>
          <w:sz w:val="24"/>
          <w:szCs w:val="24"/>
        </w:rPr>
        <w:t>f-bis) valorizzare il ruolo delle organizzazioni di rappresentanza nella presentazione delle denunce come previsto dall'articolo 5, paragrafo 2, della direttiva (UE) 2019/633, estendendolo alle organizzazioni di impres</w:t>
      </w:r>
      <w:r>
        <w:rPr>
          <w:rFonts w:asciiTheme="minorHAnsi" w:eastAsia="Times New Roman" w:hAnsiTheme="minorHAnsi" w:cs="Times New Roman"/>
          <w:b/>
          <w:bCs/>
          <w:color w:val="000000" w:themeColor="text1"/>
          <w:sz w:val="24"/>
          <w:szCs w:val="24"/>
        </w:rPr>
        <w:t>e rilevanti a livello nazionale;</w:t>
      </w:r>
      <w:r>
        <w:rPr>
          <w:rStyle w:val="Rimandonotaapidipagina"/>
          <w:rFonts w:asciiTheme="minorHAnsi" w:eastAsia="Times New Roman" w:hAnsiTheme="minorHAnsi" w:cs="Times New Roman"/>
          <w:b/>
          <w:bCs/>
          <w:color w:val="000000" w:themeColor="text1"/>
          <w:sz w:val="24"/>
          <w:szCs w:val="24"/>
        </w:rPr>
        <w:footnoteReference w:id="70"/>
      </w:r>
    </w:p>
    <w:p w14:paraId="160C5C81" w14:textId="77777777" w:rsidR="002C1B13"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54B25">
        <w:rPr>
          <w:rFonts w:asciiTheme="minorHAnsi" w:eastAsia="Times New Roman" w:hAnsiTheme="minorHAnsi" w:cs="Times New Roman"/>
          <w:b/>
          <w:bCs/>
          <w:color w:val="000000" w:themeColor="text1"/>
          <w:sz w:val="24"/>
          <w:szCs w:val="24"/>
        </w:rPr>
        <w:lastRenderedPageBreak/>
        <w:t>f-bis) adottare con rigore il principio della riservatezza nella denuncia alla autorità nazionale di una eventuale pratica sleale, previsto dall'articolo 5 d</w:t>
      </w:r>
      <w:r>
        <w:rPr>
          <w:rFonts w:asciiTheme="minorHAnsi" w:eastAsia="Times New Roman" w:hAnsiTheme="minorHAnsi" w:cs="Times New Roman"/>
          <w:b/>
          <w:bCs/>
          <w:color w:val="000000" w:themeColor="text1"/>
          <w:sz w:val="24"/>
          <w:szCs w:val="24"/>
        </w:rPr>
        <w:t>ella direttiva (UE) n. 2019/633</w:t>
      </w:r>
      <w:r>
        <w:rPr>
          <w:rStyle w:val="Rimandonotaapidipagina"/>
          <w:rFonts w:asciiTheme="minorHAnsi" w:eastAsia="Times New Roman" w:hAnsiTheme="minorHAnsi" w:cs="Times New Roman"/>
          <w:b/>
          <w:bCs/>
          <w:color w:val="000000" w:themeColor="text1"/>
          <w:sz w:val="24"/>
          <w:szCs w:val="24"/>
        </w:rPr>
        <w:footnoteReference w:id="71"/>
      </w:r>
      <w:r>
        <w:rPr>
          <w:rFonts w:asciiTheme="minorHAnsi" w:eastAsia="Times New Roman" w:hAnsiTheme="minorHAnsi" w:cs="Times New Roman"/>
          <w:b/>
          <w:bCs/>
          <w:color w:val="000000" w:themeColor="text1"/>
          <w:sz w:val="24"/>
          <w:szCs w:val="24"/>
        </w:rPr>
        <w:t>.</w:t>
      </w:r>
    </w:p>
    <w:p w14:paraId="73458858" w14:textId="77777777" w:rsidR="0005597D" w:rsidRPr="00FC07A5" w:rsidRDefault="0005597D" w:rsidP="0005597D">
      <w:pPr>
        <w:jc w:val="both"/>
        <w:rPr>
          <w:b/>
          <w:bCs/>
          <w:color w:val="000000" w:themeColor="text1"/>
          <w:sz w:val="24"/>
          <w:szCs w:val="24"/>
        </w:rPr>
      </w:pPr>
      <w:r w:rsidRPr="00FC07A5">
        <w:rPr>
          <w:b/>
          <w:bCs/>
          <w:color w:val="000000" w:themeColor="text1"/>
          <w:sz w:val="24"/>
          <w:szCs w:val="24"/>
        </w:rPr>
        <w:t xml:space="preserve">            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r>
        <w:rPr>
          <w:rStyle w:val="Rimandonotaapidipagina"/>
          <w:b/>
          <w:bCs/>
          <w:color w:val="000000" w:themeColor="text1"/>
          <w:sz w:val="24"/>
          <w:szCs w:val="24"/>
        </w:rPr>
        <w:footnoteReference w:id="72"/>
      </w:r>
    </w:p>
    <w:p w14:paraId="4D8C7CBF" w14:textId="77777777" w:rsidR="0005597D" w:rsidRDefault="0005597D"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19A9111" w14:textId="77777777" w:rsidR="00B54B25" w:rsidRP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1BBFF4F"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8.</w:t>
      </w:r>
    </w:p>
    <w:p w14:paraId="643E5423"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il recepimento della direttiva (UE) 2019/789, che stabilisce norme relative all'esercizio del diritto d'autore e dei diritti connessi applicabili a talune trasmissioni online degli organismi di diffusione radiotelevisiva e ritrasmissioni di programmi televisivi e radiofonici e che modifica la direttiva 93/83/CEE del Consiglio)</w:t>
      </w:r>
    </w:p>
    <w:p w14:paraId="462EA5C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9A555B"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Nell'esercizio della delega per l'attuazione della direttiva (UE) 2019/789, del Parlamento europeo e del Consiglio, del 17 aprile 2019, il Governo osserva, oltre ai princìpi e criteri direttivi generali di cui all'articolo 32 della legge n. 234 del 2012, anche i seguenti princìpi e criteri direttivi specifici:</w:t>
      </w:r>
    </w:p>
    <w:p w14:paraId="69C92EE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definire in modo restrittivo i </w:t>
      </w:r>
      <w:proofErr w:type="gramStart"/>
      <w:r w:rsidRPr="002C1B13">
        <w:rPr>
          <w:rFonts w:asciiTheme="minorHAnsi" w:eastAsia="Times New Roman" w:hAnsiTheme="minorHAnsi" w:cs="Times New Roman"/>
          <w:bCs/>
          <w:color w:val="000000" w:themeColor="text1"/>
          <w:sz w:val="24"/>
          <w:szCs w:val="24"/>
        </w:rPr>
        <w:t>« programmi</w:t>
      </w:r>
      <w:proofErr w:type="gramEnd"/>
      <w:r w:rsidRPr="002C1B13">
        <w:rPr>
          <w:rFonts w:asciiTheme="minorHAnsi" w:eastAsia="Times New Roman" w:hAnsiTheme="minorHAnsi" w:cs="Times New Roman"/>
          <w:bCs/>
          <w:color w:val="000000" w:themeColor="text1"/>
          <w:sz w:val="24"/>
          <w:szCs w:val="24"/>
        </w:rPr>
        <w:t xml:space="preserve"> di produzione propria che sono finanziati interamente dall'organismo di diffusione radiotelevisiva » di cui all'articolo 3, paragrafo 1, lettera b), punto ii), della direttiva (UE) 2019/789, in particolare riconducendo il concetto di « produzione propria » alla nozione di « produzione interna »;</w:t>
      </w:r>
    </w:p>
    <w:p w14:paraId="6619C35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individuare i requisiti degli organismi di gestione collettiva autorizzati a rilasciare le licenze obbligatorie di cui all'articolo 4 della direttiva (UE) 2019/789</w:t>
      </w:r>
      <w:r w:rsidR="00B54B25" w:rsidRPr="00B54B25">
        <w:rPr>
          <w:rFonts w:asciiTheme="minorHAnsi" w:eastAsia="Times New Roman" w:hAnsiTheme="minorHAnsi" w:cs="Times New Roman"/>
          <w:b/>
          <w:bCs/>
          <w:color w:val="000000" w:themeColor="text1"/>
          <w:sz w:val="24"/>
          <w:szCs w:val="24"/>
        </w:rPr>
        <w:t>, tenendo in considerazione quanto disposto dall'articolo 8 del decreto legislativo 15 marzo 2017, n. 35</w:t>
      </w:r>
      <w:r w:rsidR="00B54B25">
        <w:rPr>
          <w:rStyle w:val="Rimandonotaapidipagina"/>
          <w:rFonts w:asciiTheme="minorHAnsi" w:eastAsia="Times New Roman" w:hAnsiTheme="minorHAnsi" w:cs="Times New Roman"/>
          <w:b/>
          <w:bCs/>
          <w:color w:val="000000" w:themeColor="text1"/>
          <w:sz w:val="24"/>
          <w:szCs w:val="24"/>
        </w:rPr>
        <w:footnoteReference w:id="73"/>
      </w:r>
      <w:r w:rsidRPr="002C1B13">
        <w:rPr>
          <w:rFonts w:asciiTheme="minorHAnsi" w:eastAsia="Times New Roman" w:hAnsiTheme="minorHAnsi" w:cs="Times New Roman"/>
          <w:bCs/>
          <w:color w:val="000000" w:themeColor="text1"/>
          <w:sz w:val="24"/>
          <w:szCs w:val="24"/>
        </w:rPr>
        <w:t>.</w:t>
      </w:r>
    </w:p>
    <w:p w14:paraId="0566BB0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2151F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0652051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9AEC99"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Art. 9.</w:t>
      </w:r>
    </w:p>
    <w:p w14:paraId="397372DD"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il recepimento della direttiva (UE) 2019/790, sul diritto d'autore e sui diritti connessi nel mercato unico digitale e che modifica le direttive 96/9/CE e 2001/29/CE)</w:t>
      </w:r>
    </w:p>
    <w:p w14:paraId="1D0A547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580ED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Nell'esercizio della delega per l'attuazione della direttiva (UE) 2019/790, del Parlamento europeo e del Consiglio, del 17 aprile 2019, il Governo osserva, oltre ai princìpi e criteri direttivi generali di cui all'articolo 32 della legge n. 234 del 2012, anche i seguenti princìpi e criteri direttivi specifici:</w:t>
      </w:r>
    </w:p>
    <w:p w14:paraId="3D3DEFE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applicare la definizione di </w:t>
      </w:r>
      <w:proofErr w:type="gramStart"/>
      <w:r w:rsidRPr="002C1B13">
        <w:rPr>
          <w:rFonts w:asciiTheme="minorHAnsi" w:eastAsia="Times New Roman" w:hAnsiTheme="minorHAnsi" w:cs="Times New Roman"/>
          <w:bCs/>
          <w:color w:val="000000" w:themeColor="text1"/>
          <w:sz w:val="24"/>
          <w:szCs w:val="24"/>
        </w:rPr>
        <w:t>« istituti</w:t>
      </w:r>
      <w:proofErr w:type="gramEnd"/>
      <w:r w:rsidRPr="002C1B13">
        <w:rPr>
          <w:rFonts w:asciiTheme="minorHAnsi" w:eastAsia="Times New Roman" w:hAnsiTheme="minorHAnsi" w:cs="Times New Roman"/>
          <w:bCs/>
          <w:color w:val="000000" w:themeColor="text1"/>
          <w:sz w:val="24"/>
          <w:szCs w:val="24"/>
        </w:rPr>
        <w:t xml:space="preserve"> di tutela del patrimonio culturale », nell'accezione più ampia possibile, al fine di favorire l'accesso ai beni ivi custoditi;</w:t>
      </w:r>
    </w:p>
    <w:p w14:paraId="0C29215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disciplinare le eccezioni o limitazioni ai fini dell'estrazione di testo e dati di cui all'articolo 3 della direttiva (UE) 2019/790, garantendo adeguati livelli di sicurezza delle reti e delle banche dati nonché definire l'accesso legale e i requisiti dei soggetti coinvolti;</w:t>
      </w:r>
    </w:p>
    <w:p w14:paraId="20F02DAB"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esercitare l'opzione di cui all'articolo 5, paragrafo 2, della direttiva (UE) 2019/790, che consente di escludere o limitare l'applicazione dell'eccezione o limitazione di cui al paragrafo 1 del medesimo articolo, per determinati utilizzi o tipi di opere o altri materiali;</w:t>
      </w:r>
    </w:p>
    <w:p w14:paraId="3914BBA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stabilire le procedure che permettono ai titolari dei diritti che non abbiano autorizzato gli organismi di gestione collettiva a rappresentarli di escludere le loro opere o altri materiali dal meccanismo di concessione delle licenze di cui all'articolo 8, paragrafo 1, della direttiva (UE) 2019/790 o dall'applicazione dell'eccezione o limitazione di cui al paragrafo 2 del medesimo articolo;</w:t>
      </w:r>
    </w:p>
    <w:p w14:paraId="6B70014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esercitare l'opzione di cui all'articolo 8, paragrafo 5, della direttiva (UE) 2019/790, che consente di stabilire requisiti specifici per determinare se un'opera e altri materiali possano essere considerati fuori commercio;</w:t>
      </w:r>
    </w:p>
    <w:p w14:paraId="42ED2A0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individuare la disciplina applicabile nel caso l'opera, oltre ad essere fuori commercio ai sensi dell'articolo 8 della direttiva (UE) 2019/790, sia anche </w:t>
      </w:r>
      <w:proofErr w:type="gramStart"/>
      <w:r w:rsidRPr="002C1B13">
        <w:rPr>
          <w:rFonts w:asciiTheme="minorHAnsi" w:eastAsia="Times New Roman" w:hAnsiTheme="minorHAnsi" w:cs="Times New Roman"/>
          <w:bCs/>
          <w:color w:val="000000" w:themeColor="text1"/>
          <w:sz w:val="24"/>
          <w:szCs w:val="24"/>
        </w:rPr>
        <w:t>« orfana</w:t>
      </w:r>
      <w:proofErr w:type="gramEnd"/>
      <w:r w:rsidRPr="002C1B13">
        <w:rPr>
          <w:rFonts w:asciiTheme="minorHAnsi" w:eastAsia="Times New Roman" w:hAnsiTheme="minorHAnsi" w:cs="Times New Roman"/>
          <w:bCs/>
          <w:color w:val="000000" w:themeColor="text1"/>
          <w:sz w:val="24"/>
          <w:szCs w:val="24"/>
        </w:rPr>
        <w:t> » e quindi soggetta alle disposizioni della direttiva 2012/28/UE del Parlamento europeo e del Consiglio, del 25 ottobre 2012;</w:t>
      </w:r>
    </w:p>
    <w:p w14:paraId="1F721B7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prevedere, ai sensi dell'articolo 10, paragrafo 2, della direttiva (UE) 2019/790, ulteriori misure di pubblicità a favore dei titolari dei diritti oltre quelle previste dal paragrafo 1 del medesimo articolo;</w:t>
      </w:r>
    </w:p>
    <w:p w14:paraId="77959F8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h) prevedere, ai sensi dell'articolo 15 della direttiva (UE) 2019/790, che nel caso di utilizzo online delle pubblicazioni di carattere giornalistico da parte dei prestatori di servizi della società dell'informazione trovino adeguata tutela i diritti degli editori, tenendo in debita considerazione i diritti degli autori di tali pubblicazioni;</w:t>
      </w:r>
    </w:p>
    <w:p w14:paraId="421576A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i) definire il concetto di </w:t>
      </w:r>
      <w:proofErr w:type="gramStart"/>
      <w:r w:rsidRPr="002C1B13">
        <w:rPr>
          <w:rFonts w:asciiTheme="minorHAnsi" w:eastAsia="Times New Roman" w:hAnsiTheme="minorHAnsi" w:cs="Times New Roman"/>
          <w:bCs/>
          <w:color w:val="000000" w:themeColor="text1"/>
          <w:sz w:val="24"/>
          <w:szCs w:val="24"/>
        </w:rPr>
        <w:t>« estratti</w:t>
      </w:r>
      <w:proofErr w:type="gramEnd"/>
      <w:r w:rsidRPr="002C1B13">
        <w:rPr>
          <w:rFonts w:asciiTheme="minorHAnsi" w:eastAsia="Times New Roman" w:hAnsiTheme="minorHAnsi" w:cs="Times New Roman"/>
          <w:bCs/>
          <w:color w:val="000000" w:themeColor="text1"/>
          <w:sz w:val="24"/>
          <w:szCs w:val="24"/>
        </w:rPr>
        <w:t xml:space="preserve"> molto brevi » in modo da non pregiudicare la libera circolazione delle informazioni;</w:t>
      </w:r>
    </w:p>
    <w:p w14:paraId="4C74B2B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l) definire la quota adeguata dei proventi percepiti dagli editori per l'utilizzo delle pubblicazioni di carattere giornalistico di cui all'articolo 15, paragrafo 5, della direttiva (UE) 2019/790, destinata agli autori, tenendo in particolare considerazione i diritti di questi ultimi;</w:t>
      </w:r>
    </w:p>
    <w:p w14:paraId="33F8E11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m) definire la quota del compenso di cui all'articolo 16 della direttiva (UE) 2019/ 790 spettante agli editori nel caso l'opera sia utilizzata in virtù di un'eccezione o di una limitazione, tenuti in debito conto i diritti degli autori;</w:t>
      </w:r>
    </w:p>
    <w:p w14:paraId="6DE0C5B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n) definire le attività di cui all'articolo 17, paragrafo 4, della direttiva (UE) 2019/790, con particolare riferimento al livello di diligenza richiesto al fine di ritenere integrato il criterio dei </w:t>
      </w:r>
      <w:proofErr w:type="gramStart"/>
      <w:r w:rsidRPr="002C1B13">
        <w:rPr>
          <w:rFonts w:asciiTheme="minorHAnsi" w:eastAsia="Times New Roman" w:hAnsiTheme="minorHAnsi" w:cs="Times New Roman"/>
          <w:bCs/>
          <w:color w:val="000000" w:themeColor="text1"/>
          <w:sz w:val="24"/>
          <w:szCs w:val="24"/>
        </w:rPr>
        <w:t>« massimi</w:t>
      </w:r>
      <w:proofErr w:type="gramEnd"/>
      <w:r w:rsidRPr="002C1B13">
        <w:rPr>
          <w:rFonts w:asciiTheme="minorHAnsi" w:eastAsia="Times New Roman" w:hAnsiTheme="minorHAnsi" w:cs="Times New Roman"/>
          <w:bCs/>
          <w:color w:val="000000" w:themeColor="text1"/>
          <w:sz w:val="24"/>
          <w:szCs w:val="24"/>
        </w:rPr>
        <w:t xml:space="preserve"> sforzi », nel rispetto del principio di ragionevolezza;</w:t>
      </w:r>
    </w:p>
    <w:p w14:paraId="630DCF7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o) individuare la disciplina relativa ai reclami e ai ricorsi di cui all'articolo 17, paragrafo 9, della direttiva (UE) 2019/790, ivi compreso l'organismo preposto alla gestione delle rispettive procedure;</w:t>
      </w:r>
    </w:p>
    <w:p w14:paraId="23DC643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p) stabilire le modalità e i criteri del meccanismo di adeguamento contrattuale previsto in mancanza di un accordo di contrattazione collettiva applicabile, di cui all'articolo 20 della direttiva (UE) 2019/790;</w:t>
      </w:r>
    </w:p>
    <w:p w14:paraId="58FC777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q) stabilire le modalità e i criteri, anche variabili in base ai diversi settori e al genere di opera, per l'esercizio del diritto di revoca di cui all'articolo 22 della direttiva (UE) 2019/790.</w:t>
      </w:r>
    </w:p>
    <w:p w14:paraId="68806EB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23614E"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10.</w:t>
      </w:r>
    </w:p>
    <w:p w14:paraId="4258C17B"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il recepimento della direttiva 2019/878, che modifica la direttiva 2013/36/UE per quanto riguarda le entità esentate, le società di partecipazione finanziaria, le società di partecipazione finanziaria mista, la remunerazione, le misure e i poteri di vigilanza e le misure di conservazione del capitale, nonché per l'adeguamento al regolamento (UE) 2019/876, che modifica il regolamento (UE) 575/2013, relativo ai requisiti prudenziali per gli enti creditizi)</w:t>
      </w:r>
    </w:p>
    <w:p w14:paraId="620364D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40B88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Nell'esercizio della delega per l'attuazione della direttiva (UE) 2019/878 del Parlamento europeo e del Consiglio, del 20 maggio 2019, e per l'adeguamento della normativa nazionale alle disposizioni del regolamento (UE) 2019/876 del Parlamento europeo e del Consiglio, del 20 maggio 2019, il Governo osserva, oltre ai princìpi e criteri direttivi generali di cui all'articolo 32 della legge n. 234 del 2012, anche i seguenti princìpi e criteri direttivi specifici:</w:t>
      </w:r>
    </w:p>
    <w:p w14:paraId="48F3781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apportare alla normativa vigente e, in particolare, al testo unico delle leggi in materia bancaria e creditizia, di cui al decreto legislativo 1° settembre 1993, n. 385, le modifiche e le integrazioni necessarie al corretto e integrale recepimento della direttiva (UE) 2019/878 e all'applicazione del regolamento (UE) 2019/876, relativi ai requisiti prudenziali per gli enti creditizi, nonché delle pertinenti norme tecniche di regolamentazione di attuazione della direttiva e del regolamento tenendo conto degli orientamenti delle Autorità di vigilanza europee;</w:t>
      </w:r>
    </w:p>
    <w:p w14:paraId="3F52156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b) prevedere il ricorso alla disciplina secondaria adottata dalla Banca d'Italia che, nell'esercizio dei propri poteri regolamentari, tiene conto degli orientamenti emanati dalle Autorità di vigilanza europee;</w:t>
      </w:r>
    </w:p>
    <w:p w14:paraId="4B0B88C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confermare, ai sensi dell'articolo 53 del citato testo unico di cui al decreto legislativo n. 385 del 1993, l'individuazione nella Banca d'Italia dell'autorità competente a esercitare le opzioni che la direttiva (UE) 2019/878 e il regolamento (UE) 2019/876 attribuiscono agli Stati membri;</w:t>
      </w:r>
    </w:p>
    <w:p w14:paraId="148AFFE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attribuire all'autorità designata ai sensi dell'articolo 53-ter del citato testo unico di cui al decreto legislativo n. 385 del 1993, i poteri previsti dagli articoli 124 e 164 del regolamento (UE) n. 2013/575 del Parlamento europeo e del Consiglio, del 26 giugno 2013, come modificato dal regolamento (UE) 2019/876;</w:t>
      </w:r>
    </w:p>
    <w:p w14:paraId="338810F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estendere la disciplina delle sanzioni amministrative di cui al titolo VIII del citato testo unico di cui al decreto legislativo n. 385 del 1993 alle violazioni delle disposizioni dettate in attuazione della direttiva (UE) 2019/878 e delle disposizioni emanate in attuazione del presente articolo, nel rispetto dei criteri, dei limiti e delle procedure previste dalle disposizioni nazionali vigenti che disciplinano l'esercizio del potere sanzionatorio da parte delle autorità competenti a irrogarle;</w:t>
      </w:r>
    </w:p>
    <w:p w14:paraId="05FEC71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f) con riferimento al potere di rimuovere il soggetto incaricato della revisione legale dei conti in banche e imprese di investimento, previsto in attuazione dell'articolo 1, punto 15), della direttiva (UE) 2019/878, estendere l'applicazione di tale potere a tutti gli enti sottoposti a regime intermedio disciplinati ai sensi del citato testo unico di cui al decreto legislativo n. 385 del 1993 e del testo unico delle disposizioni in materia di intermediazione finanziaria, di cui al decreto legislativo 24 febbraio 1998, n. 58, in coerenza con quanto previsto dall'articolo 19-ter, comma 1, lettera b), del decreto legislativo 27 gennaio 2010, n. 39, per quanto attiene al rinvio all'articolo 12 del regolamento (UE) n. 537/2014 del Parlamento europeo e del Consiglio, del 16 aprile 2014;</w:t>
      </w:r>
    </w:p>
    <w:p w14:paraId="1A28998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apportare alla disciplina in materia di assetti proprietari contenuta nel testo unico delle leggi in materia bancaria e creditizia, di cui al decreto legislativo n. 385 del 1993, e nel testo unico delle disposizioni in materia di intermediazione finanziaria, di cui al decreto legislativo n. 58 del 1998, le modifiche volte ad assicurarne la conformità agli orientamenti delle Autorità di vigilanza europee in materia e, in particolare, alle previsioni riguardanti l'individuazione delle partecipazioni rilevanti acquisite in via indiretta e tramite patti parasociali.</w:t>
      </w:r>
    </w:p>
    <w:p w14:paraId="229646D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27FFB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6B8AF5DC"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D06F108"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11.</w:t>
      </w:r>
    </w:p>
    <w:p w14:paraId="1E59A057"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lastRenderedPageBreak/>
        <w:t>(Princìpi e criteri direttivi per il recepimento della direttiva (UE) 2019/879, che modifica la direttiva 2014/59/UE per quanto riguarda la capacità di assorbimento di perdite e di ricapitalizzazione degli enti creditizi e delle imprese di investimento e la direttiva 98/26/CE, nonché per l'adeguamento della normativa nazionale al regolamento (UE) 806/2014, che fissa norme e una procedura uniformi per la risoluzione degli enti creditizi e di talune imprese di investimento nel quadro del meccanismo di risoluzione unico e del Fondo di risoluzione unico e che modifica il regolamento (UE) n. 1093/2010)</w:t>
      </w:r>
    </w:p>
    <w:p w14:paraId="6F68FAA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65AD3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Nell'esercizio della delega per l'attuazione della direttiva (UE) 2019/879 del Parlamento europeo e del Consiglio, del 20 maggio 2019, e per l'adeguamento della normativa nazionale alle disposizioni del regolamento (UE) 806/2014 del Parlamento europeo e del Consiglio, del 15 luglio 2014, come modificato dal regolamento (UE) 2019/877 del Parlamento europeo e del Consiglio, del 20 maggio 2019, il Governo osserva, oltre ai princìpi e criteri direttivi generali di cui all'articolo 32 della n. 234 del 2012, anche i seguenti princìpi e criteri direttivi specifici:</w:t>
      </w:r>
    </w:p>
    <w:p w14:paraId="3CB3064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apportare alla normativa vigente e in particolare a quella di recepimento della direttiva 2014/59/UE del Parlamento europeo e del Consiglio, del 15 maggio 2014, contenuta nel decreto legislativo 16 novembre 2015, n. 180, nel testo unico delle leggi in materia bancaria e creditizia, di cui al decreto legislativo 1° settembre 1993, n. 385, e nel testo unico delle disposizioni in materia di intermediazione finanziaria, di cui al decreto legislativo 24 febbraio 1998, n. 58, le modifiche e le integrazioni necessarie al corretto e integrale recepimento della direttiva (UE) 2019/879, nonché all'applicazione del regolamento (UE) n. 806/2014, come modificato dal regolamento (UE) 2019/877, e delle pertinenti norme tecniche di regolamentazione e di attuazione, tenendo conto degli orientamenti dell'Autorità bancaria europea;</w:t>
      </w:r>
    </w:p>
    <w:p w14:paraId="3B0394F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garantire la coerenza tra la disciplina nazionale di recepimento della direttiva e il quadro normativo dell'Unione europea in materia di vigilanza bancaria, gestione delle crisi e tutela dei depositanti;</w:t>
      </w:r>
    </w:p>
    <w:p w14:paraId="1376F87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prevedere il ricorso alla disciplina secondaria adottata dalla Banca d'Italia ai sensi dell'articolo 3 del decreto legislativo n. 180 del 2015; la Banca d'Italia, nell'esercizio dei propri poteri regolamentari, tiene conto degli orientamenti emanati dall'Autorità bancaria europea;</w:t>
      </w:r>
    </w:p>
    <w:p w14:paraId="562799B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con riferimento alla disciplina della sospensione degli obblighi di pagamento e di consegna nel corso di una risoluzione o prima del suo avvio, avvalersi della facoltà prevista dall'articolo 33 bis, paragrafo 3, e dall'articolo 69, paragrafo 5, della direttiva 2014/59/UE, come modificata dalla direttiva (UE) 2019/879;</w:t>
      </w:r>
    </w:p>
    <w:p w14:paraId="484003A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con riferimento alla disciplina sulla commercializzazione a investitori non professionali degli strumenti finanziari computabili nel requisito minimo di passività soggette a </w:t>
      </w:r>
      <w:proofErr w:type="spellStart"/>
      <w:r w:rsidRPr="002C1B13">
        <w:rPr>
          <w:rFonts w:asciiTheme="minorHAnsi" w:eastAsia="Times New Roman" w:hAnsiTheme="minorHAnsi" w:cs="Times New Roman"/>
          <w:bCs/>
          <w:color w:val="000000" w:themeColor="text1"/>
          <w:sz w:val="24"/>
          <w:szCs w:val="24"/>
        </w:rPr>
        <w:t>bail</w:t>
      </w:r>
      <w:proofErr w:type="spellEnd"/>
      <w:r w:rsidRPr="002C1B13">
        <w:rPr>
          <w:rFonts w:asciiTheme="minorHAnsi" w:eastAsia="Times New Roman" w:hAnsiTheme="minorHAnsi" w:cs="Times New Roman"/>
          <w:bCs/>
          <w:color w:val="000000" w:themeColor="text1"/>
          <w:sz w:val="24"/>
          <w:szCs w:val="24"/>
        </w:rPr>
        <w:t>-in, avvalersi, con le modalità più idonee ad assicurare la tutela di tali investitori, delle facoltà previste dall'articolo 44 bis della direttiva 2014/59/UE, come modificata dalla direttiva (UE) 2019/879</w:t>
      </w:r>
      <w:r w:rsidR="005711BE">
        <w:rPr>
          <w:rFonts w:asciiTheme="minorHAnsi" w:eastAsia="Times New Roman" w:hAnsiTheme="minorHAnsi" w:cs="Times New Roman"/>
          <w:bCs/>
          <w:color w:val="000000" w:themeColor="text1"/>
          <w:sz w:val="24"/>
          <w:szCs w:val="24"/>
        </w:rPr>
        <w:t xml:space="preserve"> </w:t>
      </w:r>
      <w:r w:rsidR="005711BE" w:rsidRPr="005711BE">
        <w:rPr>
          <w:rFonts w:asciiTheme="minorHAnsi" w:eastAsia="Times New Roman" w:hAnsiTheme="minorHAnsi" w:cs="Times New Roman"/>
          <w:b/>
          <w:bCs/>
          <w:color w:val="000000" w:themeColor="text1"/>
          <w:sz w:val="24"/>
          <w:szCs w:val="24"/>
        </w:rPr>
        <w:t xml:space="preserve">e prevedere opportune forme di coordinamento con i poteri e le competenze attribuiti alla CONSOB dal testo unico delle disposizioni in materia di intermediazione finanziaria, di cui al decreto legislativo 24 febbraio 1998, n. 58, in materia </w:t>
      </w:r>
      <w:r w:rsidR="005711BE" w:rsidRPr="005711BE">
        <w:rPr>
          <w:rFonts w:asciiTheme="minorHAnsi" w:eastAsia="Times New Roman" w:hAnsiTheme="minorHAnsi" w:cs="Times New Roman"/>
          <w:b/>
          <w:bCs/>
          <w:color w:val="000000" w:themeColor="text1"/>
          <w:sz w:val="24"/>
          <w:szCs w:val="24"/>
        </w:rPr>
        <w:lastRenderedPageBreak/>
        <w:t>di trasparenza e correttezza dei comportamenti, al fine di garantire la coerenza e l'efficacia complessiva del sistema di vigilanza</w:t>
      </w:r>
      <w:r w:rsidR="005711BE">
        <w:rPr>
          <w:rStyle w:val="Rimandonotaapidipagina"/>
          <w:rFonts w:asciiTheme="minorHAnsi" w:eastAsia="Times New Roman" w:hAnsiTheme="minorHAnsi" w:cs="Times New Roman"/>
          <w:b/>
          <w:bCs/>
          <w:color w:val="000000" w:themeColor="text1"/>
          <w:sz w:val="24"/>
          <w:szCs w:val="24"/>
        </w:rPr>
        <w:footnoteReference w:id="74"/>
      </w:r>
      <w:r w:rsidRPr="002C1B13">
        <w:rPr>
          <w:rFonts w:asciiTheme="minorHAnsi" w:eastAsia="Times New Roman" w:hAnsiTheme="minorHAnsi" w:cs="Times New Roman"/>
          <w:bCs/>
          <w:color w:val="000000" w:themeColor="text1"/>
          <w:sz w:val="24"/>
          <w:szCs w:val="24"/>
        </w:rPr>
        <w:t>;</w:t>
      </w:r>
    </w:p>
    <w:p w14:paraId="5AD9DEA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f) avvalersi della facoltà, con gli effetti previsti dall'articolo 71 bis della direttiva (UE) 2014/59/UE, come modificata dalla direttiva (UE) 2019/879, di imporre alle società italiane capogruppo di un gruppo bancario l'obbligo di richiedere alle proprie controllate con sede legale in Stati terzi l'inserimento nei contratti finanziari da esse conclusi di una clausola che riconosca l'esercizio da parte dell'autorità di risoluzione dei poteri di sospensione degli obblighi di pagamento e di consegna, di limitazione dell'escussione di garanzie e di sospensione dei meccanismi terminativi previsti dalla direttiva 2014/59/UE, come modificata dalla direttiva (UE) 2019/879;</w:t>
      </w:r>
    </w:p>
    <w:p w14:paraId="733FD8E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apportare alla normativa di cui alla lettera a) ogni altra modifica e integrazione volta a chiarire la disciplina applicabile e ad assicurare maggiore efficacia ed efficienza alla gestione delle crisi di tutti gli intermediari ivi disciplinati, anche tenendo conto di quanto previsto dal codice della crisi d'impresa e dell'insolvenza, di cui al decreto legislativo 12 gennaio 2019, n. 14, e delle esigenze di celerità delle relative procedure;</w:t>
      </w:r>
    </w:p>
    <w:p w14:paraId="7371ECA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h) apportare al decreto legislativo n. 180 del 2015, e al testo unico delle leggi in materia bancaria e redditizia, di cui al decreto legislativo n. 385 del 1993, le modifiche e le integrazioni necessarie ad assicurare la coerenza con il regolamento (UE) n. 806/2014, come modificato dal regolamento (UE) 2019/877;</w:t>
      </w:r>
    </w:p>
    <w:p w14:paraId="749022D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i) coordinare la disciplina delle sanzioni previste dal decreto legislativo n. 180 del 2015 e dal testo unico di cui al decreto legislativo n. 385 del 1993, con quanto previsto dagli articoli 38, 39, 40 e 41 del regolamento (UE) 806/2014</w:t>
      </w:r>
      <w:r w:rsidR="005711BE">
        <w:rPr>
          <w:rFonts w:asciiTheme="minorHAnsi" w:eastAsia="Times New Roman" w:hAnsiTheme="minorHAnsi" w:cs="Times New Roman"/>
          <w:bCs/>
          <w:color w:val="000000" w:themeColor="text1"/>
          <w:sz w:val="24"/>
          <w:szCs w:val="24"/>
        </w:rPr>
        <w:t xml:space="preserve"> </w:t>
      </w:r>
      <w:r w:rsidR="005711BE" w:rsidRPr="005711BE">
        <w:rPr>
          <w:rFonts w:asciiTheme="minorHAnsi" w:eastAsia="Times New Roman" w:hAnsiTheme="minorHAnsi" w:cs="Times New Roman"/>
          <w:b/>
          <w:bCs/>
          <w:color w:val="000000" w:themeColor="text1"/>
          <w:sz w:val="24"/>
          <w:szCs w:val="24"/>
        </w:rPr>
        <w:t>e coordinare il regime sanzionatorio previsto dal decreto legislativo 24 febbraio 1998, n. 58, con riferimento alle violazioni della disciplina di attuazione dell'articolo 44-bis della direttiva 2014/59/UE, come modificata dalla direttiva (UE) 2019/879</w:t>
      </w:r>
      <w:r w:rsidR="005711BE">
        <w:rPr>
          <w:rStyle w:val="Rimandonotaapidipagina"/>
          <w:rFonts w:asciiTheme="minorHAnsi" w:eastAsia="Times New Roman" w:hAnsiTheme="minorHAnsi" w:cs="Times New Roman"/>
          <w:b/>
          <w:bCs/>
          <w:color w:val="000000" w:themeColor="text1"/>
          <w:sz w:val="24"/>
          <w:szCs w:val="24"/>
        </w:rPr>
        <w:footnoteReference w:id="75"/>
      </w:r>
      <w:r w:rsidRPr="002C1B13">
        <w:rPr>
          <w:rFonts w:asciiTheme="minorHAnsi" w:eastAsia="Times New Roman" w:hAnsiTheme="minorHAnsi" w:cs="Times New Roman"/>
          <w:bCs/>
          <w:color w:val="000000" w:themeColor="text1"/>
          <w:sz w:val="24"/>
          <w:szCs w:val="24"/>
        </w:rPr>
        <w:t>.</w:t>
      </w:r>
    </w:p>
    <w:p w14:paraId="5894CAF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3C8A7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30985A9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D8DDAC"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12.</w:t>
      </w:r>
    </w:p>
    <w:p w14:paraId="1DBD08DF"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l'attuazione della direttiva (UE) 2019/944, relativa a norme comuni per il mercato interno dell'energia elettrica e che modifica la direttiva 2012/27/UE (rifusione))</w:t>
      </w:r>
    </w:p>
    <w:p w14:paraId="780A106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232A0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1. Nell'esercizio della delega per l'attuazione della direttiva (UE) 2019/944 del Parlamento europeo e del Consiglio, del 5 giugno 2019, il Governo osserva, oltre ai princìpi e criteri direttivi generali di cui all'articolo 32 della legge n. 234 del 2012, anche i seguenti princìpi e criteri direttivi specifici:</w:t>
      </w:r>
    </w:p>
    <w:p w14:paraId="210F87B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in coerenza con le modalità e gli obblighi di servizio pubblico, definire la disciplina relativa alle comunità energetiche dei cittadini, attive nell'ambito della generazione, dell'approvvigionamento, della distribuzione, dell'accumulo, della condivisione, della vendita di energia elettrica e della fornitura di servizi energetici, ivi inclusi i servizi di efficienza energetica e di ricarica dei veicoli elettrici, valorizzando la rete elettrica esistente e assicurando un'adeguata partecipazione ai costi di sistema;</w:t>
      </w:r>
    </w:p>
    <w:p w14:paraId="6BD71E8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aggiornare </w:t>
      </w:r>
      <w:r w:rsidR="005711BE">
        <w:rPr>
          <w:rFonts w:asciiTheme="minorHAnsi" w:eastAsia="Times New Roman" w:hAnsiTheme="minorHAnsi" w:cs="Times New Roman"/>
          <w:b/>
          <w:bCs/>
          <w:color w:val="000000" w:themeColor="text1"/>
          <w:sz w:val="24"/>
          <w:szCs w:val="24"/>
        </w:rPr>
        <w:t>e semplificare</w:t>
      </w:r>
      <w:r w:rsidR="005711BE">
        <w:rPr>
          <w:rStyle w:val="Rimandonotaapidipagina"/>
          <w:rFonts w:asciiTheme="minorHAnsi" w:eastAsia="Times New Roman" w:hAnsiTheme="minorHAnsi" w:cs="Times New Roman"/>
          <w:b/>
          <w:bCs/>
          <w:color w:val="000000" w:themeColor="text1"/>
          <w:sz w:val="24"/>
          <w:szCs w:val="24"/>
        </w:rPr>
        <w:footnoteReference w:id="76"/>
      </w:r>
      <w:r w:rsidR="005711BE">
        <w:rPr>
          <w:rFonts w:asciiTheme="minorHAnsi" w:eastAsia="Times New Roman" w:hAnsiTheme="minorHAnsi" w:cs="Times New Roman"/>
          <w:b/>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il quadro normativo in materia di configurazioni per l'autoconsumo, di sistemi di distribuzione chiusi e di linee dirette, disciplinando le modalità e gli obblighi di servizio pubblico e prevedendo un'adeguata partecipazione ai costi di sistema</w:t>
      </w:r>
      <w:r w:rsidR="005711BE">
        <w:rPr>
          <w:rFonts w:asciiTheme="minorHAnsi" w:eastAsia="Times New Roman" w:hAnsiTheme="minorHAnsi" w:cs="Times New Roman"/>
          <w:bCs/>
          <w:color w:val="000000" w:themeColor="text1"/>
          <w:sz w:val="24"/>
          <w:szCs w:val="24"/>
        </w:rPr>
        <w:t xml:space="preserve"> </w:t>
      </w:r>
      <w:r w:rsidR="005711BE">
        <w:rPr>
          <w:rFonts w:asciiTheme="minorHAnsi" w:eastAsia="Times New Roman" w:hAnsiTheme="minorHAnsi" w:cs="Times New Roman"/>
          <w:b/>
          <w:bCs/>
          <w:color w:val="000000" w:themeColor="text1"/>
          <w:sz w:val="24"/>
          <w:szCs w:val="24"/>
        </w:rPr>
        <w:t>e di rete</w:t>
      </w:r>
      <w:r w:rsidR="005711BE">
        <w:rPr>
          <w:rStyle w:val="Rimandonotaapidipagina"/>
          <w:rFonts w:asciiTheme="minorHAnsi" w:eastAsia="Times New Roman" w:hAnsiTheme="minorHAnsi" w:cs="Times New Roman"/>
          <w:b/>
          <w:bCs/>
          <w:color w:val="000000" w:themeColor="text1"/>
          <w:sz w:val="24"/>
          <w:szCs w:val="24"/>
        </w:rPr>
        <w:footnoteReference w:id="77"/>
      </w:r>
      <w:r w:rsidRPr="002C1B13">
        <w:rPr>
          <w:rFonts w:asciiTheme="minorHAnsi" w:eastAsia="Times New Roman" w:hAnsiTheme="minorHAnsi" w:cs="Times New Roman"/>
          <w:bCs/>
          <w:color w:val="000000" w:themeColor="text1"/>
          <w:sz w:val="24"/>
          <w:szCs w:val="24"/>
        </w:rPr>
        <w:t>;</w:t>
      </w:r>
    </w:p>
    <w:p w14:paraId="36BBC63D" w14:textId="77777777" w:rsidR="002C1B13" w:rsidRDefault="002C1B13" w:rsidP="002C1B13">
      <w:pPr>
        <w:shd w:val="clear" w:color="auto" w:fill="FFFFFF"/>
        <w:tabs>
          <w:tab w:val="left" w:pos="993"/>
        </w:tabs>
        <w:spacing w:after="120" w:line="240" w:lineRule="auto"/>
        <w:jc w:val="both"/>
        <w:rPr>
          <w:rFonts w:asciiTheme="minorHAnsi" w:hAnsiTheme="minorHAnsi"/>
          <w:b/>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definire il quadro normativo </w:t>
      </w:r>
      <w:r w:rsidR="00695884">
        <w:rPr>
          <w:rFonts w:asciiTheme="minorHAnsi" w:eastAsia="Times New Roman" w:hAnsiTheme="minorHAnsi" w:cs="Times New Roman"/>
          <w:b/>
          <w:bCs/>
          <w:color w:val="000000" w:themeColor="text1"/>
          <w:sz w:val="24"/>
          <w:szCs w:val="24"/>
        </w:rPr>
        <w:t>semplificato</w:t>
      </w:r>
      <w:r w:rsidR="00695884">
        <w:rPr>
          <w:rStyle w:val="Rimandonotaapidipagina"/>
          <w:rFonts w:asciiTheme="minorHAnsi" w:eastAsia="Times New Roman" w:hAnsiTheme="minorHAnsi" w:cs="Times New Roman"/>
          <w:b/>
          <w:bCs/>
          <w:color w:val="000000" w:themeColor="text1"/>
          <w:sz w:val="24"/>
          <w:szCs w:val="24"/>
        </w:rPr>
        <w:footnoteReference w:id="78"/>
      </w:r>
      <w:r w:rsidR="00695884">
        <w:rPr>
          <w:rFonts w:asciiTheme="minorHAnsi" w:eastAsia="Times New Roman" w:hAnsiTheme="minorHAnsi" w:cs="Times New Roman"/>
          <w:b/>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per lo sviluppo e la diffusione dei sistemi di accumulo e per la partecipazione degli stessi ai mercati dell'energia elettrica e dei servizi, tenuto conto degli obiettivi di sviluppo e integrazione della generazione da fonti rinnovabili</w:t>
      </w:r>
      <w:r w:rsidR="00622F5A">
        <w:rPr>
          <w:rFonts w:asciiTheme="minorHAnsi" w:eastAsia="Times New Roman" w:hAnsiTheme="minorHAnsi" w:cs="Times New Roman"/>
          <w:bCs/>
          <w:color w:val="000000" w:themeColor="text1"/>
          <w:sz w:val="24"/>
          <w:szCs w:val="24"/>
        </w:rPr>
        <w:t xml:space="preserve"> </w:t>
      </w:r>
      <w:r w:rsidR="00622F5A" w:rsidRPr="00622F5A">
        <w:rPr>
          <w:rFonts w:asciiTheme="minorHAnsi" w:eastAsia="Times New Roman" w:hAnsiTheme="minorHAnsi" w:cs="Times New Roman"/>
          <w:b/>
          <w:bCs/>
          <w:color w:val="000000" w:themeColor="text1"/>
          <w:sz w:val="24"/>
          <w:szCs w:val="24"/>
        </w:rPr>
        <w:t>e delle esigenze di flessibilità e adeguatezza del sistema elettrico</w:t>
      </w:r>
      <w:r w:rsidR="00622F5A">
        <w:rPr>
          <w:rStyle w:val="Rimandonotaapidipagina"/>
          <w:rFonts w:asciiTheme="minorHAnsi" w:eastAsia="Times New Roman" w:hAnsiTheme="minorHAnsi" w:cs="Times New Roman"/>
          <w:b/>
          <w:bCs/>
          <w:color w:val="000000" w:themeColor="text1"/>
          <w:sz w:val="24"/>
          <w:szCs w:val="24"/>
        </w:rPr>
        <w:footnoteReference w:id="79"/>
      </w:r>
      <w:r w:rsidR="00695884" w:rsidRPr="00695884">
        <w:rPr>
          <w:rFonts w:asciiTheme="minorHAnsi" w:eastAsia="Times New Roman" w:hAnsiTheme="minorHAnsi" w:cs="Times New Roman"/>
          <w:b/>
          <w:bCs/>
          <w:color w:val="000000" w:themeColor="text1"/>
          <w:sz w:val="24"/>
          <w:szCs w:val="24"/>
        </w:rPr>
        <w:t>, prevedendo l'adozione delle necessarie procedure autorizzative e degli strumenti funzionali all'adozione di soluzioni di mercato con un orizzonte a lungo termine, al fine di dare stabilità agli investimenti</w:t>
      </w:r>
      <w:r w:rsidR="00695884">
        <w:rPr>
          <w:rStyle w:val="Rimandonotaapidipagina"/>
          <w:rFonts w:asciiTheme="minorHAnsi" w:eastAsia="Times New Roman" w:hAnsiTheme="minorHAnsi" w:cs="Times New Roman"/>
          <w:b/>
          <w:bCs/>
          <w:color w:val="000000" w:themeColor="text1"/>
          <w:sz w:val="24"/>
          <w:szCs w:val="24"/>
        </w:rPr>
        <w:footnoteReference w:id="80"/>
      </w:r>
      <w:r w:rsidRPr="002C1B13">
        <w:rPr>
          <w:rFonts w:asciiTheme="minorHAnsi" w:eastAsia="Times New Roman" w:hAnsiTheme="minorHAnsi" w:cs="Times New Roman"/>
          <w:bCs/>
          <w:color w:val="000000" w:themeColor="text1"/>
          <w:sz w:val="24"/>
          <w:szCs w:val="24"/>
        </w:rPr>
        <w:t>;</w:t>
      </w:r>
      <w:r w:rsidR="00A52E1C" w:rsidRPr="00341A03">
        <w:rPr>
          <w:rFonts w:asciiTheme="minorHAnsi" w:hAnsiTheme="minorHAnsi"/>
          <w:b/>
          <w:bCs/>
          <w:color w:val="000000" w:themeColor="text1"/>
          <w:sz w:val="24"/>
          <w:szCs w:val="24"/>
        </w:rPr>
        <w:t>", definendo, in particolare, procedure autorizzative armonizzate e semplificate per la costruzione e l'esercizio di accumuli di energia e individuando modalità di realizzazione congruenti con la finalità di accogliere l'intera produzione da fonti rinnovabili non programmabili individuata come necessaria per il raggiungimento degli obiettivi del Piano nazionale integrato per l'energia e il clima (PNIEC).";</w:t>
      </w:r>
      <w:r w:rsidR="00A52E1C">
        <w:rPr>
          <w:rStyle w:val="Rimandonotaapidipagina"/>
          <w:rFonts w:asciiTheme="minorHAnsi" w:hAnsiTheme="minorHAnsi"/>
          <w:b/>
          <w:bCs/>
          <w:color w:val="000000" w:themeColor="text1"/>
          <w:sz w:val="24"/>
          <w:szCs w:val="24"/>
        </w:rPr>
        <w:footnoteReference w:id="81"/>
      </w:r>
    </w:p>
    <w:p w14:paraId="5CB0E2DB" w14:textId="77777777" w:rsidR="00E56DC1" w:rsidRPr="002C1B13" w:rsidRDefault="00E56DC1"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52EF6">
        <w:rPr>
          <w:rFonts w:asciiTheme="minorHAnsi" w:hAnsiTheme="minorHAnsi"/>
          <w:b/>
          <w:bCs/>
          <w:color w:val="000000" w:themeColor="text1"/>
          <w:sz w:val="24"/>
          <w:szCs w:val="24"/>
        </w:rPr>
        <w:t>c-bis) adottare le disposizioni di cui alle lettere a), b) e c) in coerenza con quelle di cui all'articolo 5, comma 1, lettere c), f) e g), allo scopo di definire una disciplina unica in materia di comunità energetiche, autoconsumo collettivo e sistemi di accumulo;</w:t>
      </w:r>
      <w:r>
        <w:rPr>
          <w:rStyle w:val="Rimandonotaapidipagina"/>
          <w:rFonts w:asciiTheme="minorHAnsi" w:hAnsiTheme="minorHAnsi"/>
          <w:b/>
          <w:bCs/>
          <w:color w:val="000000" w:themeColor="text1"/>
          <w:sz w:val="24"/>
          <w:szCs w:val="24"/>
        </w:rPr>
        <w:footnoteReference w:id="82"/>
      </w:r>
    </w:p>
    <w:p w14:paraId="08FBDD7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aggiornare il quadro normativo delle misure per implementare la protezione dei clienti vulnerabili e in condizioni di povertà energetica;</w:t>
      </w:r>
    </w:p>
    <w:p w14:paraId="416B623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prevedere misure per l'evoluzione del ruolo e delle responsabilità dei gestori delle reti di distribuzione, in coordinamento con il gestore della rete di trasmissione, in funzione delle esigenze di flessibilità del </w:t>
      </w:r>
      <w:r w:rsidRPr="002C1B13">
        <w:rPr>
          <w:rFonts w:asciiTheme="minorHAnsi" w:eastAsia="Times New Roman" w:hAnsiTheme="minorHAnsi" w:cs="Times New Roman"/>
          <w:bCs/>
          <w:color w:val="000000" w:themeColor="text1"/>
          <w:sz w:val="24"/>
          <w:szCs w:val="24"/>
        </w:rPr>
        <w:lastRenderedPageBreak/>
        <w:t>sistema e di integrazione della generazione distribuita e della gestione della domanda, secondo criteri di gradualità;</w:t>
      </w:r>
    </w:p>
    <w:p w14:paraId="4FA39ED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riordinare la disciplina di adozione del piano di sviluppo della rete di trasmissione nazionale </w:t>
      </w:r>
      <w:r w:rsidR="00622F5A">
        <w:rPr>
          <w:rFonts w:asciiTheme="minorHAnsi" w:eastAsia="Times New Roman" w:hAnsiTheme="minorHAnsi" w:cs="Times New Roman"/>
          <w:b/>
          <w:bCs/>
          <w:color w:val="000000" w:themeColor="text1"/>
          <w:sz w:val="24"/>
          <w:szCs w:val="24"/>
        </w:rPr>
        <w:t>coordinandolo con il piano di sicurezza</w:t>
      </w:r>
      <w:r w:rsidR="00622F5A">
        <w:rPr>
          <w:rStyle w:val="Rimandonotaapidipagina"/>
          <w:rFonts w:asciiTheme="minorHAnsi" w:eastAsia="Times New Roman" w:hAnsiTheme="minorHAnsi" w:cs="Times New Roman"/>
          <w:b/>
          <w:bCs/>
          <w:color w:val="000000" w:themeColor="text1"/>
          <w:sz w:val="24"/>
          <w:szCs w:val="24"/>
        </w:rPr>
        <w:footnoteReference w:id="83"/>
      </w:r>
      <w:r w:rsidR="00622F5A">
        <w:rPr>
          <w:rFonts w:asciiTheme="minorHAnsi" w:eastAsia="Times New Roman" w:hAnsiTheme="minorHAnsi" w:cs="Times New Roman"/>
          <w:b/>
          <w:bCs/>
          <w:color w:val="000000" w:themeColor="text1"/>
          <w:sz w:val="24"/>
          <w:szCs w:val="24"/>
        </w:rPr>
        <w:t xml:space="preserve"> </w:t>
      </w:r>
      <w:r w:rsidR="00622F5A" w:rsidRPr="00622F5A">
        <w:rPr>
          <w:rFonts w:asciiTheme="minorHAnsi" w:eastAsia="Times New Roman" w:hAnsiTheme="minorHAnsi" w:cs="Times New Roman"/>
          <w:b/>
          <w:bCs/>
          <w:color w:val="000000" w:themeColor="text1"/>
          <w:sz w:val="24"/>
          <w:szCs w:val="24"/>
        </w:rPr>
        <w:t>, da adottare con cadenza biennale,</w:t>
      </w:r>
      <w:r w:rsidR="00622F5A">
        <w:rPr>
          <w:rStyle w:val="Rimandonotaapidipagina"/>
          <w:rFonts w:asciiTheme="minorHAnsi" w:eastAsia="Times New Roman" w:hAnsiTheme="minorHAnsi" w:cs="Times New Roman"/>
          <w:b/>
          <w:bCs/>
          <w:color w:val="000000" w:themeColor="text1"/>
          <w:sz w:val="24"/>
          <w:szCs w:val="24"/>
        </w:rPr>
        <w:footnoteReference w:id="84"/>
      </w:r>
      <w:r w:rsidR="00622F5A" w:rsidRPr="00622F5A">
        <w:rPr>
          <w:rFonts w:asciiTheme="minorHAnsi" w:eastAsia="Times New Roman" w:hAnsiTheme="minorHAnsi" w:cs="Times New Roman"/>
          <w:b/>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e le procedure finalizzate all'accelerazione dei tempi di conclusione dei procedimenti autorizzativi, inclusi quelli ambientali;</w:t>
      </w:r>
    </w:p>
    <w:p w14:paraId="531257A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aggiornare la disciplina degli obblighi di servizio pubblico degli impianti di produzione di energia elettrica e dei processi di messa fuori servizio e dismissione al fine di garantire le esigenze di sicurezza del sistema elettrico;</w:t>
      </w:r>
    </w:p>
    <w:p w14:paraId="01BA8E6C"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h) prevedere, in caso di mancato rispetto da parte delle imprese elettriche degli obblighi previsti dalla direttiva (UE) 2019/944, dal regolamento (UE) 2019/943 del Parlamento europeo e del Consiglio, del 5 giugno 2019, o dalle pertinenti decisioni giuridicamente vincolanti dell'Agenzia dell'Unione europea per la cooperazione fra i regolatori nazionali per l'energia (ACER) o dell'autorità nazionale di regolazione, l'irrogazione da parte dell'Autorità di regolazione per energia, reti e ambiente (ARERA) di sanzioni amministrative pecuniarie effettive, proporzionate e dissuasive, incluso il potere di imporre sanzioni fino al 10 per cento del fatturato annuo del gestore del sistema di trasmissione o fino al 10 per cento del fatturato annuo dell'</w:t>
      </w:r>
      <w:r w:rsidR="00622F5A">
        <w:rPr>
          <w:rFonts w:asciiTheme="minorHAnsi" w:eastAsia="Times New Roman" w:hAnsiTheme="minorHAnsi" w:cs="Times New Roman"/>
          <w:bCs/>
          <w:color w:val="000000" w:themeColor="text1"/>
          <w:sz w:val="24"/>
          <w:szCs w:val="24"/>
        </w:rPr>
        <w:t>impresa verticalmente integrata;</w:t>
      </w:r>
    </w:p>
    <w:p w14:paraId="6CF68166" w14:textId="77777777" w:rsid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h-bis) i</w:t>
      </w:r>
      <w:r w:rsidRPr="00622F5A">
        <w:rPr>
          <w:rFonts w:asciiTheme="minorHAnsi" w:eastAsia="Times New Roman" w:hAnsiTheme="minorHAnsi" w:cs="Times New Roman"/>
          <w:b/>
          <w:bCs/>
          <w:color w:val="000000" w:themeColor="text1"/>
          <w:sz w:val="24"/>
          <w:szCs w:val="24"/>
        </w:rPr>
        <w:t>ndirizzare i principi tariffari verso una tariffazione dinamica dell'energia elettrica riducendo la parte di componenti fisse delle fatture per l'energia elettrica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5"/>
      </w:r>
    </w:p>
    <w:p w14:paraId="47CF20CA" w14:textId="77777777" w:rsidR="00622F5A" w:rsidRP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2F5A">
        <w:rPr>
          <w:rFonts w:asciiTheme="minorHAnsi" w:eastAsia="Times New Roman" w:hAnsiTheme="minorHAnsi" w:cs="Times New Roman"/>
          <w:b/>
          <w:bCs/>
          <w:color w:val="000000" w:themeColor="text1"/>
          <w:sz w:val="24"/>
          <w:szCs w:val="24"/>
        </w:rPr>
        <w:t xml:space="preserve">h-bis) introdurre misure per il potenziamento dell'infrastruttura di rete e la promozione di smart </w:t>
      </w:r>
      <w:proofErr w:type="spellStart"/>
      <w:r w:rsidRPr="00622F5A">
        <w:rPr>
          <w:rFonts w:asciiTheme="minorHAnsi" w:eastAsia="Times New Roman" w:hAnsiTheme="minorHAnsi" w:cs="Times New Roman"/>
          <w:b/>
          <w:bCs/>
          <w:color w:val="000000" w:themeColor="text1"/>
          <w:sz w:val="24"/>
          <w:szCs w:val="24"/>
        </w:rPr>
        <w:t>grids</w:t>
      </w:r>
      <w:proofErr w:type="spellEnd"/>
      <w:r w:rsidRPr="00622F5A">
        <w:rPr>
          <w:rFonts w:asciiTheme="minorHAnsi" w:eastAsia="Times New Roman" w:hAnsiTheme="minorHAnsi" w:cs="Times New Roman"/>
          <w:b/>
          <w:bCs/>
          <w:color w:val="000000" w:themeColor="text1"/>
          <w:sz w:val="24"/>
          <w:szCs w:val="24"/>
        </w:rPr>
        <w:t xml:space="preserve"> propedeutiche all'ottenimento dei risultati previsti nella strategia del </w:t>
      </w:r>
      <w:proofErr w:type="spellStart"/>
      <w:r w:rsidRPr="00622F5A">
        <w:rPr>
          <w:rFonts w:asciiTheme="minorHAnsi" w:eastAsia="Times New Roman" w:hAnsiTheme="minorHAnsi" w:cs="Times New Roman"/>
          <w:b/>
          <w:bCs/>
          <w:color w:val="000000" w:themeColor="text1"/>
          <w:sz w:val="24"/>
          <w:szCs w:val="24"/>
        </w:rPr>
        <w:t>Clean</w:t>
      </w:r>
      <w:proofErr w:type="spellEnd"/>
      <w:r w:rsidRPr="00622F5A">
        <w:rPr>
          <w:rFonts w:asciiTheme="minorHAnsi" w:eastAsia="Times New Roman" w:hAnsiTheme="minorHAnsi" w:cs="Times New Roman"/>
          <w:b/>
          <w:bCs/>
          <w:color w:val="000000" w:themeColor="text1"/>
          <w:sz w:val="24"/>
          <w:szCs w:val="24"/>
        </w:rPr>
        <w:t xml:space="preserve"> Energy Package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6"/>
      </w:r>
    </w:p>
    <w:p w14:paraId="7029C42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5776D9"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13.</w:t>
      </w:r>
    </w:p>
    <w:p w14:paraId="6F771269"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l'attuazione della direttiva (UE) 2019/1160, che modifica le direttive 2009/65/CE e 2011/61/UE per quanto riguarda la distribuzione transfrontaliera degli organismi di investimento collettivo e per l'adeguamento della normativa nazionale alle disposizioni del regolamento (UE) 2019/1156, per facilitare la distribuzione transfrontaliera degli organismi di investimento collettivo e che modifica i regolamenti (UE) n. 345/2013, (UE) n. 346/2013 e (UE) n. 1286/2014)</w:t>
      </w:r>
    </w:p>
    <w:p w14:paraId="460A2D1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70E1B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2019/1160 del Parlamento europeo e del Consiglio, del 20 giugno 2019, e per l'adeguamento della normativa nazionale alle disposizioni del regolamento (UE) 2019/1156 del Parlamento europeo e del Consiglio, del 20 giugno 2019, il Governo </w:t>
      </w:r>
      <w:r w:rsidRPr="002C1B13">
        <w:rPr>
          <w:rFonts w:asciiTheme="minorHAnsi" w:eastAsia="Times New Roman" w:hAnsiTheme="minorHAnsi" w:cs="Times New Roman"/>
          <w:bCs/>
          <w:color w:val="000000" w:themeColor="text1"/>
          <w:sz w:val="24"/>
          <w:szCs w:val="24"/>
        </w:rPr>
        <w:lastRenderedPageBreak/>
        <w:t>osserva, oltre ai princìpi e criteri direttivi generali di cui all'articolo 32 della legge n. 234 del 2012, anche i seguenti princìpi e criteri direttivi specifici:</w:t>
      </w:r>
    </w:p>
    <w:p w14:paraId="7890D85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apportare al testo unico delle disposizioni in materia di intermediazione finanziaria, di cui al decreto legislativo 24 febbraio 1998, n. 58, le modifiche e le integrazioni necessarie al corretto e integrale recepimento della direttiva (UE) 2019/1160, attribuendo i poteri e le competenze di vigilanza previsti dalla citata direttiva alla Commissione nazionale per le società e la borsa (CONSOB) e alla Banca d'Italia, secondo le rispettive attribuzioni e finalità indicate negli articoli 5 e 6 del medesimo testo unico e prevedendo il ricorso alla disciplina secondaria;</w:t>
      </w:r>
    </w:p>
    <w:p w14:paraId="67C862C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apportare al testo unico delle disposizioni in materia di intermediazione finanziaria, di cui al decreto legislativo n. 58 del 1998, le modifiche e le integrazioni necessarie per adeguarlo al regolamento (UE) 2019/1156, e alle relative norme tecniche di attuazione, attribuendo i poteri e le competenze di vigilanza previsti dal citato regolamento alla CONSOB e alla Banca d'Italia, secondo le rispettive attribuzioni e finalità indicate negli articoli 5 e 6 del medesimo testo unico e prevedendo il ricorso alla disciplina secondaria;</w:t>
      </w:r>
    </w:p>
    <w:p w14:paraId="0D82A97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prevedere le modifiche alle norme del citato testo unico di cui al decreto legislativo n. 58 del 1998, concernenti la disciplina sull'operatività transfrontaliera delle società di gestione del risparmio, delle società di gestione UE e dei Gestori di fondi di investimento alternativi (GEFIA) UE nel caso di stabilimento di succursali, prevedendo il ricorso alla disciplina secondaria adottata, secondo le rispettive attribuzioni, dalle autorità nazionali indicate nella lettera a), nell'ambito di quanto già specificamente previsto dagli articoli 41, 41-bis e 41-ter del citato testo unico di cui al decreto legislativo n. 58 del 1998;</w:t>
      </w:r>
    </w:p>
    <w:p w14:paraId="68ACEC8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prevedere le modifiche alle norme del citato testo unico di cui al decreto legislativo n. 58 del 1998 al fine di recepire la disciplina in tema di strutture per gli investitori nel contesto della commercializzazione in Italia di Organismi di investimento collettivo in valori mobiliari (OICVM) UE e Fondi di investimento alternativi (FIA) UE prevista dagli articoli 1, numero 4), e 2, numero 6), della direttiva (UE) 2019/1160, prevedendo il ricorso alla disciplina secondaria adottata, secondo le rispettive attribuzioni, dalle autorità nazionali indicate nella lettera a), nell'ambito di quanto già specificamente previsto dagli articoli 42 e 44 del decreto legislativo n. 58 del 1998;</w:t>
      </w:r>
    </w:p>
    <w:p w14:paraId="4CFB329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prevedere le modifiche alle norme del citato testo unico di cui al decreto legislativo n. 58 del 1998 al fine di recepire la disciplina di cui agli articoli 1, numero 5), e 2, numero 3), della direttiva (UE) 2019/1160 prevista per il contenuto della lettera di notifica di cui all'articolo 93 della direttiva 2009/65/CE del Parlamento europeo e del Consiglio, del 13 luglio 2009, e nel caso di modifiche delle informazioni contenute nella lettera di notifica di cui all'articolo 93 della direttiva 2009/65/CE e di cui all'articolo 32 della direttiva 2011/61/UE del Parlamento europeo e del Consiglio, dell'8 giugno 2011, prevedendo il ricorso alla disciplina secondaria adottata, secondo le rispettive attribuzioni, dalle autorità nazionali indicate nella lettera a), nell'ambito di quanto già specificamente previsto dagli articoli 42, 43 e 44 del decreto legislativo n. 58 del 1998;</w:t>
      </w:r>
    </w:p>
    <w:p w14:paraId="5BD0972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prevedere le modifiche alle norme del citato testo unico di cui al decreto legislativo n. 58 del 1998 al fine di recepire la disciplina prevista dagli articoli 1, numero 6), e 2, numero 4), della direttiva (UE) </w:t>
      </w:r>
      <w:r w:rsidRPr="002C1B13">
        <w:rPr>
          <w:rFonts w:asciiTheme="minorHAnsi" w:eastAsia="Times New Roman" w:hAnsiTheme="minorHAnsi" w:cs="Times New Roman"/>
          <w:bCs/>
          <w:color w:val="000000" w:themeColor="text1"/>
          <w:sz w:val="24"/>
          <w:szCs w:val="24"/>
        </w:rPr>
        <w:lastRenderedPageBreak/>
        <w:t>2019/1160 in tema di ritiro della notifica nel caso in cui un gestore intenda interrompere la commercializzazione di un OICVM o di un FIA in uno o più Stati membri, attribuendo alla CONSOB i relativi poteri e competenze e prevedendo il ricorso alla disciplina secondaria adottata, secondo le rispettive attribuzioni, dalle autorità nazionali indicate nella lettera a);</w:t>
      </w:r>
    </w:p>
    <w:p w14:paraId="6C42C9B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g) prevedere le modifiche alle norme del citato testo unico di cui al decreto legislativo n. 58 del 1998 al fine di recepire la disciplina prevista dall'articolo 2, numeri 1) e 2), della direttiva (UE) 2019/1160 in tema di </w:t>
      </w:r>
      <w:proofErr w:type="spellStart"/>
      <w:r w:rsidRPr="002C1B13">
        <w:rPr>
          <w:rFonts w:asciiTheme="minorHAnsi" w:eastAsia="Times New Roman" w:hAnsiTheme="minorHAnsi" w:cs="Times New Roman"/>
          <w:bCs/>
          <w:color w:val="000000" w:themeColor="text1"/>
          <w:sz w:val="24"/>
          <w:szCs w:val="24"/>
        </w:rPr>
        <w:t>pre</w:t>
      </w:r>
      <w:proofErr w:type="spellEnd"/>
      <w:r w:rsidRPr="002C1B13">
        <w:rPr>
          <w:rFonts w:asciiTheme="minorHAnsi" w:eastAsia="Times New Roman" w:hAnsiTheme="minorHAnsi" w:cs="Times New Roman"/>
          <w:bCs/>
          <w:color w:val="000000" w:themeColor="text1"/>
          <w:sz w:val="24"/>
          <w:szCs w:val="24"/>
        </w:rPr>
        <w:t>-commercializzazione di FIA, attribuendo alla CONSOB i relativi poteri e competenze e prevedendo il ricorso alla disciplina secondaria adottata, secondo le rispettive attribuzioni, dalle autorità nazionali indicate nella lettera a);</w:t>
      </w:r>
    </w:p>
    <w:p w14:paraId="5942686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h) designare la CONSOB e la Banca d'Italia, in base alle rispettive competenze previste dal citato testo unico di cui al decreto legislativo n. 58 del 1998, quali autorità competenti alla pubblicazione delle disposizioni nazionali relative ai requisiti per la commercializzazione prevista dall'articolo 5 del regolamento (UE) 2019/1156;</w:t>
      </w:r>
    </w:p>
    <w:p w14:paraId="63ACCE6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i) designare la CONSOB quale autorità competente alla pubblicazione delle disposizioni nazionali relative a spese ed oneri prevista dall'articolo 10 del regolamento (UE) 2019/1156;</w:t>
      </w:r>
    </w:p>
    <w:p w14:paraId="77761C3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l) designare la CONSOB quale autorità competente alla trasmissione all'Autorità europea degli strumenti finanziari e dei mercati delle informazioni previste dagli articoli 5, 8, 10 e 13 del regolamento (UE) 2019/1156;</w:t>
      </w:r>
    </w:p>
    <w:p w14:paraId="0925D7BB"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m) attribuire alla CONSOB le competenze e i poteri in tema di </w:t>
      </w:r>
      <w:proofErr w:type="spellStart"/>
      <w:r w:rsidRPr="002C1B13">
        <w:rPr>
          <w:rFonts w:asciiTheme="minorHAnsi" w:eastAsia="Times New Roman" w:hAnsiTheme="minorHAnsi" w:cs="Times New Roman"/>
          <w:bCs/>
          <w:color w:val="000000" w:themeColor="text1"/>
          <w:sz w:val="24"/>
          <w:szCs w:val="24"/>
        </w:rPr>
        <w:t>pre</w:t>
      </w:r>
      <w:proofErr w:type="spellEnd"/>
      <w:r w:rsidRPr="002C1B13">
        <w:rPr>
          <w:rFonts w:asciiTheme="minorHAnsi" w:eastAsia="Times New Roman" w:hAnsiTheme="minorHAnsi" w:cs="Times New Roman"/>
          <w:bCs/>
          <w:color w:val="000000" w:themeColor="text1"/>
          <w:sz w:val="24"/>
          <w:szCs w:val="24"/>
        </w:rPr>
        <w:t>-commercializzazione di fondi europei per il venture capital e fondi europei per l'imprenditoria sociale ai sensi degli articoli 15 e 16 del regolamento (UE) 2019/1156;</w:t>
      </w:r>
    </w:p>
    <w:p w14:paraId="0BD1E1C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n) attribuire alla CONSOB i poteri di vigilanza e di indagine già previsti dal citato testo unico di cui al decreto legislativo n. 58 del 1998 per l'esercizio delle funzioni previste dal regolamento (UE) 2019/1156;</w:t>
      </w:r>
    </w:p>
    <w:p w14:paraId="0DCE3AC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o) attribuire alla CONSOB il potere di imporre le sanzioni e le altre misure amministrative in caso di violazione delle disposizioni del regolamento (UE) 2019/1156, già previste dal citato testo unico di cui al decreto legislativo n. 58 del 1998 nei limiti e secondo i criteri ivi indicati;</w:t>
      </w:r>
    </w:p>
    <w:p w14:paraId="3BB278DB"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p) prevedere, in conformità alle definizioni e alla disciplina della direttiva (UE) 2019/1160 e del regolamento (UE) 2019/1156, nonché ai criteri direttivi previsti nella presente legge, le occorrenti modificazioni alla normativa vigente, anche di derivazione europea, per i settori interessati dalla normativa da attuare, al fine di realizzare il migliore coordinamento con le altre disposizioni vigenti, assicurando un appropriato grado di protezione dell'investitore e di tutela della stabilità finanziaria;</w:t>
      </w:r>
    </w:p>
    <w:p w14:paraId="48D32DB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q) prevedere che la CONSOB e la Banca d'Italia adottino la disciplina secondaria di cui al presente articolo entro centoventi giorni dalla data di entrata in vigore del decreto legislativo di attuazione della direttiva (UE) 2019/1160 e di adeguamento della normativa nazionale alle disposizioni del regolamento (UE) 2019/1156.</w:t>
      </w:r>
    </w:p>
    <w:p w14:paraId="688EB71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133B8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2. Dall'esercizio della delega di cui al presente articolo non devono derivare nuovi o maggiori oneri a carico della finanza pubblica. I soggetti pubblici interessati provvedono all'adempimento dei compiti derivanti dall'esercizio di tale delega con le risorse umane, strumentali e finanziarie disponibili a legislazione vigente.</w:t>
      </w:r>
    </w:p>
    <w:p w14:paraId="6AE0B1F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193D55"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14.</w:t>
      </w:r>
    </w:p>
    <w:p w14:paraId="6852BA9F"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 xml:space="preserve">(Princìpi e criteri direttivi per l'adeguamento della normativa nazionale alle disposizioni del regolamento (UE) 2016/429, relativo alle malattie animali trasmissibili e che modifica e abroga taluni atti in materia di sanità animale </w:t>
      </w:r>
      <w:proofErr w:type="gramStart"/>
      <w:r w:rsidRPr="002C1B13">
        <w:rPr>
          <w:rFonts w:asciiTheme="minorHAnsi" w:eastAsia="Times New Roman" w:hAnsiTheme="minorHAnsi" w:cs="Times New Roman"/>
          <w:bCs/>
          <w:i/>
          <w:color w:val="000000" w:themeColor="text1"/>
          <w:sz w:val="24"/>
          <w:szCs w:val="24"/>
        </w:rPr>
        <w:t>(« normativa</w:t>
      </w:r>
      <w:proofErr w:type="gramEnd"/>
      <w:r w:rsidRPr="002C1B13">
        <w:rPr>
          <w:rFonts w:asciiTheme="minorHAnsi" w:eastAsia="Times New Roman" w:hAnsiTheme="minorHAnsi" w:cs="Times New Roman"/>
          <w:bCs/>
          <w:i/>
          <w:color w:val="000000" w:themeColor="text1"/>
          <w:sz w:val="24"/>
          <w:szCs w:val="24"/>
        </w:rPr>
        <w:t xml:space="preserve"> in materia di sanità animale »)</w:t>
      </w:r>
    </w:p>
    <w:p w14:paraId="48CE504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EBCBC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regolamento (UE) 2016/429 del Parlamento europeo e del Consiglio, del 9 marzo 2016.</w:t>
      </w:r>
    </w:p>
    <w:p w14:paraId="49F56C6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4CA6D3"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02A8CCB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adeguare e coordinare le disposizioni nazionali vigenti in materia di sanità e benessere animale alle disposizioni del regolamento (UE) 2016/429 e relativi regolamenti delegati e di esecuzione, incluse quelle riguardanti le malattie animali non elencate nell'articolo 5 del medesimo regolamento, con abrogazione espressa delle norme nazionali incompatibili;</w:t>
      </w:r>
    </w:p>
    <w:p w14:paraId="20C236B7"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individuare, ai sensi dell'articolo 4, punto 55), del regolamento (UE) 2016/429, il Ministero della salute quale autorità competente veterinaria centrale responsabile del coordinamento delle autorità competenti regionali e locali in materia di programmazione ed esecuzione dei controlli ufficiali e delle altre attività ufficiali previste dal medesimo regolamento;</w:t>
      </w:r>
    </w:p>
    <w:p w14:paraId="55B9C0BB" w14:textId="77777777" w:rsidR="0050083B" w:rsidRPr="00683687" w:rsidRDefault="0050083B" w:rsidP="0050083B">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b-bis) prevedere un esplicito divieto della commercializzazione di tutti i pesci appartenenti alla famiglia dei ciprinidi pescati nelle acque interne, ad esclusione delle acque salse e salmastre e dei laghi;</w:t>
      </w:r>
    </w:p>
    <w:p w14:paraId="5223A3E5" w14:textId="77777777" w:rsidR="0050083B" w:rsidRPr="00683687" w:rsidRDefault="0050083B" w:rsidP="0050083B">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b-ter) prevedere l'obbligatorietà della </w:t>
      </w:r>
      <w:proofErr w:type="spellStart"/>
      <w:r w:rsidRPr="00683687">
        <w:rPr>
          <w:rFonts w:asciiTheme="minorHAnsi" w:hAnsiTheme="minorHAnsi"/>
          <w:b/>
          <w:bCs/>
          <w:color w:val="000000" w:themeColor="text1"/>
          <w:sz w:val="24"/>
          <w:szCs w:val="24"/>
        </w:rPr>
        <w:t>reimmissione</w:t>
      </w:r>
      <w:proofErr w:type="spellEnd"/>
      <w:r w:rsidRPr="00683687">
        <w:rPr>
          <w:rFonts w:asciiTheme="minorHAnsi" w:hAnsiTheme="minorHAnsi"/>
          <w:b/>
          <w:bCs/>
          <w:color w:val="000000" w:themeColor="text1"/>
          <w:sz w:val="24"/>
          <w:szCs w:val="24"/>
        </w:rPr>
        <w:t xml:space="preserve"> del pesce appartenente alla famiglia dei ciprinidi, se catturato al termine dell'attività piscatoria in acque interne, ad esclusione delle acque salse e salmastre e dei laghi</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87"/>
      </w:r>
    </w:p>
    <w:p w14:paraId="3C53597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c) individuare, previo accordo in sede di Conferenza permanente per i rapporti tra lo Stato, le regioni e le province autonome di Trento e di Bolzano, le modalità, uniformi sul territorio nazionale, per porre in essere le misure di emergenza in attuazione degli articoli 257 e 258 del regolamento (UE) 2016/249 attraverso:</w:t>
      </w:r>
    </w:p>
    <w:p w14:paraId="649CED5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la ridefinizione della composizione e delle funzioni del Centro nazionale di lotta ed emergenza contro le malattie animali;</w:t>
      </w:r>
    </w:p>
    <w:p w14:paraId="7349459E"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la definizione di una rete tra i responsabili dei servizi veterinari individuati dalle regioni e dalle province autonome, coordinata dal Capo dei servizi veterinari nazionali, diretta a organizzare e razionalizzare le misure di emergenza in materia di sanità animale;</w:t>
      </w:r>
    </w:p>
    <w:p w14:paraId="5D00AEA4" w14:textId="77777777" w:rsidR="00622F5A" w:rsidRP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2F5A">
        <w:rPr>
          <w:rFonts w:asciiTheme="minorHAnsi" w:eastAsia="Times New Roman" w:hAnsiTheme="minorHAnsi" w:cs="Times New Roman"/>
          <w:b/>
          <w:bCs/>
          <w:color w:val="000000" w:themeColor="text1"/>
          <w:sz w:val="24"/>
          <w:szCs w:val="24"/>
        </w:rPr>
        <w:t>2-bis) la predisposizione di un piano di emergenza nazionale di eradicazione in caso di focolaio di una malattia elencata nel regolamento (UE) 2016/429 o di una malattia emergente o di insorgenza di un pericolo che può probabilmente comportare un grave rischio per la sanità pubblica o animale;</w:t>
      </w:r>
      <w:r>
        <w:rPr>
          <w:rStyle w:val="Rimandonotaapidipagina"/>
          <w:rFonts w:asciiTheme="minorHAnsi" w:eastAsia="Times New Roman" w:hAnsiTheme="minorHAnsi" w:cs="Times New Roman"/>
          <w:b/>
          <w:bCs/>
          <w:color w:val="000000" w:themeColor="text1"/>
          <w:sz w:val="24"/>
          <w:szCs w:val="24"/>
        </w:rPr>
        <w:footnoteReference w:id="88"/>
      </w:r>
    </w:p>
    <w:p w14:paraId="7E38A74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individuare criteri, regole e condizioni, nonché livello di responsabilità, per delegare, in conformità all'articolo 14 del regolamento (UE) 2016/429, specifiche attività ufficiali ai veterinari non ufficiali;</w:t>
      </w:r>
    </w:p>
    <w:p w14:paraId="5E778AD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adeguare e coordinare le disposizioni nazionali vigenti in materia di registrazione e riconoscimento degli stabilimenti e degli operatori e in materia di identificazione e tracciabilità degli animali terrestri detenuti alle disposizioni del regolamento (UE) 2016/429 e relativi regolamenti delegati e di esecuzione, con abrogazione espressa delle norme nazionali incompatibili;</w:t>
      </w:r>
    </w:p>
    <w:p w14:paraId="2B155D5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f) individuare le modalità per adempiere agli obblighi informativi verso l'Unione europea e le organizzazioni internazionali di settore attraverso il riordino e la connessione tra la Banca dati nazionale delle anagrafi zootecniche, i sistemi informativi del Ministero della salute e i sistemi informativi delle regioni e province autonome;</w:t>
      </w:r>
    </w:p>
    <w:p w14:paraId="6DAB0EF9"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individuare, in attuazione dell'articolo 26, paragrafo 3, del regolamento (UE) 2016/429, strumenti e modalità operative per consentire alle autorità competenti, nell'ambito delle attività di sorveglianza delle malattie animali, di acquisire i dati e le informazioni risultanti dall'attività di sorveglianza svolta dagli operatori e dagli esiti delle visite di sanità animale effettuate dai veterinari aziendali, di cui al decreto del Ministro della salute 7 dicembre 2017, pubblicato nella Gazzetta Ufficiale n. 29 del 5 febbraio 2018, ai sensi degli articoli 24 e 25 del menzionato regolamento;</w:t>
      </w:r>
    </w:p>
    <w:p w14:paraId="566A5905" w14:textId="77777777" w:rsid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2F5A">
        <w:rPr>
          <w:rFonts w:asciiTheme="minorHAnsi" w:eastAsia="Times New Roman" w:hAnsiTheme="minorHAnsi" w:cs="Times New Roman"/>
          <w:b/>
          <w:bCs/>
          <w:color w:val="000000" w:themeColor="text1"/>
          <w:sz w:val="24"/>
          <w:szCs w:val="24"/>
        </w:rPr>
        <w:t xml:space="preserve">g-bis) individuare, in attuazione del capo 2 del Regolamento (UE) 2016/429, nell'applicativo REV lo strumento per consentire alle autorità competenti, senza nuovi o maggiori oneri a carico della finanza pubblica, nell'ambito delle attività di sorveglianza delle malattie animali e dei residui dei medicinali veterinari nei prodotti e sottoprodotti di origine animale, di acquisire dati e informazioni risultanti dalla somministrazione di ogni tipo di medicinale veterinario all'animale, compresi i medicinali veterinari ad </w:t>
      </w:r>
      <w:r w:rsidRPr="00622F5A">
        <w:rPr>
          <w:rFonts w:asciiTheme="minorHAnsi" w:eastAsia="Times New Roman" w:hAnsiTheme="minorHAnsi" w:cs="Times New Roman"/>
          <w:b/>
          <w:bCs/>
          <w:color w:val="000000" w:themeColor="text1"/>
          <w:sz w:val="24"/>
          <w:szCs w:val="24"/>
        </w:rPr>
        <w:lastRenderedPageBreak/>
        <w:t xml:space="preserve">azione stupefacente e psicotropa soggetti al </w:t>
      </w:r>
      <w:proofErr w:type="spellStart"/>
      <w:r w:rsidRPr="00622F5A">
        <w:rPr>
          <w:rFonts w:asciiTheme="minorHAnsi" w:eastAsia="Times New Roman" w:hAnsiTheme="minorHAnsi" w:cs="Times New Roman"/>
          <w:b/>
          <w:bCs/>
          <w:color w:val="000000" w:themeColor="text1"/>
          <w:sz w:val="24"/>
          <w:szCs w:val="24"/>
        </w:rPr>
        <w:t>dPR</w:t>
      </w:r>
      <w:proofErr w:type="spellEnd"/>
      <w:r w:rsidRPr="00622F5A">
        <w:rPr>
          <w:rFonts w:asciiTheme="minorHAnsi" w:eastAsia="Times New Roman" w:hAnsiTheme="minorHAnsi" w:cs="Times New Roman"/>
          <w:b/>
          <w:bCs/>
          <w:color w:val="000000" w:themeColor="text1"/>
          <w:sz w:val="24"/>
          <w:szCs w:val="24"/>
        </w:rPr>
        <w:t xml:space="preserve"> 309/90, appartenenti alla Tabella dei medicinali, sez. B, C, D ed E;</w:t>
      </w:r>
      <w:r>
        <w:rPr>
          <w:rStyle w:val="Rimandonotaapidipagina"/>
          <w:rFonts w:asciiTheme="minorHAnsi" w:eastAsia="Times New Roman" w:hAnsiTheme="minorHAnsi" w:cs="Times New Roman"/>
          <w:b/>
          <w:bCs/>
          <w:color w:val="000000" w:themeColor="text1"/>
          <w:sz w:val="24"/>
          <w:szCs w:val="24"/>
        </w:rPr>
        <w:footnoteReference w:id="89"/>
      </w:r>
    </w:p>
    <w:p w14:paraId="48E60AAE" w14:textId="77777777" w:rsid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2F5A">
        <w:rPr>
          <w:rFonts w:asciiTheme="minorHAnsi" w:eastAsia="Times New Roman" w:hAnsiTheme="minorHAnsi" w:cs="Times New Roman"/>
          <w:b/>
          <w:bCs/>
          <w:color w:val="000000" w:themeColor="text1"/>
          <w:sz w:val="24"/>
          <w:szCs w:val="24"/>
        </w:rPr>
        <w:t xml:space="preserve">g-bis) prevedere, nel rispetto della normativa dell'Unione europea sugli aiuti de </w:t>
      </w:r>
      <w:proofErr w:type="spellStart"/>
      <w:r w:rsidRPr="00622F5A">
        <w:rPr>
          <w:rFonts w:asciiTheme="minorHAnsi" w:eastAsia="Times New Roman" w:hAnsiTheme="minorHAnsi" w:cs="Times New Roman"/>
          <w:b/>
          <w:bCs/>
          <w:color w:val="000000" w:themeColor="text1"/>
          <w:sz w:val="24"/>
          <w:szCs w:val="24"/>
        </w:rPr>
        <w:t>minimis</w:t>
      </w:r>
      <w:proofErr w:type="spellEnd"/>
      <w:r w:rsidRPr="00622F5A">
        <w:rPr>
          <w:rFonts w:asciiTheme="minorHAnsi" w:eastAsia="Times New Roman" w:hAnsiTheme="minorHAnsi" w:cs="Times New Roman"/>
          <w:b/>
          <w:bCs/>
          <w:color w:val="000000" w:themeColor="text1"/>
          <w:sz w:val="24"/>
          <w:szCs w:val="24"/>
        </w:rPr>
        <w:t>, misure di incentivazione finanziaria per gli operatori e i professionisti degli animali che sviluppano buone prassi di allevamento non intensivo delle specie animali di cui si occupano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0"/>
      </w:r>
    </w:p>
    <w:p w14:paraId="3C348456" w14:textId="77777777" w:rsid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2F5A">
        <w:rPr>
          <w:rFonts w:asciiTheme="minorHAnsi" w:eastAsia="Times New Roman" w:hAnsiTheme="minorHAnsi" w:cs="Times New Roman"/>
          <w:b/>
          <w:bCs/>
          <w:color w:val="000000" w:themeColor="text1"/>
          <w:sz w:val="24"/>
          <w:szCs w:val="24"/>
        </w:rPr>
        <w:t>g-bis) conformare la norma al principio della chiarezza e della semplificazione e semplicità applicativa, per non appesantire sul piano documentale e formale l'attività dei soggetti chiamati alla sua applicazione;</w:t>
      </w:r>
    </w:p>
    <w:p w14:paraId="45C5A9E3" w14:textId="77777777" w:rsidR="008F0156" w:rsidRPr="00622F5A" w:rsidRDefault="008F0156"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F0156">
        <w:rPr>
          <w:rFonts w:asciiTheme="minorHAnsi" w:eastAsia="Times New Roman" w:hAnsiTheme="minorHAnsi" w:cs="Times New Roman"/>
          <w:b/>
          <w:bCs/>
          <w:color w:val="000000" w:themeColor="text1"/>
          <w:sz w:val="24"/>
          <w:szCs w:val="24"/>
        </w:rPr>
        <w:t>g-bis) prevedere per gli operatori e i professionisti degli animali la formazione periodica finalizzata all'acquisizione di conoscenze adeguate in materia di malattie degli animali, comprese quelle trasmissibili all'uomo, principi di biosicurezza, interazione tra sanità animale, benessere degli animali e salute umana, buone prassi di allevamento delle specie animali di cui si occupano, resistenza ai trattamenti, compresa la resistenza antimicrobica, ed estendendo la formazione periodica anche agli operatori che vendono o trasferiscono in altro modo la titolarità di futuri animali da compagnia. A tal fine, in base all'articolo 13, paragrafo 2, del regolamento (UE) 2016/429 predisporre specifici programmi di formazione nei settori agricolo o dell'acquacoltura o tramite l'istruzione formale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1"/>
      </w:r>
    </w:p>
    <w:p w14:paraId="4B1350B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h) introdurre sanzioni amministrative efficaci dissuasive e proporzionate per la violazione delle disposizioni del regolamento (UE) 2016/429.</w:t>
      </w:r>
      <w:r w:rsidR="00622F5A">
        <w:rPr>
          <w:rStyle w:val="Rimandonotaapidipagina"/>
          <w:rFonts w:asciiTheme="minorHAnsi" w:eastAsia="Times New Roman" w:hAnsiTheme="minorHAnsi" w:cs="Times New Roman"/>
          <w:bCs/>
          <w:color w:val="000000" w:themeColor="text1"/>
          <w:sz w:val="24"/>
          <w:szCs w:val="24"/>
        </w:rPr>
        <w:footnoteReference w:id="92"/>
      </w:r>
    </w:p>
    <w:p w14:paraId="3F0C61DC"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913058B"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15.</w:t>
      </w:r>
    </w:p>
    <w:p w14:paraId="49C8906B"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 xml:space="preserve">(Princìpi e criteri direttivi per l'adeguamento della normativa nazionale alle disposizioni del regolamento (UE) 2017/745, relativo ai dispositivi medici, che modifica la direttiva 2001/83/CE, il regolamento (CE) n. 178/2002 e il regolamento (CE) n. 1223/2009 e che abroga le direttive 90/385/CEE e 93/42/CEE del Consiglio, </w:t>
      </w:r>
      <w:r w:rsidR="00EC58EB" w:rsidRPr="00EC58EB">
        <w:rPr>
          <w:rFonts w:asciiTheme="minorHAnsi" w:eastAsia="Times New Roman" w:hAnsiTheme="minorHAnsi" w:cs="Times New Roman"/>
          <w:b/>
          <w:bCs/>
          <w:i/>
          <w:color w:val="000000" w:themeColor="text1"/>
          <w:sz w:val="24"/>
          <w:szCs w:val="24"/>
        </w:rPr>
        <w:t>del regolamento (UE) 2020/561 del Parlamento europeo e del Consiglio, del 23 aprile 2020, che modifica il regolamento (UE) 2017/745 relativo ai dispositivi medici, per quanto riguarda le date di applicazione di alcune delle sue disposizioni,</w:t>
      </w:r>
      <w:r w:rsidR="00EC58EB">
        <w:rPr>
          <w:rStyle w:val="Rimandonotaapidipagina"/>
          <w:rFonts w:asciiTheme="minorHAnsi" w:eastAsia="Times New Roman" w:hAnsiTheme="minorHAnsi" w:cs="Times New Roman"/>
          <w:b/>
          <w:bCs/>
          <w:i/>
          <w:color w:val="000000" w:themeColor="text1"/>
          <w:sz w:val="24"/>
          <w:szCs w:val="24"/>
        </w:rPr>
        <w:footnoteReference w:id="93"/>
      </w:r>
      <w:r w:rsidR="00EC58EB">
        <w:rPr>
          <w:rFonts w:asciiTheme="minorHAnsi" w:eastAsia="Times New Roman" w:hAnsiTheme="minorHAnsi" w:cs="Times New Roman"/>
          <w:b/>
          <w:bCs/>
          <w:i/>
          <w:color w:val="000000" w:themeColor="text1"/>
          <w:sz w:val="24"/>
          <w:szCs w:val="24"/>
        </w:rPr>
        <w:t xml:space="preserve"> </w:t>
      </w:r>
      <w:r w:rsidRPr="002C1B13">
        <w:rPr>
          <w:rFonts w:asciiTheme="minorHAnsi" w:eastAsia="Times New Roman" w:hAnsiTheme="minorHAnsi" w:cs="Times New Roman"/>
          <w:bCs/>
          <w:i/>
          <w:color w:val="000000" w:themeColor="text1"/>
          <w:sz w:val="24"/>
          <w:szCs w:val="24"/>
        </w:rPr>
        <w:t>e del regolamento (UE) 2017/746, relativo ai dispositivi medico diagnostici in vitro e che abroga la direttiva 98/79/CE e la decisione 2010/227/UE della Commissione)</w:t>
      </w:r>
    </w:p>
    <w:p w14:paraId="2E593A6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235478" w14:textId="77777777" w:rsidR="00EC58EB" w:rsidRPr="00EC58EB" w:rsidRDefault="002C1B13" w:rsidP="00EC58EB">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adotta, entro dodici mesi dalla data di entrata in vigore della presente legge, uno o più decreti legislativi per l'adeguamento della normativa nazionale al regolamento (UE) 2017/745 del </w:t>
      </w:r>
      <w:r w:rsidRPr="002C1B13">
        <w:rPr>
          <w:rFonts w:asciiTheme="minorHAnsi" w:eastAsia="Times New Roman" w:hAnsiTheme="minorHAnsi" w:cs="Times New Roman"/>
          <w:bCs/>
          <w:color w:val="000000" w:themeColor="text1"/>
          <w:sz w:val="24"/>
          <w:szCs w:val="24"/>
        </w:rPr>
        <w:lastRenderedPageBreak/>
        <w:t xml:space="preserve">Parlamento europeo e del Consiglio, del 5 aprile 2017, </w:t>
      </w:r>
      <w:r w:rsidR="00EC58EB" w:rsidRPr="00EC58EB">
        <w:rPr>
          <w:rFonts w:asciiTheme="minorHAnsi" w:eastAsia="Times New Roman" w:hAnsiTheme="minorHAnsi" w:cs="Times New Roman"/>
          <w:b/>
          <w:bCs/>
          <w:color w:val="000000" w:themeColor="text1"/>
          <w:sz w:val="24"/>
          <w:szCs w:val="24"/>
        </w:rPr>
        <w:t>al regolamento (UE) 2020/561 del Parlamento europeo e del Consiglio, del 23 aprile 2020</w:t>
      </w:r>
      <w:r w:rsidR="00EC58EB">
        <w:rPr>
          <w:rStyle w:val="Rimandonotaapidipagina"/>
          <w:rFonts w:asciiTheme="minorHAnsi" w:eastAsia="Times New Roman" w:hAnsiTheme="minorHAnsi" w:cs="Times New Roman"/>
          <w:b/>
          <w:bCs/>
          <w:color w:val="000000" w:themeColor="text1"/>
          <w:sz w:val="24"/>
          <w:szCs w:val="24"/>
        </w:rPr>
        <w:footnoteReference w:id="94"/>
      </w:r>
      <w:r w:rsidR="00EC58EB">
        <w:rPr>
          <w:rFonts w:asciiTheme="minorHAnsi" w:eastAsia="Times New Roman" w:hAnsiTheme="minorHAnsi" w:cs="Times New Roman"/>
          <w:b/>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e al regolamento (UE) 2017/746 del Parlamento europeo e del Consiglio, del 5 aprile 2017.</w:t>
      </w:r>
    </w:p>
    <w:p w14:paraId="566C5682" w14:textId="77777777" w:rsidR="00EC58EB" w:rsidRDefault="00EC58EB"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3FAE0B"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4704964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adeguare e raccordare le disposizioni nazionali vigenti alle disposizioni del regolamento (UE) 2017/745</w:t>
      </w:r>
      <w:r w:rsidR="00EC58EB" w:rsidRPr="00EC58EB">
        <w:rPr>
          <w:rFonts w:asciiTheme="minorHAnsi" w:eastAsia="Times New Roman" w:hAnsiTheme="minorHAnsi" w:cs="Times New Roman"/>
          <w:b/>
          <w:bCs/>
          <w:color w:val="000000" w:themeColor="text1"/>
          <w:sz w:val="24"/>
          <w:szCs w:val="24"/>
        </w:rPr>
        <w:t>, come modificato dal regolamento (UE) 2020/561,</w:t>
      </w:r>
      <w:r w:rsidR="00EC58EB">
        <w:rPr>
          <w:rStyle w:val="Rimandonotaapidipagina"/>
          <w:rFonts w:asciiTheme="minorHAnsi" w:eastAsia="Times New Roman" w:hAnsiTheme="minorHAnsi" w:cs="Times New Roman"/>
          <w:b/>
          <w:bCs/>
          <w:color w:val="000000" w:themeColor="text1"/>
          <w:sz w:val="24"/>
          <w:szCs w:val="24"/>
        </w:rPr>
        <w:footnoteReference w:id="95"/>
      </w:r>
      <w:r w:rsidRPr="002C1B13">
        <w:rPr>
          <w:rFonts w:asciiTheme="minorHAnsi" w:eastAsia="Times New Roman" w:hAnsiTheme="minorHAnsi" w:cs="Times New Roman"/>
          <w:bCs/>
          <w:color w:val="000000" w:themeColor="text1"/>
          <w:sz w:val="24"/>
          <w:szCs w:val="24"/>
        </w:rPr>
        <w:t xml:space="preserve"> e del regolamento (UE) 2017/746, e in particolare le modalità e le procedure di vigilanza, sorveglianza del mercato e controllo della sicurezza dei dispositivi medici, con abrogazione espressa delle norme nazionali incompatibili e coordinamento nonché riordino di quelle residue;</w:t>
      </w:r>
    </w:p>
    <w:p w14:paraId="16067AD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stabilire i contenuti, le tempistiche e le modalità di registrazione delle informazioni che i fabbricanti e i distributori di dispositivi medici sul territorio italiano, </w:t>
      </w:r>
      <w:r w:rsidRPr="00EC58EB">
        <w:rPr>
          <w:rFonts w:asciiTheme="minorHAnsi" w:eastAsia="Times New Roman" w:hAnsiTheme="minorHAnsi" w:cs="Times New Roman"/>
          <w:bCs/>
          <w:strike/>
          <w:color w:val="000000" w:themeColor="text1"/>
          <w:sz w:val="24"/>
          <w:szCs w:val="24"/>
          <w:highlight w:val="yellow"/>
        </w:rPr>
        <w:t>nonché gli utilizzatori come definiti</w:t>
      </w:r>
      <w:r w:rsidRPr="002C1B13">
        <w:rPr>
          <w:rFonts w:asciiTheme="minorHAnsi" w:eastAsia="Times New Roman" w:hAnsiTheme="minorHAnsi" w:cs="Times New Roman"/>
          <w:bCs/>
          <w:color w:val="000000" w:themeColor="text1"/>
          <w:sz w:val="24"/>
          <w:szCs w:val="24"/>
        </w:rPr>
        <w:t xml:space="preserve"> </w:t>
      </w:r>
      <w:r w:rsidR="00EC58EB">
        <w:rPr>
          <w:rFonts w:asciiTheme="minorHAnsi" w:eastAsia="Times New Roman" w:hAnsiTheme="minorHAnsi" w:cs="Times New Roman"/>
          <w:b/>
          <w:bCs/>
          <w:color w:val="000000" w:themeColor="text1"/>
          <w:sz w:val="24"/>
          <w:szCs w:val="24"/>
        </w:rPr>
        <w:t>nonché gli utilizzatori, come definiti</w:t>
      </w:r>
      <w:r w:rsidR="00EC58EB">
        <w:rPr>
          <w:rStyle w:val="Rimandonotaapidipagina"/>
          <w:rFonts w:asciiTheme="minorHAnsi" w:eastAsia="Times New Roman" w:hAnsiTheme="minorHAnsi" w:cs="Times New Roman"/>
          <w:b/>
          <w:bCs/>
          <w:color w:val="000000" w:themeColor="text1"/>
          <w:sz w:val="24"/>
          <w:szCs w:val="24"/>
        </w:rPr>
        <w:footnoteReference w:id="96"/>
      </w:r>
      <w:r w:rsidR="00EC58EB">
        <w:rPr>
          <w:rFonts w:asciiTheme="minorHAnsi" w:eastAsia="Times New Roman" w:hAnsiTheme="minorHAnsi" w:cs="Times New Roman"/>
          <w:b/>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dall'articolo 2, punti 30), 34) e 37), del regolamento (UE) 2017/745 e dall'articolo 2, punti 23), 27) e 30), del regolamento (UE) 2017/746, sono tenuti a comunicare al Ministero della salute;</w:t>
      </w:r>
    </w:p>
    <w:p w14:paraId="11A42BE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provvedere al riordino e coordinamento delle attività tra gli enti pubblici deputati al governo dei dispositivi medici, anche attraverso una ridefinizione dei compiti, </w:t>
      </w:r>
      <w:r w:rsidRPr="00EC58EB">
        <w:rPr>
          <w:rFonts w:asciiTheme="minorHAnsi" w:eastAsia="Times New Roman" w:hAnsiTheme="minorHAnsi" w:cs="Times New Roman"/>
          <w:bCs/>
          <w:strike/>
          <w:color w:val="000000" w:themeColor="text1"/>
          <w:sz w:val="24"/>
          <w:szCs w:val="24"/>
          <w:highlight w:val="yellow"/>
        </w:rPr>
        <w:t>finalizzato all'emanazione</w:t>
      </w:r>
      <w:r w:rsidRPr="002C1B13">
        <w:rPr>
          <w:rFonts w:asciiTheme="minorHAnsi" w:eastAsia="Times New Roman" w:hAnsiTheme="minorHAnsi" w:cs="Times New Roman"/>
          <w:bCs/>
          <w:color w:val="000000" w:themeColor="text1"/>
          <w:sz w:val="24"/>
          <w:szCs w:val="24"/>
        </w:rPr>
        <w:t xml:space="preserve"> </w:t>
      </w:r>
      <w:r w:rsidR="00EC58EB" w:rsidRPr="00EC58EB">
        <w:rPr>
          <w:rFonts w:asciiTheme="minorHAnsi" w:eastAsia="Times New Roman" w:hAnsiTheme="minorHAnsi" w:cs="Times New Roman"/>
          <w:b/>
          <w:bCs/>
          <w:color w:val="000000" w:themeColor="text1"/>
          <w:sz w:val="24"/>
          <w:szCs w:val="24"/>
        </w:rPr>
        <w:t>e anche ai fini dell'emanazione</w:t>
      </w:r>
      <w:r w:rsidR="00EC58EB">
        <w:rPr>
          <w:rStyle w:val="Rimandonotaapidipagina"/>
          <w:rFonts w:asciiTheme="minorHAnsi" w:eastAsia="Times New Roman" w:hAnsiTheme="minorHAnsi" w:cs="Times New Roman"/>
          <w:b/>
          <w:bCs/>
          <w:color w:val="000000" w:themeColor="text1"/>
          <w:sz w:val="24"/>
          <w:szCs w:val="24"/>
        </w:rPr>
        <w:footnoteReference w:id="97"/>
      </w:r>
      <w:r w:rsidR="00EC58EB">
        <w:rPr>
          <w:rFonts w:asciiTheme="minorHAnsi" w:eastAsia="Times New Roman" w:hAnsiTheme="minorHAnsi" w:cs="Times New Roman"/>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di indirizzi generali uniformi per la garanzia di efficienza del sistema, ivi incluso il riordino del meccanismo di definizione dei tetti di spesa nel rispetto di quanto previsto dall'articolo 9-ter, commi 1, lettera b), e 9, del decreto-legge 19 giugno 2015, n. 78, convertito, con modificazioni, dalla legge 6 agosto 2015, n. 125;</w:t>
      </w:r>
    </w:p>
    <w:p w14:paraId="6236136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definire il sistema sanzionatorio, attraverso la previsione di sanzioni amministrative efficaci, dissuasive e proporzionate alla gravità delle violazioni delle disposizioni del regolamento (UE) 2017/745 e del regolamento (UE) 2017/746 e il riordino del sistema vigente</w:t>
      </w:r>
      <w:r w:rsidR="00EC58EB">
        <w:rPr>
          <w:rFonts w:asciiTheme="minorHAnsi" w:eastAsia="Times New Roman" w:hAnsiTheme="minorHAnsi" w:cs="Times New Roman"/>
          <w:bCs/>
          <w:color w:val="000000" w:themeColor="text1"/>
          <w:sz w:val="24"/>
          <w:szCs w:val="24"/>
        </w:rPr>
        <w:t xml:space="preserve">. </w:t>
      </w:r>
      <w:r w:rsidR="00EC58EB" w:rsidRPr="00EC58EB">
        <w:rPr>
          <w:rFonts w:asciiTheme="minorHAnsi" w:eastAsia="Times New Roman" w:hAnsiTheme="minorHAnsi" w:cs="Times New Roman"/>
          <w:b/>
          <w:bCs/>
          <w:color w:val="000000" w:themeColor="text1"/>
          <w:sz w:val="24"/>
          <w:szCs w:val="24"/>
        </w:rPr>
        <w:t>Il sistema sanzionatorio prevede la riduzione di un terzo della sanzione amministrativa quando la violazione è commessa da imprese aventi i parametri di microimpresa, di cui alla raccomandazione 2003/361/CE del 6 maggio 2003</w:t>
      </w:r>
      <w:r w:rsidR="00EC58EB">
        <w:rPr>
          <w:rStyle w:val="Rimandonotaapidipagina"/>
          <w:rFonts w:asciiTheme="minorHAnsi" w:eastAsia="Times New Roman" w:hAnsiTheme="minorHAnsi" w:cs="Times New Roman"/>
          <w:b/>
          <w:bCs/>
          <w:color w:val="000000" w:themeColor="text1"/>
          <w:sz w:val="24"/>
          <w:szCs w:val="24"/>
        </w:rPr>
        <w:footnoteReference w:id="98"/>
      </w:r>
      <w:r w:rsidRPr="002C1B13">
        <w:rPr>
          <w:rFonts w:asciiTheme="minorHAnsi" w:eastAsia="Times New Roman" w:hAnsiTheme="minorHAnsi" w:cs="Times New Roman"/>
          <w:bCs/>
          <w:color w:val="000000" w:themeColor="text1"/>
          <w:sz w:val="24"/>
          <w:szCs w:val="24"/>
        </w:rPr>
        <w:t>;</w:t>
      </w:r>
    </w:p>
    <w:p w14:paraId="4F93AE1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individuare le modalità di tracciabilità dei dispositivi medici attraverso il riordino e la connessione delle banche dati esistenti in conformità al Sistema unico di identificazione del dispositivo (sistema UDI), </w:t>
      </w:r>
      <w:r w:rsidRPr="002C1B13">
        <w:rPr>
          <w:rFonts w:asciiTheme="minorHAnsi" w:eastAsia="Times New Roman" w:hAnsiTheme="minorHAnsi" w:cs="Times New Roman"/>
          <w:bCs/>
          <w:color w:val="000000" w:themeColor="text1"/>
          <w:sz w:val="24"/>
          <w:szCs w:val="24"/>
        </w:rPr>
        <w:lastRenderedPageBreak/>
        <w:t>previsto dai regolamenti (UE) 2017/745 e 2017/746, in modo da salvaguardare il livello informativo più completo;</w:t>
      </w:r>
    </w:p>
    <w:p w14:paraId="6F896C8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previo accordo in sede di Conferenza permanente per i rapporti tra lo Stato, le regioni e le province autonome di Trento e di Bolzano, rendere i procedimenti di acquisto più efficienti attraverso l'articolazione e il rafforzamento delle funzioni di </w:t>
      </w:r>
      <w:proofErr w:type="spellStart"/>
      <w:r w:rsidRPr="002C1B13">
        <w:rPr>
          <w:rFonts w:asciiTheme="minorHAnsi" w:eastAsia="Times New Roman" w:hAnsiTheme="minorHAnsi" w:cs="Times New Roman"/>
          <w:bCs/>
          <w:color w:val="000000" w:themeColor="text1"/>
          <w:sz w:val="24"/>
          <w:szCs w:val="24"/>
        </w:rPr>
        <w:t>Health</w:t>
      </w:r>
      <w:proofErr w:type="spellEnd"/>
      <w:r w:rsidRPr="002C1B13">
        <w:rPr>
          <w:rFonts w:asciiTheme="minorHAnsi" w:eastAsia="Times New Roman" w:hAnsiTheme="minorHAnsi" w:cs="Times New Roman"/>
          <w:bCs/>
          <w:color w:val="000000" w:themeColor="text1"/>
          <w:sz w:val="24"/>
          <w:szCs w:val="24"/>
        </w:rPr>
        <w:t xml:space="preserve"> </w:t>
      </w:r>
      <w:proofErr w:type="spellStart"/>
      <w:r w:rsidRPr="002C1B13">
        <w:rPr>
          <w:rFonts w:asciiTheme="minorHAnsi" w:eastAsia="Times New Roman" w:hAnsiTheme="minorHAnsi" w:cs="Times New Roman"/>
          <w:bCs/>
          <w:color w:val="000000" w:themeColor="text1"/>
          <w:sz w:val="24"/>
          <w:szCs w:val="24"/>
        </w:rPr>
        <w:t>technology</w:t>
      </w:r>
      <w:proofErr w:type="spellEnd"/>
      <w:r w:rsidRPr="002C1B13">
        <w:rPr>
          <w:rFonts w:asciiTheme="minorHAnsi" w:eastAsia="Times New Roman" w:hAnsiTheme="minorHAnsi" w:cs="Times New Roman"/>
          <w:bCs/>
          <w:color w:val="000000" w:themeColor="text1"/>
          <w:sz w:val="24"/>
          <w:szCs w:val="24"/>
        </w:rPr>
        <w:t xml:space="preserve"> </w:t>
      </w:r>
      <w:proofErr w:type="spellStart"/>
      <w:r w:rsidRPr="002C1B13">
        <w:rPr>
          <w:rFonts w:asciiTheme="minorHAnsi" w:eastAsia="Times New Roman" w:hAnsiTheme="minorHAnsi" w:cs="Times New Roman"/>
          <w:bCs/>
          <w:color w:val="000000" w:themeColor="text1"/>
          <w:sz w:val="24"/>
          <w:szCs w:val="24"/>
        </w:rPr>
        <w:t>assessment</w:t>
      </w:r>
      <w:proofErr w:type="spellEnd"/>
      <w:r w:rsidRPr="002C1B13">
        <w:rPr>
          <w:rFonts w:asciiTheme="minorHAnsi" w:eastAsia="Times New Roman" w:hAnsiTheme="minorHAnsi" w:cs="Times New Roman"/>
          <w:bCs/>
          <w:color w:val="000000" w:themeColor="text1"/>
          <w:sz w:val="24"/>
          <w:szCs w:val="24"/>
        </w:rPr>
        <w:t xml:space="preserve"> (HTA), di cui all'articolo 1, comma 587 della legge 23 dicembre 2014, n. 190, sulla base degli obiettivi individuati dal relativo Programma nazionale HTA e adeguare le attività dell'Osservatorio dei prezzi di acquisto dei dispositivi;</w:t>
      </w:r>
    </w:p>
    <w:p w14:paraId="0614A91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adeguare i trattamenti di dati personali effettuati in applicazione del regolamento (UE) 2017/745 e del regolamento (UE) 2017/746 alle disposizioni del regolamento (UE) 2016/679 del Parlamento europeo e del Consiglio, del 27 aprile 2016, e alla normativa vigente in materia di tutela dei dati personali e sensibili;</w:t>
      </w:r>
    </w:p>
    <w:p w14:paraId="61A8C155" w14:textId="77777777" w:rsidR="002C1B13" w:rsidRPr="002C1B13" w:rsidRDefault="002C1B13" w:rsidP="004F163D">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h) prevedere il sistema di finanziamento del governo dei dispositivi medici attraverso il versamento da parte delle aziende che producono o commercializzano dispositivi medici di una </w:t>
      </w:r>
      <w:r w:rsidRPr="004F163D">
        <w:rPr>
          <w:rFonts w:asciiTheme="minorHAnsi" w:eastAsia="Times New Roman" w:hAnsiTheme="minorHAnsi" w:cs="Times New Roman"/>
          <w:bCs/>
          <w:strike/>
          <w:color w:val="000000" w:themeColor="text1"/>
          <w:sz w:val="24"/>
          <w:szCs w:val="24"/>
          <w:highlight w:val="yellow"/>
        </w:rPr>
        <w:t>quota non superiore all'1 per cento del fatturato</w:t>
      </w:r>
      <w:r w:rsidR="004F163D">
        <w:rPr>
          <w:rFonts w:asciiTheme="minorHAnsi" w:eastAsia="Times New Roman" w:hAnsiTheme="minorHAnsi" w:cs="Times New Roman"/>
          <w:bCs/>
          <w:color w:val="000000" w:themeColor="text1"/>
          <w:sz w:val="24"/>
          <w:szCs w:val="24"/>
        </w:rPr>
        <w:t xml:space="preserve"> </w:t>
      </w:r>
      <w:r w:rsidR="004F163D" w:rsidRPr="00800FDC">
        <w:rPr>
          <w:b/>
          <w:bCs/>
          <w:color w:val="000000" w:themeColor="text1"/>
          <w:sz w:val="24"/>
          <w:szCs w:val="24"/>
        </w:rPr>
        <w:t>quota non superiore allo 0,75 per cento del fatturato</w:t>
      </w:r>
      <w:r w:rsidR="004F163D">
        <w:rPr>
          <w:rStyle w:val="Rimandonotaapidipagina"/>
          <w:b/>
          <w:bCs/>
          <w:color w:val="000000" w:themeColor="text1"/>
          <w:sz w:val="24"/>
          <w:szCs w:val="24"/>
        </w:rPr>
        <w:footnoteReference w:id="99"/>
      </w:r>
      <w:r w:rsidRPr="002C1B13">
        <w:rPr>
          <w:rFonts w:asciiTheme="minorHAnsi" w:eastAsia="Times New Roman" w:hAnsiTheme="minorHAnsi" w:cs="Times New Roman"/>
          <w:bCs/>
          <w:color w:val="000000" w:themeColor="text1"/>
          <w:sz w:val="24"/>
          <w:szCs w:val="24"/>
        </w:rPr>
        <w:t>, al netto dell'imposta sul valore aggiunto, derivante dalla vendita al Servizio sanitario nazionale dei dispositivi medici e delle grandi apparecchiature.</w:t>
      </w:r>
    </w:p>
    <w:p w14:paraId="220DC72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9CEA06"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16.</w:t>
      </w:r>
    </w:p>
    <w:p w14:paraId="6FCAA206"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l'adeguamento della normativa nazionale al regolamento (UE) 2017/1991, che modifica il regolamento (UE) n. 345/2013 relativo ai fondi europei per il venture capital e il regolamento (UE) n. 346/2013 relativo ai fondi europei per l'imprenditoria sociale)</w:t>
      </w:r>
    </w:p>
    <w:p w14:paraId="4BB6A2B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8CF49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regolamento (UE) 2017/1991 del Parlamento europeo e del Consiglio, del 25 ottobre 2017.</w:t>
      </w:r>
    </w:p>
    <w:p w14:paraId="128F06F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0BE71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27ADF6C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apportare al testo unico delle disposizioni in materia di intermediazione finanziaria, di cui al decreto legislativo 24 febbraio 1998, n. 58, le modifiche e le integrazioni necessarie per l'attuazione del regolamento (UE) 2017/1991, attribuendo, i poteri e le competenze di vigilanza previsti dal citato </w:t>
      </w:r>
      <w:r w:rsidRPr="002C1B13">
        <w:rPr>
          <w:rFonts w:asciiTheme="minorHAnsi" w:eastAsia="Times New Roman" w:hAnsiTheme="minorHAnsi" w:cs="Times New Roman"/>
          <w:bCs/>
          <w:color w:val="000000" w:themeColor="text1"/>
          <w:sz w:val="24"/>
          <w:szCs w:val="24"/>
        </w:rPr>
        <w:lastRenderedPageBreak/>
        <w:t>regolamento alla Banca d'Italia e alla CONSOB, secondo le rispettive attribuzioni e finalità indicate negli articoli 5 e 6 del citato testo unico di cui al decreto legislativo n. 58 del 1998 e prevedendo il ricorso alla disciplina secondaria;</w:t>
      </w:r>
    </w:p>
    <w:p w14:paraId="57E1602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apportare al citato testo unico di cui al decreto legislativo n. 58 del 1998 le modifiche necessarie per prevedere la possibilità, per i gestori di fondi d'investimento alternativi autorizzati ai sensi della direttiva 2011/61/UE del Parlamento europeo e del Consiglio, dell'8 giugno 2011, di gestire e commercializzare fondi europei per il venture capital e fondi europei per l'imprenditoria sociale;</w:t>
      </w:r>
    </w:p>
    <w:p w14:paraId="7C32778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modificare il citato testo unico di cui al decreto legislativo n. 58 del 1998 per adeguarlo alle disposizioni del regolamento (UE) 2017/1991 in materia di cooperazione e scambio di informazioni con le autorità competenti degli Stati membri dell'Unione europea, nonché con l'Autorità europea degli strumenti finanziari e dei mercati;</w:t>
      </w:r>
    </w:p>
    <w:p w14:paraId="3721760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apportare al citato testo unico di cui al decreto legislativo n. 58 del 1998 le modifiche e le integrazioni necessarie per estendere il regime sanzionatorio previsto dal medesimo testo unico in attuazione della direttiva 2011/61/CE anche ai gestori di cui all'articolo 2, paragrafo 2, del regolamento (UE) n. 345/2013 e di cui all'articolo 2, paragrafo 2, del regolamento (UE) n. 346/2013;</w:t>
      </w:r>
    </w:p>
    <w:p w14:paraId="19BAA71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prevedere, in conformità alle definizioni e alla disciplina del regolamento (UE) 2017/1991 nonché ai criteri direttivi previsti nella presente legge, le occorrenti modificazioni alla normativa vigente, anche di derivazione europea, per i settori interessati dalla normativa da attuare, al fine di realizzare il migliore coordinamento con le altre disposizioni vigenti.</w:t>
      </w:r>
    </w:p>
    <w:p w14:paraId="28A9EDE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19C0F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3.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690CA71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72CB4A"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17.</w:t>
      </w:r>
    </w:p>
    <w:p w14:paraId="3FED969F"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l'adeguamento della normativa nazionale alle disposizioni del regolamento (UE) 2019/518, che modifica il regolamento (CE) n. 924/2009 per quanto riguarda talune commissioni applicate sui pagamenti transfrontalieri nell'Unione e le commissioni di conversione valutaria)</w:t>
      </w:r>
    </w:p>
    <w:p w14:paraId="18B8293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1188C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regolamento (UE) 2019/518 del Parlamento europeo e del Consiglio, del 19 marzo 2019.</w:t>
      </w:r>
    </w:p>
    <w:p w14:paraId="77B83E4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3A5F3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2. Nell'esercizio della delega di cui al comma 1 il Governo osserva, oltre ai princìpi e criteri direttivi generali di cui all'articolo 32 della legge n. 234 del 2012, anche i seguenti princìpi e criteri direttivi specifici:</w:t>
      </w:r>
    </w:p>
    <w:p w14:paraId="4462D19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prevedere, in attuazione dell'articolo 13 del regolamento (CE) 924/2009 del Parlamento europeo e del Consiglio, del 16 settembre 2009, l'applicazione di sanzioni amministrative efficaci, proporzionate e dissuasive per le violazioni degli obblighi stabiliti dagli articoli 3 bis e 3 ter del regolamento medesimo, introdotti dal regolamento (UE) 518/2019, attraverso le modificazioni al decreto legislativo 18 agosto 2015, n. 135, e in linea con i limiti edittali ivi previsti</w:t>
      </w:r>
      <w:r w:rsidR="00EC58EB" w:rsidRPr="00200CEE">
        <w:rPr>
          <w:rFonts w:asciiTheme="minorHAnsi" w:eastAsia="Times New Roman" w:hAnsiTheme="minorHAnsi" w:cs="Times New Roman"/>
          <w:b/>
          <w:bCs/>
          <w:color w:val="000000" w:themeColor="text1"/>
          <w:sz w:val="24"/>
          <w:szCs w:val="24"/>
        </w:rPr>
        <w:t>, anche prevedendo che le infrazioni sono sanzionate solo quando abbiano carattere rilevante secondo criteri definiti dalla Banca d'Italia, con provvedimento di carattere generale, tenuto conto dell'incidenza delle condotte sulla complessiva organizzazione aziendale e sui profili di rischio</w:t>
      </w:r>
      <w:r w:rsidR="00200CEE">
        <w:rPr>
          <w:rStyle w:val="Rimandonotaapidipagina"/>
          <w:rFonts w:asciiTheme="minorHAnsi" w:eastAsia="Times New Roman" w:hAnsiTheme="minorHAnsi" w:cs="Times New Roman"/>
          <w:b/>
          <w:bCs/>
          <w:color w:val="000000" w:themeColor="text1"/>
          <w:sz w:val="24"/>
          <w:szCs w:val="24"/>
        </w:rPr>
        <w:footnoteReference w:id="100"/>
      </w:r>
      <w:r w:rsidRPr="002C1B13">
        <w:rPr>
          <w:rFonts w:asciiTheme="minorHAnsi" w:eastAsia="Times New Roman" w:hAnsiTheme="minorHAnsi" w:cs="Times New Roman"/>
          <w:bCs/>
          <w:color w:val="000000" w:themeColor="text1"/>
          <w:sz w:val="24"/>
          <w:szCs w:val="24"/>
        </w:rPr>
        <w:t>;</w:t>
      </w:r>
    </w:p>
    <w:p w14:paraId="1E0E576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prevedere, in conformità alle definizioni, alla disciplina e alle finalità del regolamento (UE) 518/2019, le occorrenti modificazioni e abrogazioni della normativa vigente, anche di derivazione europea, per i settori interessati dalla normativa da attuare, al fine di assicurare la corretta e integrale applicazione del medesimo regolamento e di realizzare il migliore coordinamento con le altre disposizioni vigenti.</w:t>
      </w:r>
    </w:p>
    <w:p w14:paraId="273BFF4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BE3AF6"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18.</w:t>
      </w:r>
    </w:p>
    <w:p w14:paraId="73E8D138"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 xml:space="preserve">(Princìpi e criteri direttivi per l'adeguamento della normativa nazionale alle disposizioni del titolo III, Quadro di certificazione della </w:t>
      </w:r>
      <w:proofErr w:type="spellStart"/>
      <w:r w:rsidRPr="002C1B13">
        <w:rPr>
          <w:rFonts w:asciiTheme="minorHAnsi" w:eastAsia="Times New Roman" w:hAnsiTheme="minorHAnsi" w:cs="Times New Roman"/>
          <w:bCs/>
          <w:i/>
          <w:color w:val="000000" w:themeColor="text1"/>
          <w:sz w:val="24"/>
          <w:szCs w:val="24"/>
        </w:rPr>
        <w:t>cibersicurezza</w:t>
      </w:r>
      <w:proofErr w:type="spellEnd"/>
      <w:r w:rsidRPr="002C1B13">
        <w:rPr>
          <w:rFonts w:asciiTheme="minorHAnsi" w:eastAsia="Times New Roman" w:hAnsiTheme="minorHAnsi" w:cs="Times New Roman"/>
          <w:bCs/>
          <w:i/>
          <w:color w:val="000000" w:themeColor="text1"/>
          <w:sz w:val="24"/>
          <w:szCs w:val="24"/>
        </w:rPr>
        <w:t xml:space="preserve">, del regolamento (UE) 2019/881, relativo all'ENISA, l'Agenzia dell'Unione europea per la </w:t>
      </w:r>
      <w:proofErr w:type="spellStart"/>
      <w:r w:rsidRPr="002C1B13">
        <w:rPr>
          <w:rFonts w:asciiTheme="minorHAnsi" w:eastAsia="Times New Roman" w:hAnsiTheme="minorHAnsi" w:cs="Times New Roman"/>
          <w:bCs/>
          <w:i/>
          <w:color w:val="000000" w:themeColor="text1"/>
          <w:sz w:val="24"/>
          <w:szCs w:val="24"/>
        </w:rPr>
        <w:t>cibersicurezza</w:t>
      </w:r>
      <w:proofErr w:type="spellEnd"/>
      <w:r w:rsidRPr="002C1B13">
        <w:rPr>
          <w:rFonts w:asciiTheme="minorHAnsi" w:eastAsia="Times New Roman" w:hAnsiTheme="minorHAnsi" w:cs="Times New Roman"/>
          <w:bCs/>
          <w:i/>
          <w:color w:val="000000" w:themeColor="text1"/>
          <w:sz w:val="24"/>
          <w:szCs w:val="24"/>
        </w:rPr>
        <w:t xml:space="preserve">, e alla certificazione della </w:t>
      </w:r>
      <w:proofErr w:type="spellStart"/>
      <w:r w:rsidRPr="002C1B13">
        <w:rPr>
          <w:rFonts w:asciiTheme="minorHAnsi" w:eastAsia="Times New Roman" w:hAnsiTheme="minorHAnsi" w:cs="Times New Roman"/>
          <w:bCs/>
          <w:i/>
          <w:color w:val="000000" w:themeColor="text1"/>
          <w:sz w:val="24"/>
          <w:szCs w:val="24"/>
        </w:rPr>
        <w:t>cibersicurezza</w:t>
      </w:r>
      <w:proofErr w:type="spellEnd"/>
      <w:r w:rsidRPr="002C1B13">
        <w:rPr>
          <w:rFonts w:asciiTheme="minorHAnsi" w:eastAsia="Times New Roman" w:hAnsiTheme="minorHAnsi" w:cs="Times New Roman"/>
          <w:bCs/>
          <w:i/>
          <w:color w:val="000000" w:themeColor="text1"/>
          <w:sz w:val="24"/>
          <w:szCs w:val="24"/>
        </w:rPr>
        <w:t xml:space="preserve"> per le tecnologie dell'informazione e della comunicazione e che abroga il regolamento (UE) n. 526/2013 </w:t>
      </w:r>
      <w:proofErr w:type="gramStart"/>
      <w:r w:rsidRPr="002C1B13">
        <w:rPr>
          <w:rFonts w:asciiTheme="minorHAnsi" w:eastAsia="Times New Roman" w:hAnsiTheme="minorHAnsi" w:cs="Times New Roman"/>
          <w:bCs/>
          <w:i/>
          <w:color w:val="000000" w:themeColor="text1"/>
          <w:sz w:val="24"/>
          <w:szCs w:val="24"/>
        </w:rPr>
        <w:t>(« regolamento</w:t>
      </w:r>
      <w:proofErr w:type="gramEnd"/>
      <w:r w:rsidRPr="002C1B13">
        <w:rPr>
          <w:rFonts w:asciiTheme="minorHAnsi" w:eastAsia="Times New Roman" w:hAnsiTheme="minorHAnsi" w:cs="Times New Roman"/>
          <w:bCs/>
          <w:i/>
          <w:color w:val="000000" w:themeColor="text1"/>
          <w:sz w:val="24"/>
          <w:szCs w:val="24"/>
        </w:rPr>
        <w:t xml:space="preserve"> sulla </w:t>
      </w:r>
      <w:proofErr w:type="spellStart"/>
      <w:r w:rsidRPr="002C1B13">
        <w:rPr>
          <w:rFonts w:asciiTheme="minorHAnsi" w:eastAsia="Times New Roman" w:hAnsiTheme="minorHAnsi" w:cs="Times New Roman"/>
          <w:bCs/>
          <w:i/>
          <w:color w:val="000000" w:themeColor="text1"/>
          <w:sz w:val="24"/>
          <w:szCs w:val="24"/>
        </w:rPr>
        <w:t>cibersicurezza</w:t>
      </w:r>
      <w:proofErr w:type="spellEnd"/>
      <w:r w:rsidRPr="002C1B13">
        <w:rPr>
          <w:rFonts w:asciiTheme="minorHAnsi" w:eastAsia="Times New Roman" w:hAnsiTheme="minorHAnsi" w:cs="Times New Roman"/>
          <w:bCs/>
          <w:i/>
          <w:color w:val="000000" w:themeColor="text1"/>
          <w:sz w:val="24"/>
          <w:szCs w:val="24"/>
        </w:rPr>
        <w:t> »))</w:t>
      </w:r>
    </w:p>
    <w:p w14:paraId="45AF5A1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1FEAD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titolo III del regolamento (UE) 2019/881 del Parlamento europeo e del Consiglio, del 17 aprile 2019.</w:t>
      </w:r>
    </w:p>
    <w:p w14:paraId="2A81F73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F5545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1CB16E4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designare il Ministero dello sviluppo economico quale </w:t>
      </w:r>
      <w:proofErr w:type="gramStart"/>
      <w:r w:rsidRPr="002C1B13">
        <w:rPr>
          <w:rFonts w:asciiTheme="minorHAnsi" w:eastAsia="Times New Roman" w:hAnsiTheme="minorHAnsi" w:cs="Times New Roman"/>
          <w:bCs/>
          <w:color w:val="000000" w:themeColor="text1"/>
          <w:sz w:val="24"/>
          <w:szCs w:val="24"/>
        </w:rPr>
        <w:t>« autorità</w:t>
      </w:r>
      <w:proofErr w:type="gramEnd"/>
      <w:r w:rsidRPr="002C1B13">
        <w:rPr>
          <w:rFonts w:asciiTheme="minorHAnsi" w:eastAsia="Times New Roman" w:hAnsiTheme="minorHAnsi" w:cs="Times New Roman"/>
          <w:bCs/>
          <w:color w:val="000000" w:themeColor="text1"/>
          <w:sz w:val="24"/>
          <w:szCs w:val="24"/>
        </w:rPr>
        <w:t xml:space="preserve"> competente » ai sensi del paragrafo 1 dell'articolo 58 del regolamento (UE) 2019/881;</w:t>
      </w:r>
    </w:p>
    <w:p w14:paraId="5DDFE65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b) individuare l'organizzazione e le modalità per lo svolgimento dei compiti e l'esercizio dei poteri dell'autorità di cui alla lettera a), attribuiti ai sensi dell'articolo 58 e dell'articolo 56, paragrafi 5 e 6, del regolamento (UE) 2019/881;</w:t>
      </w:r>
    </w:p>
    <w:p w14:paraId="7193936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definire il sistema delle sanzioni applicabili ai sensi dell'articolo 65 del regolamento (UE) 2019/881, prevedendo che gli introiti derivanti dall'irrogazione delle sanzioni siano versati all'entrata del bilancio dello Stato per essere riassegnati ad apposito capitolo dello stato di previsione del Ministero dello sviluppo economico per finalità di ricerca e formazione in materia di certificazione della </w:t>
      </w:r>
      <w:proofErr w:type="spellStart"/>
      <w:r w:rsidRPr="002C1B13">
        <w:rPr>
          <w:rFonts w:asciiTheme="minorHAnsi" w:eastAsia="Times New Roman" w:hAnsiTheme="minorHAnsi" w:cs="Times New Roman"/>
          <w:bCs/>
          <w:color w:val="000000" w:themeColor="text1"/>
          <w:sz w:val="24"/>
          <w:szCs w:val="24"/>
        </w:rPr>
        <w:t>cibersicurezza</w:t>
      </w:r>
      <w:proofErr w:type="spellEnd"/>
      <w:r w:rsidRPr="002C1B13">
        <w:rPr>
          <w:rFonts w:asciiTheme="minorHAnsi" w:eastAsia="Times New Roman" w:hAnsiTheme="minorHAnsi" w:cs="Times New Roman"/>
          <w:bCs/>
          <w:color w:val="000000" w:themeColor="text1"/>
          <w:sz w:val="24"/>
          <w:szCs w:val="24"/>
        </w:rPr>
        <w:t>; le sanzioni amministrative pecuniarie non devono essere inferiori nel minimo a 15.000 euro e non devono essere superiori nel massimo a 5.000.000 di euro;</w:t>
      </w:r>
    </w:p>
    <w:p w14:paraId="458BD34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prevedere, in conformità all'articolo 58, paragrafi 7 e 8, del regolamento (UE) 2019/881, il potere dell'autorità di cui alla lettera a) di revocare i certificati rilasciati ai sensi dell'articolo 56, paragrafi 4 e 5, lettera b), emessi sul territorio nazionale, salvo diverse disposizioni dei singoli sistemi europei di certificazione adottati ai sensi dell'articolo 49 di detto regolamento.</w:t>
      </w:r>
    </w:p>
    <w:p w14:paraId="20352F6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6919E7"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19.</w:t>
      </w:r>
    </w:p>
    <w:p w14:paraId="62137A53"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l'adeguamento della normativa nazionale alle disposizioni del regolamento (UE) 2019/943, sul mercato interno dell'energia elettrica (rifusione), e del regolamento (UE) 2019/941, sulla preparazione ai rischi nel settore dell'energia elettrica e che abroga la direttiva 2005/89/CE)</w:t>
      </w:r>
    </w:p>
    <w:p w14:paraId="20489FF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2D8A1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Il Governo adotta, entro diciotto mesi dalla data di entrata in vigore della presente legge, uno o più decreti legislativi per l'adeguamento della normativa nazionale ai regolamenti (UE) 2019/943 e 2019/941 del Parlamento europeo e del Consiglio, del 5 giugno 2019.</w:t>
      </w:r>
    </w:p>
    <w:p w14:paraId="7717798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9D524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606B71B2" w14:textId="77777777" w:rsidR="00200CEE" w:rsidRPr="00200CEE" w:rsidRDefault="002C1B13"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C1B13">
        <w:rPr>
          <w:rFonts w:asciiTheme="minorHAnsi" w:eastAsia="Times New Roman" w:hAnsiTheme="minorHAnsi" w:cs="Times New Roman"/>
          <w:bCs/>
          <w:color w:val="000000" w:themeColor="text1"/>
          <w:sz w:val="24"/>
          <w:szCs w:val="24"/>
        </w:rPr>
        <w:t>a) riordinare, coordinare e aggiornare le disposizioni nazionali al fine di adeguarle alle disposizioni del regolamento (UE) 2019/943 e del regolamento (UE) 2019/941, con abrogazione espressa delle disposizioni incompatibili</w:t>
      </w:r>
      <w:r w:rsidR="00200CEE" w:rsidRPr="00200CEE">
        <w:rPr>
          <w:rFonts w:asciiTheme="minorHAnsi" w:eastAsia="Times New Roman" w:hAnsiTheme="minorHAnsi" w:cs="Times New Roman"/>
          <w:b/>
          <w:bCs/>
          <w:color w:val="000000" w:themeColor="text1"/>
          <w:sz w:val="24"/>
          <w:szCs w:val="24"/>
        </w:rPr>
        <w:t>, tenendo conto dei seguenti indirizzi specifici:</w:t>
      </w:r>
    </w:p>
    <w:p w14:paraId="14F5A111"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1) prevedere l'avvio di un processo per il graduale superamento del Prezzo Unico Nazionale - PUN;</w:t>
      </w:r>
    </w:p>
    <w:p w14:paraId="2E30D621" w14:textId="77777777" w:rsidR="002C1B13" w:rsidRDefault="00200CEE" w:rsidP="00200CEE">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2) prevedere una semplificazione e una modifica della disciplina del dispacciamento e dei mercati all'ingrosso dell'energia volta a tener conto delle nuove esigenze di flessibilità del sistema e della necessità di integrazione della generazione distribuita, degli aggregatori, delle fonti rinnovabili non programmabili, dei sistemi di accumulo e della gestione della domanda. A tal fine, è previsto, fra l'altro, il ricorso a contratti di acquisto di energia a prezzo dinamico, l'avvio di sperimentazioni e attività di </w:t>
      </w:r>
      <w:r w:rsidRPr="00200CEE">
        <w:rPr>
          <w:rFonts w:asciiTheme="minorHAnsi" w:eastAsia="Times New Roman" w:hAnsiTheme="minorHAnsi" w:cs="Times New Roman"/>
          <w:b/>
          <w:bCs/>
          <w:color w:val="000000" w:themeColor="text1"/>
          <w:sz w:val="24"/>
          <w:szCs w:val="24"/>
        </w:rPr>
        <w:lastRenderedPageBreak/>
        <w:t>dispacciamento locale e auto-dispacciamento in sinergia con quanto disposto all'articolo 12, comma 1, lettera e), la possibilità di stipulare accordi diretti semplificati fra produttore e consumatore di energia all'interno della medesima zona di mercato</w:t>
      </w:r>
      <w:r>
        <w:rPr>
          <w:rStyle w:val="Rimandonotaapidipagina"/>
          <w:rFonts w:asciiTheme="minorHAnsi" w:eastAsia="Times New Roman" w:hAnsiTheme="minorHAnsi" w:cs="Times New Roman"/>
          <w:b/>
          <w:bCs/>
          <w:color w:val="000000" w:themeColor="text1"/>
          <w:sz w:val="24"/>
          <w:szCs w:val="24"/>
        </w:rPr>
        <w:footnoteReference w:id="101"/>
      </w:r>
      <w:r w:rsidR="002C1B13" w:rsidRPr="002C1B13">
        <w:rPr>
          <w:rFonts w:asciiTheme="minorHAnsi" w:eastAsia="Times New Roman" w:hAnsiTheme="minorHAnsi" w:cs="Times New Roman"/>
          <w:bCs/>
          <w:color w:val="000000" w:themeColor="text1"/>
          <w:sz w:val="24"/>
          <w:szCs w:val="24"/>
        </w:rPr>
        <w:t>;</w:t>
      </w:r>
    </w:p>
    <w:p w14:paraId="2293785F" w14:textId="77777777" w:rsid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a-bis) nell'opera di riordino di cui alla lettera a), attribuire all'Autorità di regolazione per energia, reti e ambiente le competenze in materia di esenzione dell'accesso ai terzi per gli </w:t>
      </w:r>
      <w:proofErr w:type="spellStart"/>
      <w:r w:rsidRPr="00200CEE">
        <w:rPr>
          <w:rFonts w:asciiTheme="minorHAnsi" w:eastAsia="Times New Roman" w:hAnsiTheme="minorHAnsi" w:cs="Times New Roman"/>
          <w:b/>
          <w:bCs/>
          <w:color w:val="000000" w:themeColor="text1"/>
          <w:sz w:val="24"/>
          <w:szCs w:val="24"/>
        </w:rPr>
        <w:t>interconnector</w:t>
      </w:r>
      <w:proofErr w:type="spellEnd"/>
      <w:r w:rsidRPr="00200CEE">
        <w:rPr>
          <w:rFonts w:asciiTheme="minorHAnsi" w:eastAsia="Times New Roman" w:hAnsiTheme="minorHAnsi" w:cs="Times New Roman"/>
          <w:b/>
          <w:bCs/>
          <w:color w:val="000000" w:themeColor="text1"/>
          <w:sz w:val="24"/>
          <w:szCs w:val="24"/>
        </w:rPr>
        <w:t xml:space="preserve"> ai sensi di quanto disposto dall'articolo 63, par. 4, della direttiva (UE) 2019/943, al fine di semplificare la gestione delle procedure di richiesta di esenzione;</w:t>
      </w:r>
      <w:r>
        <w:rPr>
          <w:rStyle w:val="Rimandonotaapidipagina"/>
          <w:rFonts w:asciiTheme="minorHAnsi" w:eastAsia="Times New Roman" w:hAnsiTheme="minorHAnsi" w:cs="Times New Roman"/>
          <w:b/>
          <w:bCs/>
          <w:color w:val="000000" w:themeColor="text1"/>
          <w:sz w:val="24"/>
          <w:szCs w:val="24"/>
        </w:rPr>
        <w:footnoteReference w:id="102"/>
      </w:r>
    </w:p>
    <w:p w14:paraId="0E7D99D3"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a-bis) in materia di ricorso al </w:t>
      </w:r>
      <w:proofErr w:type="spellStart"/>
      <w:r w:rsidRPr="00200CEE">
        <w:rPr>
          <w:rFonts w:asciiTheme="minorHAnsi" w:eastAsia="Times New Roman" w:hAnsiTheme="minorHAnsi" w:cs="Times New Roman"/>
          <w:b/>
          <w:bCs/>
          <w:color w:val="000000" w:themeColor="text1"/>
          <w:sz w:val="24"/>
          <w:szCs w:val="24"/>
        </w:rPr>
        <w:t>ridispacciamento</w:t>
      </w:r>
      <w:proofErr w:type="spellEnd"/>
      <w:r w:rsidRPr="00200CEE">
        <w:rPr>
          <w:rFonts w:asciiTheme="minorHAnsi" w:eastAsia="Times New Roman" w:hAnsiTheme="minorHAnsi" w:cs="Times New Roman"/>
          <w:b/>
          <w:bCs/>
          <w:color w:val="000000" w:themeColor="text1"/>
          <w:sz w:val="24"/>
          <w:szCs w:val="24"/>
        </w:rPr>
        <w:t xml:space="preserve"> della generazione, allo stoccaggio dell'energia e alla gestione della domanda non basati sul mercato di cui all'articolo 13, paragrafo 3, del Regolamento (UE) 2019/943, conferire all'Autorità di regolazione per energia, reti e ambiente le competenze finalizzate alla deroga all'obbligo di </w:t>
      </w:r>
      <w:proofErr w:type="spellStart"/>
      <w:r w:rsidRPr="00200CEE">
        <w:rPr>
          <w:rFonts w:asciiTheme="minorHAnsi" w:eastAsia="Times New Roman" w:hAnsiTheme="minorHAnsi" w:cs="Times New Roman"/>
          <w:b/>
          <w:bCs/>
          <w:color w:val="000000" w:themeColor="text1"/>
          <w:sz w:val="24"/>
          <w:szCs w:val="24"/>
        </w:rPr>
        <w:t>ridispacciare</w:t>
      </w:r>
      <w:proofErr w:type="spellEnd"/>
      <w:r w:rsidRPr="00200CEE">
        <w:rPr>
          <w:rFonts w:asciiTheme="minorHAnsi" w:eastAsia="Times New Roman" w:hAnsiTheme="minorHAnsi" w:cs="Times New Roman"/>
          <w:b/>
          <w:bCs/>
          <w:color w:val="000000" w:themeColor="text1"/>
          <w:sz w:val="24"/>
          <w:szCs w:val="24"/>
        </w:rPr>
        <w:t xml:space="preserve"> gli impianti di generazione;</w:t>
      </w:r>
      <w:r>
        <w:rPr>
          <w:rStyle w:val="Rimandonotaapidipagina"/>
          <w:rFonts w:asciiTheme="minorHAnsi" w:eastAsia="Times New Roman" w:hAnsiTheme="minorHAnsi" w:cs="Times New Roman"/>
          <w:b/>
          <w:bCs/>
          <w:color w:val="000000" w:themeColor="text1"/>
          <w:sz w:val="24"/>
          <w:szCs w:val="24"/>
        </w:rPr>
        <w:footnoteReference w:id="103"/>
      </w:r>
    </w:p>
    <w:p w14:paraId="0382E7C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stabilire, in caso di mancato rispetto degli obblighi previsti dal regolamento (UE) 2019/943, l'irrogazione da parte dell'Autorità di regolazione per energia, reti e ambiente di sanzioni amministrative pecuniarie effettive, proporzionate e dissuasive.</w:t>
      </w:r>
    </w:p>
    <w:p w14:paraId="50038D7F"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581BCD"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20.</w:t>
      </w:r>
    </w:p>
    <w:p w14:paraId="562F5912" w14:textId="77777777"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l'adeguamento della normativa nazionale alle disposizioni del regolamento (UE) 2019/1238, sul prodotto pensionistico individuale paneuropeo (PEPP))</w:t>
      </w:r>
    </w:p>
    <w:p w14:paraId="7178D9F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44E84B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alle disposizioni del regolamento (UE) 2019/1238 del Parlamento europeo e del Consiglio, del 20 giugno 2019.</w:t>
      </w:r>
    </w:p>
    <w:p w14:paraId="13462BF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10464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3965764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individuare e designare la Commissione di vigilanza sui fondi pensione (COVIP) come autorità competente per le procedure di registrazione e di </w:t>
      </w:r>
      <w:r w:rsidRPr="00200CEE">
        <w:rPr>
          <w:rFonts w:asciiTheme="minorHAnsi" w:eastAsia="Times New Roman" w:hAnsiTheme="minorHAnsi" w:cs="Times New Roman"/>
          <w:bCs/>
          <w:strike/>
          <w:color w:val="000000" w:themeColor="text1"/>
          <w:sz w:val="24"/>
          <w:szCs w:val="24"/>
          <w:highlight w:val="yellow"/>
        </w:rPr>
        <w:t>cancellazione</w:t>
      </w:r>
      <w:r w:rsidR="00200CEE">
        <w:rPr>
          <w:rFonts w:asciiTheme="minorHAnsi" w:eastAsia="Times New Roman" w:hAnsiTheme="minorHAnsi" w:cs="Times New Roman"/>
          <w:bCs/>
          <w:color w:val="000000" w:themeColor="text1"/>
          <w:sz w:val="24"/>
          <w:szCs w:val="24"/>
        </w:rPr>
        <w:t xml:space="preserve"> </w:t>
      </w:r>
      <w:r w:rsidR="00200CEE" w:rsidRPr="00200CEE">
        <w:rPr>
          <w:rFonts w:asciiTheme="minorHAnsi" w:eastAsia="Times New Roman" w:hAnsiTheme="minorHAnsi" w:cs="Times New Roman"/>
          <w:b/>
          <w:bCs/>
          <w:color w:val="000000" w:themeColor="text1"/>
          <w:sz w:val="24"/>
          <w:szCs w:val="24"/>
        </w:rPr>
        <w:t>annullamento della registrazione</w:t>
      </w:r>
      <w:r w:rsidR="00200CEE">
        <w:rPr>
          <w:rFonts w:asciiTheme="minorHAnsi" w:eastAsia="Times New Roman" w:hAnsiTheme="minorHAnsi" w:cs="Times New Roman"/>
          <w:bCs/>
          <w:color w:val="000000" w:themeColor="text1"/>
          <w:sz w:val="24"/>
          <w:szCs w:val="24"/>
        </w:rPr>
        <w:t>,</w:t>
      </w:r>
      <w:r w:rsidRPr="002C1B13">
        <w:rPr>
          <w:rFonts w:asciiTheme="minorHAnsi" w:eastAsia="Times New Roman" w:hAnsiTheme="minorHAnsi" w:cs="Times New Roman"/>
          <w:bCs/>
          <w:color w:val="000000" w:themeColor="text1"/>
          <w:sz w:val="24"/>
          <w:szCs w:val="24"/>
        </w:rPr>
        <w:t xml:space="preserve"> </w:t>
      </w:r>
      <w:r w:rsidR="00200CEE">
        <w:rPr>
          <w:rStyle w:val="Rimandonotaapidipagina"/>
          <w:rFonts w:asciiTheme="minorHAnsi" w:eastAsia="Times New Roman" w:hAnsiTheme="minorHAnsi" w:cs="Times New Roman"/>
          <w:bCs/>
          <w:color w:val="000000" w:themeColor="text1"/>
          <w:sz w:val="24"/>
          <w:szCs w:val="24"/>
        </w:rPr>
        <w:footnoteReference w:id="104"/>
      </w:r>
      <w:r w:rsidRPr="002C1B13">
        <w:rPr>
          <w:rFonts w:asciiTheme="minorHAnsi" w:eastAsia="Times New Roman" w:hAnsiTheme="minorHAnsi" w:cs="Times New Roman"/>
          <w:bCs/>
          <w:color w:val="000000" w:themeColor="text1"/>
          <w:sz w:val="24"/>
          <w:szCs w:val="24"/>
        </w:rPr>
        <w:t xml:space="preserve">nonché come unico soggetto deputato allo scambio di informazioni con le autorità competenti degli Stati membri e di comunicazioni con l'Autorità europea delle assicurazioni e delle pensioni aziendali e professionali (EIOPA); individuare e designare le autorità nazionali competenti, ai fini dello svolgimento </w:t>
      </w:r>
      <w:r w:rsidRPr="002C1B13">
        <w:rPr>
          <w:rFonts w:asciiTheme="minorHAnsi" w:eastAsia="Times New Roman" w:hAnsiTheme="minorHAnsi" w:cs="Times New Roman"/>
          <w:bCs/>
          <w:color w:val="000000" w:themeColor="text1"/>
          <w:sz w:val="24"/>
          <w:szCs w:val="24"/>
        </w:rPr>
        <w:lastRenderedPageBreak/>
        <w:t>delle altre attività di vigilanza previste dal medesimo regolamento, tra cui la vigilanza sull'adozione e la corretta attuazione delle procedure in materia di governo e di controllo del prodotto in coerenza con il generale assetto e il riparto di competenze previsti, a livello nazionale, tra la COVIP, la Banca d'Italia, la CONSOB e l'Istituto per la vigilanza sulle assicurazioni (IVASS), con particolare riguardo alle competenze previste in materia di autorizzazione alla costituzione delle forme pensionistiche individuali e vigilanza sulle stesse, anche prevedendo forme di coordinamento e di intesa tra le anzidette autorità;</w:t>
      </w:r>
    </w:p>
    <w:p w14:paraId="0476484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attribuire alle autorità designate ai sensi della lettera a) i poteri previsti dal regolamento (UE) 2019/1238, ivi inclusi i poteri di vigilanza e di indagine e quelli di intervento sul prodotto rispettivamente previsti dagli articoli 62 e 63 del medesimo regolamento, in coerenza con quanto disposto in forza della lettera a);</w:t>
      </w:r>
    </w:p>
    <w:p w14:paraId="48BF62C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individuare nella COVIP l'autorità nazionale competente a effettuare la pubblicazione sul proprio sito internet delle disposizioni nazionali, primarie e secondarie, di cui all'articolo 12, paragrafo 1, del regolamento (UE) 2019/1238, prevedendo che la Banca d'Italia, la CONSOB e l'IVASS garantiscano un collegamento diretto dai propri siti internet a tale pubblicazione;</w:t>
      </w:r>
    </w:p>
    <w:p w14:paraId="713DFCE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definire per i prodotti pensionistici individuali paneuropei (PEPP) un trattamento fiscale analogo a quello previsto per le forme pensionistiche complementari di cui al decreto legislativo 5 dicembre 2005, n. 252, anche prevedendo l'obbligo della sussistenza di requisiti che garantiscano al risparmiatore in PEPP un livello di tutela almeno analogo a quello derivante dalla sottoscrizione di forme pensionistiche complementari già esistenti;</w:t>
      </w:r>
    </w:p>
    <w:p w14:paraId="721B3C9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esercitare l'opzione di cui all'articolo 37, paragrafo 3, del regolamento (UE) 2019/1238, che consente di imporre ai fornitori di PEPP di fornire, ai risparmiatori in PEPP, proiezioni pensionistiche aggiuntive rispetto a quelle previste dal regolamento (UE) 2019/1238, basate su ipotesi fissate a livello nazionale in modo da permettere la confrontabilità con i prodotti nazionali;</w:t>
      </w:r>
    </w:p>
    <w:p w14:paraId="19F092F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f) esercitare, in coerenza con la vigente disciplina delle forme pensionistiche complementari di cui decreto legislativo n. 252 del 2005, l'opzione di cui all'articolo 47, paragrafo 1, del regolamento (UE) 2019/1238, che consente di determinare le condizioni relative alla fase di accumulo del sottoconto nazionale del PEPP;</w:t>
      </w:r>
    </w:p>
    <w:p w14:paraId="3D4328C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esercitare l'opzione di cui all'articolo 53, paragrafo 2, del regolamento (UE) 2019/1238, che consente di prevedere che la richiesta di trasferimento del risparmiatore in PEPP sia presentata in forma scritta e che questi abbia anche il diritto di ricevere comunicazione, in forma scritta, da parte del fornitore di PEPP, dell'accoglimento della stessa;</w:t>
      </w:r>
    </w:p>
    <w:p w14:paraId="547F6D3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h) esercitare l'opzione di cui all'articolo 54, paragrafo 3, del regolamento (UE) 2019/1238, che, nel caso di richiesta di trasferimento del risparmiatore in PEPP, consente di fissare le commissioni e gli oneri addebitati al risparmiatore in PEPP dal fornitore di PEPP trasferente, per la chiusura del conto PEPP detenuto presso di esso, ad un limite inferiore rispetto a quello previsto nella medesima disposizione, ovvero un limite diverso nel caso in cui il fornitore di PEPP consenta ai risparmiatori in PEPP di effettuare </w:t>
      </w:r>
      <w:r w:rsidRPr="002C1B13">
        <w:rPr>
          <w:rFonts w:asciiTheme="minorHAnsi" w:eastAsia="Times New Roman" w:hAnsiTheme="minorHAnsi" w:cs="Times New Roman"/>
          <w:bCs/>
          <w:color w:val="000000" w:themeColor="text1"/>
          <w:sz w:val="24"/>
          <w:szCs w:val="24"/>
        </w:rPr>
        <w:lastRenderedPageBreak/>
        <w:t>il trasferimento presso altro fornitore di PEPP con una frequenza maggiore di quella prevista dall'articolo 52, paragrafo 3, dello stesso regolamento;</w:t>
      </w:r>
    </w:p>
    <w:p w14:paraId="378D056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i) esercitare, in coerenza con la vigente disciplina delle forme pensionistiche complementari di cui al decreto legislativo n. 252 del 2005, l'opzione di cui all'articolo 57, paragrafo 1, del regolamento (UE) 2019/1238, che consente di fissare le condizioni riguardanti la fase di </w:t>
      </w:r>
      <w:proofErr w:type="spellStart"/>
      <w:r w:rsidRPr="002C1B13">
        <w:rPr>
          <w:rFonts w:asciiTheme="minorHAnsi" w:eastAsia="Times New Roman" w:hAnsiTheme="minorHAnsi" w:cs="Times New Roman"/>
          <w:bCs/>
          <w:color w:val="000000" w:themeColor="text1"/>
          <w:sz w:val="24"/>
          <w:szCs w:val="24"/>
        </w:rPr>
        <w:t>decumulo</w:t>
      </w:r>
      <w:proofErr w:type="spellEnd"/>
      <w:r w:rsidRPr="002C1B13">
        <w:rPr>
          <w:rFonts w:asciiTheme="minorHAnsi" w:eastAsia="Times New Roman" w:hAnsiTheme="minorHAnsi" w:cs="Times New Roman"/>
          <w:bCs/>
          <w:color w:val="000000" w:themeColor="text1"/>
          <w:sz w:val="24"/>
          <w:szCs w:val="24"/>
        </w:rPr>
        <w:t xml:space="preserve"> e le erogazioni del sottoconto nazionale, ivi incluse le condizioni del rimborso prima dell'inizio della fase di </w:t>
      </w:r>
      <w:proofErr w:type="spellStart"/>
      <w:r w:rsidRPr="002C1B13">
        <w:rPr>
          <w:rFonts w:asciiTheme="minorHAnsi" w:eastAsia="Times New Roman" w:hAnsiTheme="minorHAnsi" w:cs="Times New Roman"/>
          <w:bCs/>
          <w:color w:val="000000" w:themeColor="text1"/>
          <w:sz w:val="24"/>
          <w:szCs w:val="24"/>
        </w:rPr>
        <w:t>decumulo</w:t>
      </w:r>
      <w:proofErr w:type="spellEnd"/>
      <w:r w:rsidRPr="002C1B13">
        <w:rPr>
          <w:rFonts w:asciiTheme="minorHAnsi" w:eastAsia="Times New Roman" w:hAnsiTheme="minorHAnsi" w:cs="Times New Roman"/>
          <w:bCs/>
          <w:color w:val="000000" w:themeColor="text1"/>
          <w:sz w:val="24"/>
          <w:szCs w:val="24"/>
        </w:rPr>
        <w:t>;</w:t>
      </w:r>
    </w:p>
    <w:p w14:paraId="381461D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l) esercitare l'opzione di cui all'articolo 58, paragrafo 3, del regolamento (UE) n. 2019/1238, che consente di adottare misure volte a privilegiare la rendita vitalizia quale forma di erogazione della prestazione, coordinando e collegando tali misure alla definizione del trattamento fiscale di cui alla lettera d);</w:t>
      </w:r>
    </w:p>
    <w:p w14:paraId="00FB05E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m) esercitare l'opzione di cui all'articolo 58, paragrafo 4, del regolamento (UE) 2019/1238, che consente di specificare le condizioni che devono sussistere affinché lo Stato possa esigere il rimborso dei vantaggi e degli incentivi concessi ai risparmiatori in PEPP ai sensi della lettera c);</w:t>
      </w:r>
    </w:p>
    <w:p w14:paraId="391EEFC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n) attribuire alle autorità designate ai sensi della lettera a) il potere di imporre le sanzioni e le altre misure amministrative previste dall'articolo 67, paragrafo 3, del regolamento (UE) 2019/1238 per le violazioni previste dal paragrafo 2 del medesimo articolo 67 e per le violazioni di ulteriori obblighi previsti dal regolamento medesimo, nel rispetto dei previsti criteri e dei limiti, nonché delle procedure previste dalle disposizioni nazionali vigenti che disciplinano l'esercizio del potere sanzionatorio da parte delle autorità anzidette, avuto riguardo alla ripartizione di competenze secondo i princìpi indicati nella lettera a); le sanzioni amministrative pecuniarie devono essere non inferiori nel minimo a 500 euro e non superiori nel massimo a quanto previsto dall'articolo 67, paragrafo 3, del regolamento (UE) 2019/1238;</w:t>
      </w:r>
    </w:p>
    <w:p w14:paraId="72E14BE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o) prevedere che, per stabilire il tipo e il livello delle sanzioni e delle altre misure amministrative previste dall'articolo 67, paragrafo 3, del regolamento (UE) 2019/1238, si tenga conto delle circostanze pertinenti elencate dall'articolo 68, paragrafo 2, del medesimo regolamento e prevedere la pubblicazione delle decisioni che impongono sanzioni o altre misure amministrative nei limiti e secondo le previsioni dell'articolo 69 del medesimo regolamento (UE) 2019/1238;</w:t>
      </w:r>
    </w:p>
    <w:p w14:paraId="4828F0F2"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p) apportare alla normativa vigente tutte le modifiche e le integrazioni necessarie a dare adeguamento alle disposizioni del regolamento (UE) 2019/1238 e alle inerenti norme tecniche di regolamentazione e di attuazione della Commissione europea previste dal medesimo regolamento;</w:t>
      </w:r>
    </w:p>
    <w:p w14:paraId="65B057A4"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q) prevedere forme di coordinamento e di intesa tra le autorità di cui alla lettera a), al fine di dare esecuzione alle disposizioni emanate in forza del presente articolo.</w:t>
      </w:r>
    </w:p>
    <w:p w14:paraId="391F25B7" w14:textId="77777777" w:rsidR="00A410E7" w:rsidRPr="00FC07A5" w:rsidRDefault="00A410E7" w:rsidP="00A410E7">
      <w:pPr>
        <w:jc w:val="center"/>
        <w:rPr>
          <w:b/>
          <w:bCs/>
          <w:color w:val="000000" w:themeColor="text1"/>
          <w:sz w:val="24"/>
          <w:szCs w:val="24"/>
        </w:rPr>
      </w:pPr>
      <w:r w:rsidRPr="00FC07A5">
        <w:rPr>
          <w:b/>
          <w:bCs/>
          <w:color w:val="000000" w:themeColor="text1"/>
          <w:sz w:val="24"/>
          <w:szCs w:val="24"/>
        </w:rPr>
        <w:t>Art. 20-bis.</w:t>
      </w:r>
    </w:p>
    <w:p w14:paraId="7AF6AFF9" w14:textId="77777777" w:rsidR="00A410E7" w:rsidRPr="00FC07A5" w:rsidRDefault="00A410E7" w:rsidP="00A410E7">
      <w:pPr>
        <w:jc w:val="center"/>
        <w:rPr>
          <w:b/>
          <w:bCs/>
          <w:color w:val="000000" w:themeColor="text1"/>
          <w:sz w:val="24"/>
          <w:szCs w:val="24"/>
        </w:rPr>
      </w:pPr>
    </w:p>
    <w:p w14:paraId="64C9E322" w14:textId="77777777" w:rsidR="00A410E7" w:rsidRPr="00FC07A5" w:rsidRDefault="00A410E7" w:rsidP="00A410E7">
      <w:pPr>
        <w:jc w:val="center"/>
        <w:rPr>
          <w:b/>
          <w:bCs/>
          <w:color w:val="000000" w:themeColor="text1"/>
          <w:sz w:val="24"/>
          <w:szCs w:val="24"/>
        </w:rPr>
      </w:pPr>
      <w:r w:rsidRPr="00FC07A5">
        <w:rPr>
          <w:b/>
          <w:bCs/>
          <w:color w:val="000000" w:themeColor="text1"/>
          <w:sz w:val="24"/>
          <w:szCs w:val="24"/>
        </w:rPr>
        <w:t>(Princìpi e criteri direttivi per l'attuazione della direttiva (UE) 2019/1937 del Parlamento europeo e del Consiglio, del 23 ottobre 2019, riguardante la protezione delle persone che segnalano violazioni del diritto dell'Unione)</w:t>
      </w:r>
    </w:p>
    <w:p w14:paraId="301B7CF9" w14:textId="77777777" w:rsidR="00A410E7" w:rsidRPr="00FC07A5" w:rsidRDefault="00A410E7" w:rsidP="00A410E7">
      <w:pPr>
        <w:jc w:val="center"/>
        <w:rPr>
          <w:b/>
          <w:bCs/>
          <w:color w:val="000000" w:themeColor="text1"/>
          <w:sz w:val="24"/>
          <w:szCs w:val="24"/>
        </w:rPr>
      </w:pPr>
    </w:p>
    <w:p w14:paraId="29962C55" w14:textId="77777777" w:rsidR="00A410E7" w:rsidRPr="00FC07A5" w:rsidRDefault="00A410E7" w:rsidP="00A410E7">
      <w:pPr>
        <w:jc w:val="both"/>
        <w:rPr>
          <w:b/>
          <w:bCs/>
          <w:color w:val="000000" w:themeColor="text1"/>
          <w:sz w:val="24"/>
          <w:szCs w:val="24"/>
        </w:rPr>
      </w:pPr>
      <w:r w:rsidRPr="00FC07A5">
        <w:rPr>
          <w:b/>
          <w:bCs/>
          <w:color w:val="000000" w:themeColor="text1"/>
          <w:sz w:val="24"/>
          <w:szCs w:val="24"/>
        </w:rPr>
        <w:t xml:space="preserve">        1. Nell'esercizio della delega per l'attuazione della direttiva (UE) 2019/1937 del Parlamento europeo e del Consigli, del 23 ottobre 2019, il Governo osserva, oltre ai principi e criteri direttivi generali di cui all'articolo 32 della legge n.234 del 2012, anche i seguenti princìpi e criteri direttivi specifici:</w:t>
      </w:r>
    </w:p>
    <w:p w14:paraId="012F847C" w14:textId="77777777" w:rsidR="00A410E7" w:rsidRPr="00FC07A5" w:rsidRDefault="00A410E7" w:rsidP="00A410E7">
      <w:pPr>
        <w:jc w:val="both"/>
        <w:rPr>
          <w:b/>
          <w:bCs/>
          <w:color w:val="000000" w:themeColor="text1"/>
          <w:sz w:val="24"/>
          <w:szCs w:val="24"/>
        </w:rPr>
      </w:pPr>
    </w:p>
    <w:p w14:paraId="16FA4717" w14:textId="77777777" w:rsidR="00A410E7" w:rsidRPr="00FC07A5" w:rsidRDefault="00A410E7" w:rsidP="00A410E7">
      <w:pPr>
        <w:jc w:val="both"/>
        <w:rPr>
          <w:b/>
          <w:bCs/>
          <w:color w:val="000000" w:themeColor="text1"/>
          <w:sz w:val="24"/>
          <w:szCs w:val="24"/>
        </w:rPr>
      </w:pPr>
      <w:r w:rsidRPr="00FC07A5">
        <w:rPr>
          <w:b/>
          <w:bCs/>
          <w:color w:val="000000" w:themeColor="text1"/>
          <w:sz w:val="24"/>
          <w:szCs w:val="24"/>
        </w:rPr>
        <w:t xml:space="preserve">            a) modificare, in conformità alla disciplina della direttiva (UE) 2019/1937, la normativa vigente in materia di tutela degli autori di segnalazioni delle violazioni di cui all'articolo 2 della predetta direttiva di cui siano venuti a conoscenza nell'ambito di un contesto lavorativo pubblico o privato e dei soggetti indicati dall'articolo 4, paragrafo 4 della stessa direttiva;</w:t>
      </w:r>
    </w:p>
    <w:p w14:paraId="1A86001F" w14:textId="77777777" w:rsidR="00A410E7" w:rsidRPr="00FC07A5" w:rsidRDefault="00A410E7" w:rsidP="00A410E7">
      <w:pPr>
        <w:jc w:val="both"/>
        <w:rPr>
          <w:b/>
          <w:bCs/>
          <w:color w:val="000000" w:themeColor="text1"/>
          <w:sz w:val="24"/>
          <w:szCs w:val="24"/>
        </w:rPr>
      </w:pPr>
    </w:p>
    <w:p w14:paraId="21BF5E2C" w14:textId="77777777" w:rsidR="00A410E7" w:rsidRPr="00FC07A5" w:rsidRDefault="00A410E7" w:rsidP="00A410E7">
      <w:pPr>
        <w:jc w:val="both"/>
        <w:rPr>
          <w:b/>
          <w:bCs/>
          <w:color w:val="000000" w:themeColor="text1"/>
          <w:sz w:val="24"/>
          <w:szCs w:val="24"/>
        </w:rPr>
      </w:pPr>
      <w:r w:rsidRPr="00FC07A5">
        <w:rPr>
          <w:b/>
          <w:bCs/>
          <w:color w:val="000000" w:themeColor="text1"/>
          <w:sz w:val="24"/>
          <w:szCs w:val="24"/>
        </w:rPr>
        <w:t xml:space="preserve">            b) curare il coordinamento con le disposizioni vigenti, assicurando un alto grado di protezione e tutela dei soggetti di cui alla lettera a), operando le necessarie abrogazioni e adottando le opportune disposizioni transitorie;</w:t>
      </w:r>
    </w:p>
    <w:p w14:paraId="458C82F5" w14:textId="77777777" w:rsidR="00A410E7" w:rsidRPr="00FC07A5" w:rsidRDefault="00A410E7" w:rsidP="00A410E7">
      <w:pPr>
        <w:jc w:val="both"/>
        <w:rPr>
          <w:b/>
          <w:bCs/>
          <w:color w:val="000000" w:themeColor="text1"/>
          <w:sz w:val="24"/>
          <w:szCs w:val="24"/>
        </w:rPr>
      </w:pPr>
    </w:p>
    <w:p w14:paraId="3A88BF58" w14:textId="77777777" w:rsidR="00A410E7" w:rsidRDefault="00A410E7" w:rsidP="00A410E7">
      <w:pPr>
        <w:jc w:val="both"/>
        <w:rPr>
          <w:b/>
          <w:bCs/>
          <w:color w:val="000000" w:themeColor="text1"/>
          <w:sz w:val="24"/>
          <w:szCs w:val="24"/>
        </w:rPr>
      </w:pPr>
      <w:r w:rsidRPr="00FC07A5">
        <w:rPr>
          <w:b/>
          <w:bCs/>
          <w:color w:val="000000" w:themeColor="text1"/>
          <w:sz w:val="24"/>
          <w:szCs w:val="24"/>
        </w:rPr>
        <w:t xml:space="preserve">            c) esercitare l'opzione di cui all'articolo 25, paragrafo 1, della direttiva (UE) 2019/1937 che consente l'introduzione o il mantenimento delle disposizioni più favorevoli ai diritti delle persone segnalanti e di quelle indicate dalla direttiva, al fine di assicurare comunque il massimo livello di protezione e tutela dei medesimi soggetti.</w:t>
      </w:r>
      <w:r>
        <w:rPr>
          <w:rStyle w:val="Rimandonotaapidipagina"/>
          <w:b/>
          <w:bCs/>
          <w:color w:val="000000" w:themeColor="text1"/>
          <w:sz w:val="24"/>
          <w:szCs w:val="24"/>
        </w:rPr>
        <w:footnoteReference w:id="105"/>
      </w:r>
    </w:p>
    <w:p w14:paraId="2B2155F5" w14:textId="77777777" w:rsidR="003B6094" w:rsidRDefault="003B6094" w:rsidP="00A410E7">
      <w:pPr>
        <w:jc w:val="both"/>
        <w:rPr>
          <w:b/>
          <w:bCs/>
          <w:color w:val="000000" w:themeColor="text1"/>
          <w:sz w:val="24"/>
          <w:szCs w:val="24"/>
        </w:rPr>
      </w:pPr>
    </w:p>
    <w:p w14:paraId="38EB5A51" w14:textId="77777777" w:rsidR="003B6094" w:rsidRPr="009E33E6" w:rsidRDefault="003B6094" w:rsidP="003B6094">
      <w:pPr>
        <w:jc w:val="center"/>
        <w:rPr>
          <w:rFonts w:asciiTheme="minorHAnsi" w:hAnsiTheme="minorHAnsi"/>
          <w:b/>
          <w:bCs/>
          <w:color w:val="000000" w:themeColor="text1"/>
          <w:sz w:val="24"/>
          <w:szCs w:val="24"/>
        </w:rPr>
      </w:pPr>
      <w:r w:rsidRPr="009E33E6">
        <w:rPr>
          <w:rFonts w:asciiTheme="minorHAnsi" w:hAnsiTheme="minorHAnsi"/>
          <w:b/>
          <w:bCs/>
          <w:color w:val="000000" w:themeColor="text1"/>
          <w:sz w:val="24"/>
          <w:szCs w:val="24"/>
        </w:rPr>
        <w:t>Art. 20-bis.</w:t>
      </w:r>
    </w:p>
    <w:p w14:paraId="37F4A5C0" w14:textId="77777777" w:rsidR="003B6094" w:rsidRPr="009E33E6" w:rsidRDefault="003B6094" w:rsidP="003B6094">
      <w:pPr>
        <w:jc w:val="center"/>
        <w:rPr>
          <w:rFonts w:asciiTheme="minorHAnsi" w:hAnsiTheme="minorHAnsi"/>
          <w:b/>
          <w:bCs/>
          <w:color w:val="000000" w:themeColor="text1"/>
          <w:sz w:val="24"/>
          <w:szCs w:val="24"/>
        </w:rPr>
      </w:pPr>
    </w:p>
    <w:p w14:paraId="3F8785CD" w14:textId="77777777" w:rsidR="003B6094" w:rsidRPr="009E33E6" w:rsidRDefault="003B6094" w:rsidP="003B6094">
      <w:pPr>
        <w:jc w:val="center"/>
        <w:rPr>
          <w:rFonts w:asciiTheme="minorHAnsi" w:hAnsiTheme="minorHAnsi"/>
          <w:b/>
          <w:bCs/>
          <w:color w:val="000000" w:themeColor="text1"/>
          <w:sz w:val="24"/>
          <w:szCs w:val="24"/>
        </w:rPr>
      </w:pPr>
      <w:r w:rsidRPr="009E33E6">
        <w:rPr>
          <w:rFonts w:asciiTheme="minorHAnsi" w:hAnsiTheme="minorHAnsi"/>
          <w:b/>
          <w:bCs/>
          <w:color w:val="000000" w:themeColor="text1"/>
          <w:sz w:val="24"/>
          <w:szCs w:val="24"/>
        </w:rPr>
        <w:t>(Principi e criteri direttivi per il recepimento della direttiva (UE) 2019/904 del Parlamento europeo e del Consiglio del 5 giugno 2019, sulla riduzione dell'incidenza di determinati prodotti di plastica sull'ambiente)</w:t>
      </w:r>
    </w:p>
    <w:p w14:paraId="4D24D526" w14:textId="77777777" w:rsidR="003B6094" w:rsidRPr="009E33E6" w:rsidRDefault="003B6094" w:rsidP="003B6094">
      <w:pPr>
        <w:jc w:val="both"/>
        <w:rPr>
          <w:rFonts w:asciiTheme="minorHAnsi" w:hAnsiTheme="minorHAnsi"/>
          <w:b/>
          <w:bCs/>
          <w:color w:val="000000" w:themeColor="text1"/>
          <w:sz w:val="24"/>
          <w:szCs w:val="24"/>
        </w:rPr>
      </w:pPr>
    </w:p>
    <w:p w14:paraId="1911FE2E" w14:textId="77777777" w:rsidR="003B6094" w:rsidRPr="009E33E6" w:rsidRDefault="003B6094" w:rsidP="003B6094">
      <w:pPr>
        <w:jc w:val="both"/>
        <w:rPr>
          <w:rFonts w:asciiTheme="minorHAnsi" w:hAnsiTheme="minorHAnsi"/>
          <w:b/>
          <w:bCs/>
          <w:color w:val="000000" w:themeColor="text1"/>
          <w:sz w:val="24"/>
          <w:szCs w:val="24"/>
        </w:rPr>
      </w:pPr>
      <w:r w:rsidRPr="009E33E6">
        <w:rPr>
          <w:rFonts w:asciiTheme="minorHAnsi" w:hAnsiTheme="minorHAnsi"/>
          <w:b/>
          <w:bCs/>
          <w:color w:val="000000" w:themeColor="text1"/>
          <w:sz w:val="24"/>
          <w:szCs w:val="24"/>
        </w:rPr>
        <w:t xml:space="preserve">        1. Nell'esercizio della delega per l'attuazione della direttiva (UE) 2019/904 del Parlamento europeo e del Consiglio, del 5 giugno 2019, il Governo osserva, oltre ai princìpi e criteri direttivi generali di cui all'articolo 32 della legge n. 234 del 2012, anche i seguenti princìpi e criteri direttivi specifici:</w:t>
      </w:r>
    </w:p>
    <w:p w14:paraId="6250E959" w14:textId="77777777" w:rsidR="003B6094" w:rsidRPr="009E33E6" w:rsidRDefault="003B6094" w:rsidP="003B6094">
      <w:pPr>
        <w:jc w:val="both"/>
        <w:rPr>
          <w:rFonts w:asciiTheme="minorHAnsi" w:hAnsiTheme="minorHAnsi"/>
          <w:b/>
          <w:bCs/>
          <w:color w:val="000000" w:themeColor="text1"/>
          <w:sz w:val="24"/>
          <w:szCs w:val="24"/>
        </w:rPr>
      </w:pPr>
    </w:p>
    <w:p w14:paraId="5514F5D7" w14:textId="77777777" w:rsidR="003B6094" w:rsidRPr="009E33E6" w:rsidRDefault="003B6094" w:rsidP="003B6094">
      <w:pPr>
        <w:jc w:val="both"/>
        <w:rPr>
          <w:rFonts w:asciiTheme="minorHAnsi" w:hAnsiTheme="minorHAnsi"/>
          <w:b/>
          <w:bCs/>
          <w:color w:val="000000" w:themeColor="text1"/>
          <w:sz w:val="24"/>
          <w:szCs w:val="24"/>
        </w:rPr>
      </w:pPr>
      <w:r w:rsidRPr="009E33E6">
        <w:rPr>
          <w:rFonts w:asciiTheme="minorHAnsi" w:hAnsiTheme="minorHAnsi"/>
          <w:b/>
          <w:bCs/>
          <w:color w:val="000000" w:themeColor="text1"/>
          <w:sz w:val="24"/>
          <w:szCs w:val="24"/>
        </w:rPr>
        <w:t xml:space="preserve">            a) ai sensi dell'articolo 10 della direttiva (UE) 2019/904 sensibilizzare i consumatori con adeguate e apposite misure al fine di adottare un comportamento responsabile e ridurre la dispersione dei rifiuti derivanti, tra i prodotti contemplati dalla presente direttiva, di palloncini, tranne i palloncini per uso industriale o altri usi e applicazioni professionali che non sono distribuiti ai consumatori;</w:t>
      </w:r>
    </w:p>
    <w:p w14:paraId="20281246" w14:textId="77777777" w:rsidR="003B6094" w:rsidRPr="009E33E6" w:rsidRDefault="003B6094" w:rsidP="003B6094">
      <w:pPr>
        <w:jc w:val="both"/>
        <w:rPr>
          <w:rFonts w:asciiTheme="minorHAnsi" w:hAnsiTheme="minorHAnsi"/>
          <w:b/>
          <w:bCs/>
          <w:color w:val="000000" w:themeColor="text1"/>
          <w:sz w:val="24"/>
          <w:szCs w:val="24"/>
        </w:rPr>
      </w:pPr>
    </w:p>
    <w:p w14:paraId="3C51C0C0" w14:textId="77777777" w:rsidR="003B6094" w:rsidRPr="009E33E6" w:rsidRDefault="003B6094" w:rsidP="003B6094">
      <w:pPr>
        <w:jc w:val="both"/>
        <w:rPr>
          <w:rFonts w:asciiTheme="minorHAnsi" w:hAnsiTheme="minorHAnsi"/>
          <w:b/>
          <w:bCs/>
          <w:color w:val="000000" w:themeColor="text1"/>
          <w:sz w:val="24"/>
          <w:szCs w:val="24"/>
        </w:rPr>
      </w:pPr>
      <w:r w:rsidRPr="009E33E6">
        <w:rPr>
          <w:rFonts w:asciiTheme="minorHAnsi" w:hAnsiTheme="minorHAnsi"/>
          <w:b/>
          <w:bCs/>
          <w:color w:val="000000" w:themeColor="text1"/>
          <w:sz w:val="24"/>
          <w:szCs w:val="24"/>
        </w:rPr>
        <w:t xml:space="preserve">            b) introdurre sanzioni efficaci, proporzionate e dissuasive ai sensi dell'articolo 14 della direttiva (UE) 2019/904 in caso di violazione delle disposizioni nazionali adottate in attuazione della medesima direttiva.</w:t>
      </w:r>
      <w:r>
        <w:rPr>
          <w:rStyle w:val="Rimandonotaapidipagina"/>
          <w:rFonts w:asciiTheme="minorHAnsi" w:hAnsiTheme="minorHAnsi"/>
          <w:b/>
          <w:bCs/>
          <w:color w:val="000000" w:themeColor="text1"/>
          <w:sz w:val="24"/>
          <w:szCs w:val="24"/>
        </w:rPr>
        <w:footnoteReference w:id="106"/>
      </w:r>
    </w:p>
    <w:p w14:paraId="275C5DDE" w14:textId="77777777" w:rsidR="003B6094" w:rsidRPr="006725C6" w:rsidRDefault="003B6094" w:rsidP="00A410E7">
      <w:pPr>
        <w:jc w:val="both"/>
        <w:rPr>
          <w:color w:val="000000" w:themeColor="text1"/>
          <w:sz w:val="24"/>
          <w:szCs w:val="24"/>
        </w:rPr>
      </w:pPr>
    </w:p>
    <w:p w14:paraId="1D89D881" w14:textId="77777777" w:rsidR="00A410E7" w:rsidRDefault="00A410E7"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4391F2" w14:textId="77777777" w:rsidR="0074526D" w:rsidRDefault="0074526D"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42DCE2" w14:textId="77777777" w:rsidR="007B65DD" w:rsidRPr="000D1215" w:rsidRDefault="007B65DD" w:rsidP="007B65DD">
      <w:pPr>
        <w:jc w:val="center"/>
        <w:rPr>
          <w:b/>
          <w:bCs/>
          <w:color w:val="000000" w:themeColor="text1"/>
          <w:sz w:val="24"/>
          <w:szCs w:val="24"/>
        </w:rPr>
      </w:pPr>
      <w:r w:rsidRPr="000D1215">
        <w:rPr>
          <w:b/>
          <w:bCs/>
          <w:color w:val="000000" w:themeColor="text1"/>
          <w:sz w:val="24"/>
          <w:szCs w:val="24"/>
        </w:rPr>
        <w:t>Art. 20-bis.</w:t>
      </w:r>
    </w:p>
    <w:p w14:paraId="3B20C07D" w14:textId="77777777" w:rsidR="007B65DD" w:rsidRPr="000D1215" w:rsidRDefault="007B65DD" w:rsidP="007B65DD">
      <w:pPr>
        <w:jc w:val="center"/>
        <w:rPr>
          <w:b/>
          <w:bCs/>
          <w:color w:val="000000" w:themeColor="text1"/>
          <w:sz w:val="24"/>
          <w:szCs w:val="24"/>
        </w:rPr>
      </w:pPr>
    </w:p>
    <w:p w14:paraId="728554F2" w14:textId="77777777" w:rsidR="007B65DD" w:rsidRPr="000D1215" w:rsidRDefault="007B65DD" w:rsidP="007B65DD">
      <w:pPr>
        <w:jc w:val="center"/>
        <w:rPr>
          <w:b/>
          <w:bCs/>
          <w:color w:val="000000" w:themeColor="text1"/>
          <w:sz w:val="24"/>
          <w:szCs w:val="24"/>
        </w:rPr>
      </w:pPr>
      <w:r w:rsidRPr="000D1215">
        <w:rPr>
          <w:b/>
          <w:bCs/>
          <w:color w:val="000000" w:themeColor="text1"/>
          <w:sz w:val="24"/>
          <w:szCs w:val="24"/>
        </w:rPr>
        <w:t>(Delega al Governo per l'adeguamento della normativa nazionale alle disposizioni del regolamento (UE) 2017/2402 del Parlamento europeo e del Consiglio, del 12 dicembre 2017, che stabilisce un quadro generale per la cartolarizzazione, instaura un quadro specifico per cartolarizzazioni semplici, trasparenti e standardizzate e modifica le direttive 2009/65/CE, 2009/138/CE e 2011/61/UE e i regolamenti (CE) n. 1060/2009 e (UE) n. 648/2012)</w:t>
      </w:r>
    </w:p>
    <w:p w14:paraId="0018CA72" w14:textId="77777777" w:rsidR="007B65DD" w:rsidRPr="000D1215" w:rsidRDefault="007B65DD" w:rsidP="007B65DD">
      <w:pPr>
        <w:jc w:val="both"/>
        <w:rPr>
          <w:b/>
          <w:bCs/>
          <w:color w:val="000000" w:themeColor="text1"/>
          <w:sz w:val="24"/>
          <w:szCs w:val="24"/>
        </w:rPr>
      </w:pPr>
    </w:p>
    <w:p w14:paraId="521B14B6"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lastRenderedPageBreak/>
        <w:t xml:space="preserve">        1. Il Governo è delegato ad adottare, entro dodici mesi dalla data di entrata in vigore della presente legge, con le procedure di cui all'articolo 31 della legge 24 dicembre 2012, n. 234, acquisito il parere delle competenti Commissioni parlamentari, uno o più decreti legislativi per l'adeguamento della normativa nazionale al regolamento (UE) 2017/2402 del Parlamento europeo e del Consiglio, del 12 dicembre 2017, che stabilisce un quadro generale per la cartolarizzazione, instaura un quadro specifico per cartolarizzazioni semplici, trasparenti e standardizzate e modifica le direttive 2009/65/CE, 2009/138/CE e 2011/61/UE e i regolamenti (CE) n. 1060/2009 e (UE) n. 648/2012.</w:t>
      </w:r>
    </w:p>
    <w:p w14:paraId="73F664C7" w14:textId="77777777" w:rsidR="007B65DD" w:rsidRPr="000D1215" w:rsidRDefault="007B65DD" w:rsidP="007B65DD">
      <w:pPr>
        <w:jc w:val="both"/>
        <w:rPr>
          <w:b/>
          <w:bCs/>
          <w:color w:val="000000" w:themeColor="text1"/>
          <w:sz w:val="24"/>
          <w:szCs w:val="24"/>
        </w:rPr>
      </w:pPr>
    </w:p>
    <w:p w14:paraId="4E852BE4"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2. Nell'esercizio della delega di cui al comma 1, il Governo si attiene ai seguenti principi e criteri direttivi specifici:</w:t>
      </w:r>
    </w:p>
    <w:p w14:paraId="65F19E92" w14:textId="77777777" w:rsidR="007B65DD" w:rsidRPr="000D1215" w:rsidRDefault="007B65DD" w:rsidP="007B65DD">
      <w:pPr>
        <w:jc w:val="both"/>
        <w:rPr>
          <w:b/>
          <w:bCs/>
          <w:color w:val="000000" w:themeColor="text1"/>
          <w:sz w:val="24"/>
          <w:szCs w:val="24"/>
        </w:rPr>
      </w:pPr>
    </w:p>
    <w:p w14:paraId="015D3197"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a) apportare alla normativa vigente tutte le modificazioni necessarie ad assicurare la corretta applicazione del regolamento (UE) 2402/2017;</w:t>
      </w:r>
    </w:p>
    <w:p w14:paraId="6F442C91" w14:textId="77777777" w:rsidR="007B65DD" w:rsidRPr="000D1215" w:rsidRDefault="007B65DD" w:rsidP="007B65DD">
      <w:pPr>
        <w:jc w:val="both"/>
        <w:rPr>
          <w:b/>
          <w:bCs/>
          <w:color w:val="000000" w:themeColor="text1"/>
          <w:sz w:val="24"/>
          <w:szCs w:val="24"/>
        </w:rPr>
      </w:pPr>
    </w:p>
    <w:p w14:paraId="256EB828"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b) individuare la Banca d'Italia, l'</w:t>
      </w:r>
      <w:proofErr w:type="spellStart"/>
      <w:r w:rsidRPr="000D1215">
        <w:rPr>
          <w:b/>
          <w:bCs/>
          <w:color w:val="000000" w:themeColor="text1"/>
          <w:sz w:val="24"/>
          <w:szCs w:val="24"/>
        </w:rPr>
        <w:t>Ivass</w:t>
      </w:r>
      <w:proofErr w:type="spellEnd"/>
      <w:r w:rsidRPr="000D1215">
        <w:rPr>
          <w:b/>
          <w:bCs/>
          <w:color w:val="000000" w:themeColor="text1"/>
          <w:sz w:val="24"/>
          <w:szCs w:val="24"/>
        </w:rPr>
        <w:t>, la Consob e la Covip, secondo le relative attribuzioni, quali autorità competenti, ai sensi dell'articolo 29, commi 1, 2, 3, 4 e 5 del regolamento (UE) 2402/2017;</w:t>
      </w:r>
    </w:p>
    <w:p w14:paraId="239B90C1" w14:textId="77777777" w:rsidR="007B65DD" w:rsidRPr="000D1215" w:rsidRDefault="007B65DD" w:rsidP="007B65DD">
      <w:pPr>
        <w:jc w:val="both"/>
        <w:rPr>
          <w:b/>
          <w:bCs/>
          <w:color w:val="000000" w:themeColor="text1"/>
          <w:sz w:val="24"/>
          <w:szCs w:val="24"/>
        </w:rPr>
      </w:pPr>
    </w:p>
    <w:p w14:paraId="220CF4C3"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c) prevedere, ove opportuno, il ricorso alla disciplina secondaria adottata dalle autorità individuate ai sensi della lettera b) nell'ambito e per le finalità specificamente previste dal regolamento (UE) 2402/2017 e dalla legislazione dell'Unione europea attuativa del medesimo regolamento;</w:t>
      </w:r>
    </w:p>
    <w:p w14:paraId="66169C9A" w14:textId="77777777" w:rsidR="007B65DD" w:rsidRPr="000D1215" w:rsidRDefault="007B65DD" w:rsidP="007B65DD">
      <w:pPr>
        <w:jc w:val="both"/>
        <w:rPr>
          <w:b/>
          <w:bCs/>
          <w:color w:val="000000" w:themeColor="text1"/>
          <w:sz w:val="24"/>
          <w:szCs w:val="24"/>
        </w:rPr>
      </w:pPr>
    </w:p>
    <w:p w14:paraId="0C82AFE4"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d) prevedere che le autorità individuate ai sensi della lettera b):</w:t>
      </w:r>
    </w:p>
    <w:p w14:paraId="0CA27F8B" w14:textId="77777777" w:rsidR="007B65DD" w:rsidRPr="000D1215" w:rsidRDefault="007B65DD" w:rsidP="007B65DD">
      <w:pPr>
        <w:jc w:val="both"/>
        <w:rPr>
          <w:b/>
          <w:bCs/>
          <w:color w:val="000000" w:themeColor="text1"/>
          <w:sz w:val="24"/>
          <w:szCs w:val="24"/>
        </w:rPr>
      </w:pPr>
    </w:p>
    <w:p w14:paraId="5103B66F"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 dispongano di poteri di vigilanza conformi a quanto previsto dall'articolo 30 del regolamento (UE) 2402/2017, in coerenza con i poteri di cui esse dispongono in base alla legislazione vigente;</w:t>
      </w:r>
    </w:p>
    <w:p w14:paraId="167AB058" w14:textId="77777777" w:rsidR="007B65DD" w:rsidRPr="000D1215" w:rsidRDefault="007B65DD" w:rsidP="007B65DD">
      <w:pPr>
        <w:jc w:val="both"/>
        <w:rPr>
          <w:b/>
          <w:bCs/>
          <w:color w:val="000000" w:themeColor="text1"/>
          <w:sz w:val="24"/>
          <w:szCs w:val="24"/>
        </w:rPr>
      </w:pPr>
    </w:p>
    <w:p w14:paraId="7BCBE8A5"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lastRenderedPageBreak/>
        <w:t xml:space="preserve">            - provvedano alla cooperazione e allo scambio di informazioni con l'Autorità europea degli strumenti finanziari e dei mercati (ESMA), l'Autorità bancaria europea (EBA) e l'Autorità europea delle assicurazioni e delle pensioni aziendali e professionali (EIOPA), ai sensi dell'articolo 36 del regolamento (UE) 2402/2017 e in coerenza con le disposizioni nazionali vigenti che attengono alla cooperazione con le predette autorità europee;</w:t>
      </w:r>
    </w:p>
    <w:p w14:paraId="58A9097C" w14:textId="77777777" w:rsidR="007B65DD" w:rsidRPr="000D1215" w:rsidRDefault="007B65DD" w:rsidP="007B65DD">
      <w:pPr>
        <w:jc w:val="both"/>
        <w:rPr>
          <w:b/>
          <w:bCs/>
          <w:color w:val="000000" w:themeColor="text1"/>
          <w:sz w:val="24"/>
          <w:szCs w:val="24"/>
        </w:rPr>
      </w:pPr>
    </w:p>
    <w:p w14:paraId="67DDCA83"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 provvedano ad adempiere agli obblighi informativi verso l'ESMA previsti dall'articolo 37, paragrafo 6, del regolamento 2402/2017;</w:t>
      </w:r>
    </w:p>
    <w:p w14:paraId="42AEF615" w14:textId="77777777" w:rsidR="007B65DD" w:rsidRPr="000D1215" w:rsidRDefault="007B65DD" w:rsidP="007B65DD">
      <w:pPr>
        <w:jc w:val="both"/>
        <w:rPr>
          <w:b/>
          <w:bCs/>
          <w:color w:val="000000" w:themeColor="text1"/>
          <w:sz w:val="24"/>
          <w:szCs w:val="24"/>
        </w:rPr>
      </w:pPr>
    </w:p>
    <w:p w14:paraId="4D234C16"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 individuino forme di coordinamento operativo per l'esercizio delle competenze e dei poteri loro attribuiti.</w:t>
      </w:r>
    </w:p>
    <w:p w14:paraId="5E2AB445" w14:textId="77777777" w:rsidR="007B65DD" w:rsidRPr="000D1215" w:rsidRDefault="007B65DD" w:rsidP="007B65DD">
      <w:pPr>
        <w:jc w:val="both"/>
        <w:rPr>
          <w:b/>
          <w:bCs/>
          <w:color w:val="000000" w:themeColor="text1"/>
          <w:sz w:val="24"/>
          <w:szCs w:val="24"/>
        </w:rPr>
      </w:pPr>
    </w:p>
    <w:p w14:paraId="27529176"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e) attuare l'articolo 32 del regolamento (UE) 2402/2017 coordinando le sanzioni ivi previste con quelle disciplinate dalle disposizioni nazionali vigenti sull'esercizio del potere sanzionatorio da parte della Banca d'Italia, dell'</w:t>
      </w:r>
      <w:proofErr w:type="spellStart"/>
      <w:r w:rsidRPr="000D1215">
        <w:rPr>
          <w:b/>
          <w:bCs/>
          <w:color w:val="000000" w:themeColor="text1"/>
          <w:sz w:val="24"/>
          <w:szCs w:val="24"/>
        </w:rPr>
        <w:t>Ivass</w:t>
      </w:r>
      <w:proofErr w:type="spellEnd"/>
      <w:r w:rsidRPr="000D1215">
        <w:rPr>
          <w:b/>
          <w:bCs/>
          <w:color w:val="000000" w:themeColor="text1"/>
          <w:sz w:val="24"/>
          <w:szCs w:val="24"/>
        </w:rPr>
        <w:t>, della Consob e della Covip, nel rispetto dei criteri, dei limiti, delle procedure e del regime di pubblicazione previsti dal regolamento (UE) 2402/2017 e prevedendo, per le violazioni individuate dal medesimo articolo 32, nonché dagli articoli 3 e 5 del richiamato regolamento, le sanzioni amministrative pecuniarie ivi previste nel rispetto, fermi restando i massimi edittali ivi previsti, dei seguenti minimi edittali:</w:t>
      </w:r>
    </w:p>
    <w:p w14:paraId="25A31FE7" w14:textId="77777777" w:rsidR="007B65DD" w:rsidRPr="000D1215" w:rsidRDefault="007B65DD" w:rsidP="007B65DD">
      <w:pPr>
        <w:jc w:val="both"/>
        <w:rPr>
          <w:b/>
          <w:bCs/>
          <w:color w:val="000000" w:themeColor="text1"/>
          <w:sz w:val="24"/>
          <w:szCs w:val="24"/>
        </w:rPr>
      </w:pPr>
    </w:p>
    <w:p w14:paraId="7E0BB80E"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a) con riferimento alla sanzione applicabile alle persone giuridiche un minimo di 30.000 euro;</w:t>
      </w:r>
    </w:p>
    <w:p w14:paraId="22A0FACE" w14:textId="77777777" w:rsidR="007B65DD" w:rsidRPr="000D1215" w:rsidRDefault="007B65DD" w:rsidP="007B65DD">
      <w:pPr>
        <w:jc w:val="both"/>
        <w:rPr>
          <w:b/>
          <w:bCs/>
          <w:color w:val="000000" w:themeColor="text1"/>
          <w:sz w:val="24"/>
          <w:szCs w:val="24"/>
        </w:rPr>
      </w:pPr>
    </w:p>
    <w:p w14:paraId="14C28548"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b) con riferimento alla sanzione applicabile alle persone fisiche un minimo di 5.000 euro.</w:t>
      </w:r>
    </w:p>
    <w:p w14:paraId="057FE9D6" w14:textId="77777777" w:rsidR="007B65DD" w:rsidRPr="000D1215" w:rsidRDefault="007B65DD" w:rsidP="007B65DD">
      <w:pPr>
        <w:jc w:val="both"/>
        <w:rPr>
          <w:b/>
          <w:bCs/>
          <w:color w:val="000000" w:themeColor="text1"/>
          <w:sz w:val="24"/>
          <w:szCs w:val="24"/>
        </w:rPr>
      </w:pPr>
    </w:p>
    <w:p w14:paraId="173A5F95" w14:textId="77777777"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3.         Si applica l'articolo 31, comma 5, della legge 24 dicembre 2012, n. 234.</w:t>
      </w:r>
    </w:p>
    <w:p w14:paraId="35718A61" w14:textId="77777777" w:rsidR="007B65DD" w:rsidRPr="000D1215" w:rsidRDefault="007B65DD" w:rsidP="007B65DD">
      <w:pPr>
        <w:jc w:val="both"/>
        <w:rPr>
          <w:b/>
          <w:bCs/>
          <w:color w:val="000000" w:themeColor="text1"/>
          <w:sz w:val="24"/>
          <w:szCs w:val="24"/>
        </w:rPr>
      </w:pPr>
    </w:p>
    <w:p w14:paraId="5FD68E5E" w14:textId="77777777" w:rsidR="007B65DD" w:rsidRDefault="007B65DD" w:rsidP="007B65DD">
      <w:pPr>
        <w:jc w:val="both"/>
        <w:rPr>
          <w:b/>
          <w:bCs/>
          <w:color w:val="000000" w:themeColor="text1"/>
          <w:sz w:val="24"/>
          <w:szCs w:val="24"/>
        </w:rPr>
      </w:pPr>
      <w:r w:rsidRPr="000D1215">
        <w:rPr>
          <w:b/>
          <w:bCs/>
          <w:color w:val="000000" w:themeColor="text1"/>
          <w:sz w:val="24"/>
          <w:szCs w:val="24"/>
        </w:rPr>
        <w:lastRenderedPageBreak/>
        <w:t xml:space="preserve">        4.         Dall'attuazione del presente articolo non derivano nuovi o maggiori oneri a carico della finanza pubblica.</w:t>
      </w:r>
      <w:r>
        <w:rPr>
          <w:rStyle w:val="Rimandonotaapidipagina"/>
          <w:b/>
          <w:bCs/>
          <w:color w:val="000000" w:themeColor="text1"/>
          <w:sz w:val="24"/>
          <w:szCs w:val="24"/>
        </w:rPr>
        <w:footnoteReference w:id="107"/>
      </w:r>
    </w:p>
    <w:p w14:paraId="452091E7" w14:textId="77777777" w:rsidR="00D17DE3" w:rsidRDefault="00D17DE3" w:rsidP="007B65DD">
      <w:pPr>
        <w:jc w:val="both"/>
        <w:rPr>
          <w:b/>
          <w:bCs/>
          <w:color w:val="000000" w:themeColor="text1"/>
          <w:sz w:val="24"/>
          <w:szCs w:val="24"/>
        </w:rPr>
      </w:pPr>
    </w:p>
    <w:p w14:paraId="0D8A1806" w14:textId="77777777" w:rsidR="00D17DE3" w:rsidRPr="00800FDC" w:rsidRDefault="00D17DE3" w:rsidP="00D17DE3">
      <w:pPr>
        <w:jc w:val="center"/>
        <w:rPr>
          <w:b/>
          <w:bCs/>
          <w:color w:val="000000" w:themeColor="text1"/>
          <w:sz w:val="24"/>
          <w:szCs w:val="24"/>
        </w:rPr>
      </w:pPr>
      <w:r w:rsidRPr="00800FDC">
        <w:rPr>
          <w:b/>
          <w:bCs/>
          <w:color w:val="000000" w:themeColor="text1"/>
          <w:sz w:val="24"/>
          <w:szCs w:val="24"/>
        </w:rPr>
        <w:t>Art. 20-bis.</w:t>
      </w:r>
    </w:p>
    <w:p w14:paraId="05C84E23" w14:textId="77777777" w:rsidR="00D17DE3" w:rsidRPr="00800FDC" w:rsidRDefault="00D17DE3" w:rsidP="00D17DE3">
      <w:pPr>
        <w:jc w:val="center"/>
        <w:rPr>
          <w:b/>
          <w:bCs/>
          <w:color w:val="000000" w:themeColor="text1"/>
          <w:sz w:val="24"/>
          <w:szCs w:val="24"/>
        </w:rPr>
      </w:pPr>
    </w:p>
    <w:p w14:paraId="706A51C7" w14:textId="77777777" w:rsidR="00D17DE3" w:rsidRPr="00800FDC" w:rsidRDefault="00D17DE3" w:rsidP="00D17DE3">
      <w:pPr>
        <w:jc w:val="center"/>
        <w:rPr>
          <w:b/>
          <w:bCs/>
          <w:color w:val="000000" w:themeColor="text1"/>
          <w:sz w:val="24"/>
          <w:szCs w:val="24"/>
        </w:rPr>
      </w:pPr>
      <w:r w:rsidRPr="00800FDC">
        <w:rPr>
          <w:b/>
          <w:bCs/>
          <w:color w:val="000000" w:themeColor="text1"/>
          <w:sz w:val="24"/>
          <w:szCs w:val="24"/>
        </w:rPr>
        <w:t>(Princìpi e criteri direttivi per l'attuazione della direttiva (UE) 2019/1151 del Parlamento europeo e del Consiglio, del 20 giugno 2019, recante modifica della direttiva (UE) 2017/1132 per quanto concerne l'uso di strumenti e processi digitali nel diritto societario)</w:t>
      </w:r>
    </w:p>
    <w:p w14:paraId="39D040EB" w14:textId="77777777" w:rsidR="00D17DE3" w:rsidRPr="00800FDC" w:rsidRDefault="00D17DE3" w:rsidP="00D17DE3">
      <w:pPr>
        <w:jc w:val="both"/>
        <w:rPr>
          <w:b/>
          <w:bCs/>
          <w:color w:val="000000" w:themeColor="text1"/>
          <w:sz w:val="24"/>
          <w:szCs w:val="24"/>
        </w:rPr>
      </w:pPr>
    </w:p>
    <w:p w14:paraId="05575A81" w14:textId="77777777" w:rsidR="00D17DE3" w:rsidRPr="00800FDC" w:rsidRDefault="00D17DE3" w:rsidP="00D17DE3">
      <w:pPr>
        <w:jc w:val="both"/>
        <w:rPr>
          <w:b/>
          <w:bCs/>
          <w:color w:val="000000" w:themeColor="text1"/>
          <w:sz w:val="24"/>
          <w:szCs w:val="24"/>
        </w:rPr>
      </w:pPr>
      <w:r w:rsidRPr="00800FDC">
        <w:rPr>
          <w:b/>
          <w:bCs/>
          <w:color w:val="000000" w:themeColor="text1"/>
          <w:sz w:val="24"/>
          <w:szCs w:val="24"/>
        </w:rPr>
        <w:t xml:space="preserve">        1. Nell'esercizio della delega per l'attuazione della direttiva (UE) 2019/1151 del Parlamento europeo e del Consi­glio, del 20 giugno 2019, il Governo osserva, oltre ai princìpi e criteri direttivi generali di cui al l'articolo 32 della legge n. 234 del 2012, an­che il seguente princìpi e criteri direttivi specifici:</w:t>
      </w:r>
    </w:p>
    <w:p w14:paraId="0337C642" w14:textId="77777777" w:rsidR="00D17DE3" w:rsidRPr="00800FDC" w:rsidRDefault="00D17DE3" w:rsidP="00D17DE3">
      <w:pPr>
        <w:jc w:val="both"/>
        <w:rPr>
          <w:b/>
          <w:bCs/>
          <w:color w:val="000000" w:themeColor="text1"/>
          <w:sz w:val="24"/>
          <w:szCs w:val="24"/>
        </w:rPr>
      </w:pPr>
    </w:p>
    <w:p w14:paraId="0DBD78B8" w14:textId="77777777" w:rsidR="00D17DE3" w:rsidRPr="00800FDC" w:rsidRDefault="00D17DE3" w:rsidP="00D17DE3">
      <w:pPr>
        <w:jc w:val="both"/>
        <w:rPr>
          <w:b/>
          <w:bCs/>
          <w:color w:val="000000" w:themeColor="text1"/>
          <w:sz w:val="24"/>
          <w:szCs w:val="24"/>
        </w:rPr>
      </w:pPr>
      <w:r w:rsidRPr="00800FDC">
        <w:rPr>
          <w:b/>
          <w:bCs/>
          <w:color w:val="000000" w:themeColor="text1"/>
          <w:sz w:val="24"/>
          <w:szCs w:val="24"/>
        </w:rPr>
        <w:t xml:space="preserve">            a) prevedere che la costituzione on line sia relativa alla società a responsabilità limitata e alla società a responsabilità limitata semplificata con sede in Italia, capitale versato mediante conferimenti in danaro e sia stipulata, anche in presenza di un modello standard di statuto, con atto pubblico formato mediante l'utilizzo di una piattaforma che consenta la videoconferenza e la sottoscrizione dell'atto con firma elettronica riconosciuta.</w:t>
      </w:r>
    </w:p>
    <w:p w14:paraId="38CCDACD" w14:textId="77777777" w:rsidR="00D17DE3" w:rsidRPr="00800FDC" w:rsidRDefault="00D17DE3" w:rsidP="00D17DE3">
      <w:pPr>
        <w:jc w:val="both"/>
        <w:rPr>
          <w:b/>
          <w:bCs/>
          <w:color w:val="000000" w:themeColor="text1"/>
          <w:sz w:val="24"/>
          <w:szCs w:val="24"/>
        </w:rPr>
      </w:pPr>
    </w:p>
    <w:p w14:paraId="25F2BE8B" w14:textId="77777777" w:rsidR="00D17DE3" w:rsidRPr="00800FDC" w:rsidRDefault="00D17DE3" w:rsidP="00D17DE3">
      <w:pPr>
        <w:jc w:val="both"/>
        <w:rPr>
          <w:b/>
          <w:bCs/>
          <w:color w:val="000000" w:themeColor="text1"/>
          <w:sz w:val="24"/>
          <w:szCs w:val="24"/>
        </w:rPr>
      </w:pPr>
      <w:r w:rsidRPr="00800FDC">
        <w:rPr>
          <w:b/>
          <w:bCs/>
          <w:color w:val="000000" w:themeColor="text1"/>
          <w:sz w:val="24"/>
          <w:szCs w:val="24"/>
        </w:rPr>
        <w:t xml:space="preserve">        2. Dall'attuazione del presente articolo non devono derivare nuovi o maggiori oneri a carico della finanza pubblica.</w:t>
      </w:r>
      <w:r>
        <w:rPr>
          <w:rStyle w:val="Rimandonotaapidipagina"/>
          <w:b/>
          <w:bCs/>
          <w:color w:val="000000" w:themeColor="text1"/>
          <w:sz w:val="24"/>
          <w:szCs w:val="24"/>
        </w:rPr>
        <w:footnoteReference w:id="108"/>
      </w:r>
    </w:p>
    <w:p w14:paraId="6C84ACB1" w14:textId="77777777" w:rsidR="00D17DE3" w:rsidRDefault="00D17DE3" w:rsidP="007B65DD">
      <w:pPr>
        <w:jc w:val="both"/>
        <w:rPr>
          <w:b/>
          <w:bCs/>
          <w:color w:val="000000" w:themeColor="text1"/>
          <w:sz w:val="24"/>
          <w:szCs w:val="24"/>
        </w:rPr>
      </w:pPr>
    </w:p>
    <w:p w14:paraId="38E1E61B" w14:textId="77777777" w:rsidR="00081CED" w:rsidRPr="000D1215" w:rsidRDefault="00081CED" w:rsidP="00081CED">
      <w:pPr>
        <w:jc w:val="center"/>
        <w:rPr>
          <w:b/>
          <w:bCs/>
          <w:color w:val="000000" w:themeColor="text1"/>
          <w:sz w:val="24"/>
          <w:szCs w:val="24"/>
        </w:rPr>
      </w:pPr>
      <w:r w:rsidRPr="000D1215">
        <w:rPr>
          <w:b/>
          <w:bCs/>
          <w:color w:val="000000" w:themeColor="text1"/>
          <w:sz w:val="24"/>
          <w:szCs w:val="24"/>
        </w:rPr>
        <w:lastRenderedPageBreak/>
        <w:t>Art. 20-bis.</w:t>
      </w:r>
    </w:p>
    <w:p w14:paraId="4D45718D" w14:textId="77777777" w:rsidR="00081CED" w:rsidRPr="000D1215" w:rsidRDefault="00081CED" w:rsidP="00081CED">
      <w:pPr>
        <w:jc w:val="center"/>
        <w:rPr>
          <w:b/>
          <w:bCs/>
          <w:color w:val="000000" w:themeColor="text1"/>
          <w:sz w:val="24"/>
          <w:szCs w:val="24"/>
        </w:rPr>
      </w:pPr>
    </w:p>
    <w:p w14:paraId="7C21FC98" w14:textId="77777777" w:rsidR="00081CED" w:rsidRPr="000D1215" w:rsidRDefault="00081CED" w:rsidP="00081CED">
      <w:pPr>
        <w:jc w:val="center"/>
        <w:rPr>
          <w:b/>
          <w:bCs/>
          <w:color w:val="000000" w:themeColor="text1"/>
          <w:sz w:val="24"/>
          <w:szCs w:val="24"/>
        </w:rPr>
      </w:pPr>
      <w:r w:rsidRPr="000D1215">
        <w:rPr>
          <w:b/>
          <w:bCs/>
          <w:color w:val="000000" w:themeColor="text1"/>
          <w:sz w:val="24"/>
          <w:szCs w:val="24"/>
        </w:rPr>
        <w:t>(Principi e criteri direttivi per l'attuazione della direttiva (UE) 2019/2162 del Parlamento europeo e del Consiglio, del 27 novembre 2019, relativa all'emissione di obbligazioni garantite e alla vigilanza pubblica delle obbligazioni garantite e che modifica la direttiva 2009/65/CE e la direttiva 2014/59/UE e per l'adeguamento della normativa nazionale alle disposizioni del regolamento (UE) 2019/2160 del Parlamento europeo e del Consiglio, del 27 novembre 2019, che modifica il regolamento (UE) n. 575/2013 per quanto riguarda le esposizioni sotto forma di obbligazioni garantite)</w:t>
      </w:r>
    </w:p>
    <w:p w14:paraId="3EE45346" w14:textId="77777777" w:rsidR="00081CED" w:rsidRPr="000D1215" w:rsidRDefault="00081CED" w:rsidP="00081CED">
      <w:pPr>
        <w:jc w:val="both"/>
        <w:rPr>
          <w:b/>
          <w:bCs/>
          <w:color w:val="000000" w:themeColor="text1"/>
          <w:sz w:val="24"/>
          <w:szCs w:val="24"/>
        </w:rPr>
      </w:pPr>
    </w:p>
    <w:p w14:paraId="585B683D"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1. Nell'esercizio della delega per l'attuazione della direttiva (UE) 2019/2162 del Parlamento europeo e del Consiglio, del 27 novembre 2019, e per l'adeguamento della normativa nazionale alle disposizioni del regolamento (UE) 2019/2160  del Parlamento europeo e del Consiglio, del 27 novembre 2019, il Governo osserva, oltre ai princìpi e criteri direttivi generali di cui all'articolo 32 della legge n. 234 del 2012, anche i seguenti princìpi e criteri direttivi specifici:</w:t>
      </w:r>
    </w:p>
    <w:p w14:paraId="45BAD4C3" w14:textId="77777777" w:rsidR="00081CED" w:rsidRPr="000D1215" w:rsidRDefault="00081CED" w:rsidP="00081CED">
      <w:pPr>
        <w:jc w:val="both"/>
        <w:rPr>
          <w:b/>
          <w:bCs/>
          <w:color w:val="000000" w:themeColor="text1"/>
          <w:sz w:val="24"/>
          <w:szCs w:val="24"/>
        </w:rPr>
      </w:pPr>
    </w:p>
    <w:p w14:paraId="2B810632"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a) apportare alla normativa vigente e, in particolare, al testo unico delle leggi in materia bancaria e creditizia, di cui al decreto legislativo 1° settembre 1993, n. 385, e alla legge 30 aprile 1999, n. 130, recante disposizioni sulla cartolarizzazione dei crediti, le modifiche e le integrazioni necessarie al corretto e integrale recepimento della direttiva (UE) 2019/2162, incluso l'eventuale esercizio delle opzioni ivi previste;</w:t>
      </w:r>
    </w:p>
    <w:p w14:paraId="0FD77F56" w14:textId="77777777" w:rsidR="00081CED" w:rsidRPr="000D1215" w:rsidRDefault="00081CED" w:rsidP="00081CED">
      <w:pPr>
        <w:jc w:val="both"/>
        <w:rPr>
          <w:b/>
          <w:bCs/>
          <w:color w:val="000000" w:themeColor="text1"/>
          <w:sz w:val="24"/>
          <w:szCs w:val="24"/>
        </w:rPr>
      </w:pPr>
    </w:p>
    <w:p w14:paraId="593CD18B"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b) individuare nella Banca d'Italia l'autorità competente a esercitare la vigilanza pubblica delle obbligazioni garantite ai sensi dell'articolo 18 della direttiva (UE) 2019/2162;</w:t>
      </w:r>
    </w:p>
    <w:p w14:paraId="0D3FB065" w14:textId="77777777" w:rsidR="00081CED" w:rsidRPr="000D1215" w:rsidRDefault="00081CED" w:rsidP="00081CED">
      <w:pPr>
        <w:jc w:val="both"/>
        <w:rPr>
          <w:b/>
          <w:bCs/>
          <w:color w:val="000000" w:themeColor="text1"/>
          <w:sz w:val="24"/>
          <w:szCs w:val="24"/>
        </w:rPr>
      </w:pPr>
    </w:p>
    <w:p w14:paraId="5F5EBF92"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c) attribuire alla Banca d'Italia tutti i poteri per l'esercizio delle funzioni relative alla vigilanza pubblica delle obbligazioni garantite in conformità all'articolo 22 della direttiva (UE) 2019/2162;</w:t>
      </w:r>
    </w:p>
    <w:p w14:paraId="50E83CAC" w14:textId="77777777" w:rsidR="00081CED" w:rsidRPr="000D1215" w:rsidRDefault="00081CED" w:rsidP="00081CED">
      <w:pPr>
        <w:jc w:val="both"/>
        <w:rPr>
          <w:b/>
          <w:bCs/>
          <w:color w:val="000000" w:themeColor="text1"/>
          <w:sz w:val="24"/>
          <w:szCs w:val="24"/>
        </w:rPr>
      </w:pPr>
    </w:p>
    <w:p w14:paraId="786C7D41"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lastRenderedPageBreak/>
        <w:t xml:space="preserve">           d) prevedere il ricorso alla disciplina secondaria adottata dalla Banca d'Italia che, nell'esercizio dei propri poteri regolamentari, tiene conto degli orientamenti emanati dalle Autorità di vigilanza europee;</w:t>
      </w:r>
    </w:p>
    <w:p w14:paraId="750E2098" w14:textId="77777777" w:rsidR="00081CED" w:rsidRPr="000D1215" w:rsidRDefault="00081CED" w:rsidP="00081CED">
      <w:pPr>
        <w:jc w:val="both"/>
        <w:rPr>
          <w:b/>
          <w:bCs/>
          <w:color w:val="000000" w:themeColor="text1"/>
          <w:sz w:val="24"/>
          <w:szCs w:val="24"/>
        </w:rPr>
      </w:pPr>
    </w:p>
    <w:p w14:paraId="3A055C55"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e) apportare alla disciplina delle sanzioni amministrative previste al titolo VIII del testo unico delle leggi in materia bancaria e creditizia, di cui al decreto legislativo 1° settembre 1993, n. 385, le modifiche e le integrazioni volte ad assicurare che la Banca d'Italia abbia il potere di applicare le sanzioni e le misure amministrative stabilite dall'articolo 23 della direttiva per le violazioni ivi indicate, nel rispetto dei criteri, dei limiti e delle procedure previsti dalle disposizioni nazionali vigenti che disciplinano l'esercizio del potere sanzionatorio da parte della Banca d'Italia, e anche tenuto conto del regime di pubblicazione previsto dall'articolo 24 della direttiva, fatti salvi i poteri attribuiti alla CONSOB in materia di offerta al pubblico di sottoscrizione e vendita ai sensi della parte V, titolo Il, del testo unico delle disposizioni in materia finanziaria di cui al decreto legislativo 24 febbraio 1998, n. 58;</w:t>
      </w:r>
    </w:p>
    <w:p w14:paraId="7AB3FF1E" w14:textId="77777777" w:rsidR="00081CED" w:rsidRPr="000D1215" w:rsidRDefault="00081CED" w:rsidP="00081CED">
      <w:pPr>
        <w:jc w:val="both"/>
        <w:rPr>
          <w:b/>
          <w:bCs/>
          <w:color w:val="000000" w:themeColor="text1"/>
          <w:sz w:val="24"/>
          <w:szCs w:val="24"/>
        </w:rPr>
      </w:pPr>
    </w:p>
    <w:p w14:paraId="664F24B9"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f) con riferimento al requisito per la riserva di liquidità dell'aggregato di copertura, avvalersi delle facoltà di cui all'articolo 16, paragrafi 4 e 5, della direttiva (UE) 2019/2162;</w:t>
      </w:r>
    </w:p>
    <w:p w14:paraId="0540ACBF" w14:textId="77777777" w:rsidR="00081CED" w:rsidRPr="000D1215" w:rsidRDefault="00081CED" w:rsidP="00081CED">
      <w:pPr>
        <w:jc w:val="both"/>
        <w:rPr>
          <w:b/>
          <w:bCs/>
          <w:color w:val="000000" w:themeColor="text1"/>
          <w:sz w:val="24"/>
          <w:szCs w:val="24"/>
        </w:rPr>
      </w:pPr>
    </w:p>
    <w:p w14:paraId="1D2FBF34"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g) con riferimento all'emissione di obbligazioni garantite con strutture delle scadenze estensibili, avvalersi della facoltà di cui all'articolo 17 della direttiva (UE) 2019/2162;</w:t>
      </w:r>
    </w:p>
    <w:p w14:paraId="4BC700FC" w14:textId="77777777" w:rsidR="00081CED" w:rsidRPr="000D1215" w:rsidRDefault="00081CED" w:rsidP="00081CED">
      <w:pPr>
        <w:jc w:val="both"/>
        <w:rPr>
          <w:b/>
          <w:bCs/>
          <w:color w:val="000000" w:themeColor="text1"/>
          <w:sz w:val="24"/>
          <w:szCs w:val="24"/>
        </w:rPr>
      </w:pPr>
    </w:p>
    <w:p w14:paraId="2C7DAE3F"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h) attribuire all'autorità competente per la vigilanza pubblica delle obbligazioni garantite la facoltà di esercitare l'opzione, di cui all'articolo l del regolamento (UE) 2019/2160, di fissare per le obbligazioni garantite un livello minimo di eccesso di garanzia inferiore al livello fissato dal medesimo articolo;</w:t>
      </w:r>
    </w:p>
    <w:p w14:paraId="6C927389" w14:textId="77777777" w:rsidR="00081CED" w:rsidRPr="000D1215" w:rsidRDefault="00081CED" w:rsidP="00081CED">
      <w:pPr>
        <w:jc w:val="both"/>
        <w:rPr>
          <w:b/>
          <w:bCs/>
          <w:color w:val="000000" w:themeColor="text1"/>
          <w:sz w:val="24"/>
          <w:szCs w:val="24"/>
        </w:rPr>
      </w:pPr>
    </w:p>
    <w:p w14:paraId="49674801" w14:textId="77777777"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i) apportare alla normativa vigente e, in particolare, alla legge 30 aprile 1999, n. 130, recante disposizioni sulla cartolarizzazione dei crediti, le modifiche e le integrazioni necessarie per coordinare le disposizioni in materia di obbligazioni garantite da crediti nei confronti di piccole medie e imprese con il quadro normativo armonizzato per le obbligazioni garantite europee.</w:t>
      </w:r>
    </w:p>
    <w:p w14:paraId="1A42244F" w14:textId="77777777" w:rsidR="00081CED" w:rsidRPr="000D1215" w:rsidRDefault="00081CED" w:rsidP="00081CED">
      <w:pPr>
        <w:jc w:val="both"/>
        <w:rPr>
          <w:b/>
          <w:bCs/>
          <w:color w:val="000000" w:themeColor="text1"/>
          <w:sz w:val="24"/>
          <w:szCs w:val="24"/>
        </w:rPr>
      </w:pPr>
    </w:p>
    <w:p w14:paraId="7677AB49" w14:textId="77777777" w:rsidR="00081CED" w:rsidRDefault="00081CED" w:rsidP="00081CED">
      <w:pPr>
        <w:jc w:val="both"/>
        <w:rPr>
          <w:b/>
          <w:bCs/>
          <w:color w:val="000000" w:themeColor="text1"/>
          <w:sz w:val="24"/>
          <w:szCs w:val="24"/>
        </w:rPr>
      </w:pPr>
      <w:r w:rsidRPr="000D1215">
        <w:rPr>
          <w:b/>
          <w:bCs/>
          <w:color w:val="000000" w:themeColor="text1"/>
          <w:sz w:val="24"/>
          <w:szCs w:val="24"/>
        </w:rPr>
        <w:t xml:space="preserve">        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r>
        <w:rPr>
          <w:rStyle w:val="Rimandonotaapidipagina"/>
          <w:b/>
          <w:bCs/>
          <w:color w:val="000000" w:themeColor="text1"/>
          <w:sz w:val="24"/>
          <w:szCs w:val="24"/>
        </w:rPr>
        <w:footnoteReference w:id="109"/>
      </w:r>
    </w:p>
    <w:p w14:paraId="67F2FF63" w14:textId="77777777" w:rsidR="0001790C" w:rsidRPr="00665678" w:rsidRDefault="0001790C" w:rsidP="0001790C">
      <w:pPr>
        <w:jc w:val="center"/>
        <w:rPr>
          <w:b/>
          <w:bCs/>
          <w:color w:val="000000" w:themeColor="text1"/>
          <w:sz w:val="24"/>
          <w:szCs w:val="24"/>
        </w:rPr>
      </w:pPr>
      <w:r w:rsidRPr="00665678">
        <w:rPr>
          <w:b/>
          <w:bCs/>
          <w:color w:val="000000" w:themeColor="text1"/>
          <w:sz w:val="24"/>
          <w:szCs w:val="24"/>
        </w:rPr>
        <w:t>Art. 20-bis.</w:t>
      </w:r>
    </w:p>
    <w:p w14:paraId="703C5A25" w14:textId="77777777" w:rsidR="0001790C" w:rsidRPr="00665678" w:rsidRDefault="0001790C" w:rsidP="0001790C">
      <w:pPr>
        <w:jc w:val="center"/>
        <w:rPr>
          <w:b/>
          <w:bCs/>
          <w:color w:val="000000" w:themeColor="text1"/>
          <w:sz w:val="24"/>
          <w:szCs w:val="24"/>
        </w:rPr>
      </w:pPr>
    </w:p>
    <w:p w14:paraId="565B2DD5" w14:textId="77777777" w:rsidR="0001790C" w:rsidRPr="00665678" w:rsidRDefault="0001790C" w:rsidP="0001790C">
      <w:pPr>
        <w:jc w:val="center"/>
        <w:rPr>
          <w:b/>
          <w:bCs/>
          <w:color w:val="000000" w:themeColor="text1"/>
          <w:sz w:val="24"/>
          <w:szCs w:val="24"/>
        </w:rPr>
      </w:pPr>
      <w:r w:rsidRPr="00665678">
        <w:rPr>
          <w:b/>
          <w:bCs/>
          <w:color w:val="000000" w:themeColor="text1"/>
          <w:sz w:val="24"/>
          <w:szCs w:val="24"/>
        </w:rPr>
        <w:t>(Principi e criteri direttivi per l'attuazione della direttiva (UE) 2019/2034 del Parlamento europeo e del Consiglio, del 27 novembre 2019, relativa alla vigilanza prudenziale sulle imprese di investimento e recante modifica delle direttive 2002/87/CE, 2009/65/CE, 2011/61/UE, 2013/36/UE, 2014/59/UE e 2014/65/UE e per l'adeguamento della normativa nazionale alle disposizioni del regolamento (UE) 2019/2033 del Parlamento europeo e del Consiglio, del 27 novembre 2019, relativo ai requisiti prudenziali delle imprese di investimento e che modifica i regolamenti (UE) n. 1093/2010, (UE) n. 575/2013, (UE) n. 600/2014 e (UE) n. 806/2014)</w:t>
      </w:r>
    </w:p>
    <w:p w14:paraId="02FA2FE8" w14:textId="77777777" w:rsidR="0001790C" w:rsidRPr="00665678" w:rsidRDefault="0001790C" w:rsidP="0001790C">
      <w:pPr>
        <w:jc w:val="both"/>
        <w:rPr>
          <w:b/>
          <w:bCs/>
          <w:color w:val="000000" w:themeColor="text1"/>
          <w:sz w:val="24"/>
          <w:szCs w:val="24"/>
        </w:rPr>
      </w:pPr>
    </w:p>
    <w:p w14:paraId="530C7D7E"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1. Nell'esercizio della delega per l'attuazione della direttiva (UE) 2019/2034 del Parlamento europeo e del Consiglio, del 27 novembre 2019, e per l'adeguamento della normativa nazionale al regolamento (UE) 2019/2033 del Parlamento europeo e del Consiglio, del 27 novembre 2019, il Governo osserva, oltre ai principi e criteri direttivi generali di cui all'articolo 32 della legge n. 234 del 2012, anche i seguenti princìpi e criteri direttivi specifici:</w:t>
      </w:r>
    </w:p>
    <w:p w14:paraId="21373D0B" w14:textId="77777777" w:rsidR="0001790C" w:rsidRPr="00665678" w:rsidRDefault="0001790C" w:rsidP="0001790C">
      <w:pPr>
        <w:jc w:val="both"/>
        <w:rPr>
          <w:b/>
          <w:bCs/>
          <w:color w:val="000000" w:themeColor="text1"/>
          <w:sz w:val="24"/>
          <w:szCs w:val="24"/>
        </w:rPr>
      </w:pPr>
    </w:p>
    <w:p w14:paraId="5F2D998C"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a) apportare alla normativa vigente e, in particolare, al testo unico delle leggi in materia bancaria e creditizia, di cui al decreto legislativo 1° settembre 1993, n. 385, e al testo unico delle disposizioni in materia di intermediazione finanziaria, di cui al decreto legislativo 24 febbraio 1998, n. 58, le modifiche e le integrazioni necessarie per il corretto e integrale recepimento della direttiva (UE) 2019/2034 del Parlamento europeo e del Consiglio, del 27 novembre 2019, e per l'applicazione del regolamento (UE) 2019/2033 del Parlamento europeo e del Consiglio, del 27 novembre 2019, nonché delle pertinenti </w:t>
      </w:r>
      <w:r w:rsidRPr="00665678">
        <w:rPr>
          <w:b/>
          <w:bCs/>
          <w:color w:val="000000" w:themeColor="text1"/>
          <w:sz w:val="24"/>
          <w:szCs w:val="24"/>
        </w:rPr>
        <w:lastRenderedPageBreak/>
        <w:t>norme tecniche di regolamentazione e di attuazione della direttiva e del regolamento, tenendo conto, ove opportuno, degli orientamenti delle Autorità di vigilanza europee;</w:t>
      </w:r>
    </w:p>
    <w:p w14:paraId="736885CB" w14:textId="77777777" w:rsidR="0001790C" w:rsidRPr="00665678" w:rsidRDefault="0001790C" w:rsidP="0001790C">
      <w:pPr>
        <w:jc w:val="both"/>
        <w:rPr>
          <w:b/>
          <w:bCs/>
          <w:color w:val="000000" w:themeColor="text1"/>
          <w:sz w:val="24"/>
          <w:szCs w:val="24"/>
        </w:rPr>
      </w:pPr>
    </w:p>
    <w:p w14:paraId="0BE1B935"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b) per le imprese che si qualificano come enti creditizi ai sensi della lettera b) dell'articolo 4, paragrafo 1, punto 1, del regolamento (UE) n. 575/2013, come modificato dal regolamento (UE) 2019/2033, prevedere disposizioni in materia di autorizzazione, vigilanza prudenziale e gestione delle crisi, secondo quanto previsto dalla direttiva 2013/36/UE, dal regolamento (UE) n. 575/2013 e dalla direttiva 2014/59/UE, nonché dalle disposizioni del Meccanismo di Vigilanza Unico e del Meccanismo di Risoluzione Unico, tenuto conto del riparto di competenze tra la Banca Centrale Europea e la Banca d'Italia previsto dal regolamento (UE) n. 1024/2013 e dagli articoli 6 e 6-bis del citato testo unico di cui al decreto legislativo n. 385 del 1993, del riparto di competenze tra il Comitato di Risoluzione Unico e la Banca d'Italia ai sensi del regolamento (UE) n. 806/2014 e del decreto legislativo 16 novembre 2015, n. 180, nonché delle competenze e dei poteri riservati alla CONSOB secondo le attribuzioni e le finalità previste dal testo unico di cui al decreto legislativo n. 58 del 1998;</w:t>
      </w:r>
    </w:p>
    <w:p w14:paraId="6D8ACE7D" w14:textId="77777777" w:rsidR="0001790C" w:rsidRPr="00665678" w:rsidRDefault="0001790C" w:rsidP="0001790C">
      <w:pPr>
        <w:jc w:val="both"/>
        <w:rPr>
          <w:b/>
          <w:bCs/>
          <w:color w:val="000000" w:themeColor="text1"/>
          <w:sz w:val="24"/>
          <w:szCs w:val="24"/>
        </w:rPr>
      </w:pPr>
    </w:p>
    <w:p w14:paraId="01208002"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c) prevedere, ove opportuno, il ricorso alla disciplina secondaria adottata dalla Banca d'Italia e dalla CONSOB che, nell'esercizio dei rispettivi poteri regolamentari e secondo le rispettive attribuzioni e finalità indicate nel citato testo unico di cui al decreto legislativo n. 385 del 1993 e nel citato testo unico di cui al decreto legislativo n. 58 del 1998, tengono conto degli orientamenti emanati dalle Autorità di vigilanza europee;</w:t>
      </w:r>
    </w:p>
    <w:p w14:paraId="56DB8419" w14:textId="77777777" w:rsidR="0001790C" w:rsidRPr="00665678" w:rsidRDefault="0001790C" w:rsidP="0001790C">
      <w:pPr>
        <w:jc w:val="both"/>
        <w:rPr>
          <w:b/>
          <w:bCs/>
          <w:color w:val="000000" w:themeColor="text1"/>
          <w:sz w:val="24"/>
          <w:szCs w:val="24"/>
        </w:rPr>
      </w:pPr>
    </w:p>
    <w:p w14:paraId="3E6795D7"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d) designare la Banca d'Italia e la CONSOB quali autorità competenti ai sensi dell'articolo 4 della direttiva (UE) 2019/2034, per l'esercizio delle funzioni e dei poteri previsti dalla stessa direttiva e dal regolamento (UE) 2019/2033, sulle imprese diverse da quelle di cui alla lettera b), secondo le rispettive attribuzioni e finalità indicate dal citato testo unico di cui al decreto legislativo n. 58 del 1998;</w:t>
      </w:r>
    </w:p>
    <w:p w14:paraId="26EC277B" w14:textId="77777777" w:rsidR="0001790C" w:rsidRPr="00665678" w:rsidRDefault="0001790C" w:rsidP="0001790C">
      <w:pPr>
        <w:jc w:val="both"/>
        <w:rPr>
          <w:b/>
          <w:bCs/>
          <w:color w:val="000000" w:themeColor="text1"/>
          <w:sz w:val="24"/>
          <w:szCs w:val="24"/>
        </w:rPr>
      </w:pPr>
    </w:p>
    <w:p w14:paraId="4CB3735F"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e) designare la Banca d'Italia quale autorità competente a decidere sull'applicazione alle imprese di investimento delle norme della direttiva 2013/36/UE e del regolamento (UE) n. 575/2013, secondo quanto previsto dall'articolo 5 della direttiva (UE) 2019/2034 e dall'articolo 1, paragrafo 5, del regolamento (UE) 2019/2033, prevedendo adeguate forme di coordinamento con la CONSOB nel </w:t>
      </w:r>
      <w:r w:rsidRPr="00665678">
        <w:rPr>
          <w:b/>
          <w:bCs/>
          <w:color w:val="000000" w:themeColor="text1"/>
          <w:sz w:val="24"/>
          <w:szCs w:val="24"/>
        </w:rPr>
        <w:lastRenderedPageBreak/>
        <w:t>rispetto delle attribuzioni e finalità indicate dal citato testo unico di cui al decreto legislativo n. 58 del 1998;</w:t>
      </w:r>
    </w:p>
    <w:p w14:paraId="1B5DED9D" w14:textId="77777777" w:rsidR="0001790C" w:rsidRPr="00665678" w:rsidRDefault="0001790C" w:rsidP="0001790C">
      <w:pPr>
        <w:jc w:val="both"/>
        <w:rPr>
          <w:b/>
          <w:bCs/>
          <w:color w:val="000000" w:themeColor="text1"/>
          <w:sz w:val="24"/>
          <w:szCs w:val="24"/>
        </w:rPr>
      </w:pPr>
    </w:p>
    <w:p w14:paraId="7D715B4D"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f) confermare la Banca d'Italia quale autorità competente ad esercitare, ove opportuno, le discrezionalità in materia di politiche e prassi di remunerazione per le imprese di investimento previste dall'articolo 32 della direttiva (UE) 2019/2034 e rimesse agli Stati membri;</w:t>
      </w:r>
    </w:p>
    <w:p w14:paraId="00C88CD1" w14:textId="77777777" w:rsidR="0001790C" w:rsidRPr="00665678" w:rsidRDefault="0001790C" w:rsidP="0001790C">
      <w:pPr>
        <w:jc w:val="both"/>
        <w:rPr>
          <w:b/>
          <w:bCs/>
          <w:color w:val="000000" w:themeColor="text1"/>
          <w:sz w:val="24"/>
          <w:szCs w:val="24"/>
        </w:rPr>
      </w:pPr>
    </w:p>
    <w:p w14:paraId="28CEDA83"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g) con riferimento alla disciplina delle imprese di Paesi terzi che prestano servizi e attività di investimento con o senza stabilimento di succursale, apportare alla normativa nazionale di recepimento della direttiva 2014/65/UE e di attuazione del regolamento (UE) n. 600/2014, contenuta nel testo unico di cui al decreto legislativo n. 58 del 1998, le modifiche e le integrazioni necessarie alla corretta e integrale applicazione della direttiva (UE) 2019/2034 e del regolamento (UE) 2019/2033, prevedendo il ricorso alla disciplina secondaria adottata, secondo le rispettive attribuzioni, dalla CONSOB e dalla Banca d'Italia, nell'ambito di quanto già sancito dagli articoli 28 e 29-ter del citato testo unico; confermare l'attribuzione alle anzidette Autorità dei poteri e delle competenze di vigilanza previsti con riguardo alle imprese di Paesi terzi dalla direttiva 2014/65/UE, come modificata dalla direttiva (UE) 2019/2034, e dal regolamento (UE) n. 600/2014, come modificato dal regolamento (UE) 2019/2033, ivi inclusi i poteri di controllo e di intervento sui prodotti di cui al Titolo VII, Capo I, del citato regolamento (UE) n. 600/2014, in coerenza con il generale riparto di attribuzioni previsto a legislazione vigente;</w:t>
      </w:r>
    </w:p>
    <w:p w14:paraId="22A189FE" w14:textId="77777777" w:rsidR="0001790C" w:rsidRPr="00665678" w:rsidRDefault="0001790C" w:rsidP="0001790C">
      <w:pPr>
        <w:jc w:val="both"/>
        <w:rPr>
          <w:b/>
          <w:bCs/>
          <w:color w:val="000000" w:themeColor="text1"/>
          <w:sz w:val="24"/>
          <w:szCs w:val="24"/>
        </w:rPr>
      </w:pPr>
    </w:p>
    <w:p w14:paraId="2A378F4F"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h) apportare le opportune modifiche alla disciplina delle sanzioni amministrative di cui al titolo VIII del citato testo unico di cui al decreto legislativo n. 385 del 1993 e alla Parte V, Titolo II, del citato testo unico di cui al decreto legislativo n. 58 del 1998, per attribuire alla Banca d'Italia e alla CONSOB, secondo le rispettive competenze e finalità previste dai citati testi unici, il potere di applicare le sanzioni e le misure amministrative ivi previste per le violazioni delle disposizioni dettate in attuazione della direttiva (UE) 2019/2034, di quelle del regolamento (UE) 2019/2033, delle relative disposizioni di attuazione, nonché delle disposizioni emanate in attuazione del presente articolo, nel rispetto dei criteri, dei limiti e delle procedure previste dalle disposizioni nazionali vigenti che disciplinano l'esercizio del potere sanzionatorio da parte delle autorità competenti a irrogarle;</w:t>
      </w:r>
    </w:p>
    <w:p w14:paraId="3081841B" w14:textId="77777777" w:rsidR="0001790C" w:rsidRPr="00665678" w:rsidRDefault="0001790C" w:rsidP="0001790C">
      <w:pPr>
        <w:jc w:val="both"/>
        <w:rPr>
          <w:b/>
          <w:bCs/>
          <w:color w:val="000000" w:themeColor="text1"/>
          <w:sz w:val="24"/>
          <w:szCs w:val="24"/>
        </w:rPr>
      </w:pPr>
    </w:p>
    <w:p w14:paraId="73B5DD0E" w14:textId="77777777" w:rsidR="0001790C" w:rsidRPr="00665678" w:rsidRDefault="0001790C" w:rsidP="0001790C">
      <w:pPr>
        <w:jc w:val="both"/>
        <w:rPr>
          <w:b/>
          <w:bCs/>
          <w:color w:val="000000" w:themeColor="text1"/>
          <w:sz w:val="24"/>
          <w:szCs w:val="24"/>
        </w:rPr>
      </w:pPr>
      <w:r w:rsidRPr="00665678">
        <w:rPr>
          <w:b/>
          <w:bCs/>
          <w:color w:val="000000" w:themeColor="text1"/>
          <w:sz w:val="24"/>
          <w:szCs w:val="24"/>
        </w:rPr>
        <w:lastRenderedPageBreak/>
        <w:t xml:space="preserve">        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r>
        <w:rPr>
          <w:rStyle w:val="Rimandonotaapidipagina"/>
          <w:b/>
          <w:bCs/>
          <w:color w:val="000000" w:themeColor="text1"/>
          <w:sz w:val="24"/>
          <w:szCs w:val="24"/>
        </w:rPr>
        <w:footnoteReference w:id="110"/>
      </w:r>
    </w:p>
    <w:p w14:paraId="22EE5118" w14:textId="77777777" w:rsidR="0001790C" w:rsidRPr="008A028B" w:rsidRDefault="0001790C" w:rsidP="0001790C">
      <w:pPr>
        <w:jc w:val="center"/>
        <w:rPr>
          <w:b/>
          <w:bCs/>
          <w:color w:val="000000" w:themeColor="text1"/>
          <w:sz w:val="24"/>
          <w:szCs w:val="24"/>
        </w:rPr>
      </w:pPr>
      <w:r w:rsidRPr="008A028B">
        <w:rPr>
          <w:b/>
          <w:bCs/>
          <w:color w:val="000000" w:themeColor="text1"/>
          <w:sz w:val="24"/>
          <w:szCs w:val="24"/>
        </w:rPr>
        <w:t>Art. 20-bis.</w:t>
      </w:r>
    </w:p>
    <w:p w14:paraId="2BA9D046" w14:textId="77777777" w:rsidR="0001790C" w:rsidRPr="008A028B" w:rsidRDefault="0001790C" w:rsidP="0001790C">
      <w:pPr>
        <w:jc w:val="center"/>
        <w:rPr>
          <w:b/>
          <w:bCs/>
          <w:color w:val="000000" w:themeColor="text1"/>
          <w:sz w:val="24"/>
          <w:szCs w:val="24"/>
        </w:rPr>
      </w:pPr>
    </w:p>
    <w:p w14:paraId="2CA7DD01" w14:textId="77777777" w:rsidR="0001790C" w:rsidRPr="008A028B" w:rsidRDefault="0001790C" w:rsidP="0001790C">
      <w:pPr>
        <w:jc w:val="center"/>
        <w:rPr>
          <w:b/>
          <w:bCs/>
          <w:color w:val="000000" w:themeColor="text1"/>
          <w:sz w:val="24"/>
          <w:szCs w:val="24"/>
        </w:rPr>
      </w:pPr>
      <w:r w:rsidRPr="008A028B">
        <w:rPr>
          <w:b/>
          <w:bCs/>
          <w:color w:val="000000" w:themeColor="text1"/>
          <w:sz w:val="24"/>
          <w:szCs w:val="24"/>
        </w:rPr>
        <w:t>(Principi e criteri direttivi per l'attuazione della direttiva (UE) 2019/1159 del Parlamento europeo e del Consiglio, del 20 giugno 2019, recante modifica della direttiva 2008/106/CE concernente i requisiti minimi di formazione per la gente di mare e che abroga la direttiva 2005/45/CE riguardante il reciproco riconoscimento dei certificati rilasciati dagli Stati membri alla gente di mare)</w:t>
      </w:r>
    </w:p>
    <w:p w14:paraId="3ED64575" w14:textId="77777777" w:rsidR="0001790C" w:rsidRPr="008A028B" w:rsidRDefault="0001790C" w:rsidP="0001790C">
      <w:pPr>
        <w:jc w:val="both"/>
        <w:rPr>
          <w:b/>
          <w:bCs/>
          <w:color w:val="000000" w:themeColor="text1"/>
          <w:sz w:val="24"/>
          <w:szCs w:val="24"/>
        </w:rPr>
      </w:pPr>
    </w:p>
    <w:p w14:paraId="3D336807" w14:textId="77777777" w:rsidR="0001790C" w:rsidRPr="008A028B" w:rsidRDefault="0001790C" w:rsidP="0001790C">
      <w:pPr>
        <w:jc w:val="both"/>
        <w:rPr>
          <w:b/>
          <w:bCs/>
          <w:color w:val="000000" w:themeColor="text1"/>
          <w:sz w:val="24"/>
          <w:szCs w:val="24"/>
        </w:rPr>
      </w:pPr>
      <w:r w:rsidRPr="008A028B">
        <w:rPr>
          <w:b/>
          <w:bCs/>
          <w:color w:val="000000" w:themeColor="text1"/>
          <w:sz w:val="24"/>
          <w:szCs w:val="24"/>
        </w:rPr>
        <w:t xml:space="preserve">        1. Nell'esercizio della delega per l'attuazione della direttiva (UE) 2019/1159 del Parlamento europeo e del Consiglio, del 20 giugno 2019, il Governo osserva, oltre ai principi e criteri direttivi generali di cui all'articolo 32 della legge n. 234 del 2012, anche i seguenti principi e criteri direttivi specifici:</w:t>
      </w:r>
    </w:p>
    <w:p w14:paraId="782ABC2A" w14:textId="77777777" w:rsidR="0001790C" w:rsidRPr="008A028B" w:rsidRDefault="0001790C" w:rsidP="0001790C">
      <w:pPr>
        <w:jc w:val="both"/>
        <w:rPr>
          <w:b/>
          <w:bCs/>
          <w:color w:val="000000" w:themeColor="text1"/>
          <w:sz w:val="24"/>
          <w:szCs w:val="24"/>
        </w:rPr>
      </w:pPr>
    </w:p>
    <w:p w14:paraId="1A819F7B" w14:textId="77777777" w:rsidR="0001790C" w:rsidRPr="008A028B" w:rsidRDefault="0001790C" w:rsidP="0001790C">
      <w:pPr>
        <w:jc w:val="both"/>
        <w:rPr>
          <w:b/>
          <w:bCs/>
          <w:color w:val="000000" w:themeColor="text1"/>
          <w:sz w:val="24"/>
          <w:szCs w:val="24"/>
        </w:rPr>
      </w:pPr>
      <w:r w:rsidRPr="008A028B">
        <w:rPr>
          <w:b/>
          <w:bCs/>
          <w:color w:val="000000" w:themeColor="text1"/>
          <w:sz w:val="24"/>
          <w:szCs w:val="24"/>
        </w:rPr>
        <w:t xml:space="preserve">            a) introdurre le definizioni di «acque protette» e di «acque adiacenti alle acque protette», ai fini della concreta identificazione delle navi adibite alla navigazione marittima, alla gente di mare a bordo delle quali soltanto si applica la direttiva 2008/106/CE e definite da tale direttiva quali navi diverse da quelle che navigano esclusivamente nelle acque interne, nelle acque protette o nelle acque adiacenti alle acque protette od alle zone in cui si applicano i regolamenti portuali.</w:t>
      </w:r>
    </w:p>
    <w:p w14:paraId="79CFEDD9" w14:textId="77777777" w:rsidR="0001790C" w:rsidRPr="008A028B" w:rsidRDefault="0001790C" w:rsidP="0001790C">
      <w:pPr>
        <w:jc w:val="both"/>
        <w:rPr>
          <w:b/>
          <w:bCs/>
          <w:color w:val="000000" w:themeColor="text1"/>
          <w:sz w:val="24"/>
          <w:szCs w:val="24"/>
        </w:rPr>
      </w:pPr>
    </w:p>
    <w:p w14:paraId="38E49891" w14:textId="77777777" w:rsidR="0001790C" w:rsidRPr="008A028B" w:rsidRDefault="0001790C" w:rsidP="0001790C">
      <w:pPr>
        <w:jc w:val="both"/>
        <w:rPr>
          <w:b/>
          <w:bCs/>
          <w:color w:val="000000" w:themeColor="text1"/>
          <w:sz w:val="24"/>
          <w:szCs w:val="24"/>
        </w:rPr>
      </w:pPr>
      <w:r w:rsidRPr="008A028B">
        <w:rPr>
          <w:b/>
          <w:bCs/>
          <w:color w:val="000000" w:themeColor="text1"/>
          <w:sz w:val="24"/>
          <w:szCs w:val="24"/>
        </w:rPr>
        <w:t xml:space="preserve">            b) valutare, in sede di elaborazione delle definizioni di "acque protette" e di "acque adiacenti alle acque protette", i criteri utilizzati a tal fine dagli altri Paesi membri, al fine di non penalizzare il personale della gente di mare.</w:t>
      </w:r>
      <w:r>
        <w:rPr>
          <w:rStyle w:val="Rimandonotaapidipagina"/>
          <w:b/>
          <w:bCs/>
          <w:color w:val="000000" w:themeColor="text1"/>
          <w:sz w:val="24"/>
          <w:szCs w:val="24"/>
        </w:rPr>
        <w:footnoteReference w:id="111"/>
      </w:r>
    </w:p>
    <w:p w14:paraId="34BDBA88" w14:textId="77777777" w:rsidR="0001790C" w:rsidRDefault="0001790C" w:rsidP="00081CED">
      <w:pPr>
        <w:jc w:val="both"/>
        <w:rPr>
          <w:rFonts w:asciiTheme="minorHAnsi" w:eastAsia="Times New Roman" w:hAnsiTheme="minorHAnsi" w:cs="Times New Roman"/>
          <w:bCs/>
          <w:color w:val="000000" w:themeColor="text1"/>
          <w:sz w:val="24"/>
          <w:szCs w:val="24"/>
        </w:rPr>
      </w:pPr>
    </w:p>
    <w:p w14:paraId="6DA9D4A9" w14:textId="77777777" w:rsidR="007B65DD" w:rsidRDefault="007B65DD"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504EC2" w14:textId="77777777" w:rsidR="0074526D" w:rsidRPr="00683687" w:rsidRDefault="0074526D" w:rsidP="0074526D">
      <w:pPr>
        <w:jc w:val="center"/>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Art. 20-bis.</w:t>
      </w:r>
    </w:p>
    <w:p w14:paraId="4EEA2997" w14:textId="77777777" w:rsidR="0074526D" w:rsidRPr="00683687" w:rsidRDefault="0074526D" w:rsidP="0074526D">
      <w:pPr>
        <w:jc w:val="center"/>
        <w:rPr>
          <w:rFonts w:asciiTheme="minorHAnsi" w:hAnsiTheme="minorHAnsi"/>
          <w:b/>
          <w:bCs/>
          <w:color w:val="000000" w:themeColor="text1"/>
          <w:sz w:val="24"/>
          <w:szCs w:val="24"/>
        </w:rPr>
      </w:pPr>
    </w:p>
    <w:p w14:paraId="084A59C7" w14:textId="77777777" w:rsidR="0074526D" w:rsidRPr="00683687" w:rsidRDefault="0074526D" w:rsidP="0074526D">
      <w:pPr>
        <w:jc w:val="center"/>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(Principi e criteri direttivi per l'attuazione della direttiva (UE) 2019/904 del Parlamento europeo e del Consiglio, del 5 giugno 2019, sulla riduzione dell'incidenza di determinati prodotti di plastica sull'ambiente)</w:t>
      </w:r>
    </w:p>
    <w:p w14:paraId="2762EB8E" w14:textId="77777777" w:rsidR="0074526D" w:rsidRPr="00683687" w:rsidRDefault="0074526D" w:rsidP="0074526D">
      <w:pPr>
        <w:jc w:val="both"/>
        <w:rPr>
          <w:rFonts w:asciiTheme="minorHAnsi" w:hAnsiTheme="minorHAnsi"/>
          <w:b/>
          <w:bCs/>
          <w:color w:val="000000" w:themeColor="text1"/>
          <w:sz w:val="24"/>
          <w:szCs w:val="24"/>
        </w:rPr>
      </w:pPr>
    </w:p>
    <w:p w14:paraId="18F36C46" w14:textId="77777777"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1. Nell'esercizio della delega per l'attuazione della direttiva (UE) 2019/904 del Parlamento europeo e del Consiglio, del 5 giugno 2019, il Governo osserva, oltre ai princìpi e criteri direttivi generali di cui all'articolo 32 della legge n. 234 del 2012, anche i seguenti princìpi e criteri direttivi specifici:</w:t>
      </w:r>
    </w:p>
    <w:p w14:paraId="4D8D6A0F" w14:textId="77777777" w:rsidR="0074526D" w:rsidRPr="00683687" w:rsidRDefault="0074526D" w:rsidP="0074526D">
      <w:pPr>
        <w:jc w:val="both"/>
        <w:rPr>
          <w:rFonts w:asciiTheme="minorHAnsi" w:hAnsiTheme="minorHAnsi"/>
          <w:b/>
          <w:bCs/>
          <w:color w:val="000000" w:themeColor="text1"/>
          <w:sz w:val="24"/>
          <w:szCs w:val="24"/>
        </w:rPr>
      </w:pPr>
    </w:p>
    <w:p w14:paraId="452A96DE" w14:textId="77777777"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a) garantire una riduzione duratura del consumo dei prodotti monouso elencati nella parte A dell'allegato alla direttiva (UE) 2019/904 e promuovere la transizione verso un'economia circolare con modelli imprenditoriali, prodotti e materiali innovativi e sostenibili, conformemente all'articolo 1 della direttiva (UE) 2019/904 e nel rispetto di quanto previsto dalla legge 27 dicembre 2019, n. 160, comma 653;</w:t>
      </w:r>
    </w:p>
    <w:p w14:paraId="0DEA9F30" w14:textId="77777777" w:rsidR="0074526D" w:rsidRPr="00683687" w:rsidRDefault="0074526D" w:rsidP="0074526D">
      <w:pPr>
        <w:jc w:val="both"/>
        <w:rPr>
          <w:rFonts w:asciiTheme="minorHAnsi" w:hAnsiTheme="minorHAnsi"/>
          <w:b/>
          <w:bCs/>
          <w:color w:val="000000" w:themeColor="text1"/>
          <w:sz w:val="24"/>
          <w:szCs w:val="24"/>
        </w:rPr>
      </w:pPr>
    </w:p>
    <w:p w14:paraId="7CE9B46C" w14:textId="77777777"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b) incoraggiare l'uso di prodotti sostenibili e riutilizzabili, alternativi a quelli monouso comunque realizzati, per quanto riguarda i materiali destinati a entrare in contatto con alimenti, conformemente all'articolo 11, paragrafo 2, della direttiva (UE) 2019/904, anche attraverso la messa a disposizione del consumatore finale, presso i punti vendita, di prodotti riutilizzabili, opportunamente definiti nelle loro caratteristiche tecniche in modo da garantire effettivi, molteplici utilizzi, comunque nel rispetto della normativa in materia di igiene e sicurezza degli alimenti;</w:t>
      </w:r>
    </w:p>
    <w:p w14:paraId="2CBB9815" w14:textId="77777777" w:rsidR="0074526D" w:rsidRPr="00683687" w:rsidRDefault="0074526D" w:rsidP="0074526D">
      <w:pPr>
        <w:jc w:val="both"/>
        <w:rPr>
          <w:rFonts w:asciiTheme="minorHAnsi" w:hAnsiTheme="minorHAnsi"/>
          <w:b/>
          <w:bCs/>
          <w:color w:val="000000" w:themeColor="text1"/>
          <w:sz w:val="24"/>
          <w:szCs w:val="24"/>
        </w:rPr>
      </w:pPr>
    </w:p>
    <w:p w14:paraId="33C6396B" w14:textId="77777777"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c) ai sensi dell'articolo 10 della direttiva (UE) 2019/904, adottare misure volte a informare i consumatori e a incentivarli ad adottare un comportamento responsabile al fine di ridurre la </w:t>
      </w:r>
      <w:r w:rsidRPr="00683687">
        <w:rPr>
          <w:rFonts w:asciiTheme="minorHAnsi" w:hAnsiTheme="minorHAnsi"/>
          <w:b/>
          <w:bCs/>
          <w:color w:val="000000" w:themeColor="text1"/>
          <w:sz w:val="24"/>
          <w:szCs w:val="24"/>
        </w:rPr>
        <w:lastRenderedPageBreak/>
        <w:t>dispersione dei rifiuti derivanti dai prodotti contemplati dalla direttiva, nonché adeguate misure finalizzate a ridurre la dispersione dei rifiuti derivanti dall'uso di palloncini, con esclusione di quelli per uso industriale o altri usi e applicazioni professionali non distribuiti ai consumatori;</w:t>
      </w:r>
    </w:p>
    <w:p w14:paraId="569584E7" w14:textId="77777777" w:rsidR="0074526D" w:rsidRPr="00683687" w:rsidRDefault="0074526D" w:rsidP="0074526D">
      <w:pPr>
        <w:jc w:val="both"/>
        <w:rPr>
          <w:rFonts w:asciiTheme="minorHAnsi" w:hAnsiTheme="minorHAnsi"/>
          <w:b/>
          <w:bCs/>
          <w:color w:val="000000" w:themeColor="text1"/>
          <w:sz w:val="24"/>
          <w:szCs w:val="24"/>
        </w:rPr>
      </w:pPr>
    </w:p>
    <w:p w14:paraId="41187340" w14:textId="77777777"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d) introdurre, conformemente all'articolo 14 della direttiva (UE) 2019/904, una disciplina sanzionatoria effettiva, proporzionata e dissuasiva per le violazioni dei divieti e delle altre disposizioni di attuazione della medesima direttiva, devolvendo i proventi delle sanzioni agli enti di appartenenza dei soggetti che procedono all'accertamento e alla contestazione delle violazioni e destinando detti proventi, all'interno del bilancio di tali enti, al potenziamento delle attività di controllo e di accertamento delle violazioni di cui alla presente lettera;   </w:t>
      </w:r>
    </w:p>
    <w:p w14:paraId="620A3637" w14:textId="77777777" w:rsidR="0074526D" w:rsidRPr="00683687" w:rsidRDefault="0074526D" w:rsidP="0074526D">
      <w:pPr>
        <w:jc w:val="both"/>
        <w:rPr>
          <w:rFonts w:asciiTheme="minorHAnsi" w:hAnsiTheme="minorHAnsi"/>
          <w:b/>
          <w:bCs/>
          <w:color w:val="000000" w:themeColor="text1"/>
          <w:sz w:val="24"/>
          <w:szCs w:val="24"/>
        </w:rPr>
      </w:pPr>
    </w:p>
    <w:p w14:paraId="3CCEBF43" w14:textId="77777777"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e) abrogare l'articolo 226-quater del decreto legislativo 3 aprile 2006, n. 152, contestualmente al recepimento della direttiva (UE) 2019/904. </w:t>
      </w:r>
    </w:p>
    <w:p w14:paraId="628C3AAA" w14:textId="77777777" w:rsidR="0074526D" w:rsidRPr="00683687" w:rsidRDefault="0074526D" w:rsidP="0074526D">
      <w:pPr>
        <w:jc w:val="both"/>
        <w:rPr>
          <w:rFonts w:asciiTheme="minorHAnsi" w:hAnsiTheme="minorHAnsi"/>
          <w:b/>
          <w:bCs/>
          <w:color w:val="000000" w:themeColor="text1"/>
          <w:sz w:val="24"/>
          <w:szCs w:val="24"/>
        </w:rPr>
      </w:pPr>
    </w:p>
    <w:p w14:paraId="38B376FB" w14:textId="77777777"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2. Agli eventuali oneri derivanti dal presente articolo si provvede ai sensi dell'articolo 1, comma 3 della presente legge. Qualora la dotazione del Fondo di cui all'articolo 41-bis della legge 234 del 2012 si rivelasse insufficiente, il decreto legislativo di cui al comma 1 è emanato solo successivamente all'entrata in vigore dei provvedimenti legislativi che stanziano le occorrenti risorse finanziarie a copertura dei relativi maggiori oneri, in conformità all'articolo 17, comma 2, della legge 31 dicembre 2009, n. 196.</w:t>
      </w:r>
      <w:r>
        <w:rPr>
          <w:rStyle w:val="Rimandonotaapidipagina"/>
          <w:rFonts w:asciiTheme="minorHAnsi" w:hAnsiTheme="minorHAnsi"/>
          <w:b/>
          <w:bCs/>
          <w:color w:val="000000" w:themeColor="text1"/>
          <w:sz w:val="24"/>
          <w:szCs w:val="24"/>
        </w:rPr>
        <w:footnoteReference w:id="112"/>
      </w:r>
    </w:p>
    <w:p w14:paraId="57E85240" w14:textId="77777777" w:rsidR="0074526D" w:rsidRDefault="0074526D"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A83DA4" w14:textId="77777777" w:rsidR="0015730E" w:rsidRPr="00683687" w:rsidRDefault="0015730E" w:rsidP="0015730E">
      <w:pPr>
        <w:jc w:val="center"/>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Art. 20-bis.</w:t>
      </w:r>
    </w:p>
    <w:p w14:paraId="7F516EA0" w14:textId="77777777" w:rsidR="0015730E" w:rsidRPr="00683687" w:rsidRDefault="0015730E" w:rsidP="0015730E">
      <w:pPr>
        <w:jc w:val="center"/>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(Principi e criteri direttivi per l'adeguamento della normativa nazionale alle disposizioni del regolamento (UE) 2019/2088 del Parlamento europeo e del Consiglio del 27 novembre 2019 relativo all'informativa sulla sostenibilità nel settore dei servizi finanziari (Testo rilevante ai fini del SEE))</w:t>
      </w:r>
    </w:p>
    <w:p w14:paraId="720DFD36" w14:textId="77777777" w:rsidR="0015730E" w:rsidRPr="00683687" w:rsidRDefault="0015730E" w:rsidP="0015730E">
      <w:pPr>
        <w:jc w:val="both"/>
        <w:rPr>
          <w:rFonts w:asciiTheme="minorHAnsi" w:hAnsiTheme="minorHAnsi"/>
          <w:b/>
          <w:bCs/>
          <w:color w:val="000000" w:themeColor="text1"/>
          <w:sz w:val="24"/>
          <w:szCs w:val="24"/>
        </w:rPr>
      </w:pPr>
    </w:p>
    <w:p w14:paraId="1DB80205" w14:textId="77777777" w:rsidR="0015730E" w:rsidRPr="00683687" w:rsidRDefault="0015730E" w:rsidP="0015730E">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lastRenderedPageBreak/>
        <w:t xml:space="preserve">        1. Il Governo adotta, entro diciotto mesi dalla data di entrata in vigore della presente disposizione, uno o più decreti legislativi per l'adeguamento della normativa nazionale al regolamento (UE) 2019/2088 del Parlamento europeo e del Consiglio del 27 novembre 2019 relativo all'informativa sulla sostenibilità nel settore dei servizi finanziari.</w:t>
      </w:r>
    </w:p>
    <w:p w14:paraId="373247F8" w14:textId="77777777" w:rsidR="0015730E" w:rsidRPr="00683687" w:rsidRDefault="0015730E" w:rsidP="0015730E">
      <w:pPr>
        <w:jc w:val="both"/>
        <w:rPr>
          <w:rFonts w:asciiTheme="minorHAnsi" w:hAnsiTheme="minorHAnsi"/>
          <w:b/>
          <w:bCs/>
          <w:color w:val="000000" w:themeColor="text1"/>
          <w:sz w:val="24"/>
          <w:szCs w:val="24"/>
        </w:rPr>
      </w:pPr>
    </w:p>
    <w:p w14:paraId="1EFFB9E1" w14:textId="77777777" w:rsidR="0015730E" w:rsidRPr="00683687" w:rsidRDefault="0015730E" w:rsidP="0015730E">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2. Nell'esercizio della delega di cui al comma 1, il Governo osserva i principi e criteri direttivi generali di cui all'articolo 32 della legge n. 234 del 2012.</w:t>
      </w:r>
    </w:p>
    <w:p w14:paraId="538ABCD6" w14:textId="77777777" w:rsidR="0015730E" w:rsidRPr="00683687" w:rsidRDefault="0015730E" w:rsidP="0015730E">
      <w:pPr>
        <w:jc w:val="both"/>
        <w:rPr>
          <w:rFonts w:asciiTheme="minorHAnsi" w:hAnsiTheme="minorHAnsi"/>
          <w:b/>
          <w:bCs/>
          <w:color w:val="000000" w:themeColor="text1"/>
          <w:sz w:val="24"/>
          <w:szCs w:val="24"/>
        </w:rPr>
      </w:pPr>
    </w:p>
    <w:p w14:paraId="0C7B3E41" w14:textId="77777777" w:rsidR="0015730E" w:rsidRPr="00683687" w:rsidRDefault="0015730E" w:rsidP="0015730E">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3.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r>
        <w:rPr>
          <w:rStyle w:val="Rimandonotaapidipagina"/>
          <w:rFonts w:asciiTheme="minorHAnsi" w:hAnsiTheme="minorHAnsi"/>
          <w:b/>
          <w:bCs/>
          <w:color w:val="000000" w:themeColor="text1"/>
          <w:sz w:val="24"/>
          <w:szCs w:val="24"/>
        </w:rPr>
        <w:footnoteReference w:id="113"/>
      </w:r>
    </w:p>
    <w:p w14:paraId="6F0FF54A" w14:textId="77777777" w:rsidR="0015730E" w:rsidRPr="002C1B13" w:rsidRDefault="0015730E"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420221" w14:textId="77777777"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589BB5" w14:textId="77777777" w:rsidR="00200CEE" w:rsidRPr="00200CEE" w:rsidRDefault="00200CEE" w:rsidP="00200CEE">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Art. 20-bis.</w:t>
      </w:r>
    </w:p>
    <w:p w14:paraId="675A41EC" w14:textId="77777777" w:rsidR="00200CEE" w:rsidRPr="00200CEE" w:rsidRDefault="00200CEE" w:rsidP="00200CEE">
      <w:pPr>
        <w:shd w:val="clear" w:color="auto" w:fill="FFFFFF"/>
        <w:tabs>
          <w:tab w:val="left" w:pos="993"/>
        </w:tabs>
        <w:spacing w:after="120" w:line="240" w:lineRule="auto"/>
        <w:jc w:val="center"/>
        <w:rPr>
          <w:rFonts w:asciiTheme="minorHAnsi" w:eastAsia="Times New Roman" w:hAnsiTheme="minorHAnsi" w:cs="Times New Roman"/>
          <w:b/>
          <w:bCs/>
          <w:i/>
          <w:color w:val="000000" w:themeColor="text1"/>
          <w:sz w:val="24"/>
          <w:szCs w:val="24"/>
        </w:rPr>
      </w:pPr>
      <w:r w:rsidRPr="00200CEE">
        <w:rPr>
          <w:rFonts w:asciiTheme="minorHAnsi" w:eastAsia="Times New Roman" w:hAnsiTheme="minorHAnsi" w:cs="Times New Roman"/>
          <w:b/>
          <w:bCs/>
          <w:i/>
          <w:color w:val="000000" w:themeColor="text1"/>
          <w:sz w:val="24"/>
          <w:szCs w:val="24"/>
        </w:rPr>
        <w:t>(</w:t>
      </w:r>
      <w:proofErr w:type="spellStart"/>
      <w:r w:rsidRPr="00200CEE">
        <w:rPr>
          <w:rFonts w:asciiTheme="minorHAnsi" w:eastAsia="Times New Roman" w:hAnsiTheme="minorHAnsi" w:cs="Times New Roman"/>
          <w:b/>
          <w:bCs/>
          <w:i/>
          <w:color w:val="000000" w:themeColor="text1"/>
          <w:sz w:val="24"/>
          <w:szCs w:val="24"/>
        </w:rPr>
        <w:t>Princípi</w:t>
      </w:r>
      <w:proofErr w:type="spellEnd"/>
      <w:r w:rsidRPr="00200CEE">
        <w:rPr>
          <w:rFonts w:asciiTheme="minorHAnsi" w:eastAsia="Times New Roman" w:hAnsiTheme="minorHAnsi" w:cs="Times New Roman"/>
          <w:b/>
          <w:bCs/>
          <w:i/>
          <w:color w:val="000000" w:themeColor="text1"/>
          <w:sz w:val="24"/>
          <w:szCs w:val="24"/>
        </w:rPr>
        <w:t xml:space="preserve"> e criteri direttivi per l'attuazione della direttiva (UE) 2019/1153 del Parlamento europeo e del Consiglio, del 20 giugno 2019, che reca disposizioni per agevolare l'uso di informazioni finanziarie e di altro tipo a fini di prevenzione, accertamento, indagine o perseguimento di determinati reati, e che abroga la decisione 2000/642/GAI del Consiglio)</w:t>
      </w:r>
    </w:p>
    <w:p w14:paraId="0C9FEC67"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E3CF3F2"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1. Il Governo è delegato ad adottare, secondo le procedure di cui all'articolo 1, comma 1, e previo parere del Garante per la protezione dei dati personali, uno o più decreti legislativi al fine di dare attuazione alla direttiva (UE) 2019/1153 del Parlamento europeo e del Consiglio, del 20 giugno 2019, che reca disposizioni per agevolare l'uso di informazioni finanziarie e di altro tipo a fini di prevenzione, accertamento, indagine o perseguimento di determinati reati, e che abroga la decisione 2000/642/GAI del Consiglio.</w:t>
      </w:r>
    </w:p>
    <w:p w14:paraId="33678486"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553DB07"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lastRenderedPageBreak/>
        <w:t xml:space="preserve">2. Nell'esercizio della delega di cui al comma 1, il Governo è tenuto a seguire, oltre ai </w:t>
      </w:r>
      <w:proofErr w:type="spellStart"/>
      <w:r w:rsidRPr="00200CEE">
        <w:rPr>
          <w:rFonts w:asciiTheme="minorHAnsi" w:eastAsia="Times New Roman" w:hAnsiTheme="minorHAnsi" w:cs="Times New Roman"/>
          <w:b/>
          <w:bCs/>
          <w:color w:val="000000" w:themeColor="text1"/>
          <w:sz w:val="24"/>
          <w:szCs w:val="24"/>
        </w:rPr>
        <w:t>princípi</w:t>
      </w:r>
      <w:proofErr w:type="spellEnd"/>
      <w:r w:rsidRPr="00200CEE">
        <w:rPr>
          <w:rFonts w:asciiTheme="minorHAnsi" w:eastAsia="Times New Roman" w:hAnsiTheme="minorHAnsi" w:cs="Times New Roman"/>
          <w:b/>
          <w:bCs/>
          <w:color w:val="000000" w:themeColor="text1"/>
          <w:sz w:val="24"/>
          <w:szCs w:val="24"/>
        </w:rPr>
        <w:t xml:space="preserve"> e criteri direttivi generali di cui all'articolo 32 della legge 24 dicembre 2012, n. 234, anche i seguenti </w:t>
      </w:r>
      <w:proofErr w:type="spellStart"/>
      <w:r w:rsidRPr="00200CEE">
        <w:rPr>
          <w:rFonts w:asciiTheme="minorHAnsi" w:eastAsia="Times New Roman" w:hAnsiTheme="minorHAnsi" w:cs="Times New Roman"/>
          <w:b/>
          <w:bCs/>
          <w:color w:val="000000" w:themeColor="text1"/>
          <w:sz w:val="24"/>
          <w:szCs w:val="24"/>
        </w:rPr>
        <w:t>princípi</w:t>
      </w:r>
      <w:proofErr w:type="spellEnd"/>
      <w:r w:rsidRPr="00200CEE">
        <w:rPr>
          <w:rFonts w:asciiTheme="minorHAnsi" w:eastAsia="Times New Roman" w:hAnsiTheme="minorHAnsi" w:cs="Times New Roman"/>
          <w:b/>
          <w:bCs/>
          <w:color w:val="000000" w:themeColor="text1"/>
          <w:sz w:val="24"/>
          <w:szCs w:val="24"/>
        </w:rPr>
        <w:t xml:space="preserve"> e criteri direttivi specifici:</w:t>
      </w:r>
    </w:p>
    <w:p w14:paraId="1D0666EC"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a) assicurare il rispetto del vigente assetto istituzionale e di competenze stabilito dall'ordinamento nazionale, al fine di tenere conto della natura, dello status organizzativo, dei compiti e delle prerogative delle autorità e degli organismi interessati, ivi compresi i meccanismi esistenti per proteggere il sistema finanziario dal riciclaggio e dal finanziamento del terrorismo;</w:t>
      </w:r>
    </w:p>
    <w:p w14:paraId="19A73B3C"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b) stabilire che l'accesso e la consultazione delle informazioni sui conti bancari, di cui all'articolo 4 della direttiva (UE) 2019/1153, e le richieste di informazioni finanziarie e di analisi finanziarie, di cui all'articolo 7 della medesima direttiva, siano previsti quando tali informazioni e analisi finanziarie siano necessarie per lo svolgimento di un procedimento penale o nell'ambito di un procedimento per l'applicazione delle misure di prevenzione patrimoniali di cui al Titolo II del Libro I del decreto legislativo 6 settembre 2011, n. 159, designando, a tal fine e in ossequio al principio di cui alla lettera a):</w:t>
      </w:r>
    </w:p>
    <w:p w14:paraId="3F983BEC"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1) quale autorità di cui all'articolo 3, paragrafo 1, della direttiva (UE) 2019/1153, l'Ufficio nazionale per il recupero dei beni (ARO), istituito presso il Ministero dell'interno, e i soggetti di cui all'articolo 4, comma 2, lettere a) e c), del decreto del Ministro del tesoro, del bilancio e della programmazione economica 4 agosto 2000, n. 269;</w:t>
      </w:r>
    </w:p>
    <w:p w14:paraId="4E3F9F61"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2) le autorità di cui all'articolo 3, paragrafo 2, della direttiva (UE) 2019/1153, tra gli organismi di cui all'articolo 9 del decreto legislativo 21 novembre 2007, n. 231;</w:t>
      </w:r>
    </w:p>
    <w:p w14:paraId="79D2337C"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c) in attuazione di quanto previsto dall'articolo 12, comma 8, del decreto legislativo 21 novembre 2007, n. 231, agevolare la cooperazione tra le forze di polizia di cui all'articolo 16, primo comma, della legge 1° aprile 1981, n. 121, secondo modalità definite d'intesa tra le medesime Forze di polizia.</w:t>
      </w:r>
    </w:p>
    <w:p w14:paraId="100E27CB"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A194116" w14:textId="77777777" w:rsid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3. Dall'attuazione delle disposizioni del presente articolo non derivano nuovi o maggiori oneri a carico della finanza pubblica.</w:t>
      </w:r>
      <w:r>
        <w:rPr>
          <w:rStyle w:val="Rimandonotaapidipagina"/>
          <w:rFonts w:asciiTheme="minorHAnsi" w:eastAsia="Times New Roman" w:hAnsiTheme="minorHAnsi" w:cs="Times New Roman"/>
          <w:b/>
          <w:bCs/>
          <w:color w:val="000000" w:themeColor="text1"/>
          <w:sz w:val="24"/>
          <w:szCs w:val="24"/>
        </w:rPr>
        <w:footnoteReference w:id="114"/>
      </w:r>
    </w:p>
    <w:p w14:paraId="05E28E29" w14:textId="77777777"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F7471F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Allegato A</w:t>
      </w:r>
    </w:p>
    <w:p w14:paraId="1144FDFB"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(articolo 1, comma 1)</w:t>
      </w:r>
    </w:p>
    <w:p w14:paraId="1ED0333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49A53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direttiva (UE) 2018/1673 del Parlamento europeo e del Consiglio, del 23 ottobre 2018, sulla lotta al riciclaggio mediante il diritto penale (termine di recepimento: 3 dicembre 2020);</w:t>
      </w:r>
    </w:p>
    <w:p w14:paraId="085304F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2) direttiva (UE) 2018/1808 del Parlamento europeo e del Consiglio, del 14 novembre 2018, recante modifica della direttiva 2010/13/UE, relativa al coordinamento di determinate disposizioni legislative, regolamentari e amministrative degli Stati membri concernenti la fornitura di servizi di media audiovisivi (direttiva sui servizi di media audiovisivi), in considerazione dell'evoluzione delle realtà del mercato (termine di recepimento: 19 settembre 2020);</w:t>
      </w:r>
    </w:p>
    <w:p w14:paraId="73F2727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3) direttiva (UE) 2018/1910 del Consiglio, del 4 dicembre 2018, che modifica la direttiva 2006/112/CE per quanto concerne l'armonizzazione e la semplificazione di determinate norme nel sistema d'imposta sul valore aggiunto di imposizione degli scambi tra Stati membri (termine di recepimento: 31 dicembre 2019);</w:t>
      </w:r>
    </w:p>
    <w:p w14:paraId="371E06F0"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4) direttiva (UE) 2018/1972 del Parlamento europeo e del Consiglio, dell'11 dicembre 2018, che istituisce il codice europeo delle comunicazioni elettroniche (rifusione) (Testo rilevante ai fini del SEE) (termine di recepimento: 21 dicembre 2020);</w:t>
      </w:r>
    </w:p>
    <w:p w14:paraId="15FCF89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5) direttiva (UE) 2018/2001 del Parlamento europeo e del Consiglio, dell'11 dicembre 2018, sulla promozione dell'uso dell'energia da fonti rinnovabili (rifusione) (Testo rilevante ai fini del SEE) (termine di recepimento: 30 giugno 2021);</w:t>
      </w:r>
    </w:p>
    <w:p w14:paraId="24D94C5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6) direttiva (UE) 2019/1 del Parlamento europeo e del Consiglio, dell'11 dicembre 2018, che conferisce alle autorità garanti della concorrenza degli Stati membri poteri di applicazione più efficace e che assicura il corretto funzionamento del mercato interno (Testo rilevante ai fini del SEE) (termine di recepimento: 4 febbraio 2021);</w:t>
      </w:r>
    </w:p>
    <w:p w14:paraId="3F5261C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CB401B">
        <w:rPr>
          <w:rFonts w:asciiTheme="minorHAnsi" w:eastAsia="Times New Roman" w:hAnsiTheme="minorHAnsi" w:cs="Times New Roman"/>
          <w:bCs/>
          <w:strike/>
          <w:color w:val="000000" w:themeColor="text1"/>
          <w:sz w:val="24"/>
          <w:szCs w:val="24"/>
          <w:highlight w:val="yellow"/>
        </w:rPr>
        <w:t>7) direttiva (UE) 2019/475 del Consiglio, del 18 febbraio 2019, recante modifica delle direttive 2006/112/CE e 2008/118/CE per quanto riguarda l'inclusione del comune italiano di Campione d'Italia e delle acque italiane del Lago di Lugano nel territorio doganale dell'Unione e nell'ambito di applicazione territoriale della direttiva 2008/118/CE (termine di recepimento: 31 dicembre 2019)</w:t>
      </w:r>
      <w:r w:rsidRPr="002C1B13">
        <w:rPr>
          <w:rFonts w:asciiTheme="minorHAnsi" w:eastAsia="Times New Roman" w:hAnsiTheme="minorHAnsi" w:cs="Times New Roman"/>
          <w:bCs/>
          <w:color w:val="000000" w:themeColor="text1"/>
          <w:sz w:val="24"/>
          <w:szCs w:val="24"/>
        </w:rPr>
        <w:t>;</w:t>
      </w:r>
      <w:r w:rsidR="00CB401B">
        <w:rPr>
          <w:rStyle w:val="Rimandonotaapidipagina"/>
          <w:rFonts w:asciiTheme="minorHAnsi" w:eastAsia="Times New Roman" w:hAnsiTheme="minorHAnsi" w:cs="Times New Roman"/>
          <w:bCs/>
          <w:color w:val="000000" w:themeColor="text1"/>
          <w:sz w:val="24"/>
          <w:szCs w:val="24"/>
        </w:rPr>
        <w:footnoteReference w:id="115"/>
      </w:r>
    </w:p>
    <w:p w14:paraId="567DBD4C"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8) direttiva (UE) 2019/520 del Parlamento europeo e del Consiglio, del 19 marzo 2019, concernente l'interoperabilità dei sistemi di telepedaggio stradale e intesa ad agevolare lo scambio transfrontaliero di informazioni sul mancato pagamento dei pedaggi stradali nell'Unione (rifusione) (Testo rilevante ai fini del SEE) (termine di recepimento: 19 ottobre 2021);</w:t>
      </w:r>
    </w:p>
    <w:p w14:paraId="30D3FAA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9) direttiva (UE) 2019/633 del Parlamento europeo e del Consiglio, del 17 aprile 2019, in materia di pratiche commerciali sleali nei rapporti tra imprese nella filiera agricola e alimentare (termine di recepimento: 1° maggio 2021);</w:t>
      </w:r>
    </w:p>
    <w:p w14:paraId="4F44B88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10) direttiva (UE) 2019/713 del Parlamento europeo e del Consiglio, del 17 aprile 2019, relativa alla lotta contro le frodi e le falsificazioni di mezzi di pagamento diversi dai contanti e che sostituisce la decisione quadro 2001/413/GAI del Consiglio (termine di recepimento: 31 maggio 2021);</w:t>
      </w:r>
    </w:p>
    <w:p w14:paraId="1A6812A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11) direttiva (UE) 2019/770 del Parlamento europeo e del Consiglio, del 20 maggio 2019, relativa a determinati aspetti dei contratti di fornitura di contenuto digitale e di servizi digitali (Testo rilevante ai fini del SEE) (termine di recepimento: 1° luglio 2021);</w:t>
      </w:r>
    </w:p>
    <w:p w14:paraId="25A02A9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12) direttiva (UE) 2019/771 del Parlamento europeo e del Consiglio, del 20 maggio 2019, relativa a determinati aspetti dei contratti di vendita di beni, che modifica il regolamento (UE) 2017/2394 e la direttiva 2009/22/CE, e che abroga la direttiva 1999/44/CE (Testo rilevante ai fini del SEE) (termine di recepimento: 1° luglio 2021);</w:t>
      </w:r>
    </w:p>
    <w:p w14:paraId="0C8EDD3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13) direttiva (UE) 2019/789 del Parlamento europeo e del Consiglio, del 17 aprile 2019, che stabilisce norme relative all'esercizio del diritto d'autore e dei diritti connessi applicabili a talune trasmissioni online degli organismi di diffusione radiotelevisiva e ritrasmissioni di programmi televisivi e radiofonici e che modifica la direttiva 93/83/CEE del Consiglio (Testo rilevante ai fini del SEE) (termine di recepimento: 7 giugno 2021);</w:t>
      </w:r>
    </w:p>
    <w:p w14:paraId="5FC9523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14) direttiva (UE) 2019/790 del Parlamento europeo e del Consiglio, del 17 aprile 2019, sul diritto d'autore e sui diritti connessi nel mercato unico digitale e che modifica le direttive 96/9/CE e 2001/29/CE (Testo rilevante ai fini del SEE) (termine di recepimento: 7 giugno 2021);</w:t>
      </w:r>
    </w:p>
    <w:p w14:paraId="4963A32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15) direttiva (UE) 2019/878 del Parlamento europeo e del Consiglio, del 20 maggio 2019, che modifica la direttiva 2013/36/UE per quanto riguarda le entità esentate, le società di partecipazione finanziaria, le società di partecipazione finanziaria mista, la remunerazione, le misure e i poteri di vigilanza e le misure di conservazione del capitale (Testo rilevante ai fini del SEE) (termine di recepimento: 28 dicembre 2020);</w:t>
      </w:r>
    </w:p>
    <w:p w14:paraId="0E77F315"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16) direttiva (UE) 2019/879 del Parlamento europeo e del Consiglio, del 20 maggio 2019, che modifica la direttiva 2014/59/UE per quanto riguarda la capacità di assorbimento di perdite e di ricapitalizzazione degli enti creditizi e delle imprese di investimento e la direttiva 98/26/CE (termine di recepimento: 28 dicembre 2020);</w:t>
      </w:r>
    </w:p>
    <w:p w14:paraId="2AB5182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17) direttiva (UE) 2019/882 del Parlamento europeo e del Consiglio, del 17 aprile 2019, sui requisiti di accessibilità dei prodotti e dei servizi (Testo rilevante ai fini del SEE) (termine di recepimento: 28 giugno 2022);</w:t>
      </w:r>
    </w:p>
    <w:p w14:paraId="006CCB31"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18) direttiva (UE) 2019/883 del Parlamento europeo e del Consiglio, del 17 aprile 2019, relativa agli impianti portuali di raccolta per il conferimento dei rifiuti delle navi, che modifica la direttiva 2010/65/UE e abroga la direttiva 2000/59/CE (Testo rilevante ai fini del SEE) (termine di recepimento: 28 giugno 2021);</w:t>
      </w:r>
    </w:p>
    <w:p w14:paraId="68BBD8A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19) direttiva (UE) 2019/884 del Parlamento europeo e del Consiglio, del 17 aprile 2019, che modifica la decisione quadro 2009/315/GAI del Consiglio per quanto riguarda lo scambio di informazioni sui cittadini di paesi terzi e il sistema europeo di informazione sui casellari giudiziali (ECRIS), e che sostituisce la decisione 2009/316/GAI del Consiglio (termine di recepimento: 28 giugno 2022);</w:t>
      </w:r>
    </w:p>
    <w:p w14:paraId="0973BEA4"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20) direttiva (UE) 2019/904 del Parlamento europeo e del Consiglio, del 5 giugno 2019, sulla riduzione dell'incidenza di determinati prodotti di plastica sull'ambiente (Testo rilevante ai fini del SEE) (termine di recepimento: 3 luglio 2021);</w:t>
      </w:r>
    </w:p>
    <w:p w14:paraId="3865401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21) direttiva (UE) 2019/944 del Parlamento europeo e del Consiglio, del 5 giugno 2019, relativa a norme comuni per il mercato interno dell'energia elettrica e che modifica la direttiva 2012/27/UE (rifusione) (Testo rilevante ai fini del SEE) (termine di recepimento: 25 ottobre 2020 per l'articolo 70, punto 4), e 31 dicembre 2020 per il resto della direttiva);</w:t>
      </w:r>
    </w:p>
    <w:p w14:paraId="1F589A22"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22) direttiva (UE) 2019/1023 del Parlamento europeo e del Consiglio, del 20 giugno 2019, riguardante i quadri di ristrutturazione preventiva, l'esdebitazione e le interdizioni, e le misure volte ad aumentare l'efficacia delle procedure di ristrutturazione, insolvenza ed esdebitazione, e che modifica la direttiva (UE) 2017/1132 (direttiva sulla ristrutturazione e sull'insolvenza) (Testo rilevante ai fini del SEE) (termine di recepimento: 17 luglio 2021);</w:t>
      </w:r>
    </w:p>
    <w:p w14:paraId="251DD3C9"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23) direttiva (UE) 2019/1024 del Parlamento europeo e del Consiglio, del 20 giugno 2019, relativa all'apertura dei dati e al riutilizzo dell'informazione del settore pubblico (rifusione) (termine di recepimento: 17 luglio 2021);</w:t>
      </w:r>
    </w:p>
    <w:p w14:paraId="045279CD"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24) direttiva (UE) 2019/1151 del Parlamento europeo e del Consiglio, del 20 giugno 2019, recante modifica della direttiva (UE) 2017/1132 per quanto concerne l'uso di strumenti e processi digitali nel diritto societario (Testo rilevante ai fini del SEE) (termine di recepimento: 1° agosto 2021);</w:t>
      </w:r>
    </w:p>
    <w:p w14:paraId="6B174E4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25) direttiva (UE) 2019/1152 del Parlamento europeo e del Consiglio, del 20 giugno 2019, relativa a condizioni di lavoro trasparenti e prevedibili nell'Unione europea (termine di recepimento: 1° agosto 2022);</w:t>
      </w:r>
    </w:p>
    <w:p w14:paraId="78235C26"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26) direttiva (UE) 2019/1153 del Parlamento europeo e del Consiglio, del 20 giugno 2019, che reca disposizioni per agevolare l'uso di informazioni finanziarie e di altro tipo a fini di prevenzione, accertamento, indagine o perseguimento di determinati reati, e che abroga la decisione 2000/642/GAI del Consiglio (termine di recepimento: 1° agosto 2021);</w:t>
      </w:r>
    </w:p>
    <w:p w14:paraId="7F9313F7"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27) direttiva (UE) 2019/1158 del Parlamento europeo e del Consiglio, del 20 giugno 2019, relativa all'equilibrio tra attività professionale e vita familiare per i genitori e i prestatori di assistenza e che abroga la direttiva 2010/18/UE del Consiglio (termine di recepimento: 2 agosto 2022);</w:t>
      </w:r>
    </w:p>
    <w:p w14:paraId="4871D5CE"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28) direttiva (UE) 2019/1159 del Parlamento europeo e del Consiglio, del 20 giugno 2019, recante modifica della direttiva 2008/106/CE concernente i requisiti minimi di formazione per la gente di mare e che abroga la direttiva 2005/45/CE riguardante il reciproco riconoscimento dei certificati rilasciati dagli Stati membri alla gente di mare (Testo rilevante ai fini del SEE) (termine di recepimento: 2 agosto 2021);</w:t>
      </w:r>
    </w:p>
    <w:p w14:paraId="5224090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29) direttiva (UE) 2019/1160 del Parlamento europeo e del Consiglio, del 20 giugno 2019, che modifica le direttive 2009/65/CE e 2011/61/UE per quanto riguarda la distribuzione transfrontaliera degli organismi di investimento collettivo (Testo rilevante ai fini del SEE) (termine di recepimento: 2 agosto 2021);</w:t>
      </w:r>
    </w:p>
    <w:p w14:paraId="4B7BB03B"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30) direttiva (UE) 2019/1161 del Parlamento europeo e del Consiglio, del 20 giugno 2019, che modifica la direttiva 2009/33/CE relativa alla promozione di veicoli puliti e a basso consumo energetico nel trasporto su strada (Testo rilevante ai fini del SEE) (termine di recepimento: 2 agosto 2021)</w:t>
      </w:r>
    </w:p>
    <w:p w14:paraId="63249AFA"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31) direttiva (UE) 2019/1936 del Parlamento europeo e del Consiglio, del 23 ottobre 2019, che modifica la direttiva 2008/96/CE sulla gestione della sicurezza delle infrastrutture stradali (termine di recepimento: 17 dicembre 2021);</w:t>
      </w:r>
    </w:p>
    <w:p w14:paraId="0E5A56F8" w14:textId="77777777"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32) direttiva (UE) 2019/1937 del Parlamento europeo e del Consiglio, del 23 ottobre 2019, riguardante la protezione delle persone che segnalano violazioni del diritto dell'Unione (termine di recepimento: 17 dicembre 2021);</w:t>
      </w:r>
    </w:p>
    <w:p w14:paraId="3AC71C05" w14:textId="77777777" w:rsidR="00E874C7"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33) direttiva (UE) 2019/1995 del Consiglio, del 21 novembre 2019, che modifica la direttiva 2006/112/CE del Consiglio del 28 novembre 2006 per quanto riguarda le disposizioni relative alle vendite a distanza di beni e a talune cessioni nazionali di beni (termine di r</w:t>
      </w:r>
      <w:r w:rsidR="00CB401B">
        <w:rPr>
          <w:rFonts w:asciiTheme="minorHAnsi" w:eastAsia="Times New Roman" w:hAnsiTheme="minorHAnsi" w:cs="Times New Roman"/>
          <w:bCs/>
          <w:color w:val="000000" w:themeColor="text1"/>
          <w:sz w:val="24"/>
          <w:szCs w:val="24"/>
        </w:rPr>
        <w:t>ecepimento: 31 dicembre 2020);</w:t>
      </w:r>
    </w:p>
    <w:p w14:paraId="038AC0F0" w14:textId="77777777"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33-bis) direttiva (UE) 2019/2034 del Parlamento europeo e del Consiglio, del 27 novembre 2019, relativa alla vigilanza prudenziale sulle imprese di investimento e recante modifica delle direttive 2002/87/CE, 2009/65/CE, 2011/61/UE, 2013/36/UE, 2014/59/UE e 2014/65/UE (termine di recepimento: 26 marzo 2020 e 26 giugno 2021);</w:t>
      </w:r>
    </w:p>
    <w:p w14:paraId="7D1877D9" w14:textId="77777777" w:rsid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CB401B">
        <w:rPr>
          <w:rFonts w:asciiTheme="minorHAnsi" w:eastAsia="Times New Roman" w:hAnsiTheme="minorHAnsi" w:cs="Times New Roman"/>
          <w:b/>
          <w:bCs/>
          <w:color w:val="000000" w:themeColor="text1"/>
          <w:sz w:val="24"/>
          <w:szCs w:val="24"/>
        </w:rPr>
        <w:t>33-ter) direttiva (UE) 2019/2162 del Parlamento europeo e del Consiglio del 27 novembre 2019 relativa all'emissione di obbligazioni garantite e alla vigilanza pubblica delle obbligazioni garantite e che modifica la direttiva 2009/65/CE e la direttiva 2014/59/UE (termine di recepimento: 8 luglio 2021)</w:t>
      </w:r>
      <w:r>
        <w:rPr>
          <w:rStyle w:val="Rimandonotaapidipagina"/>
          <w:rFonts w:asciiTheme="minorHAnsi" w:eastAsia="Times New Roman" w:hAnsiTheme="minorHAnsi" w:cs="Times New Roman"/>
          <w:b/>
          <w:bCs/>
          <w:color w:val="000000" w:themeColor="text1"/>
          <w:sz w:val="24"/>
          <w:szCs w:val="24"/>
        </w:rPr>
        <w:footnoteReference w:id="116"/>
      </w:r>
      <w:r w:rsidRPr="00CB401B">
        <w:rPr>
          <w:rFonts w:asciiTheme="minorHAnsi" w:eastAsia="Times New Roman" w:hAnsiTheme="minorHAnsi" w:cs="Times New Roman"/>
          <w:bCs/>
          <w:color w:val="000000" w:themeColor="text1"/>
          <w:sz w:val="24"/>
          <w:szCs w:val="24"/>
        </w:rPr>
        <w:t>;</w:t>
      </w:r>
    </w:p>
    <w:p w14:paraId="2EBAB6AB" w14:textId="77777777"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33-bis) direttiva (UE) 2020/262 del Consiglio, del 19 dicembre 2019, che stabilisce il regime generale delle accise (rifusione) (termine di recepimento: 31 dicembre 2021);</w:t>
      </w:r>
    </w:p>
    <w:p w14:paraId="4BFE9B42" w14:textId="77777777"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33-ter) direttiva (UE) 2019/2235 del Consiglio, del 16 dicembre 2019, recante modifica della direttiva 2006/112/CE relativa al sistema comune d'imposta sul valore aggiunto e della direttiva 2008/118/CE relativa al regime generale delle accise per quanto riguarda gli sforzi di difesa nell'ambito dell'Unione (termine di recepimento: 30 giugno 2022);</w:t>
      </w:r>
    </w:p>
    <w:p w14:paraId="0197045A" w14:textId="77777777"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33-quater) direttiva (UE) 2020/284 del Consiglio, del 18 febbraio 2020, che modifica la direttiva 2006/112/CE per quanto riguarda l'introduzione di taluni obblighi per i prestatori di servizi di pagamento (termine di recepimento: 31 dicembre 2023);</w:t>
      </w:r>
    </w:p>
    <w:p w14:paraId="198EAE37" w14:textId="77777777"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33-quinquies) direttiva (UE) 2020/285 del Consiglio, del 18 febbraio 2020, che modifica la direttiva 2006/112/CE relativa al sistema comune d'imposta sul valore aggiunto per quanto riguarda il regime speciale per le piccole imprese e il regolamento (UE) n. 904/2010 per quanto riguarda la cooperazione amministrativa e lo scambio di informazioni allo scopo di verificare la corretta applicazione del regime speciale per le piccole imprese (termine di recepimento: 31 dicembre 2024).</w:t>
      </w:r>
      <w:r>
        <w:rPr>
          <w:rStyle w:val="Rimandonotaapidipagina"/>
          <w:rFonts w:asciiTheme="minorHAnsi" w:eastAsia="Times New Roman" w:hAnsiTheme="minorHAnsi" w:cs="Times New Roman"/>
          <w:b/>
          <w:bCs/>
          <w:color w:val="000000" w:themeColor="text1"/>
          <w:sz w:val="24"/>
          <w:szCs w:val="24"/>
        </w:rPr>
        <w:footnoteReference w:id="117"/>
      </w:r>
    </w:p>
    <w:p w14:paraId="11BE2C55" w14:textId="77777777" w:rsidR="00E874C7" w:rsidRPr="00793CC1" w:rsidRDefault="00E874C7" w:rsidP="00E874C7">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p>
    <w:sectPr w:rsidR="00E874C7" w:rsidRPr="00793CC1"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5370" w14:textId="77777777" w:rsidR="0068767B" w:rsidRDefault="0068767B">
      <w:pPr>
        <w:spacing w:after="0" w:line="240" w:lineRule="auto"/>
      </w:pPr>
      <w:r>
        <w:separator/>
      </w:r>
    </w:p>
  </w:endnote>
  <w:endnote w:type="continuationSeparator" w:id="0">
    <w:p w14:paraId="4CD23908" w14:textId="77777777" w:rsidR="0068767B" w:rsidRDefault="0068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1CDC" w14:textId="65C761E3" w:rsidR="008E0122" w:rsidRPr="004D0F93" w:rsidRDefault="008E0122"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3D500016" w14:textId="77777777" w:rsidR="008E0122" w:rsidRDefault="008E01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9498" w14:textId="6CFE9CB4" w:rsidR="008E0122" w:rsidRDefault="008E0122" w:rsidP="004532C6">
    <w:pPr>
      <w:pStyle w:val="Pidipagina"/>
      <w:tabs>
        <w:tab w:val="clear" w:pos="9638"/>
        <w:tab w:val="right" w:pos="10034"/>
      </w:tabs>
      <w:rPr>
        <w:rFonts w:asciiTheme="majorHAnsi" w:hAnsiTheme="majorHAnsi"/>
        <w:sz w:val="18"/>
        <w:szCs w:val="18"/>
      </w:rPr>
    </w:pPr>
  </w:p>
  <w:p w14:paraId="38F43EB2" w14:textId="77777777" w:rsidR="008E0122" w:rsidRPr="005F27F8" w:rsidRDefault="008E0122" w:rsidP="004532C6">
    <w:pPr>
      <w:pStyle w:val="Pidipagina"/>
      <w:tabs>
        <w:tab w:val="clear" w:pos="9638"/>
        <w:tab w:val="right" w:pos="10034"/>
      </w:tabs>
      <w:rPr>
        <w:rFonts w:asciiTheme="majorHAnsi" w:hAnsiTheme="majorHAnsi"/>
        <w:color w:val="595959" w:themeColor="text1" w:themeTint="A6"/>
        <w:sz w:val="18"/>
        <w:szCs w:val="18"/>
      </w:rPr>
    </w:pPr>
  </w:p>
  <w:p w14:paraId="0D160457" w14:textId="77777777" w:rsidR="008E0122" w:rsidRPr="005F27F8" w:rsidRDefault="008E0122"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20B130A2" w14:textId="77777777" w:rsidR="008E0122" w:rsidRPr="002739D4" w:rsidRDefault="008E0122"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473577"/>
      <w:docPartObj>
        <w:docPartGallery w:val="Page Numbers (Bottom of Page)"/>
        <w:docPartUnique/>
      </w:docPartObj>
    </w:sdtPr>
    <w:sdtContent>
      <w:p w14:paraId="5FE0CA7D" w14:textId="1CA3B201" w:rsidR="003029F3" w:rsidRDefault="003029F3">
        <w:pPr>
          <w:pStyle w:val="Pidipagina"/>
          <w:jc w:val="right"/>
        </w:pPr>
        <w:r>
          <w:fldChar w:fldCharType="begin"/>
        </w:r>
        <w:r>
          <w:instrText>PAGE   \* MERGEFORMAT</w:instrText>
        </w:r>
        <w:r>
          <w:fldChar w:fldCharType="separate"/>
        </w:r>
        <w:r>
          <w:t>2</w:t>
        </w:r>
        <w:r>
          <w:fldChar w:fldCharType="end"/>
        </w:r>
      </w:p>
    </w:sdtContent>
  </w:sdt>
  <w:p w14:paraId="40524002" w14:textId="77777777" w:rsidR="008E0122" w:rsidRPr="002739D4" w:rsidRDefault="008E0122"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76845" w14:textId="77777777" w:rsidR="0068767B" w:rsidRDefault="0068767B">
      <w:pPr>
        <w:spacing w:after="0" w:line="240" w:lineRule="auto"/>
      </w:pPr>
      <w:r>
        <w:separator/>
      </w:r>
    </w:p>
  </w:footnote>
  <w:footnote w:type="continuationSeparator" w:id="0">
    <w:p w14:paraId="34BF443F" w14:textId="77777777" w:rsidR="0068767B" w:rsidRDefault="0068767B">
      <w:pPr>
        <w:spacing w:after="0" w:line="240" w:lineRule="auto"/>
      </w:pPr>
      <w:r>
        <w:continuationSeparator/>
      </w:r>
    </w:p>
  </w:footnote>
  <w:footnote w:id="1">
    <w:p w14:paraId="08788ADC" w14:textId="77777777" w:rsidR="008E0122" w:rsidRPr="009E33E6" w:rsidRDefault="008E0122" w:rsidP="007F4601">
      <w:pPr>
        <w:jc w:val="both"/>
        <w:rPr>
          <w:rFonts w:asciiTheme="minorHAnsi" w:hAnsiTheme="minorHAnsi"/>
          <w:color w:val="000000" w:themeColor="text1"/>
        </w:rPr>
      </w:pPr>
      <w:r>
        <w:rPr>
          <w:rStyle w:val="Rimandonotaapidipagina"/>
        </w:rPr>
        <w:footnoteRef/>
      </w:r>
      <w:r>
        <w:t xml:space="preserve"> </w:t>
      </w:r>
      <w:r w:rsidRPr="009E33E6">
        <w:rPr>
          <w:rFonts w:asciiTheme="minorHAnsi" w:hAnsiTheme="minorHAnsi"/>
          <w:color w:val="000000" w:themeColor="text1"/>
        </w:rPr>
        <w:t>Tit.1</w:t>
      </w:r>
      <w:r w:rsidRPr="009E33E6">
        <w:rPr>
          <w:color w:val="000000" w:themeColor="text1"/>
        </w:rPr>
        <w:t xml:space="preserve"> </w:t>
      </w:r>
      <w:r w:rsidRPr="009E33E6">
        <w:rPr>
          <w:rFonts w:asciiTheme="minorHAnsi" w:hAnsiTheme="minorHAnsi"/>
          <w:color w:val="000000" w:themeColor="text1"/>
        </w:rPr>
        <w:t>Il Relatore</w:t>
      </w:r>
    </w:p>
    <w:p w14:paraId="1373D8B7" w14:textId="77777777" w:rsidR="008E0122" w:rsidRDefault="008E0122">
      <w:pPr>
        <w:pStyle w:val="Testonotaapidipagina"/>
      </w:pPr>
    </w:p>
  </w:footnote>
  <w:footnote w:id="2">
    <w:p w14:paraId="5E4DA032" w14:textId="77777777" w:rsidR="008E0122" w:rsidRDefault="008E0122">
      <w:pPr>
        <w:pStyle w:val="Testonotaapidipagina"/>
      </w:pPr>
      <w:r>
        <w:rPr>
          <w:rStyle w:val="Rimandonotaapidipagina"/>
        </w:rPr>
        <w:footnoteRef/>
      </w:r>
      <w:r>
        <w:t xml:space="preserve"> 1.1 Il Relatore</w:t>
      </w:r>
    </w:p>
  </w:footnote>
  <w:footnote w:id="3">
    <w:p w14:paraId="63079573" w14:textId="77777777" w:rsidR="008E0122" w:rsidRPr="00DE0D2C" w:rsidRDefault="008E0122" w:rsidP="00F454A2">
      <w:pPr>
        <w:jc w:val="both"/>
        <w:rPr>
          <w:color w:val="000000" w:themeColor="text1"/>
        </w:rPr>
      </w:pPr>
      <w:r>
        <w:rPr>
          <w:rStyle w:val="Rimandonotaapidipagina"/>
        </w:rPr>
        <w:footnoteRef/>
      </w:r>
      <w:r>
        <w:t xml:space="preserve"> </w:t>
      </w:r>
      <w:r w:rsidRPr="00DE0D2C">
        <w:rPr>
          <w:color w:val="000000" w:themeColor="text1"/>
        </w:rPr>
        <w:t>3.5 (testo 2) Ferrari, Fedeli, Nannicini; 3.6 (testo 2) Giannuzzi</w:t>
      </w:r>
    </w:p>
    <w:p w14:paraId="34FD3D36" w14:textId="77777777" w:rsidR="008E0122" w:rsidRDefault="008E0122">
      <w:pPr>
        <w:pStyle w:val="Testonotaapidipagina"/>
      </w:pPr>
    </w:p>
  </w:footnote>
  <w:footnote w:id="4">
    <w:p w14:paraId="722211B0" w14:textId="77777777" w:rsidR="008E0122" w:rsidRDefault="008E0122">
      <w:pPr>
        <w:pStyle w:val="Testonotaapidipagina"/>
      </w:pPr>
      <w:r>
        <w:rPr>
          <w:rStyle w:val="Rimandonotaapidipagina"/>
        </w:rPr>
        <w:footnoteRef/>
      </w:r>
      <w:r>
        <w:t xml:space="preserve"> 3.9 Giannuzzi</w:t>
      </w:r>
    </w:p>
  </w:footnote>
  <w:footnote w:id="5">
    <w:p w14:paraId="200D7B4F" w14:textId="77777777" w:rsidR="008E0122" w:rsidRDefault="008E0122">
      <w:pPr>
        <w:pStyle w:val="Testonotaapidipagina"/>
      </w:pPr>
      <w:r>
        <w:rPr>
          <w:rStyle w:val="Rimandonotaapidipagina"/>
        </w:rPr>
        <w:footnoteRef/>
      </w:r>
      <w:r>
        <w:t xml:space="preserve"> 3.17 </w:t>
      </w:r>
      <w:proofErr w:type="spellStart"/>
      <w:r>
        <w:t>Ginetti</w:t>
      </w:r>
      <w:proofErr w:type="spellEnd"/>
      <w:r>
        <w:t>, Cucca</w:t>
      </w:r>
    </w:p>
  </w:footnote>
  <w:footnote w:id="6">
    <w:p w14:paraId="40404E9B" w14:textId="77777777" w:rsidR="008E0122" w:rsidRDefault="008E0122">
      <w:pPr>
        <w:pStyle w:val="Testonotaapidipagina"/>
      </w:pPr>
      <w:r>
        <w:rPr>
          <w:rStyle w:val="Rimandonotaapidipagina"/>
        </w:rPr>
        <w:footnoteRef/>
      </w:r>
      <w:r>
        <w:t xml:space="preserve"> 3.10 </w:t>
      </w:r>
      <w:proofErr w:type="spellStart"/>
      <w:r>
        <w:t>Giammanco</w:t>
      </w:r>
      <w:proofErr w:type="spellEnd"/>
      <w:r>
        <w:t>, Masini</w:t>
      </w:r>
    </w:p>
  </w:footnote>
  <w:footnote w:id="7">
    <w:p w14:paraId="7E146007" w14:textId="77777777" w:rsidR="008E0122" w:rsidRPr="00DE0D2C" w:rsidRDefault="008E0122" w:rsidP="007F1549">
      <w:pPr>
        <w:jc w:val="both"/>
        <w:rPr>
          <w:color w:val="000000" w:themeColor="text1"/>
        </w:rPr>
      </w:pPr>
      <w:r>
        <w:rPr>
          <w:rStyle w:val="Rimandonotaapidipagina"/>
        </w:rPr>
        <w:footnoteRef/>
      </w:r>
      <w:r>
        <w:t xml:space="preserve"> </w:t>
      </w:r>
      <w:r w:rsidRPr="00DE0D2C">
        <w:rPr>
          <w:color w:val="000000" w:themeColor="text1"/>
        </w:rPr>
        <w:t>3.11 (testo 2) Ferrari, Biti, Taricco, Fedeli, Nannicini</w:t>
      </w:r>
    </w:p>
    <w:p w14:paraId="6EB4F6EF" w14:textId="77777777" w:rsidR="008E0122" w:rsidRDefault="008E0122">
      <w:pPr>
        <w:pStyle w:val="Testonotaapidipagina"/>
      </w:pPr>
    </w:p>
  </w:footnote>
  <w:footnote w:id="8">
    <w:p w14:paraId="2F721B8C" w14:textId="77777777" w:rsidR="008E0122" w:rsidRDefault="008E0122">
      <w:pPr>
        <w:pStyle w:val="Testonotaapidipagina"/>
      </w:pPr>
      <w:r>
        <w:rPr>
          <w:rStyle w:val="Rimandonotaapidipagina"/>
        </w:rPr>
        <w:footnoteRef/>
      </w:r>
      <w:r>
        <w:t xml:space="preserve"> 3.16 Il Relatore</w:t>
      </w:r>
    </w:p>
  </w:footnote>
  <w:footnote w:id="9">
    <w:p w14:paraId="479792EA" w14:textId="77777777" w:rsidR="008E0122" w:rsidRPr="0057002A" w:rsidRDefault="008E0122" w:rsidP="008D18BC">
      <w:pPr>
        <w:jc w:val="both"/>
        <w:rPr>
          <w:color w:val="000000" w:themeColor="text1"/>
        </w:rPr>
      </w:pPr>
      <w:r>
        <w:rPr>
          <w:rStyle w:val="Rimandonotaapidipagina"/>
        </w:rPr>
        <w:footnoteRef/>
      </w:r>
      <w:r>
        <w:t xml:space="preserve"> </w:t>
      </w:r>
      <w:r w:rsidRPr="0057002A">
        <w:rPr>
          <w:color w:val="000000" w:themeColor="text1"/>
        </w:rPr>
        <w:t>4.3 (testo 2) Fedeli, Manca, Nannicini</w:t>
      </w:r>
    </w:p>
    <w:p w14:paraId="1CEBF8AC" w14:textId="77777777" w:rsidR="008E0122" w:rsidRDefault="008E0122">
      <w:pPr>
        <w:pStyle w:val="Testonotaapidipagina"/>
      </w:pPr>
    </w:p>
  </w:footnote>
  <w:footnote w:id="10">
    <w:p w14:paraId="23AF93E9" w14:textId="77777777" w:rsidR="008E0122" w:rsidRPr="0057002A" w:rsidRDefault="008E0122" w:rsidP="000F5ED8">
      <w:pPr>
        <w:jc w:val="both"/>
        <w:rPr>
          <w:color w:val="000000" w:themeColor="text1"/>
        </w:rPr>
      </w:pPr>
      <w:r>
        <w:rPr>
          <w:rStyle w:val="Rimandonotaapidipagina"/>
        </w:rPr>
        <w:footnoteRef/>
      </w:r>
      <w:r>
        <w:t xml:space="preserve"> </w:t>
      </w:r>
      <w:r w:rsidRPr="0057002A">
        <w:rPr>
          <w:color w:val="000000" w:themeColor="text1"/>
        </w:rPr>
        <w:t xml:space="preserve">4.12 (testo 2) Ricciardi, Botto, Gaudiano, Giannuzzi, Licheri, </w:t>
      </w:r>
      <w:proofErr w:type="spellStart"/>
      <w:r w:rsidRPr="0057002A">
        <w:rPr>
          <w:color w:val="000000" w:themeColor="text1"/>
        </w:rPr>
        <w:t>Lorefice</w:t>
      </w:r>
      <w:proofErr w:type="spellEnd"/>
      <w:r w:rsidRPr="0057002A">
        <w:rPr>
          <w:color w:val="000000" w:themeColor="text1"/>
        </w:rPr>
        <w:t>; 4.13 Ferrari, Fedeli, Nannicini</w:t>
      </w:r>
    </w:p>
    <w:p w14:paraId="21CA18AE" w14:textId="77777777" w:rsidR="008E0122" w:rsidRDefault="008E0122">
      <w:pPr>
        <w:pStyle w:val="Testonotaapidipagina"/>
      </w:pPr>
    </w:p>
  </w:footnote>
  <w:footnote w:id="11">
    <w:p w14:paraId="6121862E" w14:textId="77777777" w:rsidR="008E0122" w:rsidRDefault="008E0122">
      <w:pPr>
        <w:pStyle w:val="Testonotaapidipagina"/>
      </w:pPr>
      <w:r>
        <w:rPr>
          <w:rStyle w:val="Rimandonotaapidipagina"/>
        </w:rPr>
        <w:footnoteRef/>
      </w:r>
      <w:r>
        <w:t xml:space="preserve"> 4.47 </w:t>
      </w:r>
      <w:proofErr w:type="spellStart"/>
      <w:r w:rsidRPr="00EE3B84">
        <w:t>Ginetti</w:t>
      </w:r>
      <w:proofErr w:type="spellEnd"/>
      <w:r w:rsidRPr="00EE3B84">
        <w:t>, Faraone, Cucca</w:t>
      </w:r>
    </w:p>
  </w:footnote>
  <w:footnote w:id="12">
    <w:p w14:paraId="5E256AAD" w14:textId="77777777" w:rsidR="008E0122" w:rsidRDefault="008E0122">
      <w:pPr>
        <w:pStyle w:val="Testonotaapidipagina"/>
      </w:pPr>
      <w:r>
        <w:rPr>
          <w:rStyle w:val="Rimandonotaapidipagina"/>
        </w:rPr>
        <w:footnoteRef/>
      </w:r>
      <w:r>
        <w:t xml:space="preserve"> 4.19 </w:t>
      </w:r>
      <w:r w:rsidRPr="00EE3B84">
        <w:t xml:space="preserve">Ricciardi, </w:t>
      </w:r>
      <w:proofErr w:type="spellStart"/>
      <w:r w:rsidRPr="00EE3B84">
        <w:t>Lorefice</w:t>
      </w:r>
      <w:proofErr w:type="spellEnd"/>
      <w:r w:rsidRPr="00EE3B84">
        <w:t xml:space="preserve">, Gaudiano, Giannuzzi, Licheri, Naturale, Evangelista, Candiani, Simone Bossi, </w:t>
      </w:r>
      <w:proofErr w:type="spellStart"/>
      <w:r w:rsidRPr="00EE3B84">
        <w:t>Casolati</w:t>
      </w:r>
      <w:proofErr w:type="spellEnd"/>
    </w:p>
  </w:footnote>
  <w:footnote w:id="13">
    <w:p w14:paraId="5C7A5220" w14:textId="77777777" w:rsidR="008E0122" w:rsidRPr="00D80B94" w:rsidRDefault="008E0122" w:rsidP="00EF702D">
      <w:pPr>
        <w:jc w:val="both"/>
        <w:rPr>
          <w:color w:val="000000" w:themeColor="text1"/>
        </w:rPr>
      </w:pPr>
      <w:r>
        <w:rPr>
          <w:rStyle w:val="Rimandonotaapidipagina"/>
        </w:rPr>
        <w:footnoteRef/>
      </w:r>
      <w:r>
        <w:t xml:space="preserve"> </w:t>
      </w:r>
      <w:r w:rsidRPr="00D80B94">
        <w:rPr>
          <w:color w:val="000000" w:themeColor="text1"/>
        </w:rPr>
        <w:t xml:space="preserve">4.22 (testo 2) Gaudiano, Botto, Giannuzzi, Licheri, </w:t>
      </w:r>
      <w:proofErr w:type="spellStart"/>
      <w:r w:rsidRPr="00D80B94">
        <w:rPr>
          <w:color w:val="000000" w:themeColor="text1"/>
        </w:rPr>
        <w:t>Lorefice</w:t>
      </w:r>
      <w:proofErr w:type="spellEnd"/>
      <w:r w:rsidRPr="00D80B94">
        <w:rPr>
          <w:color w:val="000000" w:themeColor="text1"/>
        </w:rPr>
        <w:t>, Ricciardi</w:t>
      </w:r>
    </w:p>
    <w:p w14:paraId="5BAD8950" w14:textId="77777777" w:rsidR="008E0122" w:rsidRDefault="008E0122">
      <w:pPr>
        <w:pStyle w:val="Testonotaapidipagina"/>
      </w:pPr>
    </w:p>
  </w:footnote>
  <w:footnote w:id="14">
    <w:p w14:paraId="2B79AD49" w14:textId="77777777" w:rsidR="008E0122" w:rsidRDefault="008E0122" w:rsidP="00EE3B84">
      <w:pPr>
        <w:pStyle w:val="Testonotaapidipagina"/>
      </w:pPr>
      <w:r>
        <w:rPr>
          <w:rStyle w:val="Rimandonotaapidipagina"/>
        </w:rPr>
        <w:footnoteRef/>
      </w:r>
      <w:r>
        <w:t xml:space="preserve"> 4.37 (testo 2) Fedeli, Manca, Astorre; 4.38 </w:t>
      </w:r>
      <w:proofErr w:type="spellStart"/>
      <w:r w:rsidRPr="00EE3B84">
        <w:t>Lorefice</w:t>
      </w:r>
      <w:proofErr w:type="spellEnd"/>
      <w:r w:rsidRPr="00EE3B84">
        <w:t>, Giannuzzi, Candiani, Simone Bossi</w:t>
      </w:r>
    </w:p>
    <w:p w14:paraId="75F9A095" w14:textId="77777777" w:rsidR="008E0122" w:rsidRDefault="008E0122" w:rsidP="00EE3B84">
      <w:pPr>
        <w:pStyle w:val="Testonotaapidipagina"/>
      </w:pPr>
    </w:p>
  </w:footnote>
  <w:footnote w:id="15">
    <w:p w14:paraId="049276E2" w14:textId="77777777" w:rsidR="008E0122" w:rsidRPr="00C81E3B" w:rsidRDefault="008E0122" w:rsidP="009A377A">
      <w:pPr>
        <w:jc w:val="both"/>
        <w:rPr>
          <w:color w:val="000000" w:themeColor="text1"/>
        </w:rPr>
      </w:pPr>
      <w:r>
        <w:rPr>
          <w:rStyle w:val="Rimandonotaapidipagina"/>
        </w:rPr>
        <w:footnoteRef/>
      </w:r>
      <w:r>
        <w:t xml:space="preserve"> </w:t>
      </w:r>
      <w:r w:rsidRPr="00C81E3B">
        <w:rPr>
          <w:color w:val="000000" w:themeColor="text1"/>
        </w:rPr>
        <w:t xml:space="preserve">5.4 (testo 3) Girotto, Anastasi, Botto, Gaudiano, Giannuzzi, Licheri, </w:t>
      </w:r>
      <w:proofErr w:type="spellStart"/>
      <w:r w:rsidRPr="00C81E3B">
        <w:rPr>
          <w:color w:val="000000" w:themeColor="text1"/>
        </w:rPr>
        <w:t>Lorefice</w:t>
      </w:r>
      <w:proofErr w:type="spellEnd"/>
      <w:r w:rsidRPr="00C81E3B">
        <w:rPr>
          <w:color w:val="000000" w:themeColor="text1"/>
        </w:rPr>
        <w:t>, Ricciardi</w:t>
      </w:r>
    </w:p>
    <w:p w14:paraId="01E76E3C" w14:textId="77777777" w:rsidR="008E0122" w:rsidRDefault="008E0122">
      <w:pPr>
        <w:pStyle w:val="Testonotaapidipagina"/>
      </w:pPr>
    </w:p>
  </w:footnote>
  <w:footnote w:id="16">
    <w:p w14:paraId="267C94C4" w14:textId="77777777" w:rsidR="008E0122" w:rsidRPr="00860D72" w:rsidRDefault="008E0122" w:rsidP="00CF3CDD">
      <w:pPr>
        <w:jc w:val="both"/>
        <w:rPr>
          <w:rFonts w:asciiTheme="minorHAnsi" w:hAnsiTheme="minorHAnsi"/>
          <w:color w:val="000000" w:themeColor="text1"/>
        </w:rPr>
      </w:pPr>
      <w:r>
        <w:rPr>
          <w:rStyle w:val="Rimandonotaapidipagina"/>
        </w:rPr>
        <w:footnoteRef/>
      </w:r>
      <w:r>
        <w:t xml:space="preserve"> </w:t>
      </w:r>
      <w:r w:rsidRPr="00860D72">
        <w:rPr>
          <w:rFonts w:asciiTheme="minorHAnsi" w:hAnsiTheme="minorHAnsi"/>
          <w:color w:val="000000" w:themeColor="text1"/>
        </w:rPr>
        <w:t>5.5 (testo 2)</w:t>
      </w:r>
      <w:r w:rsidRPr="00860D72">
        <w:rPr>
          <w:color w:val="000000" w:themeColor="text1"/>
        </w:rPr>
        <w:t xml:space="preserve"> </w:t>
      </w:r>
      <w:r w:rsidRPr="00860D72">
        <w:rPr>
          <w:rFonts w:asciiTheme="minorHAnsi" w:hAnsiTheme="minorHAnsi"/>
          <w:color w:val="000000" w:themeColor="text1"/>
        </w:rPr>
        <w:t xml:space="preserve">Arrigoni, Briziarelli, Candiani, Simone Bossi, </w:t>
      </w:r>
      <w:proofErr w:type="spellStart"/>
      <w:r w:rsidRPr="00860D72">
        <w:rPr>
          <w:rFonts w:asciiTheme="minorHAnsi" w:hAnsiTheme="minorHAnsi"/>
          <w:color w:val="000000" w:themeColor="text1"/>
        </w:rPr>
        <w:t>Casolati</w:t>
      </w:r>
      <w:proofErr w:type="spellEnd"/>
      <w:r w:rsidRPr="00860D72">
        <w:rPr>
          <w:rFonts w:asciiTheme="minorHAnsi" w:hAnsiTheme="minorHAnsi"/>
          <w:color w:val="000000" w:themeColor="text1"/>
        </w:rPr>
        <w:t>, Tosato</w:t>
      </w:r>
    </w:p>
    <w:p w14:paraId="1463FA0D" w14:textId="77777777" w:rsidR="008E0122" w:rsidRDefault="008E0122">
      <w:pPr>
        <w:pStyle w:val="Testonotaapidipagina"/>
      </w:pPr>
    </w:p>
  </w:footnote>
  <w:footnote w:id="17">
    <w:p w14:paraId="5A7C7CD8" w14:textId="77777777" w:rsidR="008E0122" w:rsidRPr="00860D72" w:rsidRDefault="008E0122" w:rsidP="00CF3CDD">
      <w:pPr>
        <w:jc w:val="both"/>
        <w:rPr>
          <w:rFonts w:asciiTheme="minorHAnsi" w:hAnsiTheme="minorHAnsi"/>
          <w:color w:val="000000" w:themeColor="text1"/>
        </w:rPr>
      </w:pPr>
      <w:r>
        <w:rPr>
          <w:rStyle w:val="Rimandonotaapidipagina"/>
        </w:rPr>
        <w:footnoteRef/>
      </w:r>
      <w:r>
        <w:t xml:space="preserve"> </w:t>
      </w:r>
      <w:r w:rsidRPr="00860D72">
        <w:rPr>
          <w:rFonts w:asciiTheme="minorHAnsi" w:hAnsiTheme="minorHAnsi"/>
          <w:color w:val="000000" w:themeColor="text1"/>
        </w:rPr>
        <w:t>5.5 (testo 2)</w:t>
      </w:r>
      <w:r w:rsidRPr="00860D72">
        <w:rPr>
          <w:color w:val="000000" w:themeColor="text1"/>
        </w:rPr>
        <w:t xml:space="preserve"> </w:t>
      </w:r>
      <w:r w:rsidRPr="00860D72">
        <w:rPr>
          <w:rFonts w:asciiTheme="minorHAnsi" w:hAnsiTheme="minorHAnsi"/>
          <w:color w:val="000000" w:themeColor="text1"/>
        </w:rPr>
        <w:t xml:space="preserve">Arrigoni, Briziarelli, Candiani, Simone Bossi, </w:t>
      </w:r>
      <w:proofErr w:type="spellStart"/>
      <w:r w:rsidRPr="00860D72">
        <w:rPr>
          <w:rFonts w:asciiTheme="minorHAnsi" w:hAnsiTheme="minorHAnsi"/>
          <w:color w:val="000000" w:themeColor="text1"/>
        </w:rPr>
        <w:t>Casolati</w:t>
      </w:r>
      <w:proofErr w:type="spellEnd"/>
      <w:r w:rsidRPr="00860D72">
        <w:rPr>
          <w:rFonts w:asciiTheme="minorHAnsi" w:hAnsiTheme="minorHAnsi"/>
          <w:color w:val="000000" w:themeColor="text1"/>
        </w:rPr>
        <w:t>, Tosato</w:t>
      </w:r>
    </w:p>
    <w:p w14:paraId="74CE462E" w14:textId="77777777" w:rsidR="008E0122" w:rsidRDefault="008E0122">
      <w:pPr>
        <w:pStyle w:val="Testonotaapidipagina"/>
      </w:pPr>
    </w:p>
  </w:footnote>
  <w:footnote w:id="18">
    <w:p w14:paraId="28673924" w14:textId="77777777" w:rsidR="008E0122" w:rsidRDefault="008E0122">
      <w:pPr>
        <w:pStyle w:val="Testonotaapidipagina"/>
      </w:pPr>
      <w:r>
        <w:rPr>
          <w:rStyle w:val="Rimandonotaapidipagina"/>
        </w:rPr>
        <w:footnoteRef/>
      </w:r>
      <w:r>
        <w:t xml:space="preserve"> </w:t>
      </w:r>
      <w:r w:rsidRPr="00C81E3B">
        <w:rPr>
          <w:color w:val="000000" w:themeColor="text1"/>
        </w:rPr>
        <w:t xml:space="preserve">5.101 </w:t>
      </w:r>
      <w:proofErr w:type="spellStart"/>
      <w:r w:rsidRPr="00C81E3B">
        <w:rPr>
          <w:color w:val="000000" w:themeColor="text1"/>
        </w:rPr>
        <w:t>Ginetti</w:t>
      </w:r>
      <w:proofErr w:type="spellEnd"/>
      <w:r w:rsidRPr="00C81E3B">
        <w:rPr>
          <w:color w:val="000000" w:themeColor="text1"/>
        </w:rPr>
        <w:t>, Cucca</w:t>
      </w:r>
    </w:p>
  </w:footnote>
  <w:footnote w:id="19">
    <w:p w14:paraId="1B07D93F" w14:textId="77777777" w:rsidR="008E0122" w:rsidRPr="00860D72" w:rsidRDefault="008E0122" w:rsidP="00CF3CDD">
      <w:pPr>
        <w:jc w:val="both"/>
        <w:rPr>
          <w:rFonts w:asciiTheme="minorHAnsi" w:hAnsiTheme="minorHAnsi"/>
          <w:color w:val="000000" w:themeColor="text1"/>
        </w:rPr>
      </w:pPr>
      <w:r>
        <w:rPr>
          <w:rStyle w:val="Rimandonotaapidipagina"/>
        </w:rPr>
        <w:footnoteRef/>
      </w:r>
      <w:r>
        <w:t xml:space="preserve"> </w:t>
      </w:r>
      <w:bookmarkStart w:id="0" w:name="_Hlk50624004"/>
      <w:r w:rsidRPr="00860D72">
        <w:rPr>
          <w:rFonts w:asciiTheme="minorHAnsi" w:hAnsiTheme="minorHAnsi"/>
          <w:color w:val="000000" w:themeColor="text1"/>
        </w:rPr>
        <w:t>5.5 (testo 2)</w:t>
      </w:r>
      <w:r w:rsidRPr="00860D72">
        <w:rPr>
          <w:color w:val="000000" w:themeColor="text1"/>
        </w:rPr>
        <w:t xml:space="preserve"> </w:t>
      </w:r>
      <w:r w:rsidRPr="00860D72">
        <w:rPr>
          <w:rFonts w:asciiTheme="minorHAnsi" w:hAnsiTheme="minorHAnsi"/>
          <w:color w:val="000000" w:themeColor="text1"/>
        </w:rPr>
        <w:t xml:space="preserve">Arrigoni, Briziarelli, Candiani, Simone Bossi, </w:t>
      </w:r>
      <w:proofErr w:type="spellStart"/>
      <w:r w:rsidRPr="00860D72">
        <w:rPr>
          <w:rFonts w:asciiTheme="minorHAnsi" w:hAnsiTheme="minorHAnsi"/>
          <w:color w:val="000000" w:themeColor="text1"/>
        </w:rPr>
        <w:t>Casolati</w:t>
      </w:r>
      <w:proofErr w:type="spellEnd"/>
      <w:r w:rsidRPr="00860D72">
        <w:rPr>
          <w:rFonts w:asciiTheme="minorHAnsi" w:hAnsiTheme="minorHAnsi"/>
          <w:color w:val="000000" w:themeColor="text1"/>
        </w:rPr>
        <w:t>, Tosato</w:t>
      </w:r>
    </w:p>
    <w:bookmarkEnd w:id="0"/>
    <w:p w14:paraId="1725FE16" w14:textId="77777777" w:rsidR="008E0122" w:rsidRDefault="008E0122">
      <w:pPr>
        <w:pStyle w:val="Testonotaapidipagina"/>
      </w:pPr>
    </w:p>
  </w:footnote>
  <w:footnote w:id="20">
    <w:p w14:paraId="27914E50" w14:textId="77777777" w:rsidR="008E0122" w:rsidRPr="00377B72" w:rsidRDefault="008E0122" w:rsidP="00DF787F">
      <w:pPr>
        <w:jc w:val="both"/>
        <w:rPr>
          <w:color w:val="000000" w:themeColor="text1"/>
        </w:rPr>
      </w:pPr>
      <w:r>
        <w:rPr>
          <w:rStyle w:val="Rimandonotaapidipagina"/>
        </w:rPr>
        <w:footnoteRef/>
      </w:r>
      <w:r>
        <w:t xml:space="preserve"> </w:t>
      </w:r>
      <w:r w:rsidRPr="00377B72">
        <w:rPr>
          <w:color w:val="000000" w:themeColor="text1"/>
        </w:rPr>
        <w:t>5.10 Fedeli, Manca, Nannicini</w:t>
      </w:r>
    </w:p>
    <w:p w14:paraId="0C760F02" w14:textId="77777777" w:rsidR="008E0122" w:rsidRDefault="008E0122">
      <w:pPr>
        <w:pStyle w:val="Testonotaapidipagina"/>
      </w:pPr>
    </w:p>
  </w:footnote>
  <w:footnote w:id="21">
    <w:p w14:paraId="282A7F31" w14:textId="77777777" w:rsidR="008E0122" w:rsidRPr="00C81E3B" w:rsidRDefault="008E0122" w:rsidP="009A377A">
      <w:pPr>
        <w:jc w:val="both"/>
        <w:rPr>
          <w:color w:val="000000" w:themeColor="text1"/>
        </w:rPr>
      </w:pPr>
      <w:r>
        <w:rPr>
          <w:rStyle w:val="Rimandonotaapidipagina"/>
        </w:rPr>
        <w:footnoteRef/>
      </w:r>
      <w:r>
        <w:t xml:space="preserve"> </w:t>
      </w:r>
      <w:bookmarkStart w:id="1" w:name="_Hlk50028001"/>
      <w:r w:rsidRPr="00C81E3B">
        <w:rPr>
          <w:color w:val="000000" w:themeColor="text1"/>
        </w:rPr>
        <w:t xml:space="preserve">5.4 (testo 3) Girotto, Anastasi, Botto, Gaudiano, Giannuzzi, Licheri, </w:t>
      </w:r>
      <w:proofErr w:type="spellStart"/>
      <w:r w:rsidRPr="00C81E3B">
        <w:rPr>
          <w:color w:val="000000" w:themeColor="text1"/>
        </w:rPr>
        <w:t>Lorefice</w:t>
      </w:r>
      <w:proofErr w:type="spellEnd"/>
      <w:r w:rsidRPr="00C81E3B">
        <w:rPr>
          <w:color w:val="000000" w:themeColor="text1"/>
        </w:rPr>
        <w:t>, Ricciardi</w:t>
      </w:r>
    </w:p>
    <w:bookmarkEnd w:id="1"/>
    <w:p w14:paraId="015E4EE0" w14:textId="77777777" w:rsidR="008E0122" w:rsidRDefault="008E0122">
      <w:pPr>
        <w:pStyle w:val="Testonotaapidipagina"/>
      </w:pPr>
    </w:p>
  </w:footnote>
  <w:footnote w:id="22">
    <w:p w14:paraId="1A049336" w14:textId="77777777" w:rsidR="008E0122" w:rsidRPr="00377B72" w:rsidRDefault="008E0122" w:rsidP="00DF787F">
      <w:pPr>
        <w:jc w:val="both"/>
        <w:rPr>
          <w:color w:val="000000" w:themeColor="text1"/>
        </w:rPr>
      </w:pPr>
      <w:r>
        <w:rPr>
          <w:rStyle w:val="Rimandonotaapidipagina"/>
        </w:rPr>
        <w:footnoteRef/>
      </w:r>
      <w:r>
        <w:t xml:space="preserve"> </w:t>
      </w:r>
      <w:r w:rsidRPr="00377B72">
        <w:rPr>
          <w:color w:val="000000" w:themeColor="text1"/>
        </w:rPr>
        <w:t xml:space="preserve">5.11 La Mura, </w:t>
      </w:r>
      <w:proofErr w:type="spellStart"/>
      <w:r w:rsidRPr="00377B72">
        <w:rPr>
          <w:color w:val="000000" w:themeColor="text1"/>
        </w:rPr>
        <w:t>Moronese</w:t>
      </w:r>
      <w:proofErr w:type="spellEnd"/>
      <w:r w:rsidRPr="00377B72">
        <w:rPr>
          <w:color w:val="000000" w:themeColor="text1"/>
        </w:rPr>
        <w:t xml:space="preserve">, Floridia, Quarto, Botto, Gaudiano, Giannuzzi, Licheri, </w:t>
      </w:r>
      <w:proofErr w:type="spellStart"/>
      <w:r w:rsidRPr="00377B72">
        <w:rPr>
          <w:color w:val="000000" w:themeColor="text1"/>
        </w:rPr>
        <w:t>Lorefice</w:t>
      </w:r>
      <w:proofErr w:type="spellEnd"/>
      <w:r w:rsidRPr="00377B72">
        <w:rPr>
          <w:color w:val="000000" w:themeColor="text1"/>
        </w:rPr>
        <w:t>, Ricciardi</w:t>
      </w:r>
    </w:p>
    <w:p w14:paraId="3C903C0F" w14:textId="77777777" w:rsidR="008E0122" w:rsidRDefault="008E0122">
      <w:pPr>
        <w:pStyle w:val="Testonotaapidipagina"/>
      </w:pPr>
    </w:p>
  </w:footnote>
  <w:footnote w:id="23">
    <w:p w14:paraId="045CEEB2" w14:textId="77777777" w:rsidR="008E0122" w:rsidRPr="00377B72" w:rsidRDefault="008E0122" w:rsidP="00755C76">
      <w:pPr>
        <w:jc w:val="both"/>
        <w:rPr>
          <w:color w:val="000000" w:themeColor="text1"/>
        </w:rPr>
      </w:pPr>
      <w:r>
        <w:rPr>
          <w:rStyle w:val="Rimandonotaapidipagina"/>
        </w:rPr>
        <w:footnoteRef/>
      </w:r>
      <w:r>
        <w:t xml:space="preserve"> </w:t>
      </w:r>
      <w:r w:rsidRPr="00377B72">
        <w:rPr>
          <w:color w:val="000000" w:themeColor="text1"/>
        </w:rPr>
        <w:t xml:space="preserve">5.12 Gallone, </w:t>
      </w:r>
      <w:proofErr w:type="spellStart"/>
      <w:r w:rsidRPr="00377B72">
        <w:rPr>
          <w:color w:val="000000" w:themeColor="text1"/>
        </w:rPr>
        <w:t>Papatheu</w:t>
      </w:r>
      <w:proofErr w:type="spellEnd"/>
      <w:r w:rsidRPr="00377B72">
        <w:rPr>
          <w:color w:val="000000" w:themeColor="text1"/>
        </w:rPr>
        <w:t>, Berutti, Alfredo Messina, Masini</w:t>
      </w:r>
    </w:p>
    <w:p w14:paraId="7C3DD95C" w14:textId="77777777" w:rsidR="008E0122" w:rsidRDefault="008E0122">
      <w:pPr>
        <w:pStyle w:val="Testonotaapidipagina"/>
      </w:pPr>
    </w:p>
  </w:footnote>
  <w:footnote w:id="24">
    <w:p w14:paraId="6BC88F30" w14:textId="77777777" w:rsidR="008E0122" w:rsidRPr="00377B72" w:rsidRDefault="008E0122" w:rsidP="00662854">
      <w:pPr>
        <w:jc w:val="both"/>
        <w:rPr>
          <w:color w:val="000000" w:themeColor="text1"/>
        </w:rPr>
      </w:pPr>
      <w:r>
        <w:rPr>
          <w:rStyle w:val="Rimandonotaapidipagina"/>
        </w:rPr>
        <w:footnoteRef/>
      </w:r>
      <w:r>
        <w:t xml:space="preserve"> </w:t>
      </w:r>
      <w:r w:rsidRPr="00377B72">
        <w:rPr>
          <w:color w:val="000000" w:themeColor="text1"/>
        </w:rPr>
        <w:t xml:space="preserve">5.102 </w:t>
      </w:r>
      <w:proofErr w:type="spellStart"/>
      <w:r w:rsidRPr="00377B72">
        <w:rPr>
          <w:color w:val="000000" w:themeColor="text1"/>
        </w:rPr>
        <w:t>Ginetti</w:t>
      </w:r>
      <w:proofErr w:type="spellEnd"/>
      <w:r w:rsidRPr="00377B72">
        <w:rPr>
          <w:color w:val="000000" w:themeColor="text1"/>
        </w:rPr>
        <w:t>, Cucca</w:t>
      </w:r>
    </w:p>
    <w:p w14:paraId="082A0C84" w14:textId="77777777" w:rsidR="008E0122" w:rsidRDefault="008E0122">
      <w:pPr>
        <w:pStyle w:val="Testonotaapidipagina"/>
      </w:pPr>
    </w:p>
  </w:footnote>
  <w:footnote w:id="25">
    <w:p w14:paraId="502EE2F8" w14:textId="77777777" w:rsidR="008E0122" w:rsidRPr="00341A03" w:rsidRDefault="008E0122" w:rsidP="005F22B0">
      <w:pPr>
        <w:jc w:val="both"/>
        <w:rPr>
          <w:rFonts w:asciiTheme="minorHAnsi" w:hAnsiTheme="minorHAnsi"/>
          <w:color w:val="000000" w:themeColor="text1"/>
        </w:rPr>
      </w:pPr>
      <w:r>
        <w:rPr>
          <w:rStyle w:val="Rimandonotaapidipagina"/>
        </w:rPr>
        <w:footnoteRef/>
      </w:r>
      <w:r>
        <w:t xml:space="preserve"> </w:t>
      </w:r>
      <w:r w:rsidRPr="00341A03">
        <w:rPr>
          <w:rFonts w:asciiTheme="minorHAnsi" w:hAnsiTheme="minorHAnsi"/>
          <w:color w:val="000000" w:themeColor="text1"/>
        </w:rPr>
        <w:t>5.100 (testo 3)</w:t>
      </w:r>
      <w:r w:rsidRPr="00341A03">
        <w:rPr>
          <w:color w:val="000000" w:themeColor="text1"/>
        </w:rPr>
        <w:t xml:space="preserve"> </w:t>
      </w:r>
      <w:proofErr w:type="spellStart"/>
      <w:r w:rsidRPr="00341A03">
        <w:rPr>
          <w:rFonts w:asciiTheme="minorHAnsi" w:hAnsiTheme="minorHAnsi"/>
          <w:color w:val="000000" w:themeColor="text1"/>
        </w:rPr>
        <w:t>Ginetti</w:t>
      </w:r>
      <w:proofErr w:type="spellEnd"/>
      <w:r w:rsidRPr="00341A03">
        <w:rPr>
          <w:rFonts w:asciiTheme="minorHAnsi" w:hAnsiTheme="minorHAnsi"/>
          <w:color w:val="000000" w:themeColor="text1"/>
        </w:rPr>
        <w:t>, Cucca</w:t>
      </w:r>
    </w:p>
    <w:p w14:paraId="31C614B8" w14:textId="77777777" w:rsidR="008E0122" w:rsidRDefault="008E0122">
      <w:pPr>
        <w:pStyle w:val="Testonotaapidipagina"/>
      </w:pPr>
    </w:p>
  </w:footnote>
  <w:footnote w:id="26">
    <w:p w14:paraId="17159B68" w14:textId="77777777" w:rsidR="008E0122" w:rsidRPr="00377B72" w:rsidRDefault="008E0122" w:rsidP="00662854">
      <w:pPr>
        <w:jc w:val="both"/>
        <w:rPr>
          <w:color w:val="000000" w:themeColor="text1"/>
        </w:rPr>
      </w:pPr>
      <w:r>
        <w:rPr>
          <w:rStyle w:val="Rimandonotaapidipagina"/>
        </w:rPr>
        <w:footnoteRef/>
      </w:r>
      <w:r>
        <w:t xml:space="preserve"> </w:t>
      </w:r>
      <w:r w:rsidRPr="00377B72">
        <w:rPr>
          <w:color w:val="000000" w:themeColor="text1"/>
        </w:rPr>
        <w:t xml:space="preserve">5.17 Arrigoni, Briziarelli, Candiani, Simone Bossi, </w:t>
      </w:r>
      <w:proofErr w:type="spellStart"/>
      <w:r w:rsidRPr="00377B72">
        <w:rPr>
          <w:color w:val="000000" w:themeColor="text1"/>
        </w:rPr>
        <w:t>Casolati</w:t>
      </w:r>
      <w:proofErr w:type="spellEnd"/>
      <w:r w:rsidRPr="00377B72">
        <w:rPr>
          <w:color w:val="000000" w:themeColor="text1"/>
        </w:rPr>
        <w:t>, Tosato</w:t>
      </w:r>
    </w:p>
    <w:p w14:paraId="32F79FFA" w14:textId="77777777" w:rsidR="008E0122" w:rsidRDefault="008E0122">
      <w:pPr>
        <w:pStyle w:val="Testonotaapidipagina"/>
      </w:pPr>
    </w:p>
  </w:footnote>
  <w:footnote w:id="27">
    <w:p w14:paraId="60C10053" w14:textId="77777777" w:rsidR="008E0122" w:rsidRPr="00377B72" w:rsidRDefault="008E0122" w:rsidP="00AB2325">
      <w:pPr>
        <w:jc w:val="both"/>
        <w:rPr>
          <w:color w:val="000000" w:themeColor="text1"/>
        </w:rPr>
      </w:pPr>
      <w:r>
        <w:rPr>
          <w:rStyle w:val="Rimandonotaapidipagina"/>
        </w:rPr>
        <w:footnoteRef/>
      </w:r>
      <w:r>
        <w:t xml:space="preserve"> </w:t>
      </w:r>
      <w:r w:rsidRPr="00377B72">
        <w:rPr>
          <w:color w:val="000000" w:themeColor="text1"/>
        </w:rPr>
        <w:t>5.19 IL RELATORE</w:t>
      </w:r>
      <w:r>
        <w:rPr>
          <w:color w:val="000000" w:themeColor="text1"/>
        </w:rPr>
        <w:t xml:space="preserve">; </w:t>
      </w:r>
      <w:r w:rsidRPr="00377B72">
        <w:rPr>
          <w:color w:val="000000" w:themeColor="text1"/>
        </w:rPr>
        <w:t xml:space="preserve">5.20 Arrigoni, Briziarelli, Candiani, Simone Bossi, </w:t>
      </w:r>
      <w:proofErr w:type="spellStart"/>
      <w:r w:rsidRPr="00377B72">
        <w:rPr>
          <w:color w:val="000000" w:themeColor="text1"/>
        </w:rPr>
        <w:t>Casolati</w:t>
      </w:r>
      <w:proofErr w:type="spellEnd"/>
      <w:r w:rsidRPr="00377B72">
        <w:rPr>
          <w:color w:val="000000" w:themeColor="text1"/>
        </w:rPr>
        <w:t>, Tosato</w:t>
      </w:r>
    </w:p>
    <w:p w14:paraId="67366D6E" w14:textId="77777777" w:rsidR="008E0122" w:rsidRDefault="008E0122">
      <w:pPr>
        <w:pStyle w:val="Testonotaapidipagina"/>
      </w:pPr>
    </w:p>
  </w:footnote>
  <w:footnote w:id="28">
    <w:p w14:paraId="2E1109C7" w14:textId="77777777" w:rsidR="008E0122" w:rsidRPr="002115F2" w:rsidRDefault="008E0122" w:rsidP="005C55A6">
      <w:pPr>
        <w:jc w:val="both"/>
        <w:rPr>
          <w:color w:val="000000" w:themeColor="text1"/>
        </w:rPr>
      </w:pPr>
      <w:r>
        <w:rPr>
          <w:rStyle w:val="Rimandonotaapidipagina"/>
        </w:rPr>
        <w:footnoteRef/>
      </w:r>
      <w:r>
        <w:t xml:space="preserve"> </w:t>
      </w:r>
      <w:r w:rsidRPr="002115F2">
        <w:rPr>
          <w:color w:val="000000" w:themeColor="text1"/>
        </w:rPr>
        <w:t>5.25 Fedeli, Manca, Nannicini</w:t>
      </w:r>
    </w:p>
    <w:p w14:paraId="5EB0D196" w14:textId="77777777" w:rsidR="008E0122" w:rsidRDefault="008E0122">
      <w:pPr>
        <w:pStyle w:val="Testonotaapidipagina"/>
      </w:pPr>
    </w:p>
  </w:footnote>
  <w:footnote w:id="29">
    <w:p w14:paraId="40654D78" w14:textId="77777777" w:rsidR="008E0122" w:rsidRPr="00341A03" w:rsidRDefault="008E0122" w:rsidP="00A726C2">
      <w:pPr>
        <w:jc w:val="both"/>
        <w:rPr>
          <w:rFonts w:asciiTheme="minorHAnsi" w:hAnsiTheme="minorHAnsi"/>
          <w:color w:val="000000" w:themeColor="text1"/>
        </w:rPr>
      </w:pPr>
      <w:r>
        <w:rPr>
          <w:rStyle w:val="Rimandonotaapidipagina"/>
        </w:rPr>
        <w:footnoteRef/>
      </w:r>
      <w:r>
        <w:t xml:space="preserve"> </w:t>
      </w:r>
      <w:r w:rsidRPr="00341A03">
        <w:rPr>
          <w:rFonts w:asciiTheme="minorHAnsi" w:hAnsiTheme="minorHAnsi"/>
          <w:color w:val="000000" w:themeColor="text1"/>
        </w:rPr>
        <w:t>5.24 (testo 3)</w:t>
      </w:r>
      <w:r w:rsidRPr="00341A03">
        <w:rPr>
          <w:color w:val="000000" w:themeColor="text1"/>
        </w:rPr>
        <w:t xml:space="preserve"> </w:t>
      </w:r>
      <w:r w:rsidRPr="00341A03">
        <w:rPr>
          <w:rFonts w:asciiTheme="minorHAnsi" w:hAnsiTheme="minorHAnsi"/>
          <w:color w:val="000000" w:themeColor="text1"/>
        </w:rPr>
        <w:t xml:space="preserve">Girotto, Anastasi, Botto, Gaudiano, Giannuzzi, Licheri, </w:t>
      </w:r>
      <w:proofErr w:type="spellStart"/>
      <w:r w:rsidRPr="00341A03">
        <w:rPr>
          <w:rFonts w:asciiTheme="minorHAnsi" w:hAnsiTheme="minorHAnsi"/>
          <w:color w:val="000000" w:themeColor="text1"/>
        </w:rPr>
        <w:t>Lorefice</w:t>
      </w:r>
      <w:proofErr w:type="spellEnd"/>
      <w:r w:rsidRPr="00341A03">
        <w:rPr>
          <w:rFonts w:asciiTheme="minorHAnsi" w:hAnsiTheme="minorHAnsi"/>
          <w:color w:val="000000" w:themeColor="text1"/>
        </w:rPr>
        <w:t>, Ricciardi</w:t>
      </w:r>
    </w:p>
    <w:p w14:paraId="0959D69B" w14:textId="77777777" w:rsidR="008E0122" w:rsidRDefault="008E0122">
      <w:pPr>
        <w:pStyle w:val="Testonotaapidipagina"/>
      </w:pPr>
    </w:p>
  </w:footnote>
  <w:footnote w:id="30">
    <w:p w14:paraId="568A9BE6" w14:textId="77777777" w:rsidR="008E0122" w:rsidRPr="00052EF6" w:rsidRDefault="008E0122" w:rsidP="00BF2293">
      <w:pPr>
        <w:jc w:val="both"/>
        <w:rPr>
          <w:rFonts w:asciiTheme="minorHAnsi" w:hAnsiTheme="minorHAnsi"/>
          <w:color w:val="000000" w:themeColor="text1"/>
        </w:rPr>
      </w:pPr>
      <w:r>
        <w:rPr>
          <w:rStyle w:val="Rimandonotaapidipagina"/>
        </w:rPr>
        <w:footnoteRef/>
      </w:r>
      <w:r>
        <w:t xml:space="preserve"> </w:t>
      </w:r>
      <w:r w:rsidRPr="00052EF6">
        <w:rPr>
          <w:rFonts w:asciiTheme="minorHAnsi" w:hAnsiTheme="minorHAnsi"/>
          <w:color w:val="000000" w:themeColor="text1"/>
        </w:rPr>
        <w:t>5.28 (testo 2)</w:t>
      </w:r>
      <w:r w:rsidRPr="00052EF6">
        <w:rPr>
          <w:color w:val="000000" w:themeColor="text1"/>
        </w:rPr>
        <w:t xml:space="preserve"> </w:t>
      </w:r>
      <w:r w:rsidRPr="00052EF6">
        <w:rPr>
          <w:rFonts w:asciiTheme="minorHAnsi" w:hAnsiTheme="minorHAnsi"/>
          <w:color w:val="000000" w:themeColor="text1"/>
        </w:rPr>
        <w:t xml:space="preserve">Arrigoni, Briziarelli, Candiani, Simone Bossi, </w:t>
      </w:r>
      <w:proofErr w:type="spellStart"/>
      <w:r w:rsidRPr="00052EF6">
        <w:rPr>
          <w:rFonts w:asciiTheme="minorHAnsi" w:hAnsiTheme="minorHAnsi"/>
          <w:color w:val="000000" w:themeColor="text1"/>
        </w:rPr>
        <w:t>Casolati</w:t>
      </w:r>
      <w:proofErr w:type="spellEnd"/>
      <w:r w:rsidRPr="00052EF6">
        <w:rPr>
          <w:rFonts w:asciiTheme="minorHAnsi" w:hAnsiTheme="minorHAnsi"/>
          <w:color w:val="000000" w:themeColor="text1"/>
        </w:rPr>
        <w:t>, Tosato</w:t>
      </w:r>
    </w:p>
    <w:p w14:paraId="1E8BAB1C" w14:textId="77777777" w:rsidR="008E0122" w:rsidRDefault="008E0122">
      <w:pPr>
        <w:pStyle w:val="Testonotaapidipagina"/>
      </w:pPr>
    </w:p>
  </w:footnote>
  <w:footnote w:id="31">
    <w:p w14:paraId="6F3021DE" w14:textId="77777777" w:rsidR="008E0122" w:rsidRPr="00255D85" w:rsidRDefault="008E0122" w:rsidP="005C55A6">
      <w:pPr>
        <w:jc w:val="both"/>
        <w:rPr>
          <w:color w:val="000000" w:themeColor="text1"/>
        </w:rPr>
      </w:pPr>
      <w:r>
        <w:rPr>
          <w:rStyle w:val="Rimandonotaapidipagina"/>
        </w:rPr>
        <w:footnoteRef/>
      </w:r>
      <w:r>
        <w:t xml:space="preserve"> </w:t>
      </w:r>
      <w:r w:rsidRPr="00255D85">
        <w:rPr>
          <w:color w:val="000000" w:themeColor="text1"/>
        </w:rPr>
        <w:t xml:space="preserve">5.30 Arrigoni, Briziarelli, Candiani, Simone Bossi, </w:t>
      </w:r>
      <w:proofErr w:type="spellStart"/>
      <w:r w:rsidRPr="00255D85">
        <w:rPr>
          <w:color w:val="000000" w:themeColor="text1"/>
        </w:rPr>
        <w:t>Casolati</w:t>
      </w:r>
      <w:proofErr w:type="spellEnd"/>
      <w:r w:rsidRPr="00255D85">
        <w:rPr>
          <w:color w:val="000000" w:themeColor="text1"/>
        </w:rPr>
        <w:t>, Tosato</w:t>
      </w:r>
    </w:p>
    <w:p w14:paraId="2490338B" w14:textId="77777777" w:rsidR="008E0122" w:rsidRDefault="008E0122">
      <w:pPr>
        <w:pStyle w:val="Testonotaapidipagina"/>
      </w:pPr>
    </w:p>
  </w:footnote>
  <w:footnote w:id="32">
    <w:p w14:paraId="4B161291" w14:textId="77777777" w:rsidR="008E0122" w:rsidRPr="00341A03" w:rsidRDefault="008E0122" w:rsidP="005928D0">
      <w:pPr>
        <w:jc w:val="both"/>
        <w:rPr>
          <w:rFonts w:asciiTheme="minorHAnsi" w:hAnsiTheme="minorHAnsi"/>
          <w:color w:val="000000" w:themeColor="text1"/>
        </w:rPr>
      </w:pPr>
      <w:r>
        <w:rPr>
          <w:rStyle w:val="Rimandonotaapidipagina"/>
        </w:rPr>
        <w:footnoteRef/>
      </w:r>
      <w:r>
        <w:t xml:space="preserve"> </w:t>
      </w:r>
      <w:bookmarkStart w:id="2" w:name="_Hlk50022215"/>
      <w:r w:rsidRPr="00341A03">
        <w:rPr>
          <w:rFonts w:asciiTheme="minorHAnsi" w:hAnsiTheme="minorHAnsi"/>
          <w:color w:val="000000" w:themeColor="text1"/>
        </w:rPr>
        <w:t>5.24 (testo 3)</w:t>
      </w:r>
      <w:r w:rsidRPr="00341A03">
        <w:rPr>
          <w:color w:val="000000" w:themeColor="text1"/>
        </w:rPr>
        <w:t xml:space="preserve"> </w:t>
      </w:r>
      <w:r w:rsidRPr="00341A03">
        <w:rPr>
          <w:rFonts w:asciiTheme="minorHAnsi" w:hAnsiTheme="minorHAnsi"/>
          <w:color w:val="000000" w:themeColor="text1"/>
        </w:rPr>
        <w:t xml:space="preserve">Girotto, Anastasi, Botto, Gaudiano, Giannuzzi, Licheri, </w:t>
      </w:r>
      <w:proofErr w:type="spellStart"/>
      <w:r w:rsidRPr="00341A03">
        <w:rPr>
          <w:rFonts w:asciiTheme="minorHAnsi" w:hAnsiTheme="minorHAnsi"/>
          <w:color w:val="000000" w:themeColor="text1"/>
        </w:rPr>
        <w:t>Lorefice</w:t>
      </w:r>
      <w:proofErr w:type="spellEnd"/>
      <w:r w:rsidRPr="00341A03">
        <w:rPr>
          <w:rFonts w:asciiTheme="minorHAnsi" w:hAnsiTheme="minorHAnsi"/>
          <w:color w:val="000000" w:themeColor="text1"/>
        </w:rPr>
        <w:t>, Ricciardi</w:t>
      </w:r>
    </w:p>
    <w:bookmarkEnd w:id="2"/>
    <w:p w14:paraId="28D331EC" w14:textId="77777777" w:rsidR="008E0122" w:rsidRDefault="008E0122">
      <w:pPr>
        <w:pStyle w:val="Testonotaapidipagina"/>
      </w:pPr>
    </w:p>
  </w:footnote>
  <w:footnote w:id="33">
    <w:p w14:paraId="492EFE21" w14:textId="77777777" w:rsidR="008E0122" w:rsidRPr="00255D85" w:rsidRDefault="008E0122" w:rsidP="00F462C5">
      <w:pPr>
        <w:jc w:val="both"/>
        <w:rPr>
          <w:color w:val="000000" w:themeColor="text1"/>
        </w:rPr>
      </w:pPr>
      <w:r>
        <w:rPr>
          <w:rStyle w:val="Rimandonotaapidipagina"/>
        </w:rPr>
        <w:footnoteRef/>
      </w:r>
      <w:r>
        <w:t xml:space="preserve"> </w:t>
      </w:r>
      <w:r w:rsidRPr="00255D85">
        <w:rPr>
          <w:color w:val="000000" w:themeColor="text1"/>
        </w:rPr>
        <w:t xml:space="preserve">5.33 Arrigoni, Briziarelli, Candiani, Simone Bossi, </w:t>
      </w:r>
      <w:proofErr w:type="spellStart"/>
      <w:r w:rsidRPr="00255D85">
        <w:rPr>
          <w:color w:val="000000" w:themeColor="text1"/>
        </w:rPr>
        <w:t>Casolati</w:t>
      </w:r>
      <w:proofErr w:type="spellEnd"/>
      <w:r w:rsidRPr="00255D85">
        <w:rPr>
          <w:color w:val="000000" w:themeColor="text1"/>
        </w:rPr>
        <w:t>, Tosato</w:t>
      </w:r>
    </w:p>
    <w:p w14:paraId="2AD81833" w14:textId="77777777" w:rsidR="008E0122" w:rsidRDefault="008E0122">
      <w:pPr>
        <w:pStyle w:val="Testonotaapidipagina"/>
      </w:pPr>
    </w:p>
  </w:footnote>
  <w:footnote w:id="34">
    <w:p w14:paraId="3F2518B2" w14:textId="77777777" w:rsidR="008E0122" w:rsidRPr="00C81E3B" w:rsidRDefault="008E0122" w:rsidP="00DF6986">
      <w:pPr>
        <w:jc w:val="both"/>
        <w:rPr>
          <w:color w:val="000000" w:themeColor="text1"/>
        </w:rPr>
      </w:pPr>
      <w:r>
        <w:rPr>
          <w:rStyle w:val="Rimandonotaapidipagina"/>
        </w:rPr>
        <w:footnoteRef/>
      </w:r>
      <w:r>
        <w:t xml:space="preserve"> </w:t>
      </w:r>
      <w:r w:rsidRPr="00C81E3B">
        <w:rPr>
          <w:color w:val="000000" w:themeColor="text1"/>
        </w:rPr>
        <w:t xml:space="preserve">5.106 (testo 2) </w:t>
      </w:r>
      <w:proofErr w:type="spellStart"/>
      <w:r w:rsidRPr="00C81E3B">
        <w:rPr>
          <w:color w:val="000000" w:themeColor="text1"/>
        </w:rPr>
        <w:t>Ginetti</w:t>
      </w:r>
      <w:proofErr w:type="spellEnd"/>
      <w:r w:rsidRPr="00C81E3B">
        <w:rPr>
          <w:color w:val="000000" w:themeColor="text1"/>
        </w:rPr>
        <w:t>, Cucca</w:t>
      </w:r>
    </w:p>
    <w:p w14:paraId="0D313909" w14:textId="77777777" w:rsidR="008E0122" w:rsidRDefault="008E0122">
      <w:pPr>
        <w:pStyle w:val="Testonotaapidipagina"/>
      </w:pPr>
    </w:p>
  </w:footnote>
  <w:footnote w:id="35">
    <w:p w14:paraId="3465D5FA" w14:textId="77777777" w:rsidR="008E0122" w:rsidRPr="00255D85" w:rsidRDefault="008E0122" w:rsidP="00F462C5">
      <w:pPr>
        <w:jc w:val="both"/>
        <w:rPr>
          <w:color w:val="000000" w:themeColor="text1"/>
        </w:rPr>
      </w:pPr>
      <w:r>
        <w:rPr>
          <w:rStyle w:val="Rimandonotaapidipagina"/>
        </w:rPr>
        <w:footnoteRef/>
      </w:r>
      <w:r>
        <w:t xml:space="preserve"> </w:t>
      </w:r>
      <w:r w:rsidRPr="00255D85">
        <w:rPr>
          <w:color w:val="000000" w:themeColor="text1"/>
        </w:rPr>
        <w:t xml:space="preserve">5.40 </w:t>
      </w:r>
      <w:proofErr w:type="spellStart"/>
      <w:r w:rsidRPr="00255D85">
        <w:rPr>
          <w:color w:val="000000" w:themeColor="text1"/>
        </w:rPr>
        <w:t>Lorefice</w:t>
      </w:r>
      <w:proofErr w:type="spellEnd"/>
      <w:r w:rsidRPr="00255D85">
        <w:rPr>
          <w:color w:val="000000" w:themeColor="text1"/>
        </w:rPr>
        <w:t>, Girotto, Giannuzzi, Botto, Gaudiano, Licheri, Ricciardi</w:t>
      </w:r>
    </w:p>
    <w:p w14:paraId="41CEAB24" w14:textId="77777777" w:rsidR="008E0122" w:rsidRDefault="008E0122">
      <w:pPr>
        <w:pStyle w:val="Testonotaapidipagina"/>
      </w:pPr>
    </w:p>
  </w:footnote>
  <w:footnote w:id="36">
    <w:p w14:paraId="30885D52" w14:textId="77777777" w:rsidR="008E0122" w:rsidRPr="00052EF6" w:rsidRDefault="008E0122" w:rsidP="00BF2293">
      <w:pPr>
        <w:jc w:val="both"/>
        <w:rPr>
          <w:rFonts w:asciiTheme="minorHAnsi" w:hAnsiTheme="minorHAnsi"/>
          <w:color w:val="000000" w:themeColor="text1"/>
        </w:rPr>
      </w:pPr>
      <w:r>
        <w:rPr>
          <w:rStyle w:val="Rimandonotaapidipagina"/>
        </w:rPr>
        <w:footnoteRef/>
      </w:r>
      <w:r>
        <w:t xml:space="preserve"> </w:t>
      </w:r>
      <w:r w:rsidRPr="00052EF6">
        <w:rPr>
          <w:rFonts w:asciiTheme="minorHAnsi" w:hAnsiTheme="minorHAnsi"/>
          <w:color w:val="000000" w:themeColor="text1"/>
        </w:rPr>
        <w:t>5.48 (testo 2)</w:t>
      </w:r>
      <w:r w:rsidRPr="00052EF6">
        <w:rPr>
          <w:color w:val="000000" w:themeColor="text1"/>
        </w:rPr>
        <w:t xml:space="preserve"> </w:t>
      </w:r>
      <w:r w:rsidRPr="00052EF6">
        <w:rPr>
          <w:rFonts w:asciiTheme="minorHAnsi" w:hAnsiTheme="minorHAnsi"/>
          <w:color w:val="000000" w:themeColor="text1"/>
        </w:rPr>
        <w:t>Fedeli, Manca, Nannicini</w:t>
      </w:r>
    </w:p>
    <w:p w14:paraId="7A70D313" w14:textId="77777777" w:rsidR="008E0122" w:rsidRDefault="008E0122">
      <w:pPr>
        <w:pStyle w:val="Testonotaapidipagina"/>
      </w:pPr>
    </w:p>
  </w:footnote>
  <w:footnote w:id="37">
    <w:p w14:paraId="555E7A42" w14:textId="77777777" w:rsidR="008E0122" w:rsidRPr="00255D85" w:rsidRDefault="008E0122" w:rsidP="00050426">
      <w:pPr>
        <w:jc w:val="both"/>
        <w:rPr>
          <w:color w:val="000000" w:themeColor="text1"/>
        </w:rPr>
      </w:pPr>
      <w:r>
        <w:rPr>
          <w:rStyle w:val="Rimandonotaapidipagina"/>
        </w:rPr>
        <w:footnoteRef/>
      </w:r>
      <w:r>
        <w:t xml:space="preserve"> </w:t>
      </w:r>
      <w:r w:rsidRPr="00255D85">
        <w:rPr>
          <w:color w:val="000000" w:themeColor="text1"/>
        </w:rPr>
        <w:t xml:space="preserve">5.43 La Mura, </w:t>
      </w:r>
      <w:proofErr w:type="spellStart"/>
      <w:r w:rsidRPr="00255D85">
        <w:rPr>
          <w:color w:val="000000" w:themeColor="text1"/>
        </w:rPr>
        <w:t>Moronese</w:t>
      </w:r>
      <w:proofErr w:type="spellEnd"/>
      <w:r w:rsidRPr="00255D85">
        <w:rPr>
          <w:color w:val="000000" w:themeColor="text1"/>
        </w:rPr>
        <w:t xml:space="preserve">, Floridia, Botto, Gaudiano, Giannuzzi, Licheri, </w:t>
      </w:r>
      <w:proofErr w:type="spellStart"/>
      <w:r w:rsidRPr="00255D85">
        <w:rPr>
          <w:color w:val="000000" w:themeColor="text1"/>
        </w:rPr>
        <w:t>Lorefice</w:t>
      </w:r>
      <w:proofErr w:type="spellEnd"/>
      <w:r w:rsidRPr="00255D85">
        <w:rPr>
          <w:color w:val="000000" w:themeColor="text1"/>
        </w:rPr>
        <w:t>, Ricciardi</w:t>
      </w:r>
    </w:p>
    <w:p w14:paraId="248527A5" w14:textId="77777777" w:rsidR="008E0122" w:rsidRDefault="008E0122">
      <w:pPr>
        <w:pStyle w:val="Testonotaapidipagina"/>
      </w:pPr>
    </w:p>
  </w:footnote>
  <w:footnote w:id="38">
    <w:p w14:paraId="234EAD79" w14:textId="77777777" w:rsidR="008E0122" w:rsidRPr="00052EF6" w:rsidRDefault="008E0122" w:rsidP="00BF2293">
      <w:pPr>
        <w:jc w:val="both"/>
        <w:rPr>
          <w:rFonts w:asciiTheme="minorHAnsi" w:hAnsiTheme="minorHAnsi"/>
          <w:color w:val="000000" w:themeColor="text1"/>
        </w:rPr>
      </w:pPr>
      <w:r>
        <w:rPr>
          <w:rStyle w:val="Rimandonotaapidipagina"/>
        </w:rPr>
        <w:footnoteRef/>
      </w:r>
      <w:r>
        <w:t xml:space="preserve"> </w:t>
      </w:r>
      <w:r w:rsidRPr="00052EF6">
        <w:rPr>
          <w:rFonts w:asciiTheme="minorHAnsi" w:hAnsiTheme="minorHAnsi"/>
          <w:color w:val="000000" w:themeColor="text1"/>
        </w:rPr>
        <w:t>5.108 (testo 2)</w:t>
      </w:r>
      <w:r w:rsidRPr="00052EF6">
        <w:rPr>
          <w:color w:val="000000" w:themeColor="text1"/>
        </w:rPr>
        <w:t xml:space="preserve"> </w:t>
      </w:r>
      <w:proofErr w:type="spellStart"/>
      <w:r w:rsidRPr="00052EF6">
        <w:rPr>
          <w:rFonts w:asciiTheme="minorHAnsi" w:hAnsiTheme="minorHAnsi"/>
          <w:color w:val="000000" w:themeColor="text1"/>
        </w:rPr>
        <w:t>Ginetti</w:t>
      </w:r>
      <w:proofErr w:type="spellEnd"/>
      <w:r w:rsidRPr="00052EF6">
        <w:rPr>
          <w:rFonts w:asciiTheme="minorHAnsi" w:hAnsiTheme="minorHAnsi"/>
          <w:color w:val="000000" w:themeColor="text1"/>
        </w:rPr>
        <w:t>, Cucca</w:t>
      </w:r>
    </w:p>
    <w:p w14:paraId="1C61CE34" w14:textId="77777777" w:rsidR="008E0122" w:rsidRDefault="008E0122">
      <w:pPr>
        <w:pStyle w:val="Testonotaapidipagina"/>
      </w:pPr>
    </w:p>
  </w:footnote>
  <w:footnote w:id="39">
    <w:p w14:paraId="6F307329" w14:textId="77777777" w:rsidR="008E0122" w:rsidRPr="00255D85" w:rsidRDefault="008E0122" w:rsidP="00050426">
      <w:pPr>
        <w:jc w:val="both"/>
        <w:rPr>
          <w:color w:val="000000" w:themeColor="text1"/>
        </w:rPr>
      </w:pPr>
      <w:r>
        <w:rPr>
          <w:rStyle w:val="Rimandonotaapidipagina"/>
        </w:rPr>
        <w:footnoteRef/>
      </w:r>
      <w:r>
        <w:t xml:space="preserve"> </w:t>
      </w:r>
      <w:r w:rsidRPr="00255D85">
        <w:rPr>
          <w:color w:val="000000" w:themeColor="text1"/>
        </w:rPr>
        <w:t xml:space="preserve">5.52 (testo 2) </w:t>
      </w:r>
      <w:proofErr w:type="spellStart"/>
      <w:r w:rsidRPr="00255D85">
        <w:rPr>
          <w:color w:val="000000" w:themeColor="text1"/>
        </w:rPr>
        <w:t>Lorefice</w:t>
      </w:r>
      <w:proofErr w:type="spellEnd"/>
      <w:r w:rsidRPr="00255D85">
        <w:rPr>
          <w:color w:val="000000" w:themeColor="text1"/>
        </w:rPr>
        <w:t>, Girotto, Giannuzzi, Botto, Gaudiano, Licheri, Ricciardi</w:t>
      </w:r>
    </w:p>
    <w:p w14:paraId="30BED6AB" w14:textId="77777777" w:rsidR="008E0122" w:rsidRDefault="008E0122">
      <w:pPr>
        <w:pStyle w:val="Testonotaapidipagina"/>
      </w:pPr>
    </w:p>
  </w:footnote>
  <w:footnote w:id="40">
    <w:p w14:paraId="243E31D1" w14:textId="77777777" w:rsidR="008E0122" w:rsidRPr="00C805EF" w:rsidRDefault="008E0122" w:rsidP="00B935CC">
      <w:pPr>
        <w:jc w:val="both"/>
        <w:rPr>
          <w:color w:val="000000" w:themeColor="text1"/>
        </w:rPr>
      </w:pPr>
      <w:r>
        <w:rPr>
          <w:rStyle w:val="Rimandonotaapidipagina"/>
        </w:rPr>
        <w:footnoteRef/>
      </w:r>
      <w:r>
        <w:t xml:space="preserve"> </w:t>
      </w:r>
      <w:r w:rsidRPr="00C805EF">
        <w:rPr>
          <w:color w:val="000000" w:themeColor="text1"/>
        </w:rPr>
        <w:t xml:space="preserve">5.53 (testo 2) Quarto, </w:t>
      </w:r>
      <w:proofErr w:type="spellStart"/>
      <w:r w:rsidRPr="00C805EF">
        <w:rPr>
          <w:color w:val="000000" w:themeColor="text1"/>
        </w:rPr>
        <w:t>Mantero</w:t>
      </w:r>
      <w:proofErr w:type="spellEnd"/>
      <w:r w:rsidRPr="00C805EF">
        <w:rPr>
          <w:color w:val="000000" w:themeColor="text1"/>
        </w:rPr>
        <w:t xml:space="preserve">, L'Abbate, La Mura, </w:t>
      </w:r>
      <w:proofErr w:type="spellStart"/>
      <w:r w:rsidRPr="00C805EF">
        <w:rPr>
          <w:color w:val="000000" w:themeColor="text1"/>
        </w:rPr>
        <w:t>Moronese</w:t>
      </w:r>
      <w:proofErr w:type="spellEnd"/>
      <w:r w:rsidRPr="00C805EF">
        <w:rPr>
          <w:color w:val="000000" w:themeColor="text1"/>
        </w:rPr>
        <w:t xml:space="preserve">, Floridia, Botto, Gaudiano, Giannuzzi, Licheri, </w:t>
      </w:r>
      <w:proofErr w:type="spellStart"/>
      <w:r w:rsidRPr="00C805EF">
        <w:rPr>
          <w:color w:val="000000" w:themeColor="text1"/>
        </w:rPr>
        <w:t>Lorefice</w:t>
      </w:r>
      <w:proofErr w:type="spellEnd"/>
      <w:r w:rsidRPr="00C805EF">
        <w:rPr>
          <w:color w:val="000000" w:themeColor="text1"/>
        </w:rPr>
        <w:t>, Ricciardi</w:t>
      </w:r>
    </w:p>
    <w:p w14:paraId="0109F4A6" w14:textId="77777777" w:rsidR="008E0122" w:rsidRDefault="008E0122">
      <w:pPr>
        <w:pStyle w:val="Testonotaapidipagina"/>
      </w:pPr>
    </w:p>
  </w:footnote>
  <w:footnote w:id="41">
    <w:p w14:paraId="75FB2FFC" w14:textId="77777777" w:rsidR="008E0122" w:rsidRPr="00C805EF" w:rsidRDefault="008E0122" w:rsidP="00B935CC">
      <w:pPr>
        <w:jc w:val="both"/>
        <w:rPr>
          <w:color w:val="000000" w:themeColor="text1"/>
        </w:rPr>
      </w:pPr>
      <w:r>
        <w:rPr>
          <w:rStyle w:val="Rimandonotaapidipagina"/>
        </w:rPr>
        <w:footnoteRef/>
      </w:r>
      <w:r>
        <w:t xml:space="preserve"> </w:t>
      </w:r>
      <w:r w:rsidRPr="00C805EF">
        <w:rPr>
          <w:color w:val="000000" w:themeColor="text1"/>
        </w:rPr>
        <w:t>5.9 (testo 2) Ferrari, Biti, Taricco, Fedeli, Nannicini</w:t>
      </w:r>
    </w:p>
    <w:p w14:paraId="406CD2C8" w14:textId="77777777" w:rsidR="008E0122" w:rsidRDefault="008E0122">
      <w:pPr>
        <w:pStyle w:val="Testonotaapidipagina"/>
      </w:pPr>
    </w:p>
  </w:footnote>
  <w:footnote w:id="42">
    <w:p w14:paraId="29DF07D1" w14:textId="77777777" w:rsidR="008E0122" w:rsidRPr="00C805EF" w:rsidRDefault="008E0122" w:rsidP="00B935CC">
      <w:pPr>
        <w:jc w:val="both"/>
        <w:rPr>
          <w:color w:val="000000" w:themeColor="text1"/>
        </w:rPr>
      </w:pPr>
      <w:r>
        <w:rPr>
          <w:rStyle w:val="Rimandonotaapidipagina"/>
        </w:rPr>
        <w:footnoteRef/>
      </w:r>
      <w:r>
        <w:t xml:space="preserve"> </w:t>
      </w:r>
      <w:r w:rsidRPr="00C805EF">
        <w:rPr>
          <w:color w:val="000000" w:themeColor="text1"/>
        </w:rPr>
        <w:t xml:space="preserve">5.110 </w:t>
      </w:r>
      <w:proofErr w:type="spellStart"/>
      <w:r w:rsidRPr="00C805EF">
        <w:rPr>
          <w:color w:val="000000" w:themeColor="text1"/>
        </w:rPr>
        <w:t>Ginetti</w:t>
      </w:r>
      <w:proofErr w:type="spellEnd"/>
      <w:r w:rsidRPr="00C805EF">
        <w:rPr>
          <w:color w:val="000000" w:themeColor="text1"/>
        </w:rPr>
        <w:t>, Cucca</w:t>
      </w:r>
    </w:p>
    <w:p w14:paraId="6C3BA980" w14:textId="77777777" w:rsidR="008E0122" w:rsidRDefault="008E0122">
      <w:pPr>
        <w:pStyle w:val="Testonotaapidipagina"/>
      </w:pPr>
    </w:p>
  </w:footnote>
  <w:footnote w:id="43">
    <w:p w14:paraId="47E285C4" w14:textId="77777777" w:rsidR="008E0122" w:rsidRPr="005E5DC0" w:rsidRDefault="008E0122" w:rsidP="0056677D">
      <w:pPr>
        <w:jc w:val="both"/>
        <w:rPr>
          <w:color w:val="000000" w:themeColor="text1"/>
        </w:rPr>
      </w:pPr>
      <w:r>
        <w:rPr>
          <w:rStyle w:val="Rimandonotaapidipagina"/>
        </w:rPr>
        <w:footnoteRef/>
      </w:r>
      <w:r>
        <w:t xml:space="preserve"> </w:t>
      </w:r>
      <w:r w:rsidRPr="005E5DC0">
        <w:rPr>
          <w:color w:val="000000" w:themeColor="text1"/>
        </w:rPr>
        <w:t xml:space="preserve">5.58 (testo 2) Girotto, Anastasi, Botto, Gaudiano, Giannuzzi, Licheri, </w:t>
      </w:r>
      <w:proofErr w:type="spellStart"/>
      <w:r w:rsidRPr="005E5DC0">
        <w:rPr>
          <w:color w:val="000000" w:themeColor="text1"/>
        </w:rPr>
        <w:t>Lorefice</w:t>
      </w:r>
      <w:proofErr w:type="spellEnd"/>
      <w:r w:rsidRPr="005E5DC0">
        <w:rPr>
          <w:color w:val="000000" w:themeColor="text1"/>
        </w:rPr>
        <w:t>, Ricciardi</w:t>
      </w:r>
    </w:p>
    <w:p w14:paraId="58328A31" w14:textId="77777777" w:rsidR="008E0122" w:rsidRDefault="008E0122">
      <w:pPr>
        <w:pStyle w:val="Testonotaapidipagina"/>
      </w:pPr>
    </w:p>
  </w:footnote>
  <w:footnote w:id="44">
    <w:p w14:paraId="25EC5969" w14:textId="77777777" w:rsidR="008E0122" w:rsidRPr="005E5DC0" w:rsidRDefault="008E0122" w:rsidP="0056677D">
      <w:pPr>
        <w:jc w:val="both"/>
        <w:rPr>
          <w:color w:val="000000" w:themeColor="text1"/>
        </w:rPr>
      </w:pPr>
      <w:r>
        <w:rPr>
          <w:rStyle w:val="Rimandonotaapidipagina"/>
        </w:rPr>
        <w:footnoteRef/>
      </w:r>
      <w:r>
        <w:t xml:space="preserve"> </w:t>
      </w:r>
      <w:r w:rsidRPr="005E5DC0">
        <w:rPr>
          <w:color w:val="000000" w:themeColor="text1"/>
        </w:rPr>
        <w:t xml:space="preserve">5.63 </w:t>
      </w:r>
      <w:proofErr w:type="spellStart"/>
      <w:r w:rsidRPr="005E5DC0">
        <w:rPr>
          <w:color w:val="000000" w:themeColor="text1"/>
        </w:rPr>
        <w:t>Lorefice</w:t>
      </w:r>
      <w:proofErr w:type="spellEnd"/>
      <w:r w:rsidRPr="005E5DC0">
        <w:rPr>
          <w:color w:val="000000" w:themeColor="text1"/>
        </w:rPr>
        <w:t>, Girotto, Giannuzzi, Botto, Gaudiano, Licheri, Ricciardi</w:t>
      </w:r>
    </w:p>
    <w:p w14:paraId="772EE24A" w14:textId="77777777" w:rsidR="008E0122" w:rsidRDefault="008E0122">
      <w:pPr>
        <w:pStyle w:val="Testonotaapidipagina"/>
      </w:pPr>
    </w:p>
  </w:footnote>
  <w:footnote w:id="45">
    <w:p w14:paraId="5CAC2638" w14:textId="77777777" w:rsidR="008E0122" w:rsidRPr="005E5DC0" w:rsidRDefault="008E0122" w:rsidP="00DC0921">
      <w:pPr>
        <w:jc w:val="both"/>
        <w:rPr>
          <w:color w:val="000000" w:themeColor="text1"/>
        </w:rPr>
      </w:pPr>
      <w:r>
        <w:rPr>
          <w:rStyle w:val="Rimandonotaapidipagina"/>
        </w:rPr>
        <w:footnoteRef/>
      </w:r>
      <w:r>
        <w:t xml:space="preserve"> </w:t>
      </w:r>
      <w:r w:rsidRPr="005E5DC0">
        <w:rPr>
          <w:color w:val="000000" w:themeColor="text1"/>
        </w:rPr>
        <w:t xml:space="preserve">5.64 (testo 2) La Mura, </w:t>
      </w:r>
      <w:proofErr w:type="spellStart"/>
      <w:r w:rsidRPr="005E5DC0">
        <w:rPr>
          <w:color w:val="000000" w:themeColor="text1"/>
        </w:rPr>
        <w:t>Moronese</w:t>
      </w:r>
      <w:proofErr w:type="spellEnd"/>
      <w:r w:rsidRPr="005E5DC0">
        <w:rPr>
          <w:color w:val="000000" w:themeColor="text1"/>
        </w:rPr>
        <w:t xml:space="preserve">, Floridia, Botto, Gaudiano, Giannuzzi, Licheri, </w:t>
      </w:r>
      <w:proofErr w:type="spellStart"/>
      <w:r w:rsidRPr="005E5DC0">
        <w:rPr>
          <w:color w:val="000000" w:themeColor="text1"/>
        </w:rPr>
        <w:t>Lorefice</w:t>
      </w:r>
      <w:proofErr w:type="spellEnd"/>
      <w:r w:rsidRPr="005E5DC0">
        <w:rPr>
          <w:color w:val="000000" w:themeColor="text1"/>
        </w:rPr>
        <w:t>, Ricciardi</w:t>
      </w:r>
    </w:p>
    <w:p w14:paraId="53431D91" w14:textId="77777777" w:rsidR="008E0122" w:rsidRDefault="008E0122">
      <w:pPr>
        <w:pStyle w:val="Testonotaapidipagina"/>
      </w:pPr>
    </w:p>
  </w:footnote>
  <w:footnote w:id="46">
    <w:p w14:paraId="50D21ABE" w14:textId="77777777" w:rsidR="008E0122" w:rsidRPr="005E5DC0" w:rsidRDefault="008E0122" w:rsidP="007C6467">
      <w:pPr>
        <w:jc w:val="both"/>
        <w:rPr>
          <w:color w:val="000000" w:themeColor="text1"/>
        </w:rPr>
      </w:pPr>
      <w:r>
        <w:rPr>
          <w:rStyle w:val="Rimandonotaapidipagina"/>
        </w:rPr>
        <w:footnoteRef/>
      </w:r>
      <w:r>
        <w:t xml:space="preserve"> </w:t>
      </w:r>
      <w:r w:rsidRPr="005E5DC0">
        <w:rPr>
          <w:color w:val="000000" w:themeColor="text1"/>
        </w:rPr>
        <w:t>5.65 (testo 2) Fedeli, Manca, Nannicini</w:t>
      </w:r>
    </w:p>
    <w:p w14:paraId="2758C769" w14:textId="77777777" w:rsidR="008E0122" w:rsidRDefault="008E0122">
      <w:pPr>
        <w:pStyle w:val="Testonotaapidipagina"/>
      </w:pPr>
    </w:p>
  </w:footnote>
  <w:footnote w:id="47">
    <w:p w14:paraId="13E6DF90" w14:textId="77777777" w:rsidR="008E0122" w:rsidRPr="00341A03" w:rsidRDefault="008E0122" w:rsidP="000554CC">
      <w:pPr>
        <w:jc w:val="both"/>
        <w:rPr>
          <w:rFonts w:asciiTheme="minorHAnsi" w:hAnsiTheme="minorHAnsi"/>
          <w:color w:val="000000" w:themeColor="text1"/>
        </w:rPr>
      </w:pPr>
      <w:r>
        <w:rPr>
          <w:rStyle w:val="Rimandonotaapidipagina"/>
        </w:rPr>
        <w:footnoteRef/>
      </w:r>
      <w:r>
        <w:t xml:space="preserve"> </w:t>
      </w:r>
      <w:bookmarkStart w:id="3" w:name="_Hlk50022006"/>
      <w:r w:rsidRPr="00341A03">
        <w:rPr>
          <w:rFonts w:asciiTheme="minorHAnsi" w:hAnsiTheme="minorHAnsi"/>
          <w:color w:val="000000" w:themeColor="text1"/>
        </w:rPr>
        <w:t>5.100 (testo 3)</w:t>
      </w:r>
      <w:r w:rsidRPr="00341A03">
        <w:rPr>
          <w:color w:val="000000" w:themeColor="text1"/>
        </w:rPr>
        <w:t xml:space="preserve"> </w:t>
      </w:r>
      <w:proofErr w:type="spellStart"/>
      <w:r w:rsidRPr="00341A03">
        <w:rPr>
          <w:rFonts w:asciiTheme="minorHAnsi" w:hAnsiTheme="minorHAnsi"/>
          <w:color w:val="000000" w:themeColor="text1"/>
        </w:rPr>
        <w:t>Ginetti</w:t>
      </w:r>
      <w:proofErr w:type="spellEnd"/>
      <w:r w:rsidRPr="00341A03">
        <w:rPr>
          <w:rFonts w:asciiTheme="minorHAnsi" w:hAnsiTheme="minorHAnsi"/>
          <w:color w:val="000000" w:themeColor="text1"/>
        </w:rPr>
        <w:t>, Cucca</w:t>
      </w:r>
    </w:p>
    <w:bookmarkEnd w:id="3"/>
    <w:p w14:paraId="1B1B57AE" w14:textId="77777777" w:rsidR="008E0122" w:rsidRDefault="008E0122">
      <w:pPr>
        <w:pStyle w:val="Testonotaapidipagina"/>
      </w:pPr>
    </w:p>
  </w:footnote>
  <w:footnote w:id="48">
    <w:p w14:paraId="02FF62D1" w14:textId="77777777" w:rsidR="008E0122" w:rsidRPr="00683687" w:rsidRDefault="008E0122" w:rsidP="009D2A31">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5.89 (testo 3)</w:t>
      </w:r>
      <w:r w:rsidRPr="00683687">
        <w:rPr>
          <w:color w:val="000000" w:themeColor="text1"/>
        </w:rPr>
        <w:t xml:space="preserve"> </w:t>
      </w:r>
      <w:r w:rsidRPr="00683687">
        <w:rPr>
          <w:rFonts w:asciiTheme="minorHAnsi" w:hAnsiTheme="minorHAnsi"/>
          <w:color w:val="000000" w:themeColor="text1"/>
        </w:rPr>
        <w:t xml:space="preserve">Angrisani, Botto, Gaudiano, Giannuzzi, Licheri, </w:t>
      </w:r>
      <w:proofErr w:type="spellStart"/>
      <w:r w:rsidRPr="00683687">
        <w:rPr>
          <w:rFonts w:asciiTheme="minorHAnsi" w:hAnsiTheme="minorHAnsi"/>
          <w:color w:val="000000" w:themeColor="text1"/>
        </w:rPr>
        <w:t>Lorefice</w:t>
      </w:r>
      <w:proofErr w:type="spellEnd"/>
      <w:r w:rsidRPr="00683687">
        <w:rPr>
          <w:rFonts w:asciiTheme="minorHAnsi" w:hAnsiTheme="minorHAnsi"/>
          <w:color w:val="000000" w:themeColor="text1"/>
        </w:rPr>
        <w:t>, Ricciardi</w:t>
      </w:r>
    </w:p>
    <w:p w14:paraId="1A7E8CAC" w14:textId="77777777" w:rsidR="008E0122" w:rsidRDefault="008E0122">
      <w:pPr>
        <w:pStyle w:val="Testonotaapidipagina"/>
      </w:pPr>
    </w:p>
  </w:footnote>
  <w:footnote w:id="49">
    <w:p w14:paraId="03E7646D" w14:textId="77777777" w:rsidR="008E0122" w:rsidRPr="00683687" w:rsidRDefault="008E0122" w:rsidP="007F755E">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5.96 (testo 3)</w:t>
      </w:r>
      <w:r w:rsidRPr="00683687">
        <w:rPr>
          <w:color w:val="000000" w:themeColor="text1"/>
        </w:rPr>
        <w:t xml:space="preserve"> </w:t>
      </w:r>
      <w:proofErr w:type="spellStart"/>
      <w:r w:rsidRPr="00683687">
        <w:rPr>
          <w:rFonts w:asciiTheme="minorHAnsi" w:hAnsiTheme="minorHAnsi"/>
          <w:color w:val="000000" w:themeColor="text1"/>
        </w:rPr>
        <w:t>Lorefice</w:t>
      </w:r>
      <w:proofErr w:type="spellEnd"/>
      <w:r w:rsidRPr="00683687">
        <w:rPr>
          <w:rFonts w:asciiTheme="minorHAnsi" w:hAnsiTheme="minorHAnsi"/>
          <w:color w:val="000000" w:themeColor="text1"/>
        </w:rPr>
        <w:t>, Girotto, Giannuzzi, Botto, Gaudiano, Licheri, Ricciardi</w:t>
      </w:r>
    </w:p>
    <w:p w14:paraId="5F046E15" w14:textId="77777777" w:rsidR="008E0122" w:rsidRDefault="008E0122">
      <w:pPr>
        <w:pStyle w:val="Testonotaapidipagina"/>
      </w:pPr>
    </w:p>
  </w:footnote>
  <w:footnote w:id="50">
    <w:p w14:paraId="47FFF638" w14:textId="77777777" w:rsidR="008E0122" w:rsidRPr="00683687" w:rsidRDefault="008E0122" w:rsidP="008826E5">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5.91 (testo 3)</w:t>
      </w:r>
      <w:r w:rsidRPr="00683687">
        <w:rPr>
          <w:color w:val="000000" w:themeColor="text1"/>
        </w:rPr>
        <w:t xml:space="preserve"> </w:t>
      </w:r>
      <w:r w:rsidRPr="00683687">
        <w:rPr>
          <w:rFonts w:asciiTheme="minorHAnsi" w:hAnsiTheme="minorHAnsi"/>
          <w:color w:val="000000" w:themeColor="text1"/>
        </w:rPr>
        <w:t>Collina, Fedeli, Nannicini</w:t>
      </w:r>
    </w:p>
    <w:p w14:paraId="41958CF9" w14:textId="77777777" w:rsidR="008E0122" w:rsidRDefault="008E0122">
      <w:pPr>
        <w:pStyle w:val="Testonotaapidipagina"/>
      </w:pPr>
    </w:p>
  </w:footnote>
  <w:footnote w:id="51">
    <w:p w14:paraId="214E0300" w14:textId="77777777" w:rsidR="008E0122" w:rsidRPr="006725C6" w:rsidRDefault="008E0122" w:rsidP="00DF6986">
      <w:pPr>
        <w:jc w:val="both"/>
        <w:rPr>
          <w:color w:val="000000" w:themeColor="text1"/>
        </w:rPr>
      </w:pPr>
      <w:r>
        <w:rPr>
          <w:rStyle w:val="Rimandonotaapidipagina"/>
        </w:rPr>
        <w:footnoteRef/>
      </w:r>
      <w:r>
        <w:t xml:space="preserve"> </w:t>
      </w:r>
      <w:r w:rsidRPr="006725C6">
        <w:rPr>
          <w:color w:val="000000" w:themeColor="text1"/>
        </w:rPr>
        <w:t xml:space="preserve">5.72 (testo 4) Ferrazzi, Manca, Fedeli, Botto, Gaudiano, Giannuzzi, Licheri, </w:t>
      </w:r>
      <w:proofErr w:type="spellStart"/>
      <w:r w:rsidRPr="006725C6">
        <w:rPr>
          <w:color w:val="000000" w:themeColor="text1"/>
        </w:rPr>
        <w:t>Lorefice</w:t>
      </w:r>
      <w:proofErr w:type="spellEnd"/>
      <w:r w:rsidRPr="006725C6">
        <w:rPr>
          <w:color w:val="000000" w:themeColor="text1"/>
        </w:rPr>
        <w:t xml:space="preserve">, Ricciardi, Toninelli, Gallone, </w:t>
      </w:r>
      <w:proofErr w:type="spellStart"/>
      <w:r w:rsidRPr="006725C6">
        <w:rPr>
          <w:color w:val="000000" w:themeColor="text1"/>
        </w:rPr>
        <w:t>Papatheu</w:t>
      </w:r>
      <w:proofErr w:type="spellEnd"/>
      <w:r w:rsidRPr="006725C6">
        <w:rPr>
          <w:color w:val="000000" w:themeColor="text1"/>
        </w:rPr>
        <w:t>, Berutti, Alfredo Messina, Masini</w:t>
      </w:r>
    </w:p>
    <w:p w14:paraId="48D5E8F9" w14:textId="77777777" w:rsidR="008E0122" w:rsidRDefault="008E0122">
      <w:pPr>
        <w:pStyle w:val="Testonotaapidipagina"/>
      </w:pPr>
    </w:p>
  </w:footnote>
  <w:footnote w:id="52">
    <w:p w14:paraId="5157675B" w14:textId="77777777" w:rsidR="008E0122" w:rsidRPr="00FC07A5" w:rsidRDefault="008E0122" w:rsidP="00790DC5">
      <w:pPr>
        <w:jc w:val="both"/>
        <w:rPr>
          <w:color w:val="000000" w:themeColor="text1"/>
        </w:rPr>
      </w:pPr>
      <w:r>
        <w:rPr>
          <w:rStyle w:val="Rimandonotaapidipagina"/>
        </w:rPr>
        <w:footnoteRef/>
      </w:r>
      <w:r>
        <w:t xml:space="preserve"> </w:t>
      </w:r>
      <w:r w:rsidRPr="00FC07A5">
        <w:rPr>
          <w:color w:val="000000" w:themeColor="text1"/>
        </w:rPr>
        <w:t>5.73 Fedeli, Manca, Nannicini</w:t>
      </w:r>
    </w:p>
    <w:p w14:paraId="2124F22A" w14:textId="77777777" w:rsidR="008E0122" w:rsidRDefault="008E0122">
      <w:pPr>
        <w:pStyle w:val="Testonotaapidipagina"/>
      </w:pPr>
    </w:p>
  </w:footnote>
  <w:footnote w:id="53">
    <w:p w14:paraId="216B0283" w14:textId="77777777" w:rsidR="008E0122" w:rsidRPr="00FC07A5" w:rsidRDefault="008E0122" w:rsidP="001420B8">
      <w:pPr>
        <w:jc w:val="both"/>
        <w:rPr>
          <w:color w:val="000000" w:themeColor="text1"/>
        </w:rPr>
      </w:pPr>
      <w:r>
        <w:rPr>
          <w:rStyle w:val="Rimandonotaapidipagina"/>
        </w:rPr>
        <w:footnoteRef/>
      </w:r>
      <w:r>
        <w:t xml:space="preserve"> </w:t>
      </w:r>
      <w:r w:rsidRPr="00FC07A5">
        <w:rPr>
          <w:color w:val="000000" w:themeColor="text1"/>
        </w:rPr>
        <w:t xml:space="preserve">5.88 </w:t>
      </w:r>
      <w:proofErr w:type="spellStart"/>
      <w:r w:rsidRPr="00FC07A5">
        <w:rPr>
          <w:color w:val="000000" w:themeColor="text1"/>
        </w:rPr>
        <w:t>Durnwalder</w:t>
      </w:r>
      <w:proofErr w:type="spellEnd"/>
      <w:r w:rsidRPr="00FC07A5">
        <w:rPr>
          <w:color w:val="000000" w:themeColor="text1"/>
        </w:rPr>
        <w:t xml:space="preserve">, </w:t>
      </w:r>
      <w:proofErr w:type="spellStart"/>
      <w:r w:rsidRPr="00FC07A5">
        <w:rPr>
          <w:color w:val="000000" w:themeColor="text1"/>
        </w:rPr>
        <w:t>Steger</w:t>
      </w:r>
      <w:proofErr w:type="spellEnd"/>
      <w:r w:rsidRPr="00FC07A5">
        <w:rPr>
          <w:color w:val="000000" w:themeColor="text1"/>
        </w:rPr>
        <w:t xml:space="preserve">, </w:t>
      </w:r>
      <w:proofErr w:type="spellStart"/>
      <w:r w:rsidRPr="00FC07A5">
        <w:rPr>
          <w:color w:val="000000" w:themeColor="text1"/>
        </w:rPr>
        <w:t>Unterberger</w:t>
      </w:r>
      <w:proofErr w:type="spellEnd"/>
      <w:r w:rsidRPr="00FC07A5">
        <w:rPr>
          <w:color w:val="000000" w:themeColor="text1"/>
        </w:rPr>
        <w:t xml:space="preserve">, </w:t>
      </w:r>
      <w:proofErr w:type="spellStart"/>
      <w:r w:rsidRPr="00FC07A5">
        <w:rPr>
          <w:color w:val="000000" w:themeColor="text1"/>
        </w:rPr>
        <w:t>Laniece</w:t>
      </w:r>
      <w:proofErr w:type="spellEnd"/>
    </w:p>
    <w:p w14:paraId="214C197C" w14:textId="77777777" w:rsidR="008E0122" w:rsidRDefault="008E0122">
      <w:pPr>
        <w:pStyle w:val="Testonotaapidipagina"/>
      </w:pPr>
    </w:p>
  </w:footnote>
  <w:footnote w:id="54">
    <w:p w14:paraId="7F7A5EDE" w14:textId="77777777" w:rsidR="008E0122" w:rsidRDefault="008E0122">
      <w:pPr>
        <w:pStyle w:val="Testonotaapidipagina"/>
      </w:pPr>
      <w:r>
        <w:rPr>
          <w:rStyle w:val="Rimandonotaapidipagina"/>
        </w:rPr>
        <w:footnoteRef/>
      </w:r>
      <w:r>
        <w:rPr>
          <w:rStyle w:val="Rimandonotaapidipagina"/>
        </w:rPr>
        <w:footnoteRef/>
      </w:r>
      <w:r>
        <w:t xml:space="preserve"> 7.1 </w:t>
      </w:r>
      <w:r w:rsidRPr="00D335B0">
        <w:t>Taricco, Fedeli, Astorre</w:t>
      </w:r>
    </w:p>
  </w:footnote>
  <w:footnote w:id="55">
    <w:p w14:paraId="14966D07" w14:textId="77777777" w:rsidR="008E0122" w:rsidRDefault="008E0122">
      <w:pPr>
        <w:pStyle w:val="Testonotaapidipagina"/>
      </w:pPr>
      <w:r>
        <w:rPr>
          <w:rStyle w:val="Rimandonotaapidipagina"/>
        </w:rPr>
        <w:footnoteRef/>
      </w:r>
      <w:r>
        <w:t xml:space="preserve"> 7.2 Il Relatore</w:t>
      </w:r>
    </w:p>
  </w:footnote>
  <w:footnote w:id="56">
    <w:p w14:paraId="69E15B1D" w14:textId="77777777" w:rsidR="008E0122" w:rsidRDefault="008E0122">
      <w:pPr>
        <w:pStyle w:val="Testonotaapidipagina"/>
      </w:pPr>
      <w:r>
        <w:rPr>
          <w:rStyle w:val="Rimandonotaapidipagina"/>
        </w:rPr>
        <w:footnoteRef/>
      </w:r>
      <w:r>
        <w:t xml:space="preserve"> 7.6 </w:t>
      </w:r>
      <w:proofErr w:type="spellStart"/>
      <w:r w:rsidRPr="00D335B0">
        <w:t>Bergesio</w:t>
      </w:r>
      <w:proofErr w:type="spellEnd"/>
      <w:r w:rsidRPr="00D335B0">
        <w:t xml:space="preserve">, Centinaio, Vallardi, Sbrana, Simone Bossi, Candiani, Tosato, </w:t>
      </w:r>
      <w:proofErr w:type="spellStart"/>
      <w:r w:rsidRPr="00D335B0">
        <w:t>Casolati</w:t>
      </w:r>
      <w:proofErr w:type="spellEnd"/>
    </w:p>
  </w:footnote>
  <w:footnote w:id="57">
    <w:p w14:paraId="057162DF" w14:textId="77777777" w:rsidR="008E0122" w:rsidRDefault="008E0122">
      <w:pPr>
        <w:pStyle w:val="Testonotaapidipagina"/>
      </w:pPr>
      <w:r>
        <w:rPr>
          <w:rStyle w:val="Rimandonotaapidipagina"/>
        </w:rPr>
        <w:footnoteRef/>
      </w:r>
      <w:r>
        <w:t xml:space="preserve"> 7.7 </w:t>
      </w:r>
      <w:r w:rsidRPr="00B54B25">
        <w:t>La Pietra, Fazzolari, Simone Bossi</w:t>
      </w:r>
    </w:p>
  </w:footnote>
  <w:footnote w:id="58">
    <w:p w14:paraId="69EAB7BC" w14:textId="77777777" w:rsidR="008E0122" w:rsidRDefault="008E0122">
      <w:pPr>
        <w:pStyle w:val="Testonotaapidipagina"/>
      </w:pPr>
      <w:r>
        <w:rPr>
          <w:rStyle w:val="Rimandonotaapidipagina"/>
        </w:rPr>
        <w:footnoteRef/>
      </w:r>
      <w:r>
        <w:t xml:space="preserve"> 7.8 </w:t>
      </w:r>
      <w:r w:rsidRPr="00B54B25">
        <w:t>Taricco, Biti, Manca, Fedeli, Astorre</w:t>
      </w:r>
    </w:p>
  </w:footnote>
  <w:footnote w:id="59">
    <w:p w14:paraId="6C97A65F" w14:textId="77777777" w:rsidR="008E0122" w:rsidRDefault="008E0122" w:rsidP="00B54B25">
      <w:pPr>
        <w:pStyle w:val="Testonotaapidipagina"/>
      </w:pPr>
      <w:r>
        <w:rPr>
          <w:rStyle w:val="Rimandonotaapidipagina"/>
        </w:rPr>
        <w:footnoteRef/>
      </w:r>
      <w:r>
        <w:t xml:space="preserve"> 7.9 Taricco, Biti, Manca, Fedeli, Astorre</w:t>
      </w:r>
    </w:p>
  </w:footnote>
  <w:footnote w:id="60">
    <w:p w14:paraId="10D68D1D" w14:textId="77777777" w:rsidR="008E0122" w:rsidRPr="00FC07A5" w:rsidRDefault="008E0122" w:rsidP="009A4340">
      <w:pPr>
        <w:jc w:val="both"/>
        <w:rPr>
          <w:color w:val="000000" w:themeColor="text1"/>
        </w:rPr>
      </w:pPr>
      <w:r>
        <w:rPr>
          <w:rStyle w:val="Rimandonotaapidipagina"/>
        </w:rPr>
        <w:footnoteRef/>
      </w:r>
      <w:r>
        <w:t xml:space="preserve"> </w:t>
      </w:r>
      <w:r w:rsidRPr="00FC07A5">
        <w:rPr>
          <w:color w:val="000000" w:themeColor="text1"/>
        </w:rPr>
        <w:t xml:space="preserve">7.14 (testo 3) </w:t>
      </w:r>
      <w:proofErr w:type="spellStart"/>
      <w:r w:rsidRPr="00FC07A5">
        <w:rPr>
          <w:color w:val="000000" w:themeColor="text1"/>
        </w:rPr>
        <w:t>Lorefice</w:t>
      </w:r>
      <w:proofErr w:type="spellEnd"/>
      <w:r w:rsidRPr="00FC07A5">
        <w:rPr>
          <w:color w:val="000000" w:themeColor="text1"/>
        </w:rPr>
        <w:t>, Giannuzzi, Taricco, Botto, Gaudiano, Licheri, Ricciardi</w:t>
      </w:r>
    </w:p>
    <w:p w14:paraId="11F05C18" w14:textId="77777777" w:rsidR="008E0122" w:rsidRDefault="008E0122">
      <w:pPr>
        <w:pStyle w:val="Testonotaapidipagina"/>
      </w:pPr>
    </w:p>
  </w:footnote>
  <w:footnote w:id="61">
    <w:p w14:paraId="4D09ADEE" w14:textId="77777777" w:rsidR="008E0122" w:rsidRDefault="008E0122">
      <w:pPr>
        <w:pStyle w:val="Testonotaapidipagina"/>
      </w:pPr>
      <w:r>
        <w:rPr>
          <w:rStyle w:val="Rimandonotaapidipagina"/>
        </w:rPr>
        <w:footnoteRef/>
      </w:r>
      <w:r>
        <w:t xml:space="preserve"> 7.15 </w:t>
      </w:r>
      <w:r w:rsidRPr="00B54B25">
        <w:t>Collina, Fedeli, Astorre</w:t>
      </w:r>
    </w:p>
  </w:footnote>
  <w:footnote w:id="62">
    <w:p w14:paraId="0762598F" w14:textId="77777777" w:rsidR="008E0122" w:rsidRDefault="008E0122">
      <w:pPr>
        <w:pStyle w:val="Testonotaapidipagina"/>
      </w:pPr>
      <w:r>
        <w:rPr>
          <w:rStyle w:val="Rimandonotaapidipagina"/>
        </w:rPr>
        <w:footnoteRef/>
      </w:r>
      <w:r>
        <w:t xml:space="preserve"> 7.16 </w:t>
      </w:r>
      <w:proofErr w:type="spellStart"/>
      <w:r w:rsidRPr="00B54B25">
        <w:t>Giammanco</w:t>
      </w:r>
      <w:proofErr w:type="spellEnd"/>
      <w:r w:rsidRPr="00B54B25">
        <w:t>, Masini</w:t>
      </w:r>
      <w:r>
        <w:t xml:space="preserve">; 7.17 </w:t>
      </w:r>
      <w:r w:rsidRPr="00B54B25">
        <w:t xml:space="preserve">Candiani, Simone Bossi, </w:t>
      </w:r>
      <w:proofErr w:type="spellStart"/>
      <w:r w:rsidRPr="00B54B25">
        <w:t>Casolati</w:t>
      </w:r>
      <w:proofErr w:type="spellEnd"/>
      <w:r w:rsidRPr="00B54B25">
        <w:t>, Tosato</w:t>
      </w:r>
    </w:p>
  </w:footnote>
  <w:footnote w:id="63">
    <w:p w14:paraId="63126B1C" w14:textId="77777777" w:rsidR="008E0122" w:rsidRPr="007C7983" w:rsidRDefault="008E0122" w:rsidP="00000DCB">
      <w:pPr>
        <w:jc w:val="both"/>
        <w:rPr>
          <w:color w:val="000000" w:themeColor="text1"/>
        </w:rPr>
      </w:pPr>
      <w:r>
        <w:rPr>
          <w:rStyle w:val="Rimandonotaapidipagina"/>
        </w:rPr>
        <w:footnoteRef/>
      </w:r>
      <w:r>
        <w:t xml:space="preserve"> </w:t>
      </w:r>
      <w:r w:rsidRPr="007C7983">
        <w:rPr>
          <w:color w:val="000000" w:themeColor="text1"/>
        </w:rPr>
        <w:t>7.20 Taricco, Biti, Manca, Fedeli</w:t>
      </w:r>
      <w:r>
        <w:rPr>
          <w:color w:val="000000" w:themeColor="text1"/>
        </w:rPr>
        <w:t xml:space="preserve">; </w:t>
      </w:r>
      <w:r w:rsidRPr="007C7983">
        <w:rPr>
          <w:color w:val="000000" w:themeColor="text1"/>
        </w:rPr>
        <w:t xml:space="preserve">7.46 (testo 3) </w:t>
      </w:r>
      <w:proofErr w:type="spellStart"/>
      <w:r w:rsidRPr="007C7983">
        <w:rPr>
          <w:color w:val="000000" w:themeColor="text1"/>
        </w:rPr>
        <w:t>Ginetti</w:t>
      </w:r>
      <w:proofErr w:type="spellEnd"/>
      <w:r w:rsidRPr="007C7983">
        <w:rPr>
          <w:color w:val="000000" w:themeColor="text1"/>
        </w:rPr>
        <w:t>, Cucca</w:t>
      </w:r>
    </w:p>
    <w:p w14:paraId="54A3F8CC" w14:textId="77777777" w:rsidR="008E0122" w:rsidRPr="007C7983" w:rsidRDefault="008E0122" w:rsidP="00943748">
      <w:pPr>
        <w:jc w:val="both"/>
        <w:rPr>
          <w:color w:val="000000" w:themeColor="text1"/>
        </w:rPr>
      </w:pPr>
    </w:p>
    <w:p w14:paraId="318C8BF8" w14:textId="77777777" w:rsidR="008E0122" w:rsidRDefault="008E0122">
      <w:pPr>
        <w:pStyle w:val="Testonotaapidipagina"/>
      </w:pPr>
    </w:p>
  </w:footnote>
  <w:footnote w:id="64">
    <w:p w14:paraId="77E2651C" w14:textId="77777777" w:rsidR="008E0122" w:rsidRPr="00FC07A5" w:rsidRDefault="008E0122" w:rsidP="009A4340">
      <w:pPr>
        <w:jc w:val="both"/>
        <w:rPr>
          <w:color w:val="000000" w:themeColor="text1"/>
        </w:rPr>
      </w:pPr>
      <w:r>
        <w:rPr>
          <w:rStyle w:val="Rimandonotaapidipagina"/>
        </w:rPr>
        <w:footnoteRef/>
      </w:r>
      <w:r>
        <w:t xml:space="preserve"> </w:t>
      </w:r>
      <w:bookmarkStart w:id="4" w:name="_Hlk50032685"/>
      <w:r w:rsidRPr="00FC07A5">
        <w:rPr>
          <w:color w:val="000000" w:themeColor="text1"/>
        </w:rPr>
        <w:t xml:space="preserve">7.14 (testo 3) </w:t>
      </w:r>
      <w:proofErr w:type="spellStart"/>
      <w:r w:rsidRPr="00FC07A5">
        <w:rPr>
          <w:color w:val="000000" w:themeColor="text1"/>
        </w:rPr>
        <w:t>Lorefice</w:t>
      </w:r>
      <w:proofErr w:type="spellEnd"/>
      <w:r w:rsidRPr="00FC07A5">
        <w:rPr>
          <w:color w:val="000000" w:themeColor="text1"/>
        </w:rPr>
        <w:t>, Giannuzzi, Taricco, Botto, Gaudiano, Licheri, Ricciardi</w:t>
      </w:r>
    </w:p>
    <w:bookmarkEnd w:id="4"/>
    <w:p w14:paraId="434DCFF8" w14:textId="77777777" w:rsidR="008E0122" w:rsidRDefault="008E0122">
      <w:pPr>
        <w:pStyle w:val="Testonotaapidipagina"/>
      </w:pPr>
    </w:p>
  </w:footnote>
  <w:footnote w:id="65">
    <w:p w14:paraId="1B302D0B" w14:textId="77777777" w:rsidR="00BA0EF2" w:rsidRPr="007C7983" w:rsidRDefault="00BA0EF2" w:rsidP="00BA0EF2">
      <w:pPr>
        <w:jc w:val="both"/>
        <w:rPr>
          <w:color w:val="000000" w:themeColor="text1"/>
        </w:rPr>
      </w:pPr>
      <w:r>
        <w:rPr>
          <w:rStyle w:val="Rimandonotaapidipagina"/>
        </w:rPr>
        <w:footnoteRef/>
      </w:r>
      <w:r>
        <w:t xml:space="preserve"> </w:t>
      </w:r>
      <w:r w:rsidRPr="007C7983">
        <w:rPr>
          <w:color w:val="000000" w:themeColor="text1"/>
        </w:rPr>
        <w:t>7.22 (testo 2) Taricco, Biti, Manca, Fedeli</w:t>
      </w:r>
    </w:p>
    <w:p w14:paraId="223CD192" w14:textId="77777777" w:rsidR="00BA0EF2" w:rsidRDefault="00BA0EF2">
      <w:pPr>
        <w:pStyle w:val="Testonotaapidipagina"/>
      </w:pPr>
    </w:p>
  </w:footnote>
  <w:footnote w:id="66">
    <w:p w14:paraId="124087F6" w14:textId="77777777" w:rsidR="008E0122" w:rsidRDefault="008E0122">
      <w:pPr>
        <w:pStyle w:val="Testonotaapidipagina"/>
      </w:pPr>
      <w:r>
        <w:rPr>
          <w:rStyle w:val="Rimandonotaapidipagina"/>
        </w:rPr>
        <w:footnoteRef/>
      </w:r>
      <w:r>
        <w:t xml:space="preserve"> 7.1 </w:t>
      </w:r>
      <w:r w:rsidRPr="00D335B0">
        <w:t>Taricco, Fedeli, Astorre</w:t>
      </w:r>
    </w:p>
  </w:footnote>
  <w:footnote w:id="67">
    <w:p w14:paraId="50ACAB81" w14:textId="77777777" w:rsidR="008E0122" w:rsidRDefault="008E0122">
      <w:pPr>
        <w:pStyle w:val="Testonotaapidipagina"/>
      </w:pPr>
      <w:r>
        <w:rPr>
          <w:rStyle w:val="Rimandonotaapidipagina"/>
        </w:rPr>
        <w:footnoteRef/>
      </w:r>
      <w:r>
        <w:t xml:space="preserve"> 7.30 </w:t>
      </w:r>
      <w:r w:rsidRPr="00B54B25">
        <w:t xml:space="preserve">Centinaio, </w:t>
      </w:r>
      <w:proofErr w:type="spellStart"/>
      <w:r w:rsidRPr="00B54B25">
        <w:t>Bergesio</w:t>
      </w:r>
      <w:proofErr w:type="spellEnd"/>
      <w:r w:rsidRPr="00B54B25">
        <w:t xml:space="preserve">, Vallardi, Sbrana, Simone Bossi, Candiani, Tosato, </w:t>
      </w:r>
      <w:proofErr w:type="spellStart"/>
      <w:r w:rsidRPr="00B54B25">
        <w:t>Casolati</w:t>
      </w:r>
      <w:proofErr w:type="spellEnd"/>
      <w:r w:rsidRPr="00B54B25">
        <w:t>, Fazzolari</w:t>
      </w:r>
    </w:p>
  </w:footnote>
  <w:footnote w:id="68">
    <w:p w14:paraId="0B3C441D" w14:textId="77777777" w:rsidR="00BA0EF2" w:rsidRPr="007C7983" w:rsidRDefault="00BA0EF2" w:rsidP="00BA0EF2">
      <w:pPr>
        <w:jc w:val="both"/>
        <w:rPr>
          <w:color w:val="000000" w:themeColor="text1"/>
        </w:rPr>
      </w:pPr>
      <w:r>
        <w:rPr>
          <w:rStyle w:val="Rimandonotaapidipagina"/>
        </w:rPr>
        <w:footnoteRef/>
      </w:r>
      <w:r>
        <w:t xml:space="preserve"> </w:t>
      </w:r>
      <w:bookmarkStart w:id="5" w:name="_Hlk50625013"/>
      <w:r w:rsidRPr="007C7983">
        <w:rPr>
          <w:color w:val="000000" w:themeColor="text1"/>
        </w:rPr>
        <w:t>7.22 (testo 2) Taricco, Biti, Manca, Fedeli</w:t>
      </w:r>
    </w:p>
    <w:bookmarkEnd w:id="5"/>
    <w:p w14:paraId="220DD49E" w14:textId="77777777" w:rsidR="00BA0EF2" w:rsidRDefault="00BA0EF2">
      <w:pPr>
        <w:pStyle w:val="Testonotaapidipagina"/>
      </w:pPr>
    </w:p>
  </w:footnote>
  <w:footnote w:id="69">
    <w:p w14:paraId="07A28133" w14:textId="77777777" w:rsidR="008E0122" w:rsidRPr="00FC07A5" w:rsidRDefault="008E0122" w:rsidP="0005597D">
      <w:pPr>
        <w:jc w:val="both"/>
        <w:rPr>
          <w:color w:val="000000" w:themeColor="text1"/>
        </w:rPr>
      </w:pPr>
      <w:r>
        <w:rPr>
          <w:rStyle w:val="Rimandonotaapidipagina"/>
        </w:rPr>
        <w:footnoteRef/>
      </w:r>
      <w:r>
        <w:t xml:space="preserve"> </w:t>
      </w:r>
      <w:r w:rsidRPr="00FC07A5">
        <w:rPr>
          <w:color w:val="000000" w:themeColor="text1"/>
        </w:rPr>
        <w:t xml:space="preserve">7.14 (testo 3) </w:t>
      </w:r>
      <w:proofErr w:type="spellStart"/>
      <w:r w:rsidRPr="00FC07A5">
        <w:rPr>
          <w:color w:val="000000" w:themeColor="text1"/>
        </w:rPr>
        <w:t>Lorefice</w:t>
      </w:r>
      <w:proofErr w:type="spellEnd"/>
      <w:r w:rsidRPr="00FC07A5">
        <w:rPr>
          <w:color w:val="000000" w:themeColor="text1"/>
        </w:rPr>
        <w:t>, Giannuzzi, Taricco, Botto, Gaudiano, Licheri, Ricciardi</w:t>
      </w:r>
    </w:p>
    <w:p w14:paraId="0043462A" w14:textId="77777777" w:rsidR="008E0122" w:rsidRDefault="008E0122">
      <w:pPr>
        <w:pStyle w:val="Testonotaapidipagina"/>
      </w:pPr>
    </w:p>
  </w:footnote>
  <w:footnote w:id="70">
    <w:p w14:paraId="2FE77B6C" w14:textId="77777777" w:rsidR="008E0122" w:rsidRDefault="008E0122">
      <w:pPr>
        <w:pStyle w:val="Testonotaapidipagina"/>
      </w:pPr>
      <w:r>
        <w:rPr>
          <w:rStyle w:val="Rimandonotaapidipagina"/>
        </w:rPr>
        <w:footnoteRef/>
      </w:r>
      <w:r>
        <w:t xml:space="preserve"> 7.37 </w:t>
      </w:r>
      <w:r w:rsidRPr="00B54B25">
        <w:t>La Pietra, Fazzolari, Simone Bossi, Candiani</w:t>
      </w:r>
    </w:p>
  </w:footnote>
  <w:footnote w:id="71">
    <w:p w14:paraId="5E76A09F" w14:textId="77777777" w:rsidR="008E0122" w:rsidRDefault="008E0122">
      <w:pPr>
        <w:pStyle w:val="Testonotaapidipagina"/>
      </w:pPr>
      <w:r>
        <w:rPr>
          <w:rStyle w:val="Rimandonotaapidipagina"/>
        </w:rPr>
        <w:footnoteRef/>
      </w:r>
      <w:r>
        <w:t xml:space="preserve"> 7.39 </w:t>
      </w:r>
      <w:r w:rsidRPr="00B54B25">
        <w:t xml:space="preserve">La Pietra, Fazzolari, Simone Bossi, </w:t>
      </w:r>
      <w:proofErr w:type="spellStart"/>
      <w:r w:rsidRPr="00B54B25">
        <w:t>Giammanco</w:t>
      </w:r>
      <w:proofErr w:type="spellEnd"/>
    </w:p>
  </w:footnote>
  <w:footnote w:id="72">
    <w:p w14:paraId="07FCD971" w14:textId="77777777" w:rsidR="008E0122" w:rsidRDefault="008E0122">
      <w:pPr>
        <w:pStyle w:val="Testonotaapidipagina"/>
      </w:pPr>
      <w:r>
        <w:rPr>
          <w:rStyle w:val="Rimandonotaapidipagina"/>
        </w:rPr>
        <w:footnoteRef/>
      </w:r>
      <w:r>
        <w:t xml:space="preserve"> </w:t>
      </w:r>
      <w:r w:rsidRPr="00FC07A5">
        <w:rPr>
          <w:color w:val="000000" w:themeColor="text1"/>
        </w:rPr>
        <w:t xml:space="preserve">7.14 (testo 3) </w:t>
      </w:r>
      <w:proofErr w:type="spellStart"/>
      <w:r w:rsidRPr="00FC07A5">
        <w:rPr>
          <w:color w:val="000000" w:themeColor="text1"/>
        </w:rPr>
        <w:t>Lorefice</w:t>
      </w:r>
      <w:proofErr w:type="spellEnd"/>
      <w:r w:rsidRPr="00FC07A5">
        <w:rPr>
          <w:color w:val="000000" w:themeColor="text1"/>
        </w:rPr>
        <w:t>, Giannuzzi, Taricco, Botto, Gaudiano, Licheri, Ricciardi</w:t>
      </w:r>
    </w:p>
  </w:footnote>
  <w:footnote w:id="73">
    <w:p w14:paraId="0A2E8A30" w14:textId="77777777" w:rsidR="008E0122" w:rsidRDefault="008E0122">
      <w:pPr>
        <w:pStyle w:val="Testonotaapidipagina"/>
      </w:pPr>
      <w:r>
        <w:rPr>
          <w:rStyle w:val="Rimandonotaapidipagina"/>
        </w:rPr>
        <w:footnoteRef/>
      </w:r>
      <w:r>
        <w:t xml:space="preserve"> 8.2 </w:t>
      </w:r>
      <w:r w:rsidRPr="00B54B25">
        <w:t>Ferrari, Fedeli, Astorre</w:t>
      </w:r>
    </w:p>
  </w:footnote>
  <w:footnote w:id="74">
    <w:p w14:paraId="36780783" w14:textId="77777777" w:rsidR="008E0122" w:rsidRDefault="008E0122">
      <w:pPr>
        <w:pStyle w:val="Testonotaapidipagina"/>
      </w:pPr>
      <w:r>
        <w:rPr>
          <w:rStyle w:val="Rimandonotaapidipagina"/>
        </w:rPr>
        <w:footnoteRef/>
      </w:r>
      <w:r>
        <w:t xml:space="preserve"> 11.2 </w:t>
      </w:r>
      <w:r w:rsidRPr="005711BE">
        <w:t>D'Alfonso, Fedeli, Candiani, Astorre</w:t>
      </w:r>
    </w:p>
  </w:footnote>
  <w:footnote w:id="75">
    <w:p w14:paraId="35C50FA5" w14:textId="77777777" w:rsidR="008E0122" w:rsidRDefault="008E0122">
      <w:pPr>
        <w:pStyle w:val="Testonotaapidipagina"/>
      </w:pPr>
      <w:r>
        <w:rPr>
          <w:rStyle w:val="Rimandonotaapidipagina"/>
        </w:rPr>
        <w:footnoteRef/>
      </w:r>
      <w:r>
        <w:t xml:space="preserve"> 11.2 </w:t>
      </w:r>
      <w:r w:rsidRPr="005711BE">
        <w:t>D'Alfonso, Fedeli, Candiani, Astorre</w:t>
      </w:r>
    </w:p>
  </w:footnote>
  <w:footnote w:id="76">
    <w:p w14:paraId="63F60BB9" w14:textId="77777777" w:rsidR="008E0122" w:rsidRDefault="008E0122">
      <w:pPr>
        <w:pStyle w:val="Testonotaapidipagina"/>
      </w:pPr>
      <w:r>
        <w:rPr>
          <w:rStyle w:val="Rimandonotaapidipagina"/>
        </w:rPr>
        <w:footnoteRef/>
      </w:r>
      <w:r>
        <w:t xml:space="preserve"> 12.6 Il Relatore; 12.7 </w:t>
      </w:r>
      <w:r w:rsidRPr="005711BE">
        <w:t xml:space="preserve">Arrigoni, Briziarelli, Candiani, Simone Bossi, </w:t>
      </w:r>
      <w:proofErr w:type="spellStart"/>
      <w:r w:rsidRPr="005711BE">
        <w:t>Casolati</w:t>
      </w:r>
      <w:proofErr w:type="spellEnd"/>
      <w:r w:rsidRPr="005711BE">
        <w:t>, Tosato</w:t>
      </w:r>
    </w:p>
  </w:footnote>
  <w:footnote w:id="77">
    <w:p w14:paraId="712CAFCA" w14:textId="77777777" w:rsidR="008E0122" w:rsidRDefault="008E0122">
      <w:pPr>
        <w:pStyle w:val="Testonotaapidipagina"/>
      </w:pPr>
      <w:r>
        <w:rPr>
          <w:rStyle w:val="Rimandonotaapidipagina"/>
        </w:rPr>
        <w:footnoteRef/>
      </w:r>
      <w:r>
        <w:t xml:space="preserve"> 12.8 </w:t>
      </w:r>
      <w:r w:rsidRPr="00695884">
        <w:t>Rampi, Manca, Fedeli, Astorre</w:t>
      </w:r>
    </w:p>
  </w:footnote>
  <w:footnote w:id="78">
    <w:p w14:paraId="5A60D4B0" w14:textId="77777777" w:rsidR="008E0122" w:rsidRDefault="008E0122" w:rsidP="00695884">
      <w:pPr>
        <w:pStyle w:val="Testonotaapidipagina"/>
      </w:pPr>
      <w:r>
        <w:rPr>
          <w:rStyle w:val="Rimandonotaapidipagina"/>
        </w:rPr>
        <w:footnoteRef/>
      </w:r>
      <w:r>
        <w:t xml:space="preserve"> 12.9 Arrigoni, Briziarelli, Simone Bossi, Candiani, </w:t>
      </w:r>
      <w:proofErr w:type="spellStart"/>
      <w:r>
        <w:t>Casolati</w:t>
      </w:r>
      <w:proofErr w:type="spellEnd"/>
      <w:r>
        <w:t>, Tosato</w:t>
      </w:r>
    </w:p>
  </w:footnote>
  <w:footnote w:id="79">
    <w:p w14:paraId="4FCC4AF7" w14:textId="77777777" w:rsidR="008E0122" w:rsidRDefault="008E0122">
      <w:pPr>
        <w:pStyle w:val="Testonotaapidipagina"/>
      </w:pPr>
      <w:r>
        <w:rPr>
          <w:rStyle w:val="Rimandonotaapidipagina"/>
        </w:rPr>
        <w:footnoteRef/>
      </w:r>
      <w:r>
        <w:t xml:space="preserve"> 12.11 </w:t>
      </w:r>
      <w:r w:rsidRPr="00622F5A">
        <w:t xml:space="preserve">Rampi, Manca, Fedeli, </w:t>
      </w:r>
      <w:proofErr w:type="spellStart"/>
      <w:r w:rsidRPr="00622F5A">
        <w:t>Casolati</w:t>
      </w:r>
      <w:proofErr w:type="spellEnd"/>
      <w:r w:rsidRPr="00622F5A">
        <w:t>, Astorre</w:t>
      </w:r>
    </w:p>
  </w:footnote>
  <w:footnote w:id="80">
    <w:p w14:paraId="6B64B633" w14:textId="77777777" w:rsidR="008E0122" w:rsidRDefault="008E0122">
      <w:pPr>
        <w:pStyle w:val="Testonotaapidipagina"/>
      </w:pPr>
      <w:r>
        <w:rPr>
          <w:rStyle w:val="Rimandonotaapidipagina"/>
        </w:rPr>
        <w:footnoteRef/>
      </w:r>
      <w:r>
        <w:t xml:space="preserve"> 12.10 </w:t>
      </w:r>
      <w:r w:rsidRPr="00695884">
        <w:t xml:space="preserve">Arrigoni, Briziarelli, Candiani, Simone Bossi, </w:t>
      </w:r>
      <w:proofErr w:type="spellStart"/>
      <w:r w:rsidRPr="00695884">
        <w:t>Casolati</w:t>
      </w:r>
      <w:proofErr w:type="spellEnd"/>
      <w:r w:rsidRPr="00695884">
        <w:t>, Tosato</w:t>
      </w:r>
    </w:p>
  </w:footnote>
  <w:footnote w:id="81">
    <w:p w14:paraId="11AEC5E1" w14:textId="77777777" w:rsidR="008E0122" w:rsidRPr="00341A03" w:rsidRDefault="008E0122" w:rsidP="00A52E1C">
      <w:pPr>
        <w:jc w:val="both"/>
        <w:rPr>
          <w:rFonts w:asciiTheme="minorHAnsi" w:hAnsiTheme="minorHAnsi"/>
          <w:color w:val="000000" w:themeColor="text1"/>
        </w:rPr>
      </w:pPr>
      <w:r>
        <w:rPr>
          <w:rStyle w:val="Rimandonotaapidipagina"/>
        </w:rPr>
        <w:footnoteRef/>
      </w:r>
      <w:r>
        <w:t xml:space="preserve"> </w:t>
      </w:r>
      <w:r w:rsidRPr="00341A03">
        <w:rPr>
          <w:rFonts w:asciiTheme="minorHAnsi" w:hAnsiTheme="minorHAnsi"/>
          <w:color w:val="000000" w:themeColor="text1"/>
        </w:rPr>
        <w:t>5.24 (testo 3)</w:t>
      </w:r>
      <w:r w:rsidRPr="00341A03">
        <w:rPr>
          <w:color w:val="000000" w:themeColor="text1"/>
        </w:rPr>
        <w:t xml:space="preserve"> </w:t>
      </w:r>
      <w:r w:rsidRPr="00341A03">
        <w:rPr>
          <w:rFonts w:asciiTheme="minorHAnsi" w:hAnsiTheme="minorHAnsi"/>
          <w:color w:val="000000" w:themeColor="text1"/>
        </w:rPr>
        <w:t xml:space="preserve">Girotto, Anastasi, Botto, Gaudiano, Giannuzzi, Licheri, </w:t>
      </w:r>
      <w:proofErr w:type="spellStart"/>
      <w:r w:rsidRPr="00341A03">
        <w:rPr>
          <w:rFonts w:asciiTheme="minorHAnsi" w:hAnsiTheme="minorHAnsi"/>
          <w:color w:val="000000" w:themeColor="text1"/>
        </w:rPr>
        <w:t>Lorefice</w:t>
      </w:r>
      <w:proofErr w:type="spellEnd"/>
      <w:r w:rsidRPr="00341A03">
        <w:rPr>
          <w:rFonts w:asciiTheme="minorHAnsi" w:hAnsiTheme="minorHAnsi"/>
          <w:color w:val="000000" w:themeColor="text1"/>
        </w:rPr>
        <w:t>, Ricciardi</w:t>
      </w:r>
    </w:p>
    <w:p w14:paraId="78EA0C3F" w14:textId="77777777" w:rsidR="008E0122" w:rsidRDefault="008E0122">
      <w:pPr>
        <w:pStyle w:val="Testonotaapidipagina"/>
      </w:pPr>
    </w:p>
  </w:footnote>
  <w:footnote w:id="82">
    <w:p w14:paraId="45E4BFFA" w14:textId="77777777" w:rsidR="008E0122" w:rsidRPr="00341A03" w:rsidRDefault="008E0122" w:rsidP="00E56DC1">
      <w:pPr>
        <w:jc w:val="both"/>
        <w:rPr>
          <w:rFonts w:asciiTheme="minorHAnsi" w:hAnsiTheme="minorHAnsi"/>
          <w:color w:val="000000" w:themeColor="text1"/>
        </w:rPr>
      </w:pPr>
      <w:r>
        <w:rPr>
          <w:rStyle w:val="Rimandonotaapidipagina"/>
        </w:rPr>
        <w:footnoteRef/>
      </w:r>
      <w:r>
        <w:t xml:space="preserve"> </w:t>
      </w:r>
      <w:r w:rsidRPr="00341A03">
        <w:rPr>
          <w:rFonts w:asciiTheme="minorHAnsi" w:hAnsiTheme="minorHAnsi"/>
          <w:color w:val="000000" w:themeColor="text1"/>
        </w:rPr>
        <w:t>5.24 (testo 3)</w:t>
      </w:r>
      <w:r w:rsidRPr="00341A03">
        <w:rPr>
          <w:color w:val="000000" w:themeColor="text1"/>
        </w:rPr>
        <w:t xml:space="preserve"> </w:t>
      </w:r>
      <w:r w:rsidRPr="00341A03">
        <w:rPr>
          <w:rFonts w:asciiTheme="minorHAnsi" w:hAnsiTheme="minorHAnsi"/>
          <w:color w:val="000000" w:themeColor="text1"/>
        </w:rPr>
        <w:t xml:space="preserve">Girotto, Anastasi, Botto, Gaudiano, Giannuzzi, Licheri, </w:t>
      </w:r>
      <w:proofErr w:type="spellStart"/>
      <w:r w:rsidRPr="00341A03">
        <w:rPr>
          <w:rFonts w:asciiTheme="minorHAnsi" w:hAnsiTheme="minorHAnsi"/>
          <w:color w:val="000000" w:themeColor="text1"/>
        </w:rPr>
        <w:t>Lorefice</w:t>
      </w:r>
      <w:proofErr w:type="spellEnd"/>
      <w:r w:rsidRPr="00341A03">
        <w:rPr>
          <w:rFonts w:asciiTheme="minorHAnsi" w:hAnsiTheme="minorHAnsi"/>
          <w:color w:val="000000" w:themeColor="text1"/>
        </w:rPr>
        <w:t>, Ricciardi</w:t>
      </w:r>
    </w:p>
    <w:p w14:paraId="73A5B3A8" w14:textId="77777777" w:rsidR="008E0122" w:rsidRDefault="008E0122">
      <w:pPr>
        <w:pStyle w:val="Testonotaapidipagina"/>
      </w:pPr>
    </w:p>
  </w:footnote>
  <w:footnote w:id="83">
    <w:p w14:paraId="36EA2C11" w14:textId="77777777" w:rsidR="008E0122" w:rsidRDefault="008E0122">
      <w:pPr>
        <w:pStyle w:val="Testonotaapidipagina"/>
      </w:pPr>
      <w:r>
        <w:rPr>
          <w:rStyle w:val="Rimandonotaapidipagina"/>
        </w:rPr>
        <w:footnoteRef/>
      </w:r>
      <w:r>
        <w:t xml:space="preserve"> 12.13 </w:t>
      </w:r>
      <w:r w:rsidRPr="00622F5A">
        <w:t xml:space="preserve">Fedeli, Manca, </w:t>
      </w:r>
      <w:proofErr w:type="spellStart"/>
      <w:r w:rsidRPr="00622F5A">
        <w:t>Casolati</w:t>
      </w:r>
      <w:proofErr w:type="spellEnd"/>
      <w:r w:rsidRPr="00622F5A">
        <w:t>, Astorre</w:t>
      </w:r>
    </w:p>
  </w:footnote>
  <w:footnote w:id="84">
    <w:p w14:paraId="50A961B7" w14:textId="77777777" w:rsidR="008E0122" w:rsidRDefault="008E0122">
      <w:pPr>
        <w:pStyle w:val="Testonotaapidipagina"/>
      </w:pPr>
      <w:r>
        <w:rPr>
          <w:rStyle w:val="Rimandonotaapidipagina"/>
        </w:rPr>
        <w:footnoteRef/>
      </w:r>
      <w:r>
        <w:t xml:space="preserve"> 12.14 </w:t>
      </w:r>
      <w:r w:rsidRPr="00622F5A">
        <w:t>Manca, Fedeli, Astorre</w:t>
      </w:r>
    </w:p>
  </w:footnote>
  <w:footnote w:id="85">
    <w:p w14:paraId="0D1685A5" w14:textId="77777777" w:rsidR="008E0122" w:rsidRDefault="008E0122">
      <w:pPr>
        <w:pStyle w:val="Testonotaapidipagina"/>
      </w:pPr>
      <w:r>
        <w:rPr>
          <w:rStyle w:val="Rimandonotaapidipagina"/>
        </w:rPr>
        <w:footnoteRef/>
      </w:r>
      <w:r>
        <w:t xml:space="preserve"> 12.20 </w:t>
      </w:r>
      <w:r w:rsidRPr="00622F5A">
        <w:t xml:space="preserve">Candiani, Simone Bossi, </w:t>
      </w:r>
      <w:proofErr w:type="spellStart"/>
      <w:r w:rsidRPr="00622F5A">
        <w:t>Casolati</w:t>
      </w:r>
      <w:proofErr w:type="spellEnd"/>
      <w:r w:rsidRPr="00622F5A">
        <w:t>, Tosato</w:t>
      </w:r>
    </w:p>
  </w:footnote>
  <w:footnote w:id="86">
    <w:p w14:paraId="3411CE74" w14:textId="77777777" w:rsidR="008E0122" w:rsidRDefault="008E0122">
      <w:pPr>
        <w:pStyle w:val="Testonotaapidipagina"/>
      </w:pPr>
      <w:r>
        <w:rPr>
          <w:rStyle w:val="Rimandonotaapidipagina"/>
        </w:rPr>
        <w:footnoteRef/>
      </w:r>
      <w:r>
        <w:t xml:space="preserve"> 12.21 </w:t>
      </w:r>
      <w:proofErr w:type="spellStart"/>
      <w:r w:rsidRPr="00622F5A">
        <w:t>Durnwalder</w:t>
      </w:r>
      <w:proofErr w:type="spellEnd"/>
      <w:r w:rsidRPr="00622F5A">
        <w:t xml:space="preserve">, </w:t>
      </w:r>
      <w:proofErr w:type="spellStart"/>
      <w:r w:rsidRPr="00622F5A">
        <w:t>Steger</w:t>
      </w:r>
      <w:proofErr w:type="spellEnd"/>
      <w:r w:rsidRPr="00622F5A">
        <w:t xml:space="preserve">, </w:t>
      </w:r>
      <w:proofErr w:type="spellStart"/>
      <w:r w:rsidRPr="00622F5A">
        <w:t>Unterberger</w:t>
      </w:r>
      <w:proofErr w:type="spellEnd"/>
      <w:r w:rsidRPr="00622F5A">
        <w:t xml:space="preserve">, </w:t>
      </w:r>
      <w:proofErr w:type="spellStart"/>
      <w:r w:rsidRPr="00622F5A">
        <w:t>Laniece</w:t>
      </w:r>
      <w:proofErr w:type="spellEnd"/>
    </w:p>
  </w:footnote>
  <w:footnote w:id="87">
    <w:p w14:paraId="2A2A04DE" w14:textId="77777777" w:rsidR="008E0122" w:rsidRPr="00683687" w:rsidRDefault="008E0122" w:rsidP="0050083B">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14.8 (testo 4)</w:t>
      </w:r>
      <w:r w:rsidRPr="00683687">
        <w:rPr>
          <w:color w:val="000000" w:themeColor="text1"/>
        </w:rPr>
        <w:t xml:space="preserve"> </w:t>
      </w:r>
      <w:r w:rsidRPr="00683687">
        <w:rPr>
          <w:rFonts w:asciiTheme="minorHAnsi" w:hAnsiTheme="minorHAnsi"/>
          <w:color w:val="000000" w:themeColor="text1"/>
        </w:rPr>
        <w:t xml:space="preserve">Simone Bossi, Candiani, </w:t>
      </w:r>
      <w:proofErr w:type="spellStart"/>
      <w:r w:rsidRPr="00683687">
        <w:rPr>
          <w:rFonts w:asciiTheme="minorHAnsi" w:hAnsiTheme="minorHAnsi"/>
          <w:color w:val="000000" w:themeColor="text1"/>
        </w:rPr>
        <w:t>Casolati</w:t>
      </w:r>
      <w:proofErr w:type="spellEnd"/>
      <w:r w:rsidRPr="00683687">
        <w:rPr>
          <w:rFonts w:asciiTheme="minorHAnsi" w:hAnsiTheme="minorHAnsi"/>
          <w:color w:val="000000" w:themeColor="text1"/>
        </w:rPr>
        <w:t>, Tosato</w:t>
      </w:r>
    </w:p>
    <w:p w14:paraId="2909927D" w14:textId="77777777" w:rsidR="008E0122" w:rsidRDefault="008E0122">
      <w:pPr>
        <w:pStyle w:val="Testonotaapidipagina"/>
      </w:pPr>
    </w:p>
  </w:footnote>
  <w:footnote w:id="88">
    <w:p w14:paraId="6F459714" w14:textId="77777777" w:rsidR="008E0122" w:rsidRDefault="008E0122">
      <w:pPr>
        <w:pStyle w:val="Testonotaapidipagina"/>
      </w:pPr>
      <w:r>
        <w:rPr>
          <w:rStyle w:val="Rimandonotaapidipagina"/>
        </w:rPr>
        <w:footnoteRef/>
      </w:r>
      <w:r>
        <w:t xml:space="preserve"> 14.9 </w:t>
      </w:r>
      <w:proofErr w:type="spellStart"/>
      <w:r w:rsidRPr="00622F5A">
        <w:t>Lorefice</w:t>
      </w:r>
      <w:proofErr w:type="spellEnd"/>
      <w:r w:rsidRPr="00622F5A">
        <w:t>, Giannuzzi, Botto, Gaudiano, Licheri, Ricciardi, Toninelli</w:t>
      </w:r>
    </w:p>
  </w:footnote>
  <w:footnote w:id="89">
    <w:p w14:paraId="5BC1DA04" w14:textId="77777777" w:rsidR="008E0122" w:rsidRDefault="008E0122">
      <w:pPr>
        <w:pStyle w:val="Testonotaapidipagina"/>
      </w:pPr>
      <w:r>
        <w:rPr>
          <w:rStyle w:val="Rimandonotaapidipagina"/>
        </w:rPr>
        <w:footnoteRef/>
      </w:r>
      <w:r>
        <w:t xml:space="preserve"> 14.15 (testo 2) </w:t>
      </w:r>
      <w:r w:rsidRPr="00622F5A">
        <w:t>Rizzotti, Masini</w:t>
      </w:r>
    </w:p>
  </w:footnote>
  <w:footnote w:id="90">
    <w:p w14:paraId="36D5C01E" w14:textId="77777777" w:rsidR="008E0122" w:rsidRDefault="008E0122" w:rsidP="00622F5A">
      <w:pPr>
        <w:pStyle w:val="Testonotaapidipagina"/>
      </w:pPr>
      <w:r>
        <w:rPr>
          <w:rStyle w:val="Rimandonotaapidipagina"/>
        </w:rPr>
        <w:footnoteRef/>
      </w:r>
      <w:r>
        <w:t xml:space="preserve"> 14.17 </w:t>
      </w:r>
      <w:proofErr w:type="spellStart"/>
      <w:r>
        <w:t>Giammanco</w:t>
      </w:r>
      <w:proofErr w:type="spellEnd"/>
      <w:r>
        <w:t>, De Petris, Masini</w:t>
      </w:r>
    </w:p>
  </w:footnote>
  <w:footnote w:id="91">
    <w:p w14:paraId="4138119F" w14:textId="77777777" w:rsidR="008E0122" w:rsidRDefault="008E0122">
      <w:pPr>
        <w:pStyle w:val="Testonotaapidipagina"/>
      </w:pPr>
      <w:r>
        <w:rPr>
          <w:rStyle w:val="Rimandonotaapidipagina"/>
        </w:rPr>
        <w:footnoteRef/>
      </w:r>
      <w:r>
        <w:t xml:space="preserve"> 14.19 </w:t>
      </w:r>
      <w:proofErr w:type="spellStart"/>
      <w:r w:rsidRPr="008F0156">
        <w:t>Giammanco</w:t>
      </w:r>
      <w:proofErr w:type="spellEnd"/>
      <w:r w:rsidRPr="008F0156">
        <w:t>, De Petris, Masini</w:t>
      </w:r>
    </w:p>
  </w:footnote>
  <w:footnote w:id="92">
    <w:p w14:paraId="1F08C89F" w14:textId="77777777" w:rsidR="008E0122" w:rsidRDefault="008E0122">
      <w:pPr>
        <w:pStyle w:val="Testonotaapidipagina"/>
      </w:pPr>
      <w:r>
        <w:rPr>
          <w:rStyle w:val="Rimandonotaapidipagina"/>
        </w:rPr>
        <w:footnoteRef/>
      </w:r>
      <w:r>
        <w:t xml:space="preserve"> 14.18 </w:t>
      </w:r>
      <w:r w:rsidRPr="00622F5A">
        <w:t>Taricco, Biti, Fedeli, Nannicini</w:t>
      </w:r>
    </w:p>
  </w:footnote>
  <w:footnote w:id="93">
    <w:p w14:paraId="2F0536A8" w14:textId="77777777" w:rsidR="008E0122" w:rsidRDefault="008E0122">
      <w:pPr>
        <w:pStyle w:val="Testonotaapidipagina"/>
      </w:pPr>
      <w:r>
        <w:rPr>
          <w:rStyle w:val="Rimandonotaapidipagina"/>
        </w:rPr>
        <w:footnoteRef/>
      </w:r>
      <w:r>
        <w:t xml:space="preserve"> 15.1 Il Relatore</w:t>
      </w:r>
    </w:p>
  </w:footnote>
  <w:footnote w:id="94">
    <w:p w14:paraId="760E9C07" w14:textId="77777777" w:rsidR="008E0122" w:rsidRDefault="008E0122">
      <w:pPr>
        <w:pStyle w:val="Testonotaapidipagina"/>
      </w:pPr>
      <w:r>
        <w:rPr>
          <w:rStyle w:val="Rimandonotaapidipagina"/>
        </w:rPr>
        <w:footnoteRef/>
      </w:r>
      <w:r>
        <w:t xml:space="preserve"> 15.1 Il Relatore</w:t>
      </w:r>
    </w:p>
  </w:footnote>
  <w:footnote w:id="95">
    <w:p w14:paraId="29849FF2" w14:textId="77777777" w:rsidR="008E0122" w:rsidRDefault="008E0122">
      <w:pPr>
        <w:pStyle w:val="Testonotaapidipagina"/>
      </w:pPr>
      <w:r>
        <w:rPr>
          <w:rStyle w:val="Rimandonotaapidipagina"/>
        </w:rPr>
        <w:footnoteRef/>
      </w:r>
      <w:r>
        <w:t xml:space="preserve"> 15.1 Il Relatore</w:t>
      </w:r>
    </w:p>
  </w:footnote>
  <w:footnote w:id="96">
    <w:p w14:paraId="5FF8D3DD" w14:textId="77777777" w:rsidR="008E0122" w:rsidRDefault="008E0122">
      <w:pPr>
        <w:pStyle w:val="Testonotaapidipagina"/>
      </w:pPr>
      <w:r>
        <w:rPr>
          <w:rStyle w:val="Rimandonotaapidipagina"/>
        </w:rPr>
        <w:footnoteRef/>
      </w:r>
      <w:r>
        <w:t xml:space="preserve"> 15,4 Il Relatore</w:t>
      </w:r>
    </w:p>
  </w:footnote>
  <w:footnote w:id="97">
    <w:p w14:paraId="67E4B407" w14:textId="77777777" w:rsidR="008E0122" w:rsidRDefault="008E0122">
      <w:pPr>
        <w:pStyle w:val="Testonotaapidipagina"/>
      </w:pPr>
      <w:r>
        <w:rPr>
          <w:rStyle w:val="Rimandonotaapidipagina"/>
        </w:rPr>
        <w:footnoteRef/>
      </w:r>
      <w:r>
        <w:t xml:space="preserve"> 15.6 Il Relatore</w:t>
      </w:r>
    </w:p>
  </w:footnote>
  <w:footnote w:id="98">
    <w:p w14:paraId="4BDB5C37" w14:textId="77777777" w:rsidR="008E0122" w:rsidRDefault="008E0122">
      <w:pPr>
        <w:pStyle w:val="Testonotaapidipagina"/>
      </w:pPr>
      <w:r>
        <w:rPr>
          <w:rStyle w:val="Rimandonotaapidipagina"/>
        </w:rPr>
        <w:footnoteRef/>
      </w:r>
      <w:r>
        <w:t xml:space="preserve"> 15.9 (testo 2) </w:t>
      </w:r>
      <w:r w:rsidRPr="00EC58EB">
        <w:t xml:space="preserve">Angrisani, </w:t>
      </w:r>
      <w:proofErr w:type="spellStart"/>
      <w:r w:rsidRPr="00EC58EB">
        <w:t>Lorefice</w:t>
      </w:r>
      <w:proofErr w:type="spellEnd"/>
      <w:r w:rsidRPr="00EC58EB">
        <w:t>, Botto, Gaudiano, Giannuzzi, Licheri, Ricciardi, Toninelli</w:t>
      </w:r>
      <w:r>
        <w:t xml:space="preserve">; 15.10 (testo 2) </w:t>
      </w:r>
      <w:r w:rsidRPr="00EC58EB">
        <w:t>Collina, Fedeli, Nannicini</w:t>
      </w:r>
      <w:r>
        <w:t xml:space="preserve">; 15.8 </w:t>
      </w:r>
      <w:proofErr w:type="spellStart"/>
      <w:r w:rsidRPr="00EC58EB">
        <w:t>Giammanco</w:t>
      </w:r>
      <w:proofErr w:type="spellEnd"/>
      <w:r w:rsidRPr="00EC58EB">
        <w:t>, Masini</w:t>
      </w:r>
    </w:p>
  </w:footnote>
  <w:footnote w:id="99">
    <w:p w14:paraId="396D847F" w14:textId="77777777" w:rsidR="004F163D" w:rsidRPr="00800FDC" w:rsidRDefault="004F163D" w:rsidP="004F163D">
      <w:pPr>
        <w:jc w:val="both"/>
        <w:rPr>
          <w:color w:val="000000" w:themeColor="text1"/>
        </w:rPr>
      </w:pPr>
      <w:r>
        <w:rPr>
          <w:rStyle w:val="Rimandonotaapidipagina"/>
        </w:rPr>
        <w:footnoteRef/>
      </w:r>
      <w:r>
        <w:t xml:space="preserve"> </w:t>
      </w:r>
      <w:r w:rsidRPr="00800FDC">
        <w:rPr>
          <w:color w:val="000000" w:themeColor="text1"/>
        </w:rPr>
        <w:t>15.12 (testo 2) Fedeli, Manca</w:t>
      </w:r>
    </w:p>
    <w:p w14:paraId="3980BFCC" w14:textId="77777777" w:rsidR="004F163D" w:rsidRDefault="004F163D">
      <w:pPr>
        <w:pStyle w:val="Testonotaapidipagina"/>
      </w:pPr>
    </w:p>
  </w:footnote>
  <w:footnote w:id="100">
    <w:p w14:paraId="1B4ACFC6" w14:textId="77777777" w:rsidR="008E0122" w:rsidRDefault="008E0122">
      <w:pPr>
        <w:pStyle w:val="Testonotaapidipagina"/>
      </w:pPr>
      <w:r>
        <w:rPr>
          <w:rStyle w:val="Rimandonotaapidipagina"/>
        </w:rPr>
        <w:footnoteRef/>
      </w:r>
      <w:r>
        <w:t xml:space="preserve"> 17.1 (testo 2) </w:t>
      </w:r>
      <w:r w:rsidRPr="00200CEE">
        <w:t>D'Alfonso, Manca, Fedeli, Nannicini</w:t>
      </w:r>
    </w:p>
  </w:footnote>
  <w:footnote w:id="101">
    <w:p w14:paraId="2011B087" w14:textId="77777777" w:rsidR="008E0122" w:rsidRDefault="008E0122">
      <w:pPr>
        <w:pStyle w:val="Testonotaapidipagina"/>
      </w:pPr>
      <w:r>
        <w:rPr>
          <w:rStyle w:val="Rimandonotaapidipagina"/>
        </w:rPr>
        <w:footnoteRef/>
      </w:r>
      <w:r>
        <w:t xml:space="preserve"> 19.1 </w:t>
      </w:r>
      <w:r w:rsidRPr="00200CEE">
        <w:t xml:space="preserve">Girotto, Anastasi, </w:t>
      </w:r>
      <w:proofErr w:type="spellStart"/>
      <w:r w:rsidRPr="00200CEE">
        <w:t>Lorefice</w:t>
      </w:r>
      <w:proofErr w:type="spellEnd"/>
      <w:r w:rsidRPr="00200CEE">
        <w:t>, Botto, Gaudiano, Giannuzzi, Licheri, Ricciardi, Toninelli</w:t>
      </w:r>
    </w:p>
  </w:footnote>
  <w:footnote w:id="102">
    <w:p w14:paraId="61ADFD76" w14:textId="77777777" w:rsidR="008E0122" w:rsidRDefault="008E0122">
      <w:pPr>
        <w:pStyle w:val="Testonotaapidipagina"/>
      </w:pPr>
      <w:r>
        <w:rPr>
          <w:rStyle w:val="Rimandonotaapidipagina"/>
        </w:rPr>
        <w:footnoteRef/>
      </w:r>
      <w:r>
        <w:t xml:space="preserve"> 19.2 </w:t>
      </w:r>
      <w:r w:rsidRPr="00200CEE">
        <w:t>Fedeli, Manca, Nannicini</w:t>
      </w:r>
    </w:p>
  </w:footnote>
  <w:footnote w:id="103">
    <w:p w14:paraId="6AE19093" w14:textId="77777777" w:rsidR="008E0122" w:rsidRDefault="008E0122">
      <w:pPr>
        <w:pStyle w:val="Testonotaapidipagina"/>
      </w:pPr>
      <w:r>
        <w:rPr>
          <w:rStyle w:val="Rimandonotaapidipagina"/>
        </w:rPr>
        <w:footnoteRef/>
      </w:r>
      <w:r>
        <w:t xml:space="preserve"> 19.3 </w:t>
      </w:r>
      <w:r w:rsidRPr="00200CEE">
        <w:t>Fedeli, Manca, Nannicini</w:t>
      </w:r>
    </w:p>
  </w:footnote>
  <w:footnote w:id="104">
    <w:p w14:paraId="6A744924" w14:textId="77777777" w:rsidR="008E0122" w:rsidRDefault="008E0122">
      <w:pPr>
        <w:pStyle w:val="Testonotaapidipagina"/>
      </w:pPr>
      <w:r>
        <w:rPr>
          <w:rStyle w:val="Rimandonotaapidipagina"/>
        </w:rPr>
        <w:footnoteRef/>
      </w:r>
      <w:r>
        <w:t xml:space="preserve"> 20.2 </w:t>
      </w:r>
      <w:r w:rsidRPr="00200CEE">
        <w:t>D'Alfonso, Fedeli, Nannicini</w:t>
      </w:r>
    </w:p>
  </w:footnote>
  <w:footnote w:id="105">
    <w:p w14:paraId="0A26E018" w14:textId="77777777" w:rsidR="008E0122" w:rsidRPr="00FC07A5" w:rsidRDefault="008E0122" w:rsidP="00A410E7">
      <w:pPr>
        <w:jc w:val="both"/>
        <w:rPr>
          <w:color w:val="000000" w:themeColor="text1"/>
        </w:rPr>
      </w:pPr>
      <w:r>
        <w:rPr>
          <w:rStyle w:val="Rimandonotaapidipagina"/>
        </w:rPr>
        <w:footnoteRef/>
      </w:r>
      <w:r>
        <w:t xml:space="preserve"> </w:t>
      </w:r>
      <w:r w:rsidRPr="00FC07A5">
        <w:rPr>
          <w:color w:val="000000" w:themeColor="text1"/>
        </w:rPr>
        <w:t xml:space="preserve">20.0.8 (testo 2) </w:t>
      </w:r>
      <w:proofErr w:type="spellStart"/>
      <w:r w:rsidRPr="00FC07A5">
        <w:rPr>
          <w:color w:val="000000" w:themeColor="text1"/>
        </w:rPr>
        <w:t>Lorefice</w:t>
      </w:r>
      <w:proofErr w:type="spellEnd"/>
      <w:r w:rsidRPr="00FC07A5">
        <w:rPr>
          <w:color w:val="000000" w:themeColor="text1"/>
        </w:rPr>
        <w:t>, Giannuzzi, Botto, Gaudiano, Licheri, Ricciardi</w:t>
      </w:r>
    </w:p>
    <w:p w14:paraId="106FAF6B" w14:textId="77777777" w:rsidR="008E0122" w:rsidRDefault="008E0122">
      <w:pPr>
        <w:pStyle w:val="Testonotaapidipagina"/>
      </w:pPr>
    </w:p>
  </w:footnote>
  <w:footnote w:id="106">
    <w:p w14:paraId="27A96647" w14:textId="77777777" w:rsidR="008E0122" w:rsidRPr="009E33E6" w:rsidRDefault="008E0122" w:rsidP="003B6094">
      <w:pPr>
        <w:jc w:val="both"/>
        <w:rPr>
          <w:rFonts w:asciiTheme="minorHAnsi" w:hAnsiTheme="minorHAnsi"/>
          <w:color w:val="000000" w:themeColor="text1"/>
        </w:rPr>
      </w:pPr>
      <w:r>
        <w:rPr>
          <w:rStyle w:val="Rimandonotaapidipagina"/>
        </w:rPr>
        <w:footnoteRef/>
      </w:r>
      <w:r>
        <w:t xml:space="preserve"> </w:t>
      </w:r>
      <w:r w:rsidRPr="009E33E6">
        <w:rPr>
          <w:rFonts w:asciiTheme="minorHAnsi" w:hAnsiTheme="minorHAnsi"/>
          <w:color w:val="000000" w:themeColor="text1"/>
        </w:rPr>
        <w:t>20.0.14 (testo 2)</w:t>
      </w:r>
      <w:r w:rsidRPr="009E33E6">
        <w:rPr>
          <w:color w:val="000000" w:themeColor="text1"/>
        </w:rPr>
        <w:t xml:space="preserve"> </w:t>
      </w:r>
      <w:r w:rsidRPr="009E33E6">
        <w:rPr>
          <w:rFonts w:asciiTheme="minorHAnsi" w:hAnsiTheme="minorHAnsi"/>
          <w:color w:val="000000" w:themeColor="text1"/>
        </w:rPr>
        <w:t xml:space="preserve">Floridia, L'Abbate, Pavanelli, La Mura, </w:t>
      </w:r>
      <w:proofErr w:type="spellStart"/>
      <w:r w:rsidRPr="009E33E6">
        <w:rPr>
          <w:rFonts w:asciiTheme="minorHAnsi" w:hAnsiTheme="minorHAnsi"/>
          <w:color w:val="000000" w:themeColor="text1"/>
        </w:rPr>
        <w:t>Moronese</w:t>
      </w:r>
      <w:proofErr w:type="spellEnd"/>
      <w:r w:rsidRPr="009E33E6">
        <w:rPr>
          <w:rFonts w:asciiTheme="minorHAnsi" w:hAnsiTheme="minorHAnsi"/>
          <w:color w:val="000000" w:themeColor="text1"/>
        </w:rPr>
        <w:t xml:space="preserve">, Quarto, </w:t>
      </w:r>
      <w:proofErr w:type="spellStart"/>
      <w:r w:rsidRPr="009E33E6">
        <w:rPr>
          <w:rFonts w:asciiTheme="minorHAnsi" w:hAnsiTheme="minorHAnsi"/>
          <w:color w:val="000000" w:themeColor="text1"/>
        </w:rPr>
        <w:t>Lorefice</w:t>
      </w:r>
      <w:proofErr w:type="spellEnd"/>
      <w:r w:rsidRPr="009E33E6">
        <w:rPr>
          <w:rFonts w:asciiTheme="minorHAnsi" w:hAnsiTheme="minorHAnsi"/>
          <w:color w:val="000000" w:themeColor="text1"/>
        </w:rPr>
        <w:t>, Botto, Gaudiano, Giannuzzi, Licheri, Mollame, Toninelli</w:t>
      </w:r>
    </w:p>
    <w:p w14:paraId="28C5736F" w14:textId="77777777" w:rsidR="008E0122" w:rsidRDefault="008E0122">
      <w:pPr>
        <w:pStyle w:val="Testonotaapidipagina"/>
      </w:pPr>
    </w:p>
  </w:footnote>
  <w:footnote w:id="107">
    <w:p w14:paraId="39EA214C" w14:textId="77777777" w:rsidR="008E0122" w:rsidRPr="000D1215" w:rsidRDefault="008E0122" w:rsidP="007B65DD">
      <w:pPr>
        <w:jc w:val="both"/>
        <w:rPr>
          <w:color w:val="000000" w:themeColor="text1"/>
        </w:rPr>
      </w:pPr>
      <w:r>
        <w:rPr>
          <w:rStyle w:val="Rimandonotaapidipagina"/>
        </w:rPr>
        <w:footnoteRef/>
      </w:r>
      <w:r>
        <w:t xml:space="preserve"> </w:t>
      </w:r>
      <w:r w:rsidRPr="000D1215">
        <w:rPr>
          <w:color w:val="000000" w:themeColor="text1"/>
        </w:rPr>
        <w:t>20.0.36 D'Alfonso, Fedeli, Pittella, Candiani</w:t>
      </w:r>
    </w:p>
    <w:p w14:paraId="660C2E62" w14:textId="77777777" w:rsidR="008E0122" w:rsidRDefault="008E0122">
      <w:pPr>
        <w:pStyle w:val="Testonotaapidipagina"/>
      </w:pPr>
    </w:p>
  </w:footnote>
  <w:footnote w:id="108">
    <w:p w14:paraId="7C5C5444" w14:textId="77777777" w:rsidR="00D17DE3" w:rsidRPr="00800FDC" w:rsidRDefault="00D17DE3" w:rsidP="00D17DE3">
      <w:pPr>
        <w:jc w:val="both"/>
        <w:rPr>
          <w:color w:val="000000" w:themeColor="text1"/>
        </w:rPr>
      </w:pPr>
      <w:r>
        <w:rPr>
          <w:rStyle w:val="Rimandonotaapidipagina"/>
        </w:rPr>
        <w:footnoteRef/>
      </w:r>
      <w:r>
        <w:t xml:space="preserve"> </w:t>
      </w:r>
      <w:r w:rsidRPr="00800FDC">
        <w:rPr>
          <w:color w:val="000000" w:themeColor="text1"/>
        </w:rPr>
        <w:t>20.0.29 Ferrari, Fedeli, D'Alfonso</w:t>
      </w:r>
    </w:p>
    <w:p w14:paraId="7D19BFC4" w14:textId="77777777" w:rsidR="00D17DE3" w:rsidRDefault="00D17DE3">
      <w:pPr>
        <w:pStyle w:val="Testonotaapidipagina"/>
      </w:pPr>
    </w:p>
  </w:footnote>
  <w:footnote w:id="109">
    <w:p w14:paraId="5FDEC733" w14:textId="77777777" w:rsidR="008E0122" w:rsidRPr="000D1215" w:rsidRDefault="008E0122" w:rsidP="00081CED">
      <w:pPr>
        <w:jc w:val="both"/>
        <w:rPr>
          <w:color w:val="000000" w:themeColor="text1"/>
        </w:rPr>
      </w:pPr>
      <w:r>
        <w:rPr>
          <w:rStyle w:val="Rimandonotaapidipagina"/>
        </w:rPr>
        <w:footnoteRef/>
      </w:r>
      <w:r>
        <w:t xml:space="preserve"> </w:t>
      </w:r>
      <w:r w:rsidRPr="000D1215">
        <w:rPr>
          <w:color w:val="000000" w:themeColor="text1"/>
        </w:rPr>
        <w:t>20.0.37 (testo 3) D'Alfonso, Fedeli, Pittella</w:t>
      </w:r>
    </w:p>
    <w:p w14:paraId="008CD941" w14:textId="77777777" w:rsidR="008E0122" w:rsidRDefault="008E0122">
      <w:pPr>
        <w:pStyle w:val="Testonotaapidipagina"/>
      </w:pPr>
    </w:p>
  </w:footnote>
  <w:footnote w:id="110">
    <w:p w14:paraId="36775167" w14:textId="77777777" w:rsidR="008E0122" w:rsidRDefault="008E0122">
      <w:pPr>
        <w:pStyle w:val="Testonotaapidipagina"/>
      </w:pPr>
      <w:r>
        <w:rPr>
          <w:rStyle w:val="Rimandonotaapidipagina"/>
        </w:rPr>
        <w:footnoteRef/>
      </w:r>
      <w:r>
        <w:t xml:space="preserve"> </w:t>
      </w:r>
      <w:r w:rsidRPr="00665678">
        <w:rPr>
          <w:color w:val="000000" w:themeColor="text1"/>
        </w:rPr>
        <w:t>20.0.47 (testo 3) D'Alfonso, Fedeli, Pittella</w:t>
      </w:r>
    </w:p>
  </w:footnote>
  <w:footnote w:id="111">
    <w:p w14:paraId="1A7ABE81" w14:textId="77777777" w:rsidR="008E0122" w:rsidRPr="008A028B" w:rsidRDefault="008E0122" w:rsidP="0001790C">
      <w:pPr>
        <w:jc w:val="both"/>
        <w:rPr>
          <w:color w:val="000000" w:themeColor="text1"/>
        </w:rPr>
      </w:pPr>
      <w:r>
        <w:rPr>
          <w:rStyle w:val="Rimandonotaapidipagina"/>
        </w:rPr>
        <w:footnoteRef/>
      </w:r>
      <w:r>
        <w:t xml:space="preserve"> </w:t>
      </w:r>
      <w:r w:rsidRPr="008A028B">
        <w:rPr>
          <w:color w:val="000000" w:themeColor="text1"/>
        </w:rPr>
        <w:t xml:space="preserve">20.0.48 Angrisani, Botto, Gaudiano, Giannuzzi, Licheri, </w:t>
      </w:r>
      <w:proofErr w:type="spellStart"/>
      <w:r w:rsidRPr="008A028B">
        <w:rPr>
          <w:color w:val="000000" w:themeColor="text1"/>
        </w:rPr>
        <w:t>Lorefice</w:t>
      </w:r>
      <w:proofErr w:type="spellEnd"/>
      <w:r w:rsidRPr="008A028B">
        <w:rPr>
          <w:color w:val="000000" w:themeColor="text1"/>
        </w:rPr>
        <w:t>, Ricciardi</w:t>
      </w:r>
      <w:r>
        <w:rPr>
          <w:color w:val="000000" w:themeColor="text1"/>
        </w:rPr>
        <w:t xml:space="preserve">; </w:t>
      </w:r>
      <w:r w:rsidRPr="008A028B">
        <w:rPr>
          <w:color w:val="000000" w:themeColor="text1"/>
        </w:rPr>
        <w:t xml:space="preserve">20.0.49 Santangelo, Botto, Gaudiano, Giannuzzi, Licheri, </w:t>
      </w:r>
      <w:proofErr w:type="spellStart"/>
      <w:r w:rsidRPr="008A028B">
        <w:rPr>
          <w:color w:val="000000" w:themeColor="text1"/>
        </w:rPr>
        <w:t>Lorefice</w:t>
      </w:r>
      <w:proofErr w:type="spellEnd"/>
      <w:r w:rsidRPr="008A028B">
        <w:rPr>
          <w:color w:val="000000" w:themeColor="text1"/>
        </w:rPr>
        <w:t>, Ricciardi</w:t>
      </w:r>
    </w:p>
    <w:p w14:paraId="71EB10E2" w14:textId="77777777" w:rsidR="008E0122" w:rsidRDefault="008E0122">
      <w:pPr>
        <w:pStyle w:val="Testonotaapidipagina"/>
      </w:pPr>
    </w:p>
  </w:footnote>
  <w:footnote w:id="112">
    <w:p w14:paraId="61F3ACE1" w14:textId="77777777" w:rsidR="008E0122" w:rsidRPr="00683687" w:rsidRDefault="008E0122" w:rsidP="0074526D">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20.0.12 (testo 5)</w:t>
      </w:r>
      <w:r w:rsidRPr="00683687">
        <w:rPr>
          <w:color w:val="000000" w:themeColor="text1"/>
        </w:rPr>
        <w:t xml:space="preserve"> </w:t>
      </w:r>
      <w:r w:rsidRPr="00683687">
        <w:rPr>
          <w:rFonts w:asciiTheme="minorHAnsi" w:hAnsiTheme="minorHAnsi"/>
          <w:color w:val="000000" w:themeColor="text1"/>
        </w:rPr>
        <w:t xml:space="preserve">Ferrazzi, Fedeli, Floridia, L'Abbate, </w:t>
      </w:r>
      <w:proofErr w:type="spellStart"/>
      <w:r w:rsidRPr="00683687">
        <w:rPr>
          <w:rFonts w:asciiTheme="minorHAnsi" w:hAnsiTheme="minorHAnsi"/>
          <w:color w:val="000000" w:themeColor="text1"/>
        </w:rPr>
        <w:t>Lorefice</w:t>
      </w:r>
      <w:proofErr w:type="spellEnd"/>
      <w:r w:rsidRPr="00683687">
        <w:rPr>
          <w:rFonts w:asciiTheme="minorHAnsi" w:hAnsiTheme="minorHAnsi"/>
          <w:color w:val="000000" w:themeColor="text1"/>
        </w:rPr>
        <w:t>, Ricciardi</w:t>
      </w:r>
    </w:p>
    <w:p w14:paraId="5C3C1A77" w14:textId="77777777" w:rsidR="008E0122" w:rsidRDefault="008E0122">
      <w:pPr>
        <w:pStyle w:val="Testonotaapidipagina"/>
      </w:pPr>
    </w:p>
  </w:footnote>
  <w:footnote w:id="113">
    <w:p w14:paraId="08D02232" w14:textId="77777777" w:rsidR="008E0122" w:rsidRPr="00683687" w:rsidRDefault="008E0122" w:rsidP="0015730E">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20.0.25 (testo 2)</w:t>
      </w:r>
      <w:r w:rsidRPr="00683687">
        <w:rPr>
          <w:color w:val="000000" w:themeColor="text1"/>
        </w:rPr>
        <w:t xml:space="preserve"> </w:t>
      </w:r>
      <w:r w:rsidRPr="00683687">
        <w:rPr>
          <w:rFonts w:asciiTheme="minorHAnsi" w:hAnsiTheme="minorHAnsi"/>
          <w:color w:val="000000" w:themeColor="text1"/>
        </w:rPr>
        <w:t>D'Alfonso, Fedeli, Pittella</w:t>
      </w:r>
    </w:p>
    <w:p w14:paraId="33BC9F46" w14:textId="77777777" w:rsidR="008E0122" w:rsidRDefault="008E0122">
      <w:pPr>
        <w:pStyle w:val="Testonotaapidipagina"/>
      </w:pPr>
    </w:p>
  </w:footnote>
  <w:footnote w:id="114">
    <w:p w14:paraId="6637025D" w14:textId="77777777" w:rsidR="008E0122" w:rsidRDefault="008E0122">
      <w:pPr>
        <w:pStyle w:val="Testonotaapidipagina"/>
      </w:pPr>
      <w:r>
        <w:rPr>
          <w:rStyle w:val="Rimandonotaapidipagina"/>
        </w:rPr>
        <w:footnoteRef/>
      </w:r>
      <w:r>
        <w:t xml:space="preserve"> 20.0.2 (testo 2) </w:t>
      </w:r>
      <w:proofErr w:type="spellStart"/>
      <w:r w:rsidRPr="00200CEE">
        <w:t>Lorefice</w:t>
      </w:r>
      <w:proofErr w:type="spellEnd"/>
      <w:r w:rsidRPr="00200CEE">
        <w:t xml:space="preserve">, Giannuzzi, </w:t>
      </w:r>
      <w:proofErr w:type="spellStart"/>
      <w:r w:rsidRPr="00200CEE">
        <w:t>Giammanco</w:t>
      </w:r>
      <w:proofErr w:type="spellEnd"/>
      <w:r w:rsidRPr="00200CEE">
        <w:t>, Candiani, Botto, Gaudiano, Licheri, Ricciardi, Toninelli, Masini</w:t>
      </w:r>
    </w:p>
  </w:footnote>
  <w:footnote w:id="115">
    <w:p w14:paraId="6762A3FE" w14:textId="77777777" w:rsidR="008E0122" w:rsidRDefault="008E0122">
      <w:pPr>
        <w:pStyle w:val="Testonotaapidipagina"/>
      </w:pPr>
      <w:r>
        <w:rPr>
          <w:rStyle w:val="Rimandonotaapidipagina"/>
        </w:rPr>
        <w:footnoteRef/>
      </w:r>
      <w:r>
        <w:t xml:space="preserve"> 1.2 Il Relatore</w:t>
      </w:r>
    </w:p>
  </w:footnote>
  <w:footnote w:id="116">
    <w:p w14:paraId="4E3A2AED" w14:textId="77777777" w:rsidR="008E0122" w:rsidRDefault="008E0122">
      <w:pPr>
        <w:pStyle w:val="Testonotaapidipagina"/>
      </w:pPr>
      <w:r>
        <w:rPr>
          <w:rStyle w:val="Rimandonotaapidipagina"/>
        </w:rPr>
        <w:footnoteRef/>
      </w:r>
      <w:r>
        <w:t xml:space="preserve"> 1.3 D’Alfonso, Manca, Fedeli</w:t>
      </w:r>
    </w:p>
  </w:footnote>
  <w:footnote w:id="117">
    <w:p w14:paraId="288DB644" w14:textId="77777777" w:rsidR="008E0122" w:rsidRDefault="008E0122">
      <w:pPr>
        <w:pStyle w:val="Testonotaapidipagina"/>
      </w:pPr>
      <w:r>
        <w:rPr>
          <w:rStyle w:val="Rimandonotaapidipagina"/>
        </w:rPr>
        <w:footnoteRef/>
      </w:r>
      <w:r>
        <w:t xml:space="preserve"> 1.4 D’Alfonso, Manca, Fedeli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46599" w14:textId="2A28A72E" w:rsidR="008E0122" w:rsidRDefault="008E0122"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376D" w14:textId="2D032712" w:rsidR="008E0122" w:rsidRPr="00A82891" w:rsidRDefault="008E0122"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51C05" w14:textId="517254B6" w:rsidR="008E0122" w:rsidRDefault="008E0122"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92B"/>
    <w:rsid w:val="00007452"/>
    <w:rsid w:val="00011639"/>
    <w:rsid w:val="00012BB5"/>
    <w:rsid w:val="0001354D"/>
    <w:rsid w:val="0001412B"/>
    <w:rsid w:val="00014F29"/>
    <w:rsid w:val="0001565E"/>
    <w:rsid w:val="00016031"/>
    <w:rsid w:val="0001790C"/>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5D85"/>
    <w:rsid w:val="00072C1B"/>
    <w:rsid w:val="00081CED"/>
    <w:rsid w:val="0009180C"/>
    <w:rsid w:val="00095FE5"/>
    <w:rsid w:val="000A078D"/>
    <w:rsid w:val="000A0A41"/>
    <w:rsid w:val="000A4D3D"/>
    <w:rsid w:val="000B4E72"/>
    <w:rsid w:val="000B5D07"/>
    <w:rsid w:val="000C3A15"/>
    <w:rsid w:val="000C45FD"/>
    <w:rsid w:val="000C5070"/>
    <w:rsid w:val="000C50F1"/>
    <w:rsid w:val="000C61B5"/>
    <w:rsid w:val="000D6B51"/>
    <w:rsid w:val="000D78D2"/>
    <w:rsid w:val="000E2A19"/>
    <w:rsid w:val="000E58CB"/>
    <w:rsid w:val="000F53CD"/>
    <w:rsid w:val="000F5D28"/>
    <w:rsid w:val="000F5ED8"/>
    <w:rsid w:val="000F7413"/>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533B3"/>
    <w:rsid w:val="0015538C"/>
    <w:rsid w:val="0015730E"/>
    <w:rsid w:val="00163604"/>
    <w:rsid w:val="001636BB"/>
    <w:rsid w:val="00164786"/>
    <w:rsid w:val="00165484"/>
    <w:rsid w:val="00166CB1"/>
    <w:rsid w:val="0017004E"/>
    <w:rsid w:val="00175EC9"/>
    <w:rsid w:val="0017723D"/>
    <w:rsid w:val="00182895"/>
    <w:rsid w:val="00183B02"/>
    <w:rsid w:val="00185E53"/>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0CEE"/>
    <w:rsid w:val="0020198A"/>
    <w:rsid w:val="00201A99"/>
    <w:rsid w:val="00201DD5"/>
    <w:rsid w:val="0020737D"/>
    <w:rsid w:val="0021022B"/>
    <w:rsid w:val="00213445"/>
    <w:rsid w:val="00215E69"/>
    <w:rsid w:val="00216079"/>
    <w:rsid w:val="00220748"/>
    <w:rsid w:val="0022078B"/>
    <w:rsid w:val="002240C5"/>
    <w:rsid w:val="002273FB"/>
    <w:rsid w:val="00227FEC"/>
    <w:rsid w:val="00234096"/>
    <w:rsid w:val="00236326"/>
    <w:rsid w:val="0024185D"/>
    <w:rsid w:val="0024213A"/>
    <w:rsid w:val="00245260"/>
    <w:rsid w:val="00246D60"/>
    <w:rsid w:val="00251FEF"/>
    <w:rsid w:val="002565F2"/>
    <w:rsid w:val="00257BDB"/>
    <w:rsid w:val="002620AF"/>
    <w:rsid w:val="00262F41"/>
    <w:rsid w:val="00264750"/>
    <w:rsid w:val="002739D4"/>
    <w:rsid w:val="00276E23"/>
    <w:rsid w:val="0028362B"/>
    <w:rsid w:val="00283714"/>
    <w:rsid w:val="00283BD7"/>
    <w:rsid w:val="002846E6"/>
    <w:rsid w:val="002857B8"/>
    <w:rsid w:val="0029104D"/>
    <w:rsid w:val="00294ADF"/>
    <w:rsid w:val="0029625E"/>
    <w:rsid w:val="002971FC"/>
    <w:rsid w:val="002A02BE"/>
    <w:rsid w:val="002A0A24"/>
    <w:rsid w:val="002B44C9"/>
    <w:rsid w:val="002B4832"/>
    <w:rsid w:val="002B4AB3"/>
    <w:rsid w:val="002C1B13"/>
    <w:rsid w:val="002C7E0D"/>
    <w:rsid w:val="002D243B"/>
    <w:rsid w:val="002D68BA"/>
    <w:rsid w:val="002D6ED1"/>
    <w:rsid w:val="002D7712"/>
    <w:rsid w:val="002D7720"/>
    <w:rsid w:val="002F07F7"/>
    <w:rsid w:val="002F18B4"/>
    <w:rsid w:val="002F1EE7"/>
    <w:rsid w:val="002F2BAA"/>
    <w:rsid w:val="002F779C"/>
    <w:rsid w:val="003029F3"/>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905DB"/>
    <w:rsid w:val="0039147F"/>
    <w:rsid w:val="00395798"/>
    <w:rsid w:val="003A2813"/>
    <w:rsid w:val="003A7318"/>
    <w:rsid w:val="003B1F9C"/>
    <w:rsid w:val="003B55CF"/>
    <w:rsid w:val="003B6094"/>
    <w:rsid w:val="003B618F"/>
    <w:rsid w:val="003C13CE"/>
    <w:rsid w:val="003C2822"/>
    <w:rsid w:val="003D1E5D"/>
    <w:rsid w:val="003D2A0B"/>
    <w:rsid w:val="003D492A"/>
    <w:rsid w:val="003D602D"/>
    <w:rsid w:val="003D6F56"/>
    <w:rsid w:val="003E19B6"/>
    <w:rsid w:val="003E6C3F"/>
    <w:rsid w:val="003F2553"/>
    <w:rsid w:val="003F3306"/>
    <w:rsid w:val="003F3E64"/>
    <w:rsid w:val="003F43DE"/>
    <w:rsid w:val="003F51F8"/>
    <w:rsid w:val="003F699C"/>
    <w:rsid w:val="004019F7"/>
    <w:rsid w:val="004033D2"/>
    <w:rsid w:val="004035C7"/>
    <w:rsid w:val="004041F4"/>
    <w:rsid w:val="00410BE0"/>
    <w:rsid w:val="00410C42"/>
    <w:rsid w:val="004123DB"/>
    <w:rsid w:val="0041357C"/>
    <w:rsid w:val="004162E1"/>
    <w:rsid w:val="004165E3"/>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2AE5"/>
    <w:rsid w:val="00465F1C"/>
    <w:rsid w:val="00473B76"/>
    <w:rsid w:val="004764A8"/>
    <w:rsid w:val="0048054C"/>
    <w:rsid w:val="00481C8C"/>
    <w:rsid w:val="004832BA"/>
    <w:rsid w:val="0048371F"/>
    <w:rsid w:val="004850A2"/>
    <w:rsid w:val="00485D5D"/>
    <w:rsid w:val="00487615"/>
    <w:rsid w:val="00496E31"/>
    <w:rsid w:val="00497358"/>
    <w:rsid w:val="00497BC7"/>
    <w:rsid w:val="004A4EDA"/>
    <w:rsid w:val="004A5847"/>
    <w:rsid w:val="004B288A"/>
    <w:rsid w:val="004B4327"/>
    <w:rsid w:val="004C16CF"/>
    <w:rsid w:val="004C7110"/>
    <w:rsid w:val="004C7ECF"/>
    <w:rsid w:val="004D04A9"/>
    <w:rsid w:val="004D07BE"/>
    <w:rsid w:val="004D0F93"/>
    <w:rsid w:val="004D533E"/>
    <w:rsid w:val="004D588C"/>
    <w:rsid w:val="004D72A3"/>
    <w:rsid w:val="004D7FDD"/>
    <w:rsid w:val="004E4696"/>
    <w:rsid w:val="004E56A0"/>
    <w:rsid w:val="004E6060"/>
    <w:rsid w:val="004F0EE3"/>
    <w:rsid w:val="004F163D"/>
    <w:rsid w:val="004F227F"/>
    <w:rsid w:val="004F3B9F"/>
    <w:rsid w:val="004F4075"/>
    <w:rsid w:val="004F5448"/>
    <w:rsid w:val="0050083B"/>
    <w:rsid w:val="0050205B"/>
    <w:rsid w:val="005028B7"/>
    <w:rsid w:val="00510FB9"/>
    <w:rsid w:val="005127BF"/>
    <w:rsid w:val="005155CB"/>
    <w:rsid w:val="00516E7D"/>
    <w:rsid w:val="005171AF"/>
    <w:rsid w:val="0052054E"/>
    <w:rsid w:val="00522252"/>
    <w:rsid w:val="00523A2C"/>
    <w:rsid w:val="00525326"/>
    <w:rsid w:val="00533418"/>
    <w:rsid w:val="005334F4"/>
    <w:rsid w:val="005345AF"/>
    <w:rsid w:val="00535DE3"/>
    <w:rsid w:val="0053600A"/>
    <w:rsid w:val="00536959"/>
    <w:rsid w:val="00537EE1"/>
    <w:rsid w:val="00541DE4"/>
    <w:rsid w:val="00541E41"/>
    <w:rsid w:val="0054239A"/>
    <w:rsid w:val="005455B5"/>
    <w:rsid w:val="00553F54"/>
    <w:rsid w:val="00557F8F"/>
    <w:rsid w:val="00564A0B"/>
    <w:rsid w:val="0056677D"/>
    <w:rsid w:val="005705AA"/>
    <w:rsid w:val="0057099F"/>
    <w:rsid w:val="005711BE"/>
    <w:rsid w:val="00571386"/>
    <w:rsid w:val="00572BE9"/>
    <w:rsid w:val="00572E04"/>
    <w:rsid w:val="0058489B"/>
    <w:rsid w:val="00590380"/>
    <w:rsid w:val="00592362"/>
    <w:rsid w:val="005926F7"/>
    <w:rsid w:val="005928D0"/>
    <w:rsid w:val="005934CD"/>
    <w:rsid w:val="00594BB4"/>
    <w:rsid w:val="005A0F9A"/>
    <w:rsid w:val="005A7736"/>
    <w:rsid w:val="005B18A9"/>
    <w:rsid w:val="005B3648"/>
    <w:rsid w:val="005B4354"/>
    <w:rsid w:val="005B4FD5"/>
    <w:rsid w:val="005C16F5"/>
    <w:rsid w:val="005C55A6"/>
    <w:rsid w:val="005C7C10"/>
    <w:rsid w:val="005D483F"/>
    <w:rsid w:val="005D50F5"/>
    <w:rsid w:val="005D520C"/>
    <w:rsid w:val="005D53A6"/>
    <w:rsid w:val="005E0892"/>
    <w:rsid w:val="005E472D"/>
    <w:rsid w:val="005E72C2"/>
    <w:rsid w:val="005F1255"/>
    <w:rsid w:val="005F1A2D"/>
    <w:rsid w:val="005F22B0"/>
    <w:rsid w:val="005F27F8"/>
    <w:rsid w:val="005F4267"/>
    <w:rsid w:val="005F741C"/>
    <w:rsid w:val="006054DE"/>
    <w:rsid w:val="00606053"/>
    <w:rsid w:val="0061002C"/>
    <w:rsid w:val="006173DE"/>
    <w:rsid w:val="0062159B"/>
    <w:rsid w:val="00622F5A"/>
    <w:rsid w:val="00623045"/>
    <w:rsid w:val="00623577"/>
    <w:rsid w:val="0062528E"/>
    <w:rsid w:val="006361BB"/>
    <w:rsid w:val="00636700"/>
    <w:rsid w:val="00640BDC"/>
    <w:rsid w:val="00643A2C"/>
    <w:rsid w:val="00644AD8"/>
    <w:rsid w:val="006508D0"/>
    <w:rsid w:val="006518C5"/>
    <w:rsid w:val="00652AF5"/>
    <w:rsid w:val="00653758"/>
    <w:rsid w:val="00653A9F"/>
    <w:rsid w:val="0065552E"/>
    <w:rsid w:val="0065699F"/>
    <w:rsid w:val="00656B6D"/>
    <w:rsid w:val="0066178A"/>
    <w:rsid w:val="00662854"/>
    <w:rsid w:val="00666366"/>
    <w:rsid w:val="00671FC2"/>
    <w:rsid w:val="00677E92"/>
    <w:rsid w:val="00682580"/>
    <w:rsid w:val="006839D6"/>
    <w:rsid w:val="0068767B"/>
    <w:rsid w:val="00690660"/>
    <w:rsid w:val="0069179E"/>
    <w:rsid w:val="00693D52"/>
    <w:rsid w:val="00695884"/>
    <w:rsid w:val="0069655C"/>
    <w:rsid w:val="006973EE"/>
    <w:rsid w:val="006A1DE0"/>
    <w:rsid w:val="006A579B"/>
    <w:rsid w:val="006A5C67"/>
    <w:rsid w:val="006A7CC3"/>
    <w:rsid w:val="006B110D"/>
    <w:rsid w:val="006B30B2"/>
    <w:rsid w:val="006B616A"/>
    <w:rsid w:val="006C4125"/>
    <w:rsid w:val="006C4C74"/>
    <w:rsid w:val="006D1C75"/>
    <w:rsid w:val="006D6DD1"/>
    <w:rsid w:val="006E2B63"/>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446D"/>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A1606"/>
    <w:rsid w:val="007A35B6"/>
    <w:rsid w:val="007A66FC"/>
    <w:rsid w:val="007B112D"/>
    <w:rsid w:val="007B16C8"/>
    <w:rsid w:val="007B1DB6"/>
    <w:rsid w:val="007B2AF0"/>
    <w:rsid w:val="007B3A12"/>
    <w:rsid w:val="007B5023"/>
    <w:rsid w:val="007B5275"/>
    <w:rsid w:val="007B65DD"/>
    <w:rsid w:val="007C3B1E"/>
    <w:rsid w:val="007C436B"/>
    <w:rsid w:val="007C573D"/>
    <w:rsid w:val="007C5D86"/>
    <w:rsid w:val="007C6467"/>
    <w:rsid w:val="007C70BC"/>
    <w:rsid w:val="007D14FF"/>
    <w:rsid w:val="007D36E1"/>
    <w:rsid w:val="007D6828"/>
    <w:rsid w:val="007D7409"/>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6AB0"/>
    <w:rsid w:val="007F755E"/>
    <w:rsid w:val="00800796"/>
    <w:rsid w:val="00800D74"/>
    <w:rsid w:val="008018CC"/>
    <w:rsid w:val="0080396B"/>
    <w:rsid w:val="00804187"/>
    <w:rsid w:val="0081046E"/>
    <w:rsid w:val="00814947"/>
    <w:rsid w:val="00814BD1"/>
    <w:rsid w:val="00816A2D"/>
    <w:rsid w:val="00821E66"/>
    <w:rsid w:val="00822FD9"/>
    <w:rsid w:val="008246C0"/>
    <w:rsid w:val="00830635"/>
    <w:rsid w:val="00836945"/>
    <w:rsid w:val="00841A50"/>
    <w:rsid w:val="0084772D"/>
    <w:rsid w:val="00854469"/>
    <w:rsid w:val="0086411D"/>
    <w:rsid w:val="00873812"/>
    <w:rsid w:val="0088040D"/>
    <w:rsid w:val="00881817"/>
    <w:rsid w:val="008819A9"/>
    <w:rsid w:val="008826E5"/>
    <w:rsid w:val="00882933"/>
    <w:rsid w:val="008857CB"/>
    <w:rsid w:val="00885EE4"/>
    <w:rsid w:val="0089166C"/>
    <w:rsid w:val="00891EE5"/>
    <w:rsid w:val="00892983"/>
    <w:rsid w:val="0089371A"/>
    <w:rsid w:val="00897768"/>
    <w:rsid w:val="008A08A2"/>
    <w:rsid w:val="008A15BB"/>
    <w:rsid w:val="008A7373"/>
    <w:rsid w:val="008B2177"/>
    <w:rsid w:val="008B2FFB"/>
    <w:rsid w:val="008B4FC2"/>
    <w:rsid w:val="008C18C2"/>
    <w:rsid w:val="008C1950"/>
    <w:rsid w:val="008C4C14"/>
    <w:rsid w:val="008C6A11"/>
    <w:rsid w:val="008D0E7A"/>
    <w:rsid w:val="008D18BC"/>
    <w:rsid w:val="008D24AE"/>
    <w:rsid w:val="008D3ABD"/>
    <w:rsid w:val="008D5A12"/>
    <w:rsid w:val="008E0122"/>
    <w:rsid w:val="008E2800"/>
    <w:rsid w:val="008E3353"/>
    <w:rsid w:val="008E3C4F"/>
    <w:rsid w:val="008E6485"/>
    <w:rsid w:val="008F0156"/>
    <w:rsid w:val="008F1B4E"/>
    <w:rsid w:val="008F586D"/>
    <w:rsid w:val="008F7901"/>
    <w:rsid w:val="00900942"/>
    <w:rsid w:val="00902675"/>
    <w:rsid w:val="00903114"/>
    <w:rsid w:val="00906464"/>
    <w:rsid w:val="00906668"/>
    <w:rsid w:val="00906D72"/>
    <w:rsid w:val="009154FE"/>
    <w:rsid w:val="0092229A"/>
    <w:rsid w:val="00924849"/>
    <w:rsid w:val="00930666"/>
    <w:rsid w:val="00931222"/>
    <w:rsid w:val="0093508D"/>
    <w:rsid w:val="009369D2"/>
    <w:rsid w:val="00936FBB"/>
    <w:rsid w:val="00937028"/>
    <w:rsid w:val="009413E8"/>
    <w:rsid w:val="009437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62ED"/>
    <w:rsid w:val="009968B3"/>
    <w:rsid w:val="009A377A"/>
    <w:rsid w:val="009A4340"/>
    <w:rsid w:val="009A74B2"/>
    <w:rsid w:val="009B23A9"/>
    <w:rsid w:val="009B53F9"/>
    <w:rsid w:val="009C53EF"/>
    <w:rsid w:val="009C570D"/>
    <w:rsid w:val="009D2A31"/>
    <w:rsid w:val="009E014F"/>
    <w:rsid w:val="009F006D"/>
    <w:rsid w:val="009F11A4"/>
    <w:rsid w:val="009F160C"/>
    <w:rsid w:val="009F26AF"/>
    <w:rsid w:val="009F3802"/>
    <w:rsid w:val="009F3C67"/>
    <w:rsid w:val="009F54CA"/>
    <w:rsid w:val="009F6350"/>
    <w:rsid w:val="00A00765"/>
    <w:rsid w:val="00A03B51"/>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481E"/>
    <w:rsid w:val="00A854AD"/>
    <w:rsid w:val="00A918F9"/>
    <w:rsid w:val="00A91E21"/>
    <w:rsid w:val="00A92EF0"/>
    <w:rsid w:val="00AA11AD"/>
    <w:rsid w:val="00AA120E"/>
    <w:rsid w:val="00AA127C"/>
    <w:rsid w:val="00AA5107"/>
    <w:rsid w:val="00AA706F"/>
    <w:rsid w:val="00AB2325"/>
    <w:rsid w:val="00AB6F71"/>
    <w:rsid w:val="00AC3A3B"/>
    <w:rsid w:val="00AD1B0C"/>
    <w:rsid w:val="00AD4292"/>
    <w:rsid w:val="00AD5AFD"/>
    <w:rsid w:val="00AE708D"/>
    <w:rsid w:val="00AF590A"/>
    <w:rsid w:val="00B0286F"/>
    <w:rsid w:val="00B04A5E"/>
    <w:rsid w:val="00B0631B"/>
    <w:rsid w:val="00B07423"/>
    <w:rsid w:val="00B13F9F"/>
    <w:rsid w:val="00B14E53"/>
    <w:rsid w:val="00B159D2"/>
    <w:rsid w:val="00B16393"/>
    <w:rsid w:val="00B20235"/>
    <w:rsid w:val="00B2344F"/>
    <w:rsid w:val="00B23C5F"/>
    <w:rsid w:val="00B2603D"/>
    <w:rsid w:val="00B26435"/>
    <w:rsid w:val="00B26C50"/>
    <w:rsid w:val="00B32CFF"/>
    <w:rsid w:val="00B32F3D"/>
    <w:rsid w:val="00B42702"/>
    <w:rsid w:val="00B42FCB"/>
    <w:rsid w:val="00B44950"/>
    <w:rsid w:val="00B4529F"/>
    <w:rsid w:val="00B45315"/>
    <w:rsid w:val="00B51638"/>
    <w:rsid w:val="00B520D6"/>
    <w:rsid w:val="00B5230B"/>
    <w:rsid w:val="00B52F6C"/>
    <w:rsid w:val="00B54B25"/>
    <w:rsid w:val="00B56801"/>
    <w:rsid w:val="00B56886"/>
    <w:rsid w:val="00B61054"/>
    <w:rsid w:val="00B62016"/>
    <w:rsid w:val="00B6344D"/>
    <w:rsid w:val="00B645F5"/>
    <w:rsid w:val="00B67116"/>
    <w:rsid w:val="00B67C39"/>
    <w:rsid w:val="00B71A33"/>
    <w:rsid w:val="00B76C9A"/>
    <w:rsid w:val="00B778D4"/>
    <w:rsid w:val="00B80E82"/>
    <w:rsid w:val="00B82448"/>
    <w:rsid w:val="00B82DA5"/>
    <w:rsid w:val="00B935CC"/>
    <w:rsid w:val="00B93B12"/>
    <w:rsid w:val="00B97B64"/>
    <w:rsid w:val="00BA0EF2"/>
    <w:rsid w:val="00BA3423"/>
    <w:rsid w:val="00BA3669"/>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C025B8"/>
    <w:rsid w:val="00C02901"/>
    <w:rsid w:val="00C051A0"/>
    <w:rsid w:val="00C0623F"/>
    <w:rsid w:val="00C06430"/>
    <w:rsid w:val="00C11BA4"/>
    <w:rsid w:val="00C14E8D"/>
    <w:rsid w:val="00C2005D"/>
    <w:rsid w:val="00C20DE6"/>
    <w:rsid w:val="00C2564D"/>
    <w:rsid w:val="00C31801"/>
    <w:rsid w:val="00C32577"/>
    <w:rsid w:val="00C4624D"/>
    <w:rsid w:val="00C500B3"/>
    <w:rsid w:val="00C5098D"/>
    <w:rsid w:val="00C50D23"/>
    <w:rsid w:val="00C50F7C"/>
    <w:rsid w:val="00C51C68"/>
    <w:rsid w:val="00C5243A"/>
    <w:rsid w:val="00C553DF"/>
    <w:rsid w:val="00C71E1B"/>
    <w:rsid w:val="00C730AC"/>
    <w:rsid w:val="00C76E5E"/>
    <w:rsid w:val="00C82114"/>
    <w:rsid w:val="00C86438"/>
    <w:rsid w:val="00C86C0D"/>
    <w:rsid w:val="00C87005"/>
    <w:rsid w:val="00C8754B"/>
    <w:rsid w:val="00C908BC"/>
    <w:rsid w:val="00C91B38"/>
    <w:rsid w:val="00C91B6A"/>
    <w:rsid w:val="00C9381B"/>
    <w:rsid w:val="00C973FC"/>
    <w:rsid w:val="00CA3C06"/>
    <w:rsid w:val="00CA6FB6"/>
    <w:rsid w:val="00CA7386"/>
    <w:rsid w:val="00CB0296"/>
    <w:rsid w:val="00CB2D1D"/>
    <w:rsid w:val="00CB3CA1"/>
    <w:rsid w:val="00CB401B"/>
    <w:rsid w:val="00CB5E62"/>
    <w:rsid w:val="00CB5F02"/>
    <w:rsid w:val="00CC3DC5"/>
    <w:rsid w:val="00CD386D"/>
    <w:rsid w:val="00CE0751"/>
    <w:rsid w:val="00CE0C9A"/>
    <w:rsid w:val="00CE264D"/>
    <w:rsid w:val="00CE692C"/>
    <w:rsid w:val="00CE7AE2"/>
    <w:rsid w:val="00CF3CDD"/>
    <w:rsid w:val="00CF5AF0"/>
    <w:rsid w:val="00CF5ED7"/>
    <w:rsid w:val="00CF781C"/>
    <w:rsid w:val="00CF78B9"/>
    <w:rsid w:val="00D015AC"/>
    <w:rsid w:val="00D025C8"/>
    <w:rsid w:val="00D039E3"/>
    <w:rsid w:val="00D03F5F"/>
    <w:rsid w:val="00D05683"/>
    <w:rsid w:val="00D13684"/>
    <w:rsid w:val="00D13A58"/>
    <w:rsid w:val="00D1684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41C2F"/>
    <w:rsid w:val="00D43152"/>
    <w:rsid w:val="00D455DA"/>
    <w:rsid w:val="00D52D9C"/>
    <w:rsid w:val="00D55161"/>
    <w:rsid w:val="00D62F5B"/>
    <w:rsid w:val="00D6531E"/>
    <w:rsid w:val="00D66E90"/>
    <w:rsid w:val="00D6709B"/>
    <w:rsid w:val="00D727AF"/>
    <w:rsid w:val="00D76A6D"/>
    <w:rsid w:val="00D80B36"/>
    <w:rsid w:val="00D83DA1"/>
    <w:rsid w:val="00D854D2"/>
    <w:rsid w:val="00D90935"/>
    <w:rsid w:val="00D90D1C"/>
    <w:rsid w:val="00D946FA"/>
    <w:rsid w:val="00DA1D50"/>
    <w:rsid w:val="00DB2AA9"/>
    <w:rsid w:val="00DB5538"/>
    <w:rsid w:val="00DC03D0"/>
    <w:rsid w:val="00DC0921"/>
    <w:rsid w:val="00DC19C1"/>
    <w:rsid w:val="00DC3B6D"/>
    <w:rsid w:val="00DC77AE"/>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D33"/>
    <w:rsid w:val="00E12DC7"/>
    <w:rsid w:val="00E149B5"/>
    <w:rsid w:val="00E15C6E"/>
    <w:rsid w:val="00E20887"/>
    <w:rsid w:val="00E24809"/>
    <w:rsid w:val="00E257C8"/>
    <w:rsid w:val="00E34094"/>
    <w:rsid w:val="00E37BEC"/>
    <w:rsid w:val="00E447A6"/>
    <w:rsid w:val="00E44F44"/>
    <w:rsid w:val="00E477A5"/>
    <w:rsid w:val="00E52027"/>
    <w:rsid w:val="00E52913"/>
    <w:rsid w:val="00E56837"/>
    <w:rsid w:val="00E56DC1"/>
    <w:rsid w:val="00E60703"/>
    <w:rsid w:val="00E76893"/>
    <w:rsid w:val="00E7709B"/>
    <w:rsid w:val="00E810E2"/>
    <w:rsid w:val="00E8364C"/>
    <w:rsid w:val="00E87237"/>
    <w:rsid w:val="00E874C7"/>
    <w:rsid w:val="00E94B93"/>
    <w:rsid w:val="00EA0661"/>
    <w:rsid w:val="00EA221E"/>
    <w:rsid w:val="00EA41FC"/>
    <w:rsid w:val="00EA7EA2"/>
    <w:rsid w:val="00EB45F6"/>
    <w:rsid w:val="00EB6C23"/>
    <w:rsid w:val="00EC0CF6"/>
    <w:rsid w:val="00EC1DCD"/>
    <w:rsid w:val="00EC58C7"/>
    <w:rsid w:val="00EC58EB"/>
    <w:rsid w:val="00ED0087"/>
    <w:rsid w:val="00ED2781"/>
    <w:rsid w:val="00ED3475"/>
    <w:rsid w:val="00EE1DD8"/>
    <w:rsid w:val="00EE3B84"/>
    <w:rsid w:val="00EE4D49"/>
    <w:rsid w:val="00EE5B75"/>
    <w:rsid w:val="00EE5D4B"/>
    <w:rsid w:val="00EE65BC"/>
    <w:rsid w:val="00EE7D35"/>
    <w:rsid w:val="00EF0D42"/>
    <w:rsid w:val="00EF1F89"/>
    <w:rsid w:val="00EF3D6D"/>
    <w:rsid w:val="00EF5680"/>
    <w:rsid w:val="00EF702D"/>
    <w:rsid w:val="00EF7DC4"/>
    <w:rsid w:val="00EF7E38"/>
    <w:rsid w:val="00F00276"/>
    <w:rsid w:val="00F009FD"/>
    <w:rsid w:val="00F00B1C"/>
    <w:rsid w:val="00F02DE5"/>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A37B7"/>
  <w15:docId w15:val="{B83F6EF8-9D48-4F4D-9210-6E44365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64AD2-822F-44BE-9C29-2585D980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21109</Words>
  <Characters>120324</Characters>
  <Application>Microsoft Office Word</Application>
  <DocSecurity>0</DocSecurity>
  <Lines>1002</Lines>
  <Paragraphs>282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3</cp:revision>
  <cp:lastPrinted>2019-01-08T11:23:00Z</cp:lastPrinted>
  <dcterms:created xsi:type="dcterms:W3CDTF">2020-09-10T11:42:00Z</dcterms:created>
  <dcterms:modified xsi:type="dcterms:W3CDTF">2020-09-10T11:47:00Z</dcterms:modified>
</cp:coreProperties>
</file>