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6BB9" w:rsidRPr="00793CC1" w:rsidRDefault="00F46BB9" w:rsidP="00793CC1">
      <w:pPr>
        <w:tabs>
          <w:tab w:val="left" w:pos="993"/>
        </w:tabs>
        <w:spacing w:after="140"/>
        <w:rPr>
          <w:rFonts w:asciiTheme="minorHAnsi" w:hAnsiTheme="minorHAnsi"/>
          <w:sz w:val="24"/>
          <w:szCs w:val="24"/>
        </w:rPr>
      </w:pPr>
    </w:p>
    <w:p w:rsidR="00F6661B" w:rsidRPr="00793CC1" w:rsidRDefault="002C1B13"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S. 1721</w:t>
      </w:r>
    </w:p>
    <w:p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CF781C" w:rsidRDefault="002C1B13" w:rsidP="002C1B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
          <w:bCs/>
          <w:color w:val="000000" w:themeColor="text1"/>
          <w:sz w:val="24"/>
          <w:szCs w:val="24"/>
          <w:u w:val="single"/>
        </w:rPr>
        <w:t>S. 1721</w:t>
      </w:r>
      <w:r w:rsidR="00C87005">
        <w:rPr>
          <w:rFonts w:asciiTheme="minorHAnsi" w:eastAsia="Times New Roman" w:hAnsiTheme="minorHAnsi" w:cs="Times New Roman"/>
          <w:bCs/>
          <w:i/>
          <w:color w:val="000000" w:themeColor="text1"/>
          <w:sz w:val="24"/>
          <w:szCs w:val="24"/>
        </w:rPr>
        <w:t xml:space="preserve"> </w:t>
      </w:r>
      <w:r w:rsidR="004A5847">
        <w:rPr>
          <w:rFonts w:asciiTheme="minorHAnsi" w:eastAsia="Times New Roman" w:hAnsiTheme="minorHAnsi" w:cs="Times New Roman"/>
          <w:bCs/>
          <w:i/>
          <w:color w:val="000000" w:themeColor="text1"/>
          <w:sz w:val="24"/>
          <w:szCs w:val="24"/>
        </w:rPr>
        <w:t>–</w:t>
      </w:r>
      <w:r w:rsidR="00C87005">
        <w:rPr>
          <w:rFonts w:asciiTheme="minorHAnsi" w:eastAsia="Times New Roman" w:hAnsiTheme="minorHAnsi" w:cs="Times New Roman"/>
          <w:bCs/>
          <w:i/>
          <w:color w:val="000000" w:themeColor="text1"/>
          <w:sz w:val="24"/>
          <w:szCs w:val="24"/>
        </w:rPr>
        <w:t xml:space="preserve"> </w:t>
      </w:r>
      <w:r w:rsidR="00CF781C">
        <w:rPr>
          <w:rFonts w:asciiTheme="minorHAnsi" w:eastAsia="Times New Roman" w:hAnsiTheme="minorHAnsi" w:cs="Times New Roman"/>
          <w:bCs/>
          <w:i/>
          <w:color w:val="000000" w:themeColor="text1"/>
          <w:sz w:val="24"/>
          <w:szCs w:val="24"/>
        </w:rPr>
        <w:t xml:space="preserve">Nelle giornate del 1° e 2 settembre 2020 la Commissione Politiche Ue del Senato ha proseguito l’esame in sede referente del provvedimento, approvando una serie di emendamenti e rinviando, infine, il </w:t>
      </w:r>
      <w:proofErr w:type="gramStart"/>
      <w:r w:rsidR="00CF781C">
        <w:rPr>
          <w:rFonts w:asciiTheme="minorHAnsi" w:eastAsia="Times New Roman" w:hAnsiTheme="minorHAnsi" w:cs="Times New Roman"/>
          <w:bCs/>
          <w:i/>
          <w:color w:val="000000" w:themeColor="text1"/>
          <w:sz w:val="24"/>
          <w:szCs w:val="24"/>
        </w:rPr>
        <w:t>prosieguo</w:t>
      </w:r>
      <w:proofErr w:type="gramEnd"/>
      <w:r w:rsidR="00CF781C">
        <w:rPr>
          <w:rFonts w:asciiTheme="minorHAnsi" w:eastAsia="Times New Roman" w:hAnsiTheme="minorHAnsi" w:cs="Times New Roman"/>
          <w:bCs/>
          <w:i/>
          <w:color w:val="000000" w:themeColor="text1"/>
          <w:sz w:val="24"/>
          <w:szCs w:val="24"/>
        </w:rPr>
        <w:t xml:space="preserve"> ad altra Seduta.</w:t>
      </w:r>
    </w:p>
    <w:p w:rsidR="00D346FB" w:rsidRDefault="00BA2952" w:rsidP="002C1B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Si riporta la</w:t>
      </w:r>
      <w:bookmarkStart w:id="0" w:name="_GoBack"/>
      <w:bookmarkEnd w:id="0"/>
      <w:r w:rsidR="004A5847">
        <w:rPr>
          <w:rFonts w:asciiTheme="minorHAnsi" w:eastAsia="Times New Roman" w:hAnsiTheme="minorHAnsi" w:cs="Times New Roman"/>
          <w:bCs/>
          <w:i/>
          <w:color w:val="000000" w:themeColor="text1"/>
          <w:sz w:val="24"/>
          <w:szCs w:val="24"/>
        </w:rPr>
        <w:t xml:space="preserve"> ricostruzione del </w:t>
      </w:r>
      <w:r w:rsidR="00CF781C">
        <w:rPr>
          <w:rFonts w:asciiTheme="minorHAnsi" w:eastAsia="Times New Roman" w:hAnsiTheme="minorHAnsi" w:cs="Times New Roman"/>
          <w:bCs/>
          <w:i/>
          <w:color w:val="000000" w:themeColor="text1"/>
          <w:sz w:val="24"/>
          <w:szCs w:val="24"/>
        </w:rPr>
        <w:t xml:space="preserve">ddl </w:t>
      </w:r>
      <w:proofErr w:type="gramStart"/>
      <w:r w:rsidR="00CF781C">
        <w:rPr>
          <w:rFonts w:asciiTheme="minorHAnsi" w:eastAsia="Times New Roman" w:hAnsiTheme="minorHAnsi" w:cs="Times New Roman"/>
          <w:bCs/>
          <w:i/>
          <w:color w:val="000000" w:themeColor="text1"/>
          <w:sz w:val="24"/>
          <w:szCs w:val="24"/>
        </w:rPr>
        <w:t>con in</w:t>
      </w:r>
      <w:proofErr w:type="gramEnd"/>
      <w:r w:rsidR="00CF781C">
        <w:rPr>
          <w:rFonts w:asciiTheme="minorHAnsi" w:eastAsia="Times New Roman" w:hAnsiTheme="minorHAnsi" w:cs="Times New Roman"/>
          <w:bCs/>
          <w:i/>
          <w:color w:val="000000" w:themeColor="text1"/>
          <w:sz w:val="24"/>
          <w:szCs w:val="24"/>
        </w:rPr>
        <w:t xml:space="preserve"> evidenza le modifiche sino ad ora apportate dalla Commissione.</w:t>
      </w:r>
      <w:r w:rsidR="004A5847">
        <w:rPr>
          <w:rFonts w:asciiTheme="minorHAnsi" w:eastAsia="Times New Roman" w:hAnsiTheme="minorHAnsi" w:cs="Times New Roman"/>
          <w:bCs/>
          <w:i/>
          <w:color w:val="000000" w:themeColor="text1"/>
          <w:sz w:val="24"/>
          <w:szCs w:val="24"/>
        </w:rPr>
        <w:t xml:space="preserve"> </w:t>
      </w:r>
    </w:p>
    <w:p w:rsidR="00BA2952" w:rsidRDefault="00BA2952" w:rsidP="002C1B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rsidR="00BA2952" w:rsidRDefault="00BA2952" w:rsidP="00BA2952">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3CC1">
        <w:rPr>
          <w:rFonts w:asciiTheme="minorHAnsi" w:eastAsia="Times New Roman" w:hAnsiTheme="minorHAnsi" w:cs="Times New Roman"/>
          <w:b/>
          <w:bCs/>
          <w:color w:val="000000" w:themeColor="text1"/>
          <w:sz w:val="24"/>
          <w:szCs w:val="24"/>
        </w:rPr>
        <w:t xml:space="preserve">Le modifiche introdotte dagli emendamenti approvati si riportano in grassetto, 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I subemendamenti approvati si evidenziano facendo uso del colore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A piè di pagina si riportano i riferimenti della proposta di modifica approvata.</w:t>
      </w:r>
    </w:p>
    <w:p w:rsidR="00BA2952" w:rsidRDefault="00BA2952" w:rsidP="002C1B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rsidR="007F03D7" w:rsidRDefault="007F03D7"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rsidR="00C87005" w:rsidRPr="00774097" w:rsidRDefault="00C87005"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rsid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DISEGNO DI LEGGE</w:t>
      </w:r>
    </w:p>
    <w:p w:rsidR="00185E53" w:rsidRPr="002C1B13" w:rsidRDefault="00185E5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roofErr w:type="gramStart"/>
      <w:r w:rsidRPr="00185E53">
        <w:rPr>
          <w:rFonts w:asciiTheme="minorHAnsi" w:eastAsia="Times New Roman" w:hAnsiTheme="minorHAnsi" w:cs="Times New Roman"/>
          <w:bCs/>
          <w:color w:val="000000" w:themeColor="text1"/>
          <w:sz w:val="24"/>
          <w:szCs w:val="24"/>
        </w:rPr>
        <w:t>Delega al Governo per il recepimento delle direttive europee e l'attuazione di altri atti dell'Unione europea – legge di delegazione europea</w:t>
      </w:r>
      <w:proofErr w:type="gramEnd"/>
      <w:r w:rsidRPr="00185E53">
        <w:rPr>
          <w:rFonts w:asciiTheme="minorHAnsi" w:eastAsia="Times New Roman" w:hAnsiTheme="minorHAnsi" w:cs="Times New Roman"/>
          <w:bCs/>
          <w:color w:val="000000" w:themeColor="text1"/>
          <w:sz w:val="24"/>
          <w:szCs w:val="24"/>
        </w:rPr>
        <w:t xml:space="preserve"> 2019</w:t>
      </w:r>
    </w:p>
    <w:p w:rsidR="00185E53" w:rsidRDefault="00185E5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w:t>
      </w:r>
    </w:p>
    <w:p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roofErr w:type="gramStart"/>
      <w:r w:rsidRPr="002C1B13">
        <w:rPr>
          <w:rFonts w:asciiTheme="minorHAnsi" w:eastAsia="Times New Roman" w:hAnsiTheme="minorHAnsi" w:cs="Times New Roman"/>
          <w:bCs/>
          <w:color w:val="000000" w:themeColor="text1"/>
          <w:sz w:val="24"/>
          <w:szCs w:val="24"/>
        </w:rPr>
        <w:t>(</w:t>
      </w:r>
      <w:r w:rsidRPr="00185E53">
        <w:rPr>
          <w:rFonts w:asciiTheme="minorHAnsi" w:eastAsia="Times New Roman" w:hAnsiTheme="minorHAnsi" w:cs="Times New Roman"/>
          <w:bCs/>
          <w:i/>
          <w:color w:val="000000" w:themeColor="text1"/>
          <w:sz w:val="24"/>
          <w:szCs w:val="24"/>
        </w:rPr>
        <w:t>Delega al Governo per il recepimento delle direttive e l'attuazione degli altri atti dell'Unione europea)</w:t>
      </w:r>
      <w:proofErr w:type="gramEnd"/>
    </w:p>
    <w:p w:rsidR="00CB401B" w:rsidRDefault="00CB401B"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Il Governo </w:t>
      </w:r>
      <w:proofErr w:type="gramStart"/>
      <w:r w:rsidRPr="002C1B13">
        <w:rPr>
          <w:rFonts w:asciiTheme="minorHAnsi" w:eastAsia="Times New Roman" w:hAnsiTheme="minorHAnsi" w:cs="Times New Roman"/>
          <w:bCs/>
          <w:color w:val="000000" w:themeColor="text1"/>
          <w:sz w:val="24"/>
          <w:szCs w:val="24"/>
        </w:rPr>
        <w:t>è</w:t>
      </w:r>
      <w:proofErr w:type="gramEnd"/>
      <w:r w:rsidRPr="002C1B13">
        <w:rPr>
          <w:rFonts w:asciiTheme="minorHAnsi" w:eastAsia="Times New Roman" w:hAnsiTheme="minorHAnsi" w:cs="Times New Roman"/>
          <w:bCs/>
          <w:color w:val="000000" w:themeColor="text1"/>
          <w:sz w:val="24"/>
          <w:szCs w:val="24"/>
        </w:rPr>
        <w:t xml:space="preserve"> delegato ad adottare, secondo i termini, le procedure, i princìpi e i criteri direttivi di cui agli articoli 31 e 32 della legge 24 dicembre 2012, n. 234, nonché secondo quelli specifi</w:t>
      </w:r>
      <w:r w:rsidR="00CB401B">
        <w:rPr>
          <w:rFonts w:asciiTheme="minorHAnsi" w:eastAsia="Times New Roman" w:hAnsiTheme="minorHAnsi" w:cs="Times New Roman"/>
          <w:bCs/>
          <w:color w:val="000000" w:themeColor="text1"/>
          <w:sz w:val="24"/>
          <w:szCs w:val="24"/>
        </w:rPr>
        <w:t>ci dettati dalla presente legge</w:t>
      </w:r>
      <w:r w:rsidRPr="002C1B13">
        <w:rPr>
          <w:rFonts w:asciiTheme="minorHAnsi" w:eastAsia="Times New Roman" w:hAnsiTheme="minorHAnsi" w:cs="Times New Roman"/>
          <w:bCs/>
          <w:color w:val="000000" w:themeColor="text1"/>
          <w:sz w:val="24"/>
          <w:szCs w:val="24"/>
        </w:rPr>
        <w:t xml:space="preserve"> </w:t>
      </w:r>
      <w:r w:rsidR="00CB401B" w:rsidRPr="00CB401B">
        <w:rPr>
          <w:rFonts w:asciiTheme="minorHAnsi" w:eastAsia="Times New Roman" w:hAnsiTheme="minorHAnsi" w:cs="Times New Roman"/>
          <w:b/>
          <w:bCs/>
          <w:color w:val="000000" w:themeColor="text1"/>
          <w:sz w:val="24"/>
          <w:szCs w:val="24"/>
        </w:rPr>
        <w:t>e tenendo conto delle eccezionali conseguenze economiche e sociali derivanti dalla pandemia da Covid-19</w:t>
      </w:r>
      <w:r w:rsidR="00CB401B">
        <w:rPr>
          <w:rStyle w:val="Rimandonotaapidipagina"/>
          <w:rFonts w:asciiTheme="minorHAnsi" w:eastAsia="Times New Roman" w:hAnsiTheme="minorHAnsi" w:cs="Times New Roman"/>
          <w:b/>
          <w:bCs/>
          <w:color w:val="000000" w:themeColor="text1"/>
          <w:sz w:val="24"/>
          <w:szCs w:val="24"/>
        </w:rPr>
        <w:footnoteReference w:id="1"/>
      </w:r>
      <w:proofErr w:type="gramStart"/>
      <w:r w:rsidR="00CB401B">
        <w:rPr>
          <w:rFonts w:asciiTheme="minorHAnsi" w:eastAsia="Times New Roman" w:hAnsiTheme="minorHAnsi" w:cs="Times New Roman"/>
          <w:b/>
          <w:bCs/>
          <w:color w:val="000000" w:themeColor="text1"/>
          <w:sz w:val="24"/>
          <w:szCs w:val="24"/>
        </w:rPr>
        <w:t xml:space="preserve">, </w:t>
      </w:r>
      <w:proofErr w:type="gramEnd"/>
      <w:r w:rsidRPr="002C1B13">
        <w:rPr>
          <w:rFonts w:asciiTheme="minorHAnsi" w:eastAsia="Times New Roman" w:hAnsiTheme="minorHAnsi" w:cs="Times New Roman"/>
          <w:bCs/>
          <w:color w:val="000000" w:themeColor="text1"/>
          <w:sz w:val="24"/>
          <w:szCs w:val="24"/>
        </w:rPr>
        <w:t>i decreti legislativi per il recepimento delle direttive europee e l'attuazione degli altri atti dell'Unione europea di cui agli articoli da 3 a 20 e all'allegato 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2. Gli schemi dei decreti legislativi di cui al comma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xml:space="preserve"> sono trasmessi, dopo l'acquisizione degli altri pareri previsti dalla legge, alla Camera dei deputati e al Senato della Repubblica affinché su di essi sia espresso il parere dei competenti organi parlamentari.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3. Eventuali spese non contemplate da leggi vigenti e che non riguardano l'attività ordinaria delle amministrazioni statali o regionali possono essere previste nei decreti legislativi di cui al comma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xml:space="preserve">, nei soli limiti occorrenti per l'adempimento degli obblighi derivanti dall'esercizio delle deleghe stesse. Alla relativa copertura, </w:t>
      </w:r>
      <w:proofErr w:type="gramStart"/>
      <w:r w:rsidRPr="002C1B13">
        <w:rPr>
          <w:rFonts w:asciiTheme="minorHAnsi" w:eastAsia="Times New Roman" w:hAnsiTheme="minorHAnsi" w:cs="Times New Roman"/>
          <w:bCs/>
          <w:color w:val="000000" w:themeColor="text1"/>
          <w:sz w:val="24"/>
          <w:szCs w:val="24"/>
        </w:rPr>
        <w:t>nonché</w:t>
      </w:r>
      <w:proofErr w:type="gramEnd"/>
      <w:r w:rsidRPr="002C1B13">
        <w:rPr>
          <w:rFonts w:asciiTheme="minorHAnsi" w:eastAsia="Times New Roman" w:hAnsiTheme="minorHAnsi" w:cs="Times New Roman"/>
          <w:bCs/>
          <w:color w:val="000000" w:themeColor="text1"/>
          <w:sz w:val="24"/>
          <w:szCs w:val="24"/>
        </w:rPr>
        <w:t xml:space="preserve"> alla copertura delle minori entrate eventualmente derivanti dall'attuazione delle deleghe, laddove non sia possibile farvi fronte con i fondi già assegnati alle competenti amministrazioni, si provvede mediante riduzione del fondo per il recepimento della normativa europea di cui all'articolo 41-bis della citata legge n. 234 del 2012. Qualora la dotazione del predetto fondo si rivelasse insufficiente, i decreti legislativi dai quali derivino nuovi o </w:t>
      </w:r>
      <w:proofErr w:type="gramStart"/>
      <w:r w:rsidRPr="002C1B13">
        <w:rPr>
          <w:rFonts w:asciiTheme="minorHAnsi" w:eastAsia="Times New Roman" w:hAnsiTheme="minorHAnsi" w:cs="Times New Roman"/>
          <w:bCs/>
          <w:color w:val="000000" w:themeColor="text1"/>
          <w:sz w:val="24"/>
          <w:szCs w:val="24"/>
        </w:rPr>
        <w:t>maggiori</w:t>
      </w:r>
      <w:proofErr w:type="gramEnd"/>
      <w:r w:rsidRPr="002C1B13">
        <w:rPr>
          <w:rFonts w:asciiTheme="minorHAnsi" w:eastAsia="Times New Roman" w:hAnsiTheme="minorHAnsi" w:cs="Times New Roman"/>
          <w:bCs/>
          <w:color w:val="000000" w:themeColor="text1"/>
          <w:sz w:val="24"/>
          <w:szCs w:val="24"/>
        </w:rPr>
        <w:t xml:space="preserve"> oneri sono emanati solo successivamente all'entrata in vigore dei provvedimenti legislativi che stanziano le occorrenti risorse finanziarie, in conformità all'articolo 17, comma 2, della legge 31 dicembre 2009, n. 196.</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2.</w:t>
      </w:r>
    </w:p>
    <w:p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proofErr w:type="gramStart"/>
      <w:r w:rsidRPr="00185E53">
        <w:rPr>
          <w:rFonts w:asciiTheme="minorHAnsi" w:eastAsia="Times New Roman" w:hAnsiTheme="minorHAnsi" w:cs="Times New Roman"/>
          <w:bCs/>
          <w:i/>
          <w:color w:val="000000" w:themeColor="text1"/>
          <w:sz w:val="24"/>
          <w:szCs w:val="24"/>
        </w:rPr>
        <w:t>(Delega</w:t>
      </w:r>
      <w:proofErr w:type="gramEnd"/>
      <w:r w:rsidRPr="00185E53">
        <w:rPr>
          <w:rFonts w:asciiTheme="minorHAnsi" w:eastAsia="Times New Roman" w:hAnsiTheme="minorHAnsi" w:cs="Times New Roman"/>
          <w:bCs/>
          <w:i/>
          <w:color w:val="000000" w:themeColor="text1"/>
          <w:sz w:val="24"/>
          <w:szCs w:val="24"/>
        </w:rPr>
        <w:t xml:space="preserve"> al Governo per la disciplina sanzionatoria di violazioni di atti normativi dell'Unione europea)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Il Governo, fatte salve le norme penali vigenti, </w:t>
      </w:r>
      <w:proofErr w:type="gramStart"/>
      <w:r w:rsidRPr="002C1B13">
        <w:rPr>
          <w:rFonts w:asciiTheme="minorHAnsi" w:eastAsia="Times New Roman" w:hAnsiTheme="minorHAnsi" w:cs="Times New Roman"/>
          <w:bCs/>
          <w:color w:val="000000" w:themeColor="text1"/>
          <w:sz w:val="24"/>
          <w:szCs w:val="24"/>
        </w:rPr>
        <w:t>è</w:t>
      </w:r>
      <w:proofErr w:type="gramEnd"/>
      <w:r w:rsidRPr="002C1B13">
        <w:rPr>
          <w:rFonts w:asciiTheme="minorHAnsi" w:eastAsia="Times New Roman" w:hAnsiTheme="minorHAnsi" w:cs="Times New Roman"/>
          <w:bCs/>
          <w:color w:val="000000" w:themeColor="text1"/>
          <w:sz w:val="24"/>
          <w:szCs w:val="24"/>
        </w:rPr>
        <w:t xml:space="preserve"> delegato ad adottare, ai sensi dell'articolo 33 della citata legge n. 234 del 2012, e secondo i princìpi e i criteri direttivi dell'articolo 32, comma 1, lettera d), della medesima legge, entro due anni dalla data di entrata in vigore della presente legge, disposizioni recanti sanzioni penali o amministrative per le violazioni di obblighi contenuti in direttive europee recepite in via regolamentare o amministrativa, o in regolamenti dell'Unione europea pubblicati alla data dell'entrata in vigore della presente legge, per i quali non siano già previste sanzioni penali o amministrative.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3.</w:t>
      </w:r>
    </w:p>
    <w:p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185E53">
        <w:rPr>
          <w:rFonts w:asciiTheme="minorHAnsi" w:eastAsia="Times New Roman" w:hAnsiTheme="minorHAnsi" w:cs="Times New Roman"/>
          <w:bCs/>
          <w:i/>
          <w:color w:val="000000" w:themeColor="text1"/>
          <w:sz w:val="24"/>
          <w:szCs w:val="24"/>
        </w:rPr>
        <w:t xml:space="preserve">(Princìpi e criteri direttivi per l'attuazione della direttiva (UE) 2018/1808, recante modifica della direttiva 2010/13/UE, relativa al coordinamento di determinate disposizioni legislative, regolamentari e amministrative degli Stati membri concernenti la fornitura di servizi di media audiovisivi (direttiva sui </w:t>
      </w:r>
      <w:proofErr w:type="gramStart"/>
      <w:r w:rsidRPr="00185E53">
        <w:rPr>
          <w:rFonts w:asciiTheme="minorHAnsi" w:eastAsia="Times New Roman" w:hAnsiTheme="minorHAnsi" w:cs="Times New Roman"/>
          <w:bCs/>
          <w:i/>
          <w:color w:val="000000" w:themeColor="text1"/>
          <w:sz w:val="24"/>
          <w:szCs w:val="24"/>
        </w:rPr>
        <w:t>servizi</w:t>
      </w:r>
      <w:proofErr w:type="gramEnd"/>
      <w:r w:rsidRPr="00185E53">
        <w:rPr>
          <w:rFonts w:asciiTheme="minorHAnsi" w:eastAsia="Times New Roman" w:hAnsiTheme="minorHAnsi" w:cs="Times New Roman"/>
          <w:bCs/>
          <w:i/>
          <w:color w:val="000000" w:themeColor="text1"/>
          <w:sz w:val="24"/>
          <w:szCs w:val="24"/>
        </w:rPr>
        <w:t xml:space="preserve"> di media audiovisivi), in considerazione dell'evoluzione delle realtà del mercato)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Nell'esercizio della delega per l'attuazione della direttiva (UE) 2018/1808 del Parlamento europeo e del Consiglio, del 14 novembre 2018, il Governo osserva, oltre ai princìpi e criteri direttivi generali di cui all'articolo </w:t>
      </w:r>
      <w:proofErr w:type="gramStart"/>
      <w:r w:rsidRPr="002C1B13">
        <w:rPr>
          <w:rFonts w:asciiTheme="minorHAnsi" w:eastAsia="Times New Roman" w:hAnsiTheme="minorHAnsi" w:cs="Times New Roman"/>
          <w:bCs/>
          <w:color w:val="000000" w:themeColor="text1"/>
          <w:sz w:val="24"/>
          <w:szCs w:val="24"/>
        </w:rPr>
        <w:t>32</w:t>
      </w:r>
      <w:proofErr w:type="gramEnd"/>
      <w:r w:rsidRPr="002C1B13">
        <w:rPr>
          <w:rFonts w:asciiTheme="minorHAnsi" w:eastAsia="Times New Roman" w:hAnsiTheme="minorHAnsi" w:cs="Times New Roman"/>
          <w:bCs/>
          <w:color w:val="000000" w:themeColor="text1"/>
          <w:sz w:val="24"/>
          <w:szCs w:val="24"/>
        </w:rPr>
        <w:t xml:space="preserve">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a) riordinare le disposizioni del testo unico dei servizi di media audiovisivi e radiofonici, di cui al decreto legislativo 31 luglio 2005, n. 177, recante testo unico dei servizi di media audiovisivi e radiofonici, attraverso l'emanazione di un nuovo testo unico dei servizi di media digitali con adeguamento delle disposizioni e delle definizioni, comprese quelle </w:t>
      </w:r>
      <w:proofErr w:type="gramStart"/>
      <w:r w:rsidRPr="002C1B13">
        <w:rPr>
          <w:rFonts w:asciiTheme="minorHAnsi" w:eastAsia="Times New Roman" w:hAnsiTheme="minorHAnsi" w:cs="Times New Roman"/>
          <w:bCs/>
          <w:color w:val="000000" w:themeColor="text1"/>
          <w:sz w:val="24"/>
          <w:szCs w:val="24"/>
        </w:rPr>
        <w:t>relative ai</w:t>
      </w:r>
      <w:proofErr w:type="gramEnd"/>
      <w:r w:rsidRPr="002C1B13">
        <w:rPr>
          <w:rFonts w:asciiTheme="minorHAnsi" w:eastAsia="Times New Roman" w:hAnsiTheme="minorHAnsi" w:cs="Times New Roman"/>
          <w:bCs/>
          <w:color w:val="000000" w:themeColor="text1"/>
          <w:sz w:val="24"/>
          <w:szCs w:val="24"/>
        </w:rPr>
        <w:t xml:space="preserve"> servizi di media audiovisivi, radiofonici e ai servizi di piattaforma per la condivisione di video, alla luce dell'evoluzione tecnologica e di mercato;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prevedere misure atte ad assicurare un'adeguata tutela della dignità umana e dei minori </w:t>
      </w:r>
      <w:proofErr w:type="gramStart"/>
      <w:r w:rsidRPr="002C1B13">
        <w:rPr>
          <w:rFonts w:asciiTheme="minorHAnsi" w:eastAsia="Times New Roman" w:hAnsiTheme="minorHAnsi" w:cs="Times New Roman"/>
          <w:bCs/>
          <w:color w:val="000000" w:themeColor="text1"/>
          <w:sz w:val="24"/>
          <w:szCs w:val="24"/>
        </w:rPr>
        <w:t>in relazione ai</w:t>
      </w:r>
      <w:proofErr w:type="gramEnd"/>
      <w:r w:rsidRPr="002C1B13">
        <w:rPr>
          <w:rFonts w:asciiTheme="minorHAnsi" w:eastAsia="Times New Roman" w:hAnsiTheme="minorHAnsi" w:cs="Times New Roman"/>
          <w:bCs/>
          <w:color w:val="000000" w:themeColor="text1"/>
          <w:sz w:val="24"/>
          <w:szCs w:val="24"/>
        </w:rPr>
        <w:t xml:space="preserve"> contenuti audiovisivi, ivi inclusi i video generati dagli utenti, e alle comunicazioni commerciali da parte delle piattaforme per la condivisione dei video, affidando i relativi compiti, anche di promozione di procedure di auto-regolamentazione e co-regolamentazione, all'Autorità per le garanzie nelle comunicazioni quale Autorità nazionale di regolamentazione di settore;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prevedere specifiche misure a tutela dei consumatori di servizi di media audiovisivi, lineari e non lineari, anche mediante il ricorso a procedure di risoluzione extragiudiziale delle controversie e meccanismi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indennizzo in caso di disservizi, affidando la regolamentazione di tali procedure all'Autorità per le garanzie nelle comunicazioni;</w:t>
      </w:r>
    </w:p>
    <w:p w:rsidR="002C1B13" w:rsidRPr="002C1B13" w:rsidRDefault="002C1B13" w:rsidP="00F454A2">
      <w:pPr>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prevedere misure per la </w:t>
      </w:r>
      <w:proofErr w:type="gramStart"/>
      <w:r w:rsidRPr="002C1B13">
        <w:rPr>
          <w:rFonts w:asciiTheme="minorHAnsi" w:eastAsia="Times New Roman" w:hAnsiTheme="minorHAnsi" w:cs="Times New Roman"/>
          <w:bCs/>
          <w:color w:val="000000" w:themeColor="text1"/>
          <w:sz w:val="24"/>
          <w:szCs w:val="24"/>
        </w:rPr>
        <w:t>promozione</w:t>
      </w:r>
      <w:proofErr w:type="gramEnd"/>
      <w:r w:rsidRPr="002C1B13">
        <w:rPr>
          <w:rFonts w:asciiTheme="minorHAnsi" w:eastAsia="Times New Roman" w:hAnsiTheme="minorHAnsi" w:cs="Times New Roman"/>
          <w:bCs/>
          <w:color w:val="000000" w:themeColor="text1"/>
          <w:sz w:val="24"/>
          <w:szCs w:val="24"/>
        </w:rPr>
        <w:t xml:space="preserve"> delle opere europee, anche nei servizi di media audiovisivi a richiesta</w:t>
      </w:r>
      <w:r w:rsidR="00F454A2">
        <w:rPr>
          <w:rFonts w:asciiTheme="minorHAnsi" w:eastAsia="Times New Roman" w:hAnsiTheme="minorHAnsi" w:cs="Times New Roman"/>
          <w:bCs/>
          <w:color w:val="000000" w:themeColor="text1"/>
          <w:sz w:val="24"/>
          <w:szCs w:val="24"/>
        </w:rPr>
        <w:t xml:space="preserve"> </w:t>
      </w:r>
      <w:r w:rsidR="00F454A2" w:rsidRPr="00DE0D2C">
        <w:rPr>
          <w:b/>
          <w:bCs/>
          <w:color w:val="000000" w:themeColor="text1"/>
          <w:sz w:val="24"/>
          <w:szCs w:val="24"/>
        </w:rPr>
        <w:t>anche attraverso una semplificazione e razionalizzazione delle misure attualmente vigenti</w:t>
      </w:r>
      <w:r w:rsidR="00F454A2">
        <w:rPr>
          <w:rStyle w:val="Rimandonotaapidipagina"/>
          <w:b/>
          <w:bCs/>
          <w:color w:val="000000" w:themeColor="text1"/>
          <w:sz w:val="24"/>
          <w:szCs w:val="24"/>
        </w:rPr>
        <w:footnoteReference w:id="2"/>
      </w:r>
      <w:r w:rsidRPr="002C1B13">
        <w:rPr>
          <w:rFonts w:asciiTheme="minorHAnsi" w:eastAsia="Times New Roman" w:hAnsiTheme="minorHAnsi" w:cs="Times New Roman"/>
          <w:bCs/>
          <w:color w:val="000000" w:themeColor="text1"/>
          <w:sz w:val="24"/>
          <w:szCs w:val="24"/>
        </w:rPr>
        <w:t>, nonché di specifiche misure per la promozione della trasparenza degli assetti proprietari dei fornitori dei servizi di cui alla lettera a);</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prevedere misure per l'adeguamento delle prescrizioni per le comunicazioni commerciali da applicare anche ai servizi di piattaforma per la condivisione di video e per la </w:t>
      </w:r>
      <w:proofErr w:type="gramStart"/>
      <w:r w:rsidRPr="002C1B13">
        <w:rPr>
          <w:rFonts w:asciiTheme="minorHAnsi" w:eastAsia="Times New Roman" w:hAnsiTheme="minorHAnsi" w:cs="Times New Roman"/>
          <w:bCs/>
          <w:color w:val="000000" w:themeColor="text1"/>
          <w:sz w:val="24"/>
          <w:szCs w:val="24"/>
        </w:rPr>
        <w:t>revisione</w:t>
      </w:r>
      <w:proofErr w:type="gramEnd"/>
      <w:r w:rsidRPr="002C1B13">
        <w:rPr>
          <w:rFonts w:asciiTheme="minorHAnsi" w:eastAsia="Times New Roman" w:hAnsiTheme="minorHAnsi" w:cs="Times New Roman"/>
          <w:bCs/>
          <w:color w:val="000000" w:themeColor="text1"/>
          <w:sz w:val="24"/>
          <w:szCs w:val="24"/>
        </w:rPr>
        <w:t xml:space="preserve"> dei limiti di affollamento pubblicitario secondo princìpi di flessibilità, proporzionalità e concorrenzialità;</w:t>
      </w:r>
    </w:p>
    <w:p w:rsidR="00CB401B" w:rsidRPr="00CB401B" w:rsidRDefault="00CB401B"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CB401B">
        <w:rPr>
          <w:rFonts w:asciiTheme="minorHAnsi" w:eastAsia="Times New Roman" w:hAnsiTheme="minorHAnsi" w:cs="Times New Roman"/>
          <w:b/>
          <w:bCs/>
          <w:color w:val="000000" w:themeColor="text1"/>
          <w:sz w:val="24"/>
          <w:szCs w:val="24"/>
        </w:rPr>
        <w:t>e-bis</w:t>
      </w:r>
      <w:proofErr w:type="gramEnd"/>
      <w:r w:rsidRPr="00CB401B">
        <w:rPr>
          <w:rFonts w:asciiTheme="minorHAnsi" w:eastAsia="Times New Roman" w:hAnsiTheme="minorHAnsi" w:cs="Times New Roman"/>
          <w:b/>
          <w:bCs/>
          <w:color w:val="000000" w:themeColor="text1"/>
          <w:sz w:val="24"/>
          <w:szCs w:val="24"/>
        </w:rPr>
        <w:t>) prevedere apposite misure per il contenimento del livello sonoro delle comunicazioni commerciali e dei messaggi trasmessi dalle emittenti radiotelevisive pubbliche e private, dai fornitori di contenuti operanti su frequenze terrestri e via satellite, in accordo con le delibere dell'Autorità delle garanzie nelle comunicazioni;</w:t>
      </w:r>
      <w:r>
        <w:rPr>
          <w:rStyle w:val="Rimandonotaapidipagina"/>
          <w:rFonts w:asciiTheme="minorHAnsi" w:eastAsia="Times New Roman" w:hAnsiTheme="minorHAnsi" w:cs="Times New Roman"/>
          <w:b/>
          <w:bCs/>
          <w:color w:val="000000" w:themeColor="text1"/>
          <w:sz w:val="24"/>
          <w:szCs w:val="24"/>
        </w:rPr>
        <w:footnoteReference w:id="3"/>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EE3B84">
        <w:rPr>
          <w:rFonts w:asciiTheme="minorHAnsi" w:eastAsia="Times New Roman" w:hAnsiTheme="minorHAnsi" w:cs="Times New Roman"/>
          <w:bCs/>
          <w:strike/>
          <w:color w:val="000000" w:themeColor="text1"/>
          <w:sz w:val="24"/>
          <w:szCs w:val="24"/>
          <w:highlight w:val="yellow"/>
        </w:rPr>
        <w:t xml:space="preserve">f) garantire la tutela dei minori dai contenuti, anche pubblicitari, che possono nuocere al loro sviluppo fisico, mentale o morale, ivi compreso il divieto di pubblicità </w:t>
      </w:r>
      <w:proofErr w:type="gramStart"/>
      <w:r w:rsidRPr="00EE3B84">
        <w:rPr>
          <w:rFonts w:asciiTheme="minorHAnsi" w:eastAsia="Times New Roman" w:hAnsiTheme="minorHAnsi" w:cs="Times New Roman"/>
          <w:bCs/>
          <w:strike/>
          <w:color w:val="000000" w:themeColor="text1"/>
          <w:sz w:val="24"/>
          <w:szCs w:val="24"/>
          <w:highlight w:val="yellow"/>
        </w:rPr>
        <w:t>relativa al</w:t>
      </w:r>
      <w:proofErr w:type="gramEnd"/>
      <w:r w:rsidRPr="00EE3B84">
        <w:rPr>
          <w:rFonts w:asciiTheme="minorHAnsi" w:eastAsia="Times New Roman" w:hAnsiTheme="minorHAnsi" w:cs="Times New Roman"/>
          <w:bCs/>
          <w:strike/>
          <w:color w:val="000000" w:themeColor="text1"/>
          <w:sz w:val="24"/>
          <w:szCs w:val="24"/>
          <w:highlight w:val="yellow"/>
        </w:rPr>
        <w:t xml:space="preserve"> gioco d'azzardo</w:t>
      </w:r>
      <w:r w:rsidRPr="002C1B13">
        <w:rPr>
          <w:rFonts w:asciiTheme="minorHAnsi" w:eastAsia="Times New Roman" w:hAnsiTheme="minorHAnsi" w:cs="Times New Roman"/>
          <w:bCs/>
          <w:color w:val="000000" w:themeColor="text1"/>
          <w:sz w:val="24"/>
          <w:szCs w:val="24"/>
        </w:rPr>
        <w:t>;</w:t>
      </w:r>
    </w:p>
    <w:p w:rsidR="00EE3B84" w:rsidRPr="00EE3B84" w:rsidRDefault="00EE3B84"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f) p</w:t>
      </w:r>
      <w:r w:rsidRPr="00EE3B84">
        <w:rPr>
          <w:rFonts w:asciiTheme="minorHAnsi" w:eastAsia="Times New Roman" w:hAnsiTheme="minorHAnsi" w:cs="Times New Roman"/>
          <w:b/>
          <w:bCs/>
          <w:color w:val="000000" w:themeColor="text1"/>
          <w:sz w:val="24"/>
          <w:szCs w:val="24"/>
        </w:rPr>
        <w:t xml:space="preserve">revedere che i fornitori di servizi di media, comprese le piattaforme social, forniscano agli utenti informazioni sufficienti in merito a contenuti, anche pubblicitari, che possano nuocere allo sviluppo fisico, mentale o morale dei minori, ivi compreso il divieto di pubblicità </w:t>
      </w:r>
      <w:proofErr w:type="gramStart"/>
      <w:r w:rsidRPr="00EE3B84">
        <w:rPr>
          <w:rFonts w:asciiTheme="minorHAnsi" w:eastAsia="Times New Roman" w:hAnsiTheme="minorHAnsi" w:cs="Times New Roman"/>
          <w:b/>
          <w:bCs/>
          <w:color w:val="000000" w:themeColor="text1"/>
          <w:sz w:val="24"/>
          <w:szCs w:val="24"/>
        </w:rPr>
        <w:t>relativa al</w:t>
      </w:r>
      <w:proofErr w:type="gramEnd"/>
      <w:r w:rsidRPr="00EE3B84">
        <w:rPr>
          <w:rFonts w:asciiTheme="minorHAnsi" w:eastAsia="Times New Roman" w:hAnsiTheme="minorHAnsi" w:cs="Times New Roman"/>
          <w:b/>
          <w:bCs/>
          <w:color w:val="000000" w:themeColor="text1"/>
          <w:sz w:val="24"/>
          <w:szCs w:val="24"/>
        </w:rPr>
        <w:t xml:space="preserve"> gioco d'azzardo, prevedendo inoltre specifiche misure nei confronti di chi utilizza profili fittizi di soggetti inesistenti </w:t>
      </w:r>
      <w:r w:rsidRPr="00EE3B84">
        <w:rPr>
          <w:rFonts w:asciiTheme="minorHAnsi" w:eastAsia="Times New Roman" w:hAnsiTheme="minorHAnsi" w:cs="Times New Roman"/>
          <w:b/>
          <w:bCs/>
          <w:color w:val="000000" w:themeColor="text1"/>
          <w:sz w:val="24"/>
          <w:szCs w:val="24"/>
        </w:rPr>
        <w:lastRenderedPageBreak/>
        <w:t>ovvero tramite l'appropriazione di identità altrui, al fine de alterare lo scambio di opinioni, per ingenerare allarmi, per trarre vantaggio da</w:t>
      </w:r>
      <w:r>
        <w:rPr>
          <w:rFonts w:asciiTheme="minorHAnsi" w:eastAsia="Times New Roman" w:hAnsiTheme="minorHAnsi" w:cs="Times New Roman"/>
          <w:b/>
          <w:bCs/>
          <w:color w:val="000000" w:themeColor="text1"/>
          <w:sz w:val="24"/>
          <w:szCs w:val="24"/>
        </w:rPr>
        <w:t>lla diffusione di notizie false;</w:t>
      </w:r>
      <w:r>
        <w:rPr>
          <w:rStyle w:val="Rimandonotaapidipagina"/>
          <w:rFonts w:asciiTheme="minorHAnsi" w:eastAsia="Times New Roman" w:hAnsiTheme="minorHAnsi" w:cs="Times New Roman"/>
          <w:b/>
          <w:bCs/>
          <w:color w:val="000000" w:themeColor="text1"/>
          <w:sz w:val="24"/>
          <w:szCs w:val="24"/>
        </w:rPr>
        <w:footnoteReference w:id="4"/>
      </w:r>
    </w:p>
    <w:p w:rsidR="00EE3B84" w:rsidRDefault="00EE3B84"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Pr>
          <w:rFonts w:asciiTheme="minorHAnsi" w:eastAsia="Times New Roman" w:hAnsiTheme="minorHAnsi" w:cs="Times New Roman"/>
          <w:b/>
          <w:bCs/>
          <w:color w:val="000000" w:themeColor="text1"/>
          <w:sz w:val="24"/>
          <w:szCs w:val="24"/>
        </w:rPr>
        <w:t>f-bis</w:t>
      </w:r>
      <w:proofErr w:type="gramEnd"/>
      <w:r>
        <w:rPr>
          <w:rFonts w:asciiTheme="minorHAnsi" w:eastAsia="Times New Roman" w:hAnsiTheme="minorHAnsi" w:cs="Times New Roman"/>
          <w:b/>
          <w:bCs/>
          <w:color w:val="000000" w:themeColor="text1"/>
          <w:sz w:val="24"/>
          <w:szCs w:val="24"/>
        </w:rPr>
        <w:t xml:space="preserve">) </w:t>
      </w:r>
      <w:r w:rsidRPr="00EE3B84">
        <w:rPr>
          <w:rFonts w:asciiTheme="minorHAnsi" w:eastAsia="Times New Roman" w:hAnsiTheme="minorHAnsi" w:cs="Times New Roman"/>
          <w:b/>
          <w:bCs/>
          <w:color w:val="000000" w:themeColor="text1"/>
          <w:sz w:val="24"/>
          <w:szCs w:val="24"/>
        </w:rPr>
        <w:t>prevede</w:t>
      </w:r>
      <w:r>
        <w:rPr>
          <w:rFonts w:asciiTheme="minorHAnsi" w:eastAsia="Times New Roman" w:hAnsiTheme="minorHAnsi" w:cs="Times New Roman"/>
          <w:b/>
          <w:bCs/>
          <w:color w:val="000000" w:themeColor="text1"/>
          <w:sz w:val="24"/>
          <w:szCs w:val="24"/>
        </w:rPr>
        <w:t>re</w:t>
      </w:r>
      <w:r w:rsidRPr="00EE3B84">
        <w:rPr>
          <w:rFonts w:asciiTheme="minorHAnsi" w:eastAsia="Times New Roman" w:hAnsiTheme="minorHAnsi" w:cs="Times New Roman"/>
          <w:b/>
          <w:bCs/>
          <w:color w:val="000000" w:themeColor="text1"/>
          <w:sz w:val="24"/>
          <w:szCs w:val="24"/>
        </w:rPr>
        <w:t xml:space="preserve"> che i fornitori di servizi di media audiovisivi offrano informazioni adeguate sui contenuti che possano nuocere allo sviluppo fisico, mentale o morale dei minori, associandola ad una avvertenza acustica qualora i contenuti siano fruiti su dispositivi mobili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
      </w:r>
    </w:p>
    <w:p w:rsidR="007F1549" w:rsidRPr="00DE0D2C" w:rsidRDefault="007F1549" w:rsidP="007F1549">
      <w:pPr>
        <w:jc w:val="both"/>
        <w:rPr>
          <w:b/>
          <w:bCs/>
          <w:color w:val="000000" w:themeColor="text1"/>
          <w:sz w:val="24"/>
          <w:szCs w:val="24"/>
        </w:rPr>
      </w:pPr>
      <w:r w:rsidRPr="00364E35">
        <w:rPr>
          <w:color w:val="000000" w:themeColor="text1"/>
          <w:sz w:val="24"/>
          <w:szCs w:val="24"/>
        </w:rPr>
        <w:t xml:space="preserve">      </w:t>
      </w:r>
      <w:r w:rsidRPr="00DE0D2C">
        <w:rPr>
          <w:b/>
          <w:bCs/>
          <w:color w:val="000000" w:themeColor="text1"/>
          <w:sz w:val="24"/>
          <w:szCs w:val="24"/>
        </w:rPr>
        <w:t xml:space="preserve">  </w:t>
      </w:r>
      <w:proofErr w:type="gramStart"/>
      <w:r w:rsidRPr="00DE0D2C">
        <w:rPr>
          <w:b/>
          <w:bCs/>
          <w:color w:val="000000" w:themeColor="text1"/>
          <w:sz w:val="24"/>
          <w:szCs w:val="24"/>
        </w:rPr>
        <w:t>f-bis</w:t>
      </w:r>
      <w:proofErr w:type="gramEnd"/>
      <w:r w:rsidRPr="00DE0D2C">
        <w:rPr>
          <w:b/>
          <w:bCs/>
          <w:color w:val="000000" w:themeColor="text1"/>
          <w:sz w:val="24"/>
          <w:szCs w:val="24"/>
        </w:rPr>
        <w:t>) garantire la tutela dei minori dai contenuti, anche pubblicitari, non appropriati che accompagnano programmi per bambini o vi sono inclusi, relativi a prodotti alimentari o bevande, anche alcoliche, che contengono sostanze nutritive e sostanze con un effetto nutrizionale o fisiologico, la cui assunzione eccessiva nella dieta generale non è raccomandata, nonché prevedere idonee misure, anche di promozione di procedure di auto-regolamentazione e di co-regolamentazione, intese a ridurre efficacemente l'esposizione dei bambini alle comunicazioni commerciali audiovisive per tali bevande e prodotti alimentari.</w:t>
      </w:r>
      <w:r>
        <w:rPr>
          <w:rStyle w:val="Rimandonotaapidipagina"/>
          <w:b/>
          <w:bCs/>
          <w:color w:val="000000" w:themeColor="text1"/>
          <w:sz w:val="24"/>
          <w:szCs w:val="24"/>
        </w:rPr>
        <w:footnoteReference w:id="6"/>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g) promuovere l'alfabetizzazione digitale da parte dei fornitori di servizi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media e dei fornitori di piattaforme di condivisione dei video;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h) aggiornare i compiti dell'Autorità delle garanzie nelle comunicazioni, rafforzandone ulteriormente le prerogative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indipendenza;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EE3B84">
        <w:rPr>
          <w:rFonts w:asciiTheme="minorHAnsi" w:eastAsia="Times New Roman" w:hAnsiTheme="minorHAnsi" w:cs="Times New Roman"/>
          <w:bCs/>
          <w:strike/>
          <w:color w:val="000000" w:themeColor="text1"/>
          <w:sz w:val="24"/>
          <w:szCs w:val="24"/>
          <w:highlight w:val="yellow"/>
        </w:rPr>
        <w:t>i) rivedere l'apparato sanzionatorio amministrativo e penale, già previsto dal testo unico dei servizi di media audiovisivi e radiofonici, di cui al decreto legislativo n. 177 del 2005</w:t>
      </w:r>
      <w:r w:rsidRPr="002C1B13">
        <w:rPr>
          <w:rFonts w:asciiTheme="minorHAnsi" w:eastAsia="Times New Roman" w:hAnsiTheme="minorHAnsi" w:cs="Times New Roman"/>
          <w:bCs/>
          <w:color w:val="000000" w:themeColor="text1"/>
          <w:sz w:val="24"/>
          <w:szCs w:val="24"/>
        </w:rPr>
        <w:t>.</w:t>
      </w:r>
    </w:p>
    <w:p w:rsidR="002C1B13" w:rsidRPr="00EE3B84" w:rsidRDefault="00EE3B84"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B84">
        <w:rPr>
          <w:rFonts w:asciiTheme="minorHAnsi" w:eastAsia="Times New Roman" w:hAnsiTheme="minorHAnsi" w:cs="Times New Roman"/>
          <w:b/>
          <w:bCs/>
          <w:color w:val="000000" w:themeColor="text1"/>
          <w:sz w:val="24"/>
          <w:szCs w:val="24"/>
        </w:rPr>
        <w:t>i) aggiornare l'apparato sanzionatorio amministrativo già previsto dal testo unico dei servizi di media audiovisivi e radiofonici, di cui al decreto legislativo n. 177 del 2005, rispetto ai nuovi obblighi previsti dalla direttiva (UE) 2018/1808, sulla base dei principi di ragionevolezz</w:t>
      </w:r>
      <w:r>
        <w:rPr>
          <w:rFonts w:asciiTheme="minorHAnsi" w:eastAsia="Times New Roman" w:hAnsiTheme="minorHAnsi" w:cs="Times New Roman"/>
          <w:b/>
          <w:bCs/>
          <w:color w:val="000000" w:themeColor="text1"/>
          <w:sz w:val="24"/>
          <w:szCs w:val="24"/>
        </w:rPr>
        <w:t>a, proporzionalità ed efficacia.</w:t>
      </w:r>
      <w:r>
        <w:rPr>
          <w:rStyle w:val="Rimandonotaapidipagina"/>
          <w:rFonts w:asciiTheme="minorHAnsi" w:eastAsia="Times New Roman" w:hAnsiTheme="minorHAnsi" w:cs="Times New Roman"/>
          <w:b/>
          <w:bCs/>
          <w:color w:val="000000" w:themeColor="text1"/>
          <w:sz w:val="24"/>
          <w:szCs w:val="24"/>
        </w:rPr>
        <w:footnoteReference w:id="7"/>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Dall'attuazione del presente articolo non </w:t>
      </w:r>
      <w:proofErr w:type="gramStart"/>
      <w:r w:rsidRPr="002C1B13">
        <w:rPr>
          <w:rFonts w:asciiTheme="minorHAnsi" w:eastAsia="Times New Roman" w:hAnsiTheme="minorHAnsi" w:cs="Times New Roman"/>
          <w:bCs/>
          <w:color w:val="000000" w:themeColor="text1"/>
          <w:sz w:val="24"/>
          <w:szCs w:val="24"/>
        </w:rPr>
        <w:t>devono</w:t>
      </w:r>
      <w:proofErr w:type="gramEnd"/>
      <w:r w:rsidRPr="002C1B13">
        <w:rPr>
          <w:rFonts w:asciiTheme="minorHAnsi" w:eastAsia="Times New Roman" w:hAnsiTheme="minorHAnsi" w:cs="Times New Roman"/>
          <w:bCs/>
          <w:color w:val="000000" w:themeColor="text1"/>
          <w:sz w:val="24"/>
          <w:szCs w:val="24"/>
        </w:rPr>
        <w:t xml:space="preserve"> derivare nuovi o maggiori oneri a carico della finanza pubblica. Le amministrazioni interessate provvedono all'adempimento dei compiti derivanti dall'esercizio della delega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cui al presente articolo con le risorse umane, strumentali e finanziarie disponibili a legislazione vigente.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4.</w:t>
      </w:r>
    </w:p>
    <w:p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185E53">
        <w:rPr>
          <w:rFonts w:asciiTheme="minorHAnsi" w:eastAsia="Times New Roman" w:hAnsiTheme="minorHAnsi" w:cs="Times New Roman"/>
          <w:bCs/>
          <w:i/>
          <w:color w:val="000000" w:themeColor="text1"/>
          <w:sz w:val="24"/>
          <w:szCs w:val="24"/>
        </w:rPr>
        <w:t>(Princìpi e criteri direttivi per l'attuazione della direttiva (UE) 2018/1972, che istituisce il codice europeo delle comunicazioni elettroniche</w:t>
      </w:r>
      <w:proofErr w:type="gramStart"/>
      <w:r w:rsidRPr="00185E53">
        <w:rPr>
          <w:rFonts w:asciiTheme="minorHAnsi" w:eastAsia="Times New Roman" w:hAnsiTheme="minorHAnsi" w:cs="Times New Roman"/>
          <w:bCs/>
          <w:i/>
          <w:color w:val="000000" w:themeColor="text1"/>
          <w:sz w:val="24"/>
          <w:szCs w:val="24"/>
        </w:rPr>
        <w:t>)</w:t>
      </w:r>
      <w:proofErr w:type="gramEnd"/>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Nell'esercizio della delega per l'attuazione della direttiva (UE) 2018/1972 del Parlamento europeo e del Consiglio, dell'11 dicembre 2018, il Governo osserva, oltre ai princìpi e criteri direttivi generali di cui all'articolo </w:t>
      </w:r>
      <w:proofErr w:type="gramStart"/>
      <w:r w:rsidRPr="002C1B13">
        <w:rPr>
          <w:rFonts w:asciiTheme="minorHAnsi" w:eastAsia="Times New Roman" w:hAnsiTheme="minorHAnsi" w:cs="Times New Roman"/>
          <w:bCs/>
          <w:color w:val="000000" w:themeColor="text1"/>
          <w:sz w:val="24"/>
          <w:szCs w:val="24"/>
        </w:rPr>
        <w:t>32</w:t>
      </w:r>
      <w:proofErr w:type="gramEnd"/>
      <w:r w:rsidRPr="002C1B13">
        <w:rPr>
          <w:rFonts w:asciiTheme="minorHAnsi" w:eastAsia="Times New Roman" w:hAnsiTheme="minorHAnsi" w:cs="Times New Roman"/>
          <w:bCs/>
          <w:color w:val="000000" w:themeColor="text1"/>
          <w:sz w:val="24"/>
          <w:szCs w:val="24"/>
        </w:rPr>
        <w:t xml:space="preserve">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 riordinare le disposizioni del codice delle comunicazioni elettroniche, di cui al decreto legislativo 1° agosto 2003, n. 259, attraverso l'adozione di un nuovo codice delle comunicazioni elettroniche per l'armonizzazione della normativa di settore, assicurando il necessario coordinamento tra le disposizioni oggetto di modifica o integrazione;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prevedere l'assegnazione delle nuove competenze affidate all'Autorità per le garanzie nelle comunicazioni quale Autorità nazionale indipendente di </w:t>
      </w:r>
      <w:proofErr w:type="gramStart"/>
      <w:r w:rsidRPr="002C1B13">
        <w:rPr>
          <w:rFonts w:asciiTheme="minorHAnsi" w:eastAsia="Times New Roman" w:hAnsiTheme="minorHAnsi" w:cs="Times New Roman"/>
          <w:bCs/>
          <w:color w:val="000000" w:themeColor="text1"/>
          <w:sz w:val="24"/>
          <w:szCs w:val="24"/>
        </w:rPr>
        <w:t>regolamentazione</w:t>
      </w:r>
      <w:proofErr w:type="gramEnd"/>
      <w:r w:rsidRPr="002C1B13">
        <w:rPr>
          <w:rFonts w:asciiTheme="minorHAnsi" w:eastAsia="Times New Roman" w:hAnsiTheme="minorHAnsi" w:cs="Times New Roman"/>
          <w:bCs/>
          <w:color w:val="000000" w:themeColor="text1"/>
          <w:sz w:val="24"/>
          <w:szCs w:val="24"/>
        </w:rPr>
        <w:t xml:space="preserve"> del settore e alle altre autorità amministrative competenti, tra cui il Ministero dello sviluppo economico, nel rispetto del principio di stabilità dell'attuale riparto di competenze sancito dall'articolo 5 della direttiva (UE) 2018/1972;</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c) introdurre misure</w:t>
      </w:r>
      <w:r w:rsidR="008D18BC">
        <w:rPr>
          <w:rFonts w:asciiTheme="minorHAnsi" w:eastAsia="Times New Roman" w:hAnsiTheme="minorHAnsi" w:cs="Times New Roman"/>
          <w:bCs/>
          <w:color w:val="000000" w:themeColor="text1"/>
          <w:sz w:val="24"/>
          <w:szCs w:val="24"/>
        </w:rPr>
        <w:t xml:space="preserve"> </w:t>
      </w:r>
      <w:r w:rsidR="008D18BC" w:rsidRPr="00D80B94">
        <w:rPr>
          <w:b/>
          <w:bCs/>
          <w:color w:val="000000" w:themeColor="text1"/>
          <w:sz w:val="24"/>
          <w:szCs w:val="24"/>
        </w:rPr>
        <w:t>di semplificazione</w:t>
      </w:r>
      <w:proofErr w:type="gramStart"/>
      <w:r w:rsidR="008D18BC">
        <w:rPr>
          <w:rStyle w:val="Rimandonotaapidipagina"/>
          <w:b/>
          <w:bCs/>
          <w:color w:val="000000" w:themeColor="text1"/>
          <w:sz w:val="24"/>
          <w:szCs w:val="24"/>
        </w:rPr>
        <w:footnoteReference w:id="8"/>
      </w:r>
      <w:r w:rsidRPr="002C1B13">
        <w:rPr>
          <w:rFonts w:asciiTheme="minorHAnsi" w:eastAsia="Times New Roman" w:hAnsiTheme="minorHAnsi" w:cs="Times New Roman"/>
          <w:bCs/>
          <w:color w:val="000000" w:themeColor="text1"/>
          <w:sz w:val="24"/>
          <w:szCs w:val="24"/>
        </w:rPr>
        <w:t xml:space="preserve"> </w:t>
      </w:r>
      <w:proofErr w:type="gramEnd"/>
      <w:r w:rsidRPr="002C1B13">
        <w:rPr>
          <w:rFonts w:asciiTheme="minorHAnsi" w:eastAsia="Times New Roman" w:hAnsiTheme="minorHAnsi" w:cs="Times New Roman"/>
          <w:bCs/>
          <w:color w:val="000000" w:themeColor="text1"/>
          <w:sz w:val="24"/>
          <w:szCs w:val="24"/>
        </w:rPr>
        <w:t>per lo sviluppo della connettività e per potenziare gli investimenti in reti a banda ultralarga</w:t>
      </w:r>
      <w:r w:rsidR="000F5ED8">
        <w:rPr>
          <w:rFonts w:asciiTheme="minorHAnsi" w:eastAsia="Times New Roman" w:hAnsiTheme="minorHAnsi" w:cs="Times New Roman"/>
          <w:bCs/>
          <w:color w:val="000000" w:themeColor="text1"/>
          <w:sz w:val="24"/>
          <w:szCs w:val="24"/>
        </w:rPr>
        <w:t xml:space="preserve"> </w:t>
      </w:r>
      <w:r w:rsidR="000F5ED8" w:rsidRPr="00D80B94">
        <w:rPr>
          <w:b/>
          <w:bCs/>
          <w:color w:val="000000" w:themeColor="text1"/>
          <w:sz w:val="24"/>
          <w:szCs w:val="24"/>
        </w:rPr>
        <w:t>sia fisse che mobili</w:t>
      </w:r>
      <w:r w:rsidR="000F5ED8">
        <w:rPr>
          <w:rStyle w:val="Rimandonotaapidipagina"/>
          <w:b/>
          <w:bCs/>
          <w:color w:val="000000" w:themeColor="text1"/>
          <w:sz w:val="24"/>
          <w:szCs w:val="24"/>
        </w:rPr>
        <w:footnoteReference w:id="9"/>
      </w:r>
      <w:r w:rsidRPr="002C1B13">
        <w:rPr>
          <w:rFonts w:asciiTheme="minorHAnsi" w:eastAsia="Times New Roman" w:hAnsiTheme="minorHAnsi" w:cs="Times New Roman"/>
          <w:bCs/>
          <w:color w:val="000000" w:themeColor="text1"/>
          <w:sz w:val="24"/>
          <w:szCs w:val="24"/>
        </w:rPr>
        <w:t>, garantendo altresì l'accesso generalizzato delle reti ad altissima velocità e la loro ampia diffusione per tutti i cittadini</w:t>
      </w:r>
      <w:r w:rsidR="00EE3B84">
        <w:rPr>
          <w:rFonts w:asciiTheme="minorHAnsi" w:eastAsia="Times New Roman" w:hAnsiTheme="minorHAnsi" w:cs="Times New Roman"/>
          <w:b/>
          <w:bCs/>
          <w:color w:val="000000" w:themeColor="text1"/>
          <w:sz w:val="24"/>
          <w:szCs w:val="24"/>
        </w:rPr>
        <w:t xml:space="preserve">, </w:t>
      </w:r>
      <w:r w:rsidR="00EE3B84" w:rsidRPr="00EE3B84">
        <w:rPr>
          <w:rFonts w:asciiTheme="minorHAnsi" w:eastAsia="Times New Roman" w:hAnsiTheme="minorHAnsi" w:cs="Times New Roman"/>
          <w:b/>
          <w:bCs/>
          <w:color w:val="000000" w:themeColor="text1"/>
          <w:sz w:val="24"/>
          <w:szCs w:val="24"/>
        </w:rPr>
        <w:t>evitando zone bianche in assenza di copertura sul territorio nazionale,</w:t>
      </w:r>
      <w:r w:rsidR="00EE3B84">
        <w:rPr>
          <w:rStyle w:val="Rimandonotaapidipagina"/>
          <w:rFonts w:asciiTheme="minorHAnsi" w:eastAsia="Times New Roman" w:hAnsiTheme="minorHAnsi" w:cs="Times New Roman"/>
          <w:b/>
          <w:bCs/>
          <w:color w:val="000000" w:themeColor="text1"/>
          <w:sz w:val="24"/>
          <w:szCs w:val="24"/>
        </w:rPr>
        <w:footnoteReference w:id="10"/>
      </w:r>
      <w:r w:rsidRPr="002C1B13">
        <w:rPr>
          <w:rFonts w:asciiTheme="minorHAnsi" w:eastAsia="Times New Roman" w:hAnsiTheme="minorHAnsi" w:cs="Times New Roman"/>
          <w:bCs/>
          <w:color w:val="000000" w:themeColor="text1"/>
          <w:sz w:val="24"/>
          <w:szCs w:val="24"/>
        </w:rPr>
        <w:t xml:space="preserve"> </w:t>
      </w:r>
      <w:proofErr w:type="gramStart"/>
      <w:r w:rsidRPr="002C1B13">
        <w:rPr>
          <w:rFonts w:asciiTheme="minorHAnsi" w:eastAsia="Times New Roman" w:hAnsiTheme="minorHAnsi" w:cs="Times New Roman"/>
          <w:bCs/>
          <w:color w:val="000000" w:themeColor="text1"/>
          <w:sz w:val="24"/>
          <w:szCs w:val="24"/>
        </w:rPr>
        <w:t>a</w:t>
      </w:r>
      <w:proofErr w:type="gramEnd"/>
      <w:r w:rsidRPr="002C1B13">
        <w:rPr>
          <w:rFonts w:asciiTheme="minorHAnsi" w:eastAsia="Times New Roman" w:hAnsiTheme="minorHAnsi" w:cs="Times New Roman"/>
          <w:bCs/>
          <w:color w:val="000000" w:themeColor="text1"/>
          <w:sz w:val="24"/>
          <w:szCs w:val="24"/>
        </w:rPr>
        <w:t xml:space="preserve"> prezzi accessibili e con possibilità di scelta adeguata, nonché introdurre una nozione di servizio universale che rispecchi il progresso tecnologico, l'evoluzione del mercato e della domanda degli utenti;</w:t>
      </w:r>
    </w:p>
    <w:p w:rsidR="00EE3B84" w:rsidRDefault="00EE3B84"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EE3B84">
        <w:rPr>
          <w:rFonts w:asciiTheme="minorHAnsi" w:eastAsia="Times New Roman" w:hAnsiTheme="minorHAnsi" w:cs="Times New Roman"/>
          <w:b/>
          <w:bCs/>
          <w:color w:val="000000" w:themeColor="text1"/>
          <w:sz w:val="24"/>
          <w:szCs w:val="24"/>
        </w:rPr>
        <w:t>c-bis</w:t>
      </w:r>
      <w:proofErr w:type="gramEnd"/>
      <w:r w:rsidRPr="00EE3B84">
        <w:rPr>
          <w:rFonts w:asciiTheme="minorHAnsi" w:eastAsia="Times New Roman" w:hAnsiTheme="minorHAnsi" w:cs="Times New Roman"/>
          <w:b/>
          <w:bCs/>
          <w:color w:val="000000" w:themeColor="text1"/>
          <w:sz w:val="24"/>
          <w:szCs w:val="24"/>
        </w:rPr>
        <w:t>) assicurare il rispetto dei principi di concorrenza e di certezza dei tempi nelle procedure di assegnazione e rinnovo dei diritti di uso delle frequenze radiomobili così come previsto dall'articolo 48 della direttiva (UE) 2018/1972</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1"/>
      </w:r>
    </w:p>
    <w:p w:rsidR="00EF702D" w:rsidRPr="00EE3B84" w:rsidRDefault="00EF702D"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D80B94">
        <w:rPr>
          <w:b/>
          <w:bCs/>
          <w:color w:val="000000" w:themeColor="text1"/>
          <w:sz w:val="24"/>
          <w:szCs w:val="24"/>
        </w:rPr>
        <w:t>c-bis</w:t>
      </w:r>
      <w:proofErr w:type="gramEnd"/>
      <w:r w:rsidRPr="00D80B94">
        <w:rPr>
          <w:b/>
          <w:bCs/>
          <w:color w:val="000000" w:themeColor="text1"/>
          <w:sz w:val="24"/>
          <w:szCs w:val="24"/>
        </w:rPr>
        <w:t>) definire un regime autorizzatorio, senza pregiudizio alla facoltà in capo alle amministrazioni competenti di organizzare la gestione dello spettro radio e di usarlo per fini di ordine pubblico, pubblica sicurezza e difesa, per l'uso delle frequenze utilizzate dalle tecnologie per l'Internet delle cose, come il Low Power Wide Area (LPWAN), nel rispetto del principio di proporzionalità, al fine di favorire lo sviluppo di progetti imprenditoriali innovativi;</w:t>
      </w:r>
      <w:r>
        <w:rPr>
          <w:rStyle w:val="Rimandonotaapidipagina"/>
          <w:b/>
          <w:bCs/>
          <w:color w:val="000000" w:themeColor="text1"/>
          <w:sz w:val="24"/>
          <w:szCs w:val="24"/>
        </w:rPr>
        <w:footnoteReference w:id="12"/>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d) prevedere oneri amministrativi proporzionati, al fine di non ostacolare lo sviluppo delle attività dei prestatori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servizi;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prevedere adeguate e specifiche misure per le imprese attive esclusivamente sul mercato all'ingrosso;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aggiornare i compiti dell'Autorità delle garanzie nelle comunicazioni, anche </w:t>
      </w:r>
      <w:proofErr w:type="gramStart"/>
      <w:r w:rsidRPr="002C1B13">
        <w:rPr>
          <w:rFonts w:asciiTheme="minorHAnsi" w:eastAsia="Times New Roman" w:hAnsiTheme="minorHAnsi" w:cs="Times New Roman"/>
          <w:bCs/>
          <w:color w:val="000000" w:themeColor="text1"/>
          <w:sz w:val="24"/>
          <w:szCs w:val="24"/>
        </w:rPr>
        <w:t>nell'ottica</w:t>
      </w:r>
      <w:proofErr w:type="gramEnd"/>
      <w:r w:rsidRPr="002C1B13">
        <w:rPr>
          <w:rFonts w:asciiTheme="minorHAnsi" w:eastAsia="Times New Roman" w:hAnsiTheme="minorHAnsi" w:cs="Times New Roman"/>
          <w:bCs/>
          <w:color w:val="000000" w:themeColor="text1"/>
          <w:sz w:val="24"/>
          <w:szCs w:val="24"/>
        </w:rPr>
        <w:t xml:space="preserve"> di rafforzarne le prerogative di indipendenza;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g) provvedere alla </w:t>
      </w:r>
      <w:proofErr w:type="gramStart"/>
      <w:r w:rsidRPr="002C1B13">
        <w:rPr>
          <w:rFonts w:asciiTheme="minorHAnsi" w:eastAsia="Times New Roman" w:hAnsiTheme="minorHAnsi" w:cs="Times New Roman"/>
          <w:bCs/>
          <w:color w:val="000000" w:themeColor="text1"/>
          <w:sz w:val="24"/>
          <w:szCs w:val="24"/>
        </w:rPr>
        <w:t>revisione</w:t>
      </w:r>
      <w:proofErr w:type="gramEnd"/>
      <w:r w:rsidRPr="002C1B13">
        <w:rPr>
          <w:rFonts w:asciiTheme="minorHAnsi" w:eastAsia="Times New Roman" w:hAnsiTheme="minorHAnsi" w:cs="Times New Roman"/>
          <w:bCs/>
          <w:color w:val="000000" w:themeColor="text1"/>
          <w:sz w:val="24"/>
          <w:szCs w:val="24"/>
        </w:rPr>
        <w:t xml:space="preserve"> dell'apparato sanzionatorio amministrativo e penale, già previsto dal codice delle comunicazioni elettroniche, di cui al citato decreto legislativo n. 259 del 2003;</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h) </w:t>
      </w:r>
      <w:proofErr w:type="gramStart"/>
      <w:r w:rsidRPr="002C1B13">
        <w:rPr>
          <w:rFonts w:asciiTheme="minorHAnsi" w:eastAsia="Times New Roman" w:hAnsiTheme="minorHAnsi" w:cs="Times New Roman"/>
          <w:bCs/>
          <w:color w:val="000000" w:themeColor="text1"/>
          <w:sz w:val="24"/>
          <w:szCs w:val="24"/>
        </w:rPr>
        <w:t>provvedere a</w:t>
      </w:r>
      <w:proofErr w:type="gramEnd"/>
      <w:r w:rsidRPr="002C1B13">
        <w:rPr>
          <w:rFonts w:asciiTheme="minorHAnsi" w:eastAsia="Times New Roman" w:hAnsiTheme="minorHAnsi" w:cs="Times New Roman"/>
          <w:bCs/>
          <w:color w:val="000000" w:themeColor="text1"/>
          <w:sz w:val="24"/>
          <w:szCs w:val="24"/>
        </w:rPr>
        <w:t xml:space="preserve"> integrare le limitazioni fatte salve dalla direttiva (UE) 2018/1972 per fini di ordine pubblico, pubblica sicurezza e difesa, includendo le esigenze della sicurezza dello Stato, secondo quanto già previsto dal codice delle comunicazioni elettroniche, di cui al citato decreto legislativo n. 259 del 2003.</w:t>
      </w:r>
    </w:p>
    <w:p w:rsidR="002C1B13" w:rsidRPr="002C1B13" w:rsidRDefault="00EE3B84"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roofErr w:type="gramStart"/>
      <w:r w:rsidRPr="00EE3B84">
        <w:rPr>
          <w:rFonts w:asciiTheme="minorHAnsi" w:eastAsia="Times New Roman" w:hAnsiTheme="minorHAnsi" w:cs="Times New Roman"/>
          <w:b/>
          <w:bCs/>
          <w:color w:val="000000" w:themeColor="text1"/>
          <w:sz w:val="24"/>
          <w:szCs w:val="24"/>
        </w:rPr>
        <w:t>h-bis</w:t>
      </w:r>
      <w:proofErr w:type="gramEnd"/>
      <w:r w:rsidRPr="00EE3B84">
        <w:rPr>
          <w:rFonts w:asciiTheme="minorHAnsi" w:eastAsia="Times New Roman" w:hAnsiTheme="minorHAnsi" w:cs="Times New Roman"/>
          <w:b/>
          <w:bCs/>
          <w:color w:val="000000" w:themeColor="text1"/>
          <w:sz w:val="24"/>
          <w:szCs w:val="24"/>
        </w:rPr>
        <w:t>) provvedere ad annoverare le ricerche di mercato, sociali e di opinione tra le ricerche scientifiche e storiche a fini statistici, nel rispetto delle diverse finalità che le medesime perseguono, essendo orientate alla ricerca del dato, all'aggregazione delle opinioni e all'espletamento dei sondaggi e non alla promozione e commercializzazione di beni e servizi come nelle televendite e il telemarketing;</w:t>
      </w:r>
      <w:r>
        <w:rPr>
          <w:rStyle w:val="Rimandonotaapidipagina"/>
          <w:rFonts w:asciiTheme="minorHAnsi" w:eastAsia="Times New Roman" w:hAnsiTheme="minorHAnsi" w:cs="Times New Roman"/>
          <w:b/>
          <w:bCs/>
          <w:color w:val="000000" w:themeColor="text1"/>
          <w:sz w:val="24"/>
          <w:szCs w:val="24"/>
        </w:rPr>
        <w:footnoteReference w:id="13"/>
      </w:r>
    </w:p>
    <w:p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5.</w:t>
      </w:r>
    </w:p>
    <w:p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185E53">
        <w:rPr>
          <w:rFonts w:asciiTheme="minorHAnsi" w:eastAsia="Times New Roman" w:hAnsiTheme="minorHAnsi" w:cs="Times New Roman"/>
          <w:bCs/>
          <w:i/>
          <w:color w:val="000000" w:themeColor="text1"/>
          <w:sz w:val="24"/>
          <w:szCs w:val="24"/>
        </w:rPr>
        <w:t xml:space="preserve">(Princìpi e criteri direttivi per l'attuazione della direttiva (UE) 2018/2001, sulla </w:t>
      </w:r>
      <w:proofErr w:type="gramStart"/>
      <w:r w:rsidRPr="00185E53">
        <w:rPr>
          <w:rFonts w:asciiTheme="minorHAnsi" w:eastAsia="Times New Roman" w:hAnsiTheme="minorHAnsi" w:cs="Times New Roman"/>
          <w:bCs/>
          <w:i/>
          <w:color w:val="000000" w:themeColor="text1"/>
          <w:sz w:val="24"/>
          <w:szCs w:val="24"/>
        </w:rPr>
        <w:t>promozione</w:t>
      </w:r>
      <w:proofErr w:type="gramEnd"/>
      <w:r w:rsidRPr="00185E53">
        <w:rPr>
          <w:rFonts w:asciiTheme="minorHAnsi" w:eastAsia="Times New Roman" w:hAnsiTheme="minorHAnsi" w:cs="Times New Roman"/>
          <w:bCs/>
          <w:i/>
          <w:color w:val="000000" w:themeColor="text1"/>
          <w:sz w:val="24"/>
          <w:szCs w:val="24"/>
        </w:rPr>
        <w:t xml:space="preserve"> dell'uso dell'energia da fonti rinnovabili)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Nell'esercizio della delega per l'attuazione della direttiva (UE) 2018/2001 del Parlamento europeo e del Consiglio, dell'11 dicembre 2018, il Governo osserva, oltre ai princìpi e criteri direttivi generali di cui all'articolo </w:t>
      </w:r>
      <w:proofErr w:type="gramStart"/>
      <w:r w:rsidRPr="002C1B13">
        <w:rPr>
          <w:rFonts w:asciiTheme="minorHAnsi" w:eastAsia="Times New Roman" w:hAnsiTheme="minorHAnsi" w:cs="Times New Roman"/>
          <w:bCs/>
          <w:color w:val="000000" w:themeColor="text1"/>
          <w:sz w:val="24"/>
          <w:szCs w:val="24"/>
        </w:rPr>
        <w:t>32</w:t>
      </w:r>
      <w:proofErr w:type="gramEnd"/>
      <w:r w:rsidRPr="002C1B13">
        <w:rPr>
          <w:rFonts w:asciiTheme="minorHAnsi" w:eastAsia="Times New Roman" w:hAnsiTheme="minorHAnsi" w:cs="Times New Roman"/>
          <w:bCs/>
          <w:color w:val="000000" w:themeColor="text1"/>
          <w:sz w:val="24"/>
          <w:szCs w:val="24"/>
        </w:rPr>
        <w:t xml:space="preserve"> della legge n. 234 del 2012, anche i seguenti princìpi e criteri direttivi specifici:</w:t>
      </w:r>
    </w:p>
    <w:p w:rsidR="009A377A" w:rsidRPr="00C81E3B" w:rsidRDefault="002C1B13" w:rsidP="009A377A">
      <w:pPr>
        <w:jc w:val="both"/>
        <w:rPr>
          <w:b/>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prevedere, previa intesa con la Conferenza unificata ai sensi dell'articolo </w:t>
      </w:r>
      <w:proofErr w:type="gramStart"/>
      <w:r w:rsidRPr="002C1B13">
        <w:rPr>
          <w:rFonts w:asciiTheme="minorHAnsi" w:eastAsia="Times New Roman" w:hAnsiTheme="minorHAnsi" w:cs="Times New Roman"/>
          <w:bCs/>
          <w:color w:val="000000" w:themeColor="text1"/>
          <w:sz w:val="24"/>
          <w:szCs w:val="24"/>
        </w:rPr>
        <w:t>3</w:t>
      </w:r>
      <w:proofErr w:type="gramEnd"/>
      <w:r w:rsidRPr="002C1B13">
        <w:rPr>
          <w:rFonts w:asciiTheme="minorHAnsi" w:eastAsia="Times New Roman" w:hAnsiTheme="minorHAnsi" w:cs="Times New Roman"/>
          <w:bCs/>
          <w:color w:val="000000" w:themeColor="text1"/>
          <w:sz w:val="24"/>
          <w:szCs w:val="24"/>
        </w:rPr>
        <w:t xml:space="preserve"> del decreto legislativo 28 agosto 1997, n. 281, su proposta del </w:t>
      </w:r>
      <w:r w:rsidRPr="009A377A">
        <w:rPr>
          <w:rFonts w:asciiTheme="minorHAnsi" w:eastAsia="Times New Roman" w:hAnsiTheme="minorHAnsi" w:cs="Times New Roman"/>
          <w:bCs/>
          <w:strike/>
          <w:color w:val="000000" w:themeColor="text1"/>
          <w:sz w:val="24"/>
          <w:szCs w:val="24"/>
          <w:highlight w:val="yellow"/>
        </w:rPr>
        <w:t>Ministero dello sviluppo economico</w:t>
      </w:r>
      <w:r w:rsidR="009A377A" w:rsidRPr="009A377A">
        <w:rPr>
          <w:b/>
          <w:bCs/>
          <w:color w:val="000000" w:themeColor="text1"/>
          <w:sz w:val="24"/>
          <w:szCs w:val="24"/>
        </w:rPr>
        <w:t xml:space="preserve"> </w:t>
      </w:r>
      <w:r w:rsidR="009A377A" w:rsidRPr="00C81E3B">
        <w:rPr>
          <w:b/>
          <w:bCs/>
          <w:color w:val="000000" w:themeColor="text1"/>
          <w:sz w:val="24"/>
          <w:szCs w:val="24"/>
        </w:rPr>
        <w:t>Ministero dello sviluppo economico, di concerto con il Ministero dell'ambiente e della tutela del territorio e del mare e con il Ministero per i beni e le attività culturali e il turismo</w:t>
      </w:r>
      <w:r w:rsidR="009A377A">
        <w:rPr>
          <w:rStyle w:val="Rimandonotaapidipagina"/>
          <w:b/>
          <w:bCs/>
          <w:color w:val="000000" w:themeColor="text1"/>
          <w:sz w:val="24"/>
          <w:szCs w:val="24"/>
        </w:rPr>
        <w:footnoteReference w:id="14"/>
      </w:r>
      <w:r w:rsidRPr="002C1B13">
        <w:rPr>
          <w:rFonts w:asciiTheme="minorHAnsi" w:eastAsia="Times New Roman" w:hAnsiTheme="minorHAnsi" w:cs="Times New Roman"/>
          <w:bCs/>
          <w:color w:val="000000" w:themeColor="text1"/>
          <w:sz w:val="24"/>
          <w:szCs w:val="24"/>
        </w:rPr>
        <w:t xml:space="preserve">, nell'ambito degli obiettivi indicati nel piano nazionale integrato per l'energia e il clima, una disciplina per la definizione delle superfici e delle aree idonee e non idonee per l'installazione di impianti a fonti rinnovabili nel rispetto delle esigenze di tutela </w:t>
      </w:r>
      <w:r w:rsidRPr="002C1B13">
        <w:rPr>
          <w:rFonts w:asciiTheme="minorHAnsi" w:eastAsia="Times New Roman" w:hAnsiTheme="minorHAnsi" w:cs="Times New Roman"/>
          <w:bCs/>
          <w:color w:val="000000" w:themeColor="text1"/>
          <w:sz w:val="24"/>
          <w:szCs w:val="24"/>
        </w:rPr>
        <w:lastRenderedPageBreak/>
        <w:t>del patrimonio culturale e del paesaggio, delle aree agricole e forestali, della qualità dell'aria e dei corpi idrici, nonché delle specifiche competenze dei Ministeri per i beni e le attività culturali e per il turismo, delle politiche agricole alimentari e forestali e dell'ambiente e della tutela del territorio e del mare, privilegiando l'utilizzo di superfici di strutture edificate</w:t>
      </w:r>
      <w:r w:rsidR="009A377A" w:rsidRPr="00C81E3B">
        <w:rPr>
          <w:b/>
          <w:bCs/>
          <w:color w:val="000000" w:themeColor="text1"/>
          <w:sz w:val="24"/>
          <w:szCs w:val="24"/>
        </w:rPr>
        <w:t>, quali capannoni industriali e parcheggi,</w:t>
      </w:r>
      <w:r w:rsidR="009A377A">
        <w:rPr>
          <w:rStyle w:val="Rimandonotaapidipagina"/>
          <w:b/>
          <w:bCs/>
          <w:color w:val="000000" w:themeColor="text1"/>
          <w:sz w:val="24"/>
          <w:szCs w:val="24"/>
        </w:rPr>
        <w:footnoteReference w:id="15"/>
      </w:r>
      <w:r w:rsidRPr="002C1B13">
        <w:rPr>
          <w:rFonts w:asciiTheme="minorHAnsi" w:eastAsia="Times New Roman" w:hAnsiTheme="minorHAnsi" w:cs="Times New Roman"/>
          <w:bCs/>
          <w:color w:val="000000" w:themeColor="text1"/>
          <w:sz w:val="24"/>
          <w:szCs w:val="24"/>
        </w:rPr>
        <w:t xml:space="preserve"> </w:t>
      </w:r>
      <w:proofErr w:type="gramStart"/>
      <w:r w:rsidRPr="002C1B13">
        <w:rPr>
          <w:rFonts w:asciiTheme="minorHAnsi" w:eastAsia="Times New Roman" w:hAnsiTheme="minorHAnsi" w:cs="Times New Roman"/>
          <w:bCs/>
          <w:color w:val="000000" w:themeColor="text1"/>
          <w:sz w:val="24"/>
          <w:szCs w:val="24"/>
        </w:rPr>
        <w:t>e</w:t>
      </w:r>
      <w:proofErr w:type="gramEnd"/>
      <w:r w:rsidRPr="002C1B13">
        <w:rPr>
          <w:rFonts w:asciiTheme="minorHAnsi" w:eastAsia="Times New Roman" w:hAnsiTheme="minorHAnsi" w:cs="Times New Roman"/>
          <w:bCs/>
          <w:color w:val="000000" w:themeColor="text1"/>
          <w:sz w:val="24"/>
          <w:szCs w:val="24"/>
        </w:rPr>
        <w:t xml:space="preserve"> aree non utilizzabili per altri scopi, compatibilmente con le caratteristiche e le disponibilità delle risorse rinnovabili</w:t>
      </w:r>
      <w:r w:rsidR="00DF787F">
        <w:rPr>
          <w:rFonts w:asciiTheme="minorHAnsi" w:eastAsia="Times New Roman" w:hAnsiTheme="minorHAnsi" w:cs="Times New Roman"/>
          <w:bCs/>
          <w:color w:val="000000" w:themeColor="text1"/>
          <w:sz w:val="24"/>
          <w:szCs w:val="24"/>
        </w:rPr>
        <w:t xml:space="preserve"> </w:t>
      </w:r>
      <w:r w:rsidR="00DF787F" w:rsidRPr="00377B72">
        <w:rPr>
          <w:b/>
          <w:bCs/>
          <w:color w:val="000000" w:themeColor="text1"/>
          <w:sz w:val="24"/>
          <w:szCs w:val="24"/>
        </w:rPr>
        <w:t>nonché tenendo in considerazione la dislocazione della domanda, gli eventuali vincoli di rete ed il potenziale di sviluppo della rete stessa</w:t>
      </w:r>
      <w:r w:rsidR="00DF787F">
        <w:rPr>
          <w:rStyle w:val="Rimandonotaapidipagina"/>
          <w:b/>
          <w:bCs/>
          <w:color w:val="000000" w:themeColor="text1"/>
          <w:sz w:val="24"/>
          <w:szCs w:val="24"/>
        </w:rPr>
        <w:footnoteReference w:id="16"/>
      </w:r>
      <w:r w:rsidR="009A377A">
        <w:rPr>
          <w:rFonts w:asciiTheme="minorHAnsi" w:eastAsia="Times New Roman" w:hAnsiTheme="minorHAnsi" w:cs="Times New Roman"/>
          <w:bCs/>
          <w:color w:val="000000" w:themeColor="text1"/>
          <w:sz w:val="24"/>
          <w:szCs w:val="24"/>
        </w:rPr>
        <w:t xml:space="preserve">. </w:t>
      </w:r>
      <w:r w:rsidR="009A377A" w:rsidRPr="00C81E3B">
        <w:rPr>
          <w:b/>
          <w:bCs/>
          <w:color w:val="000000" w:themeColor="text1"/>
          <w:sz w:val="24"/>
          <w:szCs w:val="24"/>
        </w:rPr>
        <w:t>A tal fine sono osservati, in particolare, i seguenti indirizzi:</w:t>
      </w:r>
    </w:p>
    <w:p w:rsidR="009A377A" w:rsidRPr="00C81E3B" w:rsidRDefault="009A377A" w:rsidP="009A377A">
      <w:pPr>
        <w:jc w:val="both"/>
        <w:rPr>
          <w:b/>
          <w:bCs/>
          <w:color w:val="000000" w:themeColor="text1"/>
          <w:sz w:val="24"/>
          <w:szCs w:val="24"/>
        </w:rPr>
      </w:pPr>
    </w:p>
    <w:p w:rsidR="009A377A" w:rsidRPr="00C81E3B" w:rsidRDefault="009A377A" w:rsidP="009A377A">
      <w:pPr>
        <w:jc w:val="both"/>
        <w:rPr>
          <w:b/>
          <w:bCs/>
          <w:color w:val="000000" w:themeColor="text1"/>
          <w:sz w:val="24"/>
          <w:szCs w:val="24"/>
        </w:rPr>
      </w:pPr>
      <w:r w:rsidRPr="00C81E3B">
        <w:rPr>
          <w:b/>
          <w:bCs/>
          <w:color w:val="000000" w:themeColor="text1"/>
          <w:sz w:val="24"/>
          <w:szCs w:val="24"/>
        </w:rPr>
        <w:t xml:space="preserve">            1) la disciplina è volta a definire criteri per l'individuazione di aree idonee all'installazione </w:t>
      </w:r>
      <w:proofErr w:type="gramStart"/>
      <w:r w:rsidRPr="00C81E3B">
        <w:rPr>
          <w:b/>
          <w:bCs/>
          <w:color w:val="000000" w:themeColor="text1"/>
          <w:sz w:val="24"/>
          <w:szCs w:val="24"/>
        </w:rPr>
        <w:t xml:space="preserve">di </w:t>
      </w:r>
      <w:proofErr w:type="gramEnd"/>
      <w:r w:rsidRPr="00C81E3B">
        <w:rPr>
          <w:b/>
          <w:bCs/>
          <w:color w:val="000000" w:themeColor="text1"/>
          <w:sz w:val="24"/>
          <w:szCs w:val="24"/>
        </w:rPr>
        <w:t>impianti a fonti rinnovabili aventi una potenza complessiva almeno pari a quella individuata come necessaria dal Piano nazionale integrato per l'energia e il clima (PNIEC) per il raggiungimento degli obiettivi di sviluppo delle fonti rinnovabili. A tal fine, la disciplina reca, inoltre, criteri per la ripartizione fra regioni e province autonome;</w:t>
      </w:r>
    </w:p>
    <w:p w:rsidR="009A377A" w:rsidRPr="00C81E3B" w:rsidRDefault="009A377A" w:rsidP="009A377A">
      <w:pPr>
        <w:jc w:val="both"/>
        <w:rPr>
          <w:b/>
          <w:bCs/>
          <w:color w:val="000000" w:themeColor="text1"/>
          <w:sz w:val="24"/>
          <w:szCs w:val="24"/>
        </w:rPr>
      </w:pPr>
    </w:p>
    <w:p w:rsidR="009A377A" w:rsidRPr="00C81E3B" w:rsidRDefault="009A377A" w:rsidP="009A377A">
      <w:pPr>
        <w:jc w:val="both"/>
        <w:rPr>
          <w:b/>
          <w:bCs/>
          <w:color w:val="000000" w:themeColor="text1"/>
          <w:sz w:val="24"/>
          <w:szCs w:val="24"/>
        </w:rPr>
      </w:pPr>
      <w:r w:rsidRPr="00C81E3B">
        <w:rPr>
          <w:b/>
          <w:bCs/>
          <w:color w:val="000000" w:themeColor="text1"/>
          <w:sz w:val="24"/>
          <w:szCs w:val="24"/>
        </w:rPr>
        <w:t xml:space="preserve">            2) il processo programmatorio </w:t>
      </w:r>
      <w:proofErr w:type="gramStart"/>
      <w:r w:rsidRPr="00C81E3B">
        <w:rPr>
          <w:b/>
          <w:bCs/>
          <w:color w:val="000000" w:themeColor="text1"/>
          <w:sz w:val="24"/>
          <w:szCs w:val="24"/>
        </w:rPr>
        <w:t xml:space="preserve">di </w:t>
      </w:r>
      <w:proofErr w:type="gramEnd"/>
      <w:r w:rsidRPr="00C81E3B">
        <w:rPr>
          <w:b/>
          <w:bCs/>
          <w:color w:val="000000" w:themeColor="text1"/>
          <w:sz w:val="24"/>
          <w:szCs w:val="24"/>
        </w:rPr>
        <w:t xml:space="preserve">individuazione delle aree idonee è effettuato da ciascuna regione o provincia autonoma in attuazione della disciplina di cui al punto 1), entro un termine massimo congruente con i tempi necessari per il raggiungimento degli obiettivi. Nel caso di mancata adozione, è prevista l'applicazione dell'articolo </w:t>
      </w:r>
      <w:proofErr w:type="gramStart"/>
      <w:r w:rsidRPr="00C81E3B">
        <w:rPr>
          <w:b/>
          <w:bCs/>
          <w:color w:val="000000" w:themeColor="text1"/>
          <w:sz w:val="24"/>
          <w:szCs w:val="24"/>
        </w:rPr>
        <w:t>41</w:t>
      </w:r>
      <w:proofErr w:type="gramEnd"/>
      <w:r w:rsidRPr="00C81E3B">
        <w:rPr>
          <w:b/>
          <w:bCs/>
          <w:color w:val="000000" w:themeColor="text1"/>
          <w:sz w:val="24"/>
          <w:szCs w:val="24"/>
        </w:rPr>
        <w:t xml:space="preserve"> della legge 24 dicembre 2012, n. 234;</w:t>
      </w:r>
    </w:p>
    <w:p w:rsidR="009A377A" w:rsidRPr="00C81E3B" w:rsidRDefault="009A377A" w:rsidP="009A377A">
      <w:pPr>
        <w:jc w:val="both"/>
        <w:rPr>
          <w:b/>
          <w:bCs/>
          <w:color w:val="000000" w:themeColor="text1"/>
          <w:sz w:val="24"/>
          <w:szCs w:val="24"/>
        </w:rPr>
      </w:pPr>
    </w:p>
    <w:p w:rsidR="002C1B13" w:rsidRDefault="009A377A" w:rsidP="009A377A">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C81E3B">
        <w:rPr>
          <w:b/>
          <w:bCs/>
          <w:color w:val="000000" w:themeColor="text1"/>
          <w:sz w:val="24"/>
          <w:szCs w:val="24"/>
        </w:rPr>
        <w:t xml:space="preserve">        b) alla lettera b), dopo le parole: «procedimenti autorizzativi», inserire le seguenti: «con quelli dei procedimenti per la connessione alla rete elettrica e con quelli</w:t>
      </w:r>
      <w:proofErr w:type="gramStart"/>
      <w:r>
        <w:rPr>
          <w:rStyle w:val="Rimandonotaapidipagina"/>
          <w:b/>
          <w:bCs/>
          <w:color w:val="000000" w:themeColor="text1"/>
          <w:sz w:val="24"/>
          <w:szCs w:val="24"/>
        </w:rPr>
        <w:footnoteReference w:id="17"/>
      </w:r>
      <w:r w:rsidR="002C1B13" w:rsidRPr="002C1B13">
        <w:rPr>
          <w:rFonts w:asciiTheme="minorHAnsi" w:eastAsia="Times New Roman" w:hAnsiTheme="minorHAnsi" w:cs="Times New Roman"/>
          <w:bCs/>
          <w:color w:val="000000" w:themeColor="text1"/>
          <w:sz w:val="24"/>
          <w:szCs w:val="24"/>
        </w:rPr>
        <w:t>;</w:t>
      </w:r>
      <w:proofErr w:type="gramEnd"/>
    </w:p>
    <w:p w:rsidR="00DF787F" w:rsidRDefault="00DF787F" w:rsidP="009A377A">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DF787F" w:rsidRPr="00377B72" w:rsidRDefault="00DF787F" w:rsidP="00DF787F">
      <w:pPr>
        <w:jc w:val="both"/>
        <w:rPr>
          <w:b/>
          <w:bCs/>
          <w:color w:val="000000" w:themeColor="text1"/>
          <w:sz w:val="24"/>
          <w:szCs w:val="24"/>
        </w:rPr>
      </w:pPr>
      <w:r w:rsidRPr="00377B72">
        <w:rPr>
          <w:b/>
          <w:bCs/>
          <w:color w:val="000000" w:themeColor="text1"/>
          <w:sz w:val="24"/>
          <w:szCs w:val="24"/>
        </w:rPr>
        <w:t xml:space="preserve">        </w:t>
      </w:r>
      <w:proofErr w:type="gramStart"/>
      <w:r w:rsidRPr="00377B72">
        <w:rPr>
          <w:b/>
          <w:bCs/>
          <w:color w:val="000000" w:themeColor="text1"/>
          <w:sz w:val="24"/>
          <w:szCs w:val="24"/>
        </w:rPr>
        <w:t>a-bis</w:t>
      </w:r>
      <w:proofErr w:type="gramEnd"/>
      <w:r w:rsidRPr="00377B72">
        <w:rPr>
          <w:b/>
          <w:bCs/>
          <w:color w:val="000000" w:themeColor="text1"/>
          <w:sz w:val="24"/>
          <w:szCs w:val="24"/>
        </w:rPr>
        <w:t xml:space="preserve">) nella definizione delle superfici e delle aree idonee e non idonee per l'istallazione  di impianti a fonti rinnovabili di cui alla lettera a), le discariche e i lotti di discarica chiusi e ripristinati, </w:t>
      </w:r>
      <w:r w:rsidRPr="00377B72">
        <w:rPr>
          <w:b/>
          <w:bCs/>
          <w:color w:val="000000" w:themeColor="text1"/>
          <w:sz w:val="24"/>
          <w:szCs w:val="24"/>
        </w:rPr>
        <w:lastRenderedPageBreak/>
        <w:t xml:space="preserve">nonché le aree, anche comprese nei siti di interesse nazionale, per le quali sia stata rilasciata la certificazione di avvenuta bonifica ai sensi dell'art. 242, comma </w:t>
      </w:r>
      <w:proofErr w:type="gramStart"/>
      <w:r w:rsidRPr="00377B72">
        <w:rPr>
          <w:b/>
          <w:bCs/>
          <w:color w:val="000000" w:themeColor="text1"/>
          <w:sz w:val="24"/>
          <w:szCs w:val="24"/>
        </w:rPr>
        <w:t>13</w:t>
      </w:r>
      <w:proofErr w:type="gramEnd"/>
      <w:r w:rsidRPr="00377B72">
        <w:rPr>
          <w:b/>
          <w:bCs/>
          <w:color w:val="000000" w:themeColor="text1"/>
          <w:sz w:val="24"/>
          <w:szCs w:val="24"/>
        </w:rPr>
        <w:t xml:space="preserve">, del decreto legislativo 3 aprile 2006, n. 152 ovvero per le quali risulti chiuso il procedimento di cui all'art. 242, comma </w:t>
      </w:r>
      <w:proofErr w:type="gramStart"/>
      <w:r w:rsidRPr="00377B72">
        <w:rPr>
          <w:b/>
          <w:bCs/>
          <w:color w:val="000000" w:themeColor="text1"/>
          <w:sz w:val="24"/>
          <w:szCs w:val="24"/>
        </w:rPr>
        <w:t>2</w:t>
      </w:r>
      <w:proofErr w:type="gramEnd"/>
      <w:r w:rsidRPr="00377B72">
        <w:rPr>
          <w:b/>
          <w:bCs/>
          <w:color w:val="000000" w:themeColor="text1"/>
          <w:sz w:val="24"/>
          <w:szCs w:val="24"/>
        </w:rPr>
        <w:t>, del medesimo decreto legislativo, possono essere destinati all'istallazione dei predetti impianti, a condizione, tuttavia, che essi non ricadano in aree ad elevato valore naturalistico e paesaggistico previste dalla Strategia nazionale per la biodiversità, adottata nell'ambito degli impegni assunti dall'Italia con la ratifica della Convenzione sulla Diversità Biologica (CBD, Rio de Janeiro 1992) avvenuta con la Legge n. 124 del 14 febbraio 1994;</w:t>
      </w:r>
      <w:r>
        <w:rPr>
          <w:rStyle w:val="Rimandonotaapidipagina"/>
          <w:b/>
          <w:bCs/>
          <w:color w:val="000000" w:themeColor="text1"/>
          <w:sz w:val="24"/>
          <w:szCs w:val="24"/>
        </w:rPr>
        <w:footnoteReference w:id="18"/>
      </w:r>
    </w:p>
    <w:p w:rsidR="00755C76" w:rsidRPr="00377B72" w:rsidRDefault="00755C76" w:rsidP="00755C76">
      <w:pPr>
        <w:jc w:val="both"/>
        <w:rPr>
          <w:b/>
          <w:bCs/>
          <w:color w:val="000000" w:themeColor="text1"/>
          <w:sz w:val="24"/>
          <w:szCs w:val="24"/>
        </w:rPr>
      </w:pPr>
      <w:r w:rsidRPr="00377B72">
        <w:rPr>
          <w:b/>
          <w:bCs/>
          <w:color w:val="000000" w:themeColor="text1"/>
          <w:sz w:val="24"/>
          <w:szCs w:val="24"/>
        </w:rPr>
        <w:t xml:space="preserve">        </w:t>
      </w:r>
      <w:proofErr w:type="gramStart"/>
      <w:r w:rsidRPr="00377B72">
        <w:rPr>
          <w:b/>
          <w:bCs/>
          <w:color w:val="000000" w:themeColor="text1"/>
          <w:sz w:val="24"/>
          <w:szCs w:val="24"/>
        </w:rPr>
        <w:t>a-bis</w:t>
      </w:r>
      <w:proofErr w:type="gramEnd"/>
      <w:r w:rsidRPr="00377B72">
        <w:rPr>
          <w:b/>
          <w:bCs/>
          <w:color w:val="000000" w:themeColor="text1"/>
          <w:sz w:val="24"/>
          <w:szCs w:val="24"/>
        </w:rPr>
        <w:t>) prevedere che il comma 1 dell'articolo 65, del decreto-legge 24 gennaio 2012, n. 1, convertito, con modificazioni, dalla legge 24 marzo 2012, n. 27, non si applica agli impianti solari fotovoltaici realizzati e da realizzare su discariche e lotti di discarica chiusi e ripristinati, cave non suscettibili di ulteriore sfruttamento estrattivo per le quali l'autorità competente al rilascio dell'autorizzazione abbia attestato l'avvenuto completamento delle attività di recupero e ripristino ambientale previste nel titolo autorizzativo nel rispetto delle norme regionali vigenti, nonché su aree, anche comprese nei siti di interesse nazionale, per le quali sia stata rilasciata la certificazione di avvenuta bonifica ai sensi dell'art.242, comma 13, del decreto legislativo 3 aprile 2006, n.152 ovvero per le quali risulti chiuso il procedimento di cui all'art.242, comma 2, del medesimo decreto legislativo;</w:t>
      </w:r>
      <w:r>
        <w:rPr>
          <w:rStyle w:val="Rimandonotaapidipagina"/>
          <w:b/>
          <w:bCs/>
          <w:color w:val="000000" w:themeColor="text1"/>
          <w:sz w:val="24"/>
          <w:szCs w:val="24"/>
        </w:rPr>
        <w:footnoteReference w:id="19"/>
      </w:r>
    </w:p>
    <w:p w:rsidR="00DF787F" w:rsidRPr="002C1B13" w:rsidRDefault="00DF787F" w:rsidP="009A377A">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individuare procedure abilitative semplificate, proporzionate alla tipologia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interventi e alla loro localizzazione</w:t>
      </w:r>
      <w:r w:rsidR="00662854">
        <w:rPr>
          <w:rFonts w:asciiTheme="minorHAnsi" w:eastAsia="Times New Roman" w:hAnsiTheme="minorHAnsi" w:cs="Times New Roman"/>
          <w:bCs/>
          <w:color w:val="000000" w:themeColor="text1"/>
          <w:sz w:val="24"/>
          <w:szCs w:val="24"/>
        </w:rPr>
        <w:t xml:space="preserve"> </w:t>
      </w:r>
      <w:r w:rsidR="00662854" w:rsidRPr="00377B72">
        <w:rPr>
          <w:b/>
          <w:bCs/>
          <w:color w:val="000000" w:themeColor="text1"/>
          <w:sz w:val="24"/>
          <w:szCs w:val="24"/>
        </w:rPr>
        <w:t>secondo un principio di sussidiarietà verticale</w:t>
      </w:r>
      <w:r w:rsidR="00662854">
        <w:rPr>
          <w:rStyle w:val="Rimandonotaapidipagina"/>
          <w:b/>
          <w:bCs/>
          <w:color w:val="000000" w:themeColor="text1"/>
          <w:sz w:val="24"/>
          <w:szCs w:val="24"/>
        </w:rPr>
        <w:footnoteReference w:id="20"/>
      </w:r>
      <w:r w:rsidRPr="002C1B13">
        <w:rPr>
          <w:rFonts w:asciiTheme="minorHAnsi" w:eastAsia="Times New Roman" w:hAnsiTheme="minorHAnsi" w:cs="Times New Roman"/>
          <w:bCs/>
          <w:color w:val="000000" w:themeColor="text1"/>
          <w:sz w:val="24"/>
          <w:szCs w:val="24"/>
        </w:rPr>
        <w:t xml:space="preserve">, per l'installazione degli impianti nelle aree e siti individuati ai sensi delle lettere a) e m), </w:t>
      </w:r>
      <w:r w:rsidRPr="006E4F7A">
        <w:rPr>
          <w:rFonts w:asciiTheme="minorHAnsi" w:eastAsia="Times New Roman" w:hAnsiTheme="minorHAnsi" w:cs="Times New Roman"/>
          <w:bCs/>
          <w:strike/>
          <w:color w:val="000000" w:themeColor="text1"/>
          <w:sz w:val="24"/>
          <w:szCs w:val="24"/>
          <w:highlight w:val="yellow"/>
        </w:rPr>
        <w:t>razionalizzando</w:t>
      </w:r>
      <w:r w:rsidRPr="002C1B13">
        <w:rPr>
          <w:rFonts w:asciiTheme="minorHAnsi" w:eastAsia="Times New Roman" w:hAnsiTheme="minorHAnsi" w:cs="Times New Roman"/>
          <w:bCs/>
          <w:color w:val="000000" w:themeColor="text1"/>
          <w:sz w:val="24"/>
          <w:szCs w:val="24"/>
        </w:rPr>
        <w:t xml:space="preserve"> </w:t>
      </w:r>
      <w:r w:rsidR="006E4F7A" w:rsidRPr="006E4F7A">
        <w:rPr>
          <w:rFonts w:asciiTheme="minorHAnsi" w:hAnsiTheme="minorHAnsi"/>
          <w:b/>
          <w:bCs/>
          <w:color w:val="000000" w:themeColor="text1"/>
          <w:sz w:val="24"/>
          <w:szCs w:val="24"/>
        </w:rPr>
        <w:t>riducendo</w:t>
      </w:r>
      <w:r w:rsidR="005F22B0">
        <w:rPr>
          <w:rStyle w:val="Rimandonotaapidipagina"/>
          <w:rFonts w:asciiTheme="minorHAnsi" w:hAnsiTheme="minorHAnsi"/>
          <w:b/>
          <w:bCs/>
          <w:color w:val="000000" w:themeColor="text1"/>
          <w:sz w:val="24"/>
          <w:szCs w:val="24"/>
        </w:rPr>
        <w:footnoteReference w:id="21"/>
      </w:r>
      <w:r w:rsidR="006E4F7A" w:rsidRPr="006E4F7A">
        <w:rPr>
          <w:rFonts w:asciiTheme="minorHAnsi" w:eastAsia="Times New Roman" w:hAnsiTheme="minorHAnsi" w:cs="Times New Roman"/>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altresì i termini dei procedimenti autorizzativi e per l'assegnazione di incentivi;</w:t>
      </w:r>
    </w:p>
    <w:p w:rsidR="00662854" w:rsidRDefault="00662854"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662854" w:rsidRPr="00377B72" w:rsidRDefault="00662854" w:rsidP="00662854">
      <w:pPr>
        <w:jc w:val="both"/>
        <w:rPr>
          <w:b/>
          <w:bCs/>
          <w:color w:val="000000" w:themeColor="text1"/>
          <w:sz w:val="24"/>
          <w:szCs w:val="24"/>
        </w:rPr>
      </w:pPr>
      <w:r w:rsidRPr="00377B72">
        <w:rPr>
          <w:b/>
          <w:bCs/>
          <w:color w:val="000000" w:themeColor="text1"/>
          <w:sz w:val="24"/>
          <w:szCs w:val="24"/>
        </w:rPr>
        <w:lastRenderedPageBreak/>
        <w:t xml:space="preserve">        </w:t>
      </w:r>
      <w:proofErr w:type="gramStart"/>
      <w:r w:rsidRPr="00377B72">
        <w:rPr>
          <w:b/>
          <w:bCs/>
          <w:color w:val="000000" w:themeColor="text1"/>
          <w:sz w:val="24"/>
          <w:szCs w:val="24"/>
        </w:rPr>
        <w:t>b-bis</w:t>
      </w:r>
      <w:proofErr w:type="gramEnd"/>
      <w:r w:rsidRPr="00377B72">
        <w:rPr>
          <w:b/>
          <w:bCs/>
          <w:color w:val="000000" w:themeColor="text1"/>
          <w:sz w:val="24"/>
          <w:szCs w:val="24"/>
        </w:rPr>
        <w:t>) individuare procedure abilitative semplificate per gli interventi - diversi dalla mera sostituzione di componenti principali che non è sottoposta ad alcuna autorizzazione - di rifacimento totale e parziale, riattivazione, integrale ricostruzione e potenziamento su impianti a fonti rinnovabili già esistenti, razionalizzando altresì i termini dei procedimenti autorizzativi e per l'assegnazione di incentivi;</w:t>
      </w:r>
      <w:r>
        <w:rPr>
          <w:rStyle w:val="Rimandonotaapidipagina"/>
          <w:b/>
          <w:bCs/>
          <w:color w:val="000000" w:themeColor="text1"/>
          <w:sz w:val="24"/>
          <w:szCs w:val="24"/>
        </w:rPr>
        <w:footnoteReference w:id="22"/>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riordinare </w:t>
      </w:r>
      <w:r w:rsidR="00AB2325" w:rsidRPr="00377B72">
        <w:rPr>
          <w:b/>
          <w:bCs/>
          <w:color w:val="000000" w:themeColor="text1"/>
          <w:sz w:val="24"/>
          <w:szCs w:val="24"/>
        </w:rPr>
        <w:t>e semplificare</w:t>
      </w:r>
      <w:proofErr w:type="gramStart"/>
      <w:r w:rsidR="00AB2325" w:rsidRPr="002C1B13">
        <w:rPr>
          <w:rFonts w:asciiTheme="minorHAnsi" w:eastAsia="Times New Roman" w:hAnsiTheme="minorHAnsi" w:cs="Times New Roman"/>
          <w:bCs/>
          <w:color w:val="000000" w:themeColor="text1"/>
          <w:sz w:val="24"/>
          <w:szCs w:val="24"/>
        </w:rPr>
        <w:t xml:space="preserve"> </w:t>
      </w:r>
      <w:r w:rsidR="00AB2325">
        <w:rPr>
          <w:rStyle w:val="Rimandonotaapidipagina"/>
          <w:rFonts w:asciiTheme="minorHAnsi" w:eastAsia="Times New Roman" w:hAnsiTheme="minorHAnsi" w:cs="Times New Roman"/>
          <w:bCs/>
          <w:color w:val="000000" w:themeColor="text1"/>
          <w:sz w:val="24"/>
          <w:szCs w:val="24"/>
        </w:rPr>
        <w:footnoteReference w:id="23"/>
      </w:r>
      <w:proofErr w:type="gramEnd"/>
      <w:r w:rsidRPr="002C1B13">
        <w:rPr>
          <w:rFonts w:asciiTheme="minorHAnsi" w:eastAsia="Times New Roman" w:hAnsiTheme="minorHAnsi" w:cs="Times New Roman"/>
          <w:bCs/>
          <w:color w:val="000000" w:themeColor="text1"/>
          <w:sz w:val="24"/>
          <w:szCs w:val="24"/>
        </w:rPr>
        <w:t>la normativa vigente in materia di configurazioni per l'autoconsumo, ivi incluse quelle inerenti i sistemi efficienti di utenza e lo scambio sul posto, con l'obiettivo di favorire la realizzazione di tutti i sistemi di autoconsumo, anche collettivi, da fonti rinnovabili, con conseguente minore utilizzo della rete elettrica derivante da sistemi di generazione diffusa;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prevedere meccanismi per il monitoraggio degli effetti della diffusione dell'autoconsumo, anche ai fini dell'aggiornamento delle </w:t>
      </w:r>
      <w:proofErr w:type="gramStart"/>
      <w:r w:rsidRPr="002C1B13">
        <w:rPr>
          <w:rFonts w:asciiTheme="minorHAnsi" w:eastAsia="Times New Roman" w:hAnsiTheme="minorHAnsi" w:cs="Times New Roman"/>
          <w:bCs/>
          <w:color w:val="000000" w:themeColor="text1"/>
          <w:sz w:val="24"/>
          <w:szCs w:val="24"/>
        </w:rPr>
        <w:t>modalità</w:t>
      </w:r>
      <w:proofErr w:type="gramEnd"/>
      <w:r w:rsidRPr="002C1B13">
        <w:rPr>
          <w:rFonts w:asciiTheme="minorHAnsi" w:eastAsia="Times New Roman" w:hAnsiTheme="minorHAnsi" w:cs="Times New Roman"/>
          <w:bCs/>
          <w:color w:val="000000" w:themeColor="text1"/>
          <w:sz w:val="24"/>
          <w:szCs w:val="24"/>
        </w:rPr>
        <w:t xml:space="preserve"> di imposizione e raccolta delle componenti tariffarie a copertura degli oneri generali di sistema</w:t>
      </w:r>
      <w:r w:rsidR="005C55A6">
        <w:rPr>
          <w:rFonts w:asciiTheme="minorHAnsi" w:eastAsia="Times New Roman" w:hAnsiTheme="minorHAnsi" w:cs="Times New Roman"/>
          <w:bCs/>
          <w:color w:val="000000" w:themeColor="text1"/>
          <w:sz w:val="24"/>
          <w:szCs w:val="24"/>
        </w:rPr>
        <w:t xml:space="preserve"> </w:t>
      </w:r>
      <w:r w:rsidR="005C55A6" w:rsidRPr="002115F2">
        <w:rPr>
          <w:b/>
          <w:bCs/>
          <w:color w:val="000000" w:themeColor="text1"/>
          <w:sz w:val="24"/>
          <w:szCs w:val="24"/>
        </w:rPr>
        <w:t>valutando il trasferimento alla fiscalità generale degli oneri non direttamente connessi ad obiettivi di sviluppo ambientalmente sostenibile o di contrasto alla povertà energetica</w:t>
      </w:r>
      <w:r w:rsidR="005C55A6">
        <w:rPr>
          <w:rStyle w:val="Rimandonotaapidipagina"/>
          <w:b/>
          <w:bCs/>
          <w:color w:val="000000" w:themeColor="text1"/>
          <w:sz w:val="24"/>
          <w:szCs w:val="24"/>
        </w:rPr>
        <w:footnoteReference w:id="24"/>
      </w:r>
      <w:r w:rsidRPr="002C1B13">
        <w:rPr>
          <w:rFonts w:asciiTheme="minorHAnsi" w:eastAsia="Times New Roman" w:hAnsiTheme="minorHAnsi" w:cs="Times New Roman"/>
          <w:bCs/>
          <w:color w:val="000000" w:themeColor="text1"/>
          <w:sz w:val="24"/>
          <w:szCs w:val="24"/>
        </w:rPr>
        <w:t>;</w:t>
      </w:r>
    </w:p>
    <w:p w:rsidR="002C1B13" w:rsidRPr="00A726C2" w:rsidRDefault="002C1B13" w:rsidP="00A726C2">
      <w:pPr>
        <w:jc w:val="both"/>
        <w:rPr>
          <w:rFonts w:asciiTheme="minorHAnsi" w:hAnsiTheme="minorHAnsi"/>
          <w:b/>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prevedere misure volte a favorire e promuovere la progressiva installazione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impianti di produzione di energia da fonti rinnovabili negli edifici esistenti, anche mediante riordino delle misure vigenti</w:t>
      </w:r>
      <w:r w:rsidR="00A726C2">
        <w:rPr>
          <w:rFonts w:asciiTheme="minorHAnsi" w:eastAsia="Times New Roman" w:hAnsiTheme="minorHAnsi" w:cs="Times New Roman"/>
          <w:bCs/>
          <w:color w:val="000000" w:themeColor="text1"/>
          <w:sz w:val="24"/>
          <w:szCs w:val="24"/>
        </w:rPr>
        <w:t xml:space="preserve"> </w:t>
      </w:r>
      <w:r w:rsidR="00A726C2" w:rsidRPr="00341A03">
        <w:rPr>
          <w:rFonts w:asciiTheme="minorHAnsi" w:hAnsiTheme="minorHAnsi"/>
          <w:b/>
          <w:bCs/>
          <w:color w:val="000000" w:themeColor="text1"/>
          <w:sz w:val="24"/>
          <w:szCs w:val="24"/>
        </w:rPr>
        <w:t>e l'introduzione di meccanismi d'obbligo"</w:t>
      </w:r>
      <w:r w:rsidR="00A726C2">
        <w:rPr>
          <w:rStyle w:val="Rimandonotaapidipagina"/>
          <w:rFonts w:asciiTheme="minorHAnsi" w:hAnsiTheme="minorHAnsi"/>
          <w:b/>
          <w:bCs/>
          <w:color w:val="000000" w:themeColor="text1"/>
          <w:sz w:val="24"/>
          <w:szCs w:val="24"/>
        </w:rPr>
        <w:footnoteReference w:id="25"/>
      </w:r>
      <w:r w:rsidR="00BF2293">
        <w:rPr>
          <w:rFonts w:asciiTheme="minorHAnsi" w:hAnsiTheme="minorHAnsi"/>
          <w:b/>
          <w:bCs/>
          <w:color w:val="000000" w:themeColor="text1"/>
          <w:sz w:val="24"/>
          <w:szCs w:val="24"/>
        </w:rPr>
        <w:t xml:space="preserve"> </w:t>
      </w:r>
      <w:proofErr w:type="gramStart"/>
      <w:r w:rsidR="00BF2293" w:rsidRPr="00052EF6">
        <w:rPr>
          <w:rFonts w:asciiTheme="minorHAnsi" w:hAnsiTheme="minorHAnsi"/>
          <w:b/>
          <w:bCs/>
          <w:color w:val="000000" w:themeColor="text1"/>
          <w:sz w:val="24"/>
          <w:szCs w:val="24"/>
        </w:rPr>
        <w:t>fatti</w:t>
      </w:r>
      <w:proofErr w:type="gramEnd"/>
      <w:r w:rsidR="00BF2293" w:rsidRPr="00052EF6">
        <w:rPr>
          <w:rFonts w:asciiTheme="minorHAnsi" w:hAnsiTheme="minorHAnsi"/>
          <w:b/>
          <w:bCs/>
          <w:color w:val="000000" w:themeColor="text1"/>
          <w:sz w:val="24"/>
          <w:szCs w:val="24"/>
        </w:rPr>
        <w:t xml:space="preserve"> salvi i vincoli paesaggistici e i limiti imposti dalla tipologia dell'edificio</w:t>
      </w:r>
      <w:r w:rsidR="00BF2293">
        <w:rPr>
          <w:rFonts w:asciiTheme="minorHAnsi" w:hAnsiTheme="minorHAnsi"/>
          <w:b/>
          <w:bCs/>
          <w:color w:val="000000" w:themeColor="text1"/>
          <w:sz w:val="24"/>
          <w:szCs w:val="24"/>
        </w:rPr>
        <w:t>;</w:t>
      </w:r>
      <w:r w:rsidR="00BF2293">
        <w:rPr>
          <w:rStyle w:val="Rimandonotaapidipagina"/>
          <w:rFonts w:asciiTheme="minorHAnsi" w:hAnsiTheme="minorHAnsi"/>
          <w:b/>
          <w:bCs/>
          <w:color w:val="000000" w:themeColor="text1"/>
          <w:sz w:val="24"/>
          <w:szCs w:val="24"/>
        </w:rPr>
        <w:footnoteReference w:id="26"/>
      </w:r>
    </w:p>
    <w:p w:rsidR="002C1B13" w:rsidRPr="002C1B13" w:rsidRDefault="002C1B13" w:rsidP="005C55A6">
      <w:pPr>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individuare misure incentivanti per la </w:t>
      </w:r>
      <w:proofErr w:type="gramStart"/>
      <w:r w:rsidRPr="002C1B13">
        <w:rPr>
          <w:rFonts w:asciiTheme="minorHAnsi" w:eastAsia="Times New Roman" w:hAnsiTheme="minorHAnsi" w:cs="Times New Roman"/>
          <w:bCs/>
          <w:color w:val="000000" w:themeColor="text1"/>
          <w:sz w:val="24"/>
          <w:szCs w:val="24"/>
        </w:rPr>
        <w:t>promozione</w:t>
      </w:r>
      <w:proofErr w:type="gramEnd"/>
      <w:r w:rsidRPr="002C1B13">
        <w:rPr>
          <w:rFonts w:asciiTheme="minorHAnsi" w:eastAsia="Times New Roman" w:hAnsiTheme="minorHAnsi" w:cs="Times New Roman"/>
          <w:bCs/>
          <w:color w:val="000000" w:themeColor="text1"/>
          <w:sz w:val="24"/>
          <w:szCs w:val="24"/>
        </w:rPr>
        <w:t xml:space="preserve"> delle comunità di energia rinnovabile volte a favorire la partecipazione delle comunità locali alla realizzazione degli impianti, valorizzando la rete elettrica esistente e massimizzando l'utilizzo locale della relativa produzione energetica, con conseguente minore utilizzo della rete elettrica derivante da sistemi di generazione diffusa</w:t>
      </w:r>
      <w:r w:rsidR="005C55A6">
        <w:rPr>
          <w:rFonts w:asciiTheme="minorHAnsi" w:eastAsia="Times New Roman" w:hAnsiTheme="minorHAnsi" w:cs="Times New Roman"/>
          <w:bCs/>
          <w:color w:val="000000" w:themeColor="text1"/>
          <w:sz w:val="24"/>
          <w:szCs w:val="24"/>
        </w:rPr>
        <w:t xml:space="preserve"> </w:t>
      </w:r>
      <w:r w:rsidR="005C55A6" w:rsidRPr="00255D85">
        <w:rPr>
          <w:b/>
          <w:bCs/>
          <w:color w:val="000000" w:themeColor="text1"/>
          <w:sz w:val="24"/>
          <w:szCs w:val="24"/>
        </w:rPr>
        <w:t xml:space="preserve">fatto salvo l'applicazione degli oneri generali di sistema sull'energia prelevata dalla rete pubblica dai clienti finali </w:t>
      </w:r>
      <w:r w:rsidR="005C55A6" w:rsidRPr="00255D85">
        <w:rPr>
          <w:b/>
          <w:bCs/>
          <w:color w:val="000000" w:themeColor="text1"/>
          <w:sz w:val="24"/>
          <w:szCs w:val="24"/>
        </w:rPr>
        <w:lastRenderedPageBreak/>
        <w:t>e su quella prodotta e condivisa utilizzando la rete di distribuzione esistente</w:t>
      </w:r>
      <w:r w:rsidR="005C55A6">
        <w:rPr>
          <w:rStyle w:val="Rimandonotaapidipagina"/>
          <w:b/>
          <w:bCs/>
          <w:color w:val="000000" w:themeColor="text1"/>
          <w:sz w:val="24"/>
          <w:szCs w:val="24"/>
        </w:rPr>
        <w:footnoteReference w:id="27"/>
      </w:r>
      <w:r w:rsidR="005C55A6">
        <w:rPr>
          <w:b/>
          <w:bCs/>
          <w:color w:val="000000" w:themeColor="text1"/>
          <w:sz w:val="24"/>
          <w:szCs w:val="24"/>
        </w:rPr>
        <w:t xml:space="preserve">. </w:t>
      </w:r>
      <w:r w:rsidR="005928D0" w:rsidRPr="00341A03">
        <w:rPr>
          <w:rFonts w:asciiTheme="minorHAnsi" w:hAnsiTheme="minorHAnsi"/>
          <w:b/>
          <w:bCs/>
          <w:color w:val="000000" w:themeColor="text1"/>
          <w:sz w:val="24"/>
          <w:szCs w:val="24"/>
        </w:rPr>
        <w:t>A tal fine, agli impianti a fonti rinnovabili inseriti nelle configurazioni di autoconsumo collettivo e nelle comunità dell'</w:t>
      </w:r>
      <w:proofErr w:type="gramStart"/>
      <w:r w:rsidR="005928D0" w:rsidRPr="00341A03">
        <w:rPr>
          <w:rFonts w:asciiTheme="minorHAnsi" w:hAnsiTheme="minorHAnsi"/>
          <w:b/>
          <w:bCs/>
          <w:color w:val="000000" w:themeColor="text1"/>
          <w:sz w:val="24"/>
          <w:szCs w:val="24"/>
        </w:rPr>
        <w:t>energia</w:t>
      </w:r>
      <w:proofErr w:type="gramEnd"/>
      <w:r w:rsidR="005928D0" w:rsidRPr="00341A03">
        <w:rPr>
          <w:rFonts w:asciiTheme="minorHAnsi" w:hAnsiTheme="minorHAnsi"/>
          <w:b/>
          <w:bCs/>
          <w:color w:val="000000" w:themeColor="text1"/>
          <w:sz w:val="24"/>
          <w:szCs w:val="24"/>
        </w:rPr>
        <w:t xml:space="preserve"> è garantito un accesso paritario e non discriminatorio a tutti i pertinenti regimi di sostegno di natura normativa o regolatoria, con particolare riguardo ai meccanismi di valorizzazione dell'autoconsumo e ai meccanismi di riconoscimento dei costi evitati per il sistema elettrico che tale autoconsumo comporta, evitando comunque effetti distorsivi sul mercato</w:t>
      </w:r>
      <w:r w:rsidR="005928D0">
        <w:rPr>
          <w:rStyle w:val="Rimandonotaapidipagina"/>
          <w:rFonts w:asciiTheme="minorHAnsi" w:hAnsiTheme="minorHAnsi"/>
          <w:b/>
          <w:bCs/>
          <w:color w:val="000000" w:themeColor="text1"/>
          <w:sz w:val="24"/>
          <w:szCs w:val="24"/>
        </w:rPr>
        <w:footnoteReference w:id="28"/>
      </w:r>
      <w:r w:rsidRPr="002C1B13">
        <w:rPr>
          <w:rFonts w:asciiTheme="minorHAnsi" w:eastAsia="Times New Roman" w:hAnsiTheme="minorHAnsi" w:cs="Times New Roman"/>
          <w:bCs/>
          <w:color w:val="000000" w:themeColor="text1"/>
          <w:sz w:val="24"/>
          <w:szCs w:val="24"/>
        </w:rPr>
        <w:t>;</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prevedere misure per agevolare il massimo utilizzo dell'energia producibile da fonti rinnovabili, anche favorendo la diffusione e l'uso di sistemi di accumulo dell'energia</w:t>
      </w:r>
      <w:r w:rsidR="00F462C5">
        <w:rPr>
          <w:rFonts w:asciiTheme="minorHAnsi" w:eastAsia="Times New Roman" w:hAnsiTheme="minorHAnsi" w:cs="Times New Roman"/>
          <w:bCs/>
          <w:color w:val="000000" w:themeColor="text1"/>
          <w:sz w:val="24"/>
          <w:szCs w:val="24"/>
        </w:rPr>
        <w:t xml:space="preserve"> </w:t>
      </w:r>
      <w:r w:rsidR="00F462C5" w:rsidRPr="00255D85">
        <w:rPr>
          <w:b/>
          <w:bCs/>
          <w:color w:val="000000" w:themeColor="text1"/>
          <w:sz w:val="24"/>
          <w:szCs w:val="24"/>
        </w:rPr>
        <w:t>anche attraverso un iter autorizzativo semplificato</w:t>
      </w:r>
      <w:proofErr w:type="gramStart"/>
      <w:r w:rsidR="00F462C5">
        <w:rPr>
          <w:rStyle w:val="Rimandonotaapidipagina"/>
          <w:b/>
          <w:bCs/>
          <w:color w:val="000000" w:themeColor="text1"/>
          <w:sz w:val="24"/>
          <w:szCs w:val="24"/>
        </w:rPr>
        <w:footnoteReference w:id="29"/>
      </w:r>
      <w:r w:rsidRPr="002C1B13">
        <w:rPr>
          <w:rFonts w:asciiTheme="minorHAnsi" w:eastAsia="Times New Roman" w:hAnsiTheme="minorHAnsi" w:cs="Times New Roman"/>
          <w:bCs/>
          <w:color w:val="000000" w:themeColor="text1"/>
          <w:sz w:val="24"/>
          <w:szCs w:val="24"/>
        </w:rPr>
        <w:t>,</w:t>
      </w:r>
      <w:proofErr w:type="gramEnd"/>
      <w:r w:rsidRPr="002C1B13">
        <w:rPr>
          <w:rFonts w:asciiTheme="minorHAnsi" w:eastAsia="Times New Roman" w:hAnsiTheme="minorHAnsi" w:cs="Times New Roman"/>
          <w:bCs/>
          <w:color w:val="000000" w:themeColor="text1"/>
          <w:sz w:val="24"/>
          <w:szCs w:val="24"/>
        </w:rPr>
        <w:t xml:space="preserve"> compresi i veicoli elettrici, e le connesse esigenze di ricerca e sviluppo</w:t>
      </w:r>
      <w:r w:rsidR="00DF6986">
        <w:rPr>
          <w:rFonts w:asciiTheme="minorHAnsi" w:eastAsia="Times New Roman" w:hAnsiTheme="minorHAnsi" w:cs="Times New Roman"/>
          <w:bCs/>
          <w:color w:val="000000" w:themeColor="text1"/>
          <w:sz w:val="24"/>
          <w:szCs w:val="24"/>
        </w:rPr>
        <w:t xml:space="preserve"> </w:t>
      </w:r>
      <w:r w:rsidR="00DF6986" w:rsidRPr="00C81E3B">
        <w:rPr>
          <w:b/>
          <w:bCs/>
          <w:color w:val="000000" w:themeColor="text1"/>
          <w:sz w:val="24"/>
          <w:szCs w:val="24"/>
        </w:rPr>
        <w:t>tenendo conto del principio di neutralità tecnologica</w:t>
      </w:r>
      <w:r w:rsidR="00DF6986">
        <w:rPr>
          <w:rStyle w:val="Rimandonotaapidipagina"/>
          <w:b/>
          <w:bCs/>
          <w:color w:val="000000" w:themeColor="text1"/>
          <w:sz w:val="24"/>
          <w:szCs w:val="24"/>
        </w:rPr>
        <w:footnoteReference w:id="30"/>
      </w:r>
      <w:r w:rsidRPr="002C1B13">
        <w:rPr>
          <w:rFonts w:asciiTheme="minorHAnsi" w:eastAsia="Times New Roman" w:hAnsiTheme="minorHAnsi" w:cs="Times New Roman"/>
          <w:bCs/>
          <w:color w:val="000000" w:themeColor="text1"/>
          <w:sz w:val="24"/>
          <w:szCs w:val="24"/>
        </w:rPr>
        <w:t>;</w:t>
      </w:r>
    </w:p>
    <w:p w:rsidR="00F462C5" w:rsidRPr="002C1B13" w:rsidRDefault="00F462C5"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roofErr w:type="gramStart"/>
      <w:r w:rsidRPr="00255D85">
        <w:rPr>
          <w:b/>
          <w:bCs/>
          <w:color w:val="000000" w:themeColor="text1"/>
          <w:sz w:val="24"/>
          <w:szCs w:val="24"/>
        </w:rPr>
        <w:t>g-bis</w:t>
      </w:r>
      <w:proofErr w:type="gramEnd"/>
      <w:r w:rsidRPr="00255D85">
        <w:rPr>
          <w:b/>
          <w:bCs/>
          <w:color w:val="000000" w:themeColor="text1"/>
          <w:sz w:val="24"/>
          <w:szCs w:val="24"/>
        </w:rPr>
        <w:t>) incoraggiare la ricerca per la riduzione della quantità e della pericolosità dei rifiuti prodotti durante il ciclo di produzione dei sistemi di accumulo dell'energia, in particolare attraverso la sostituzione di sostanze nocive e materie prime critiche con altre meno impattanti, per allungare la vita utile in condizione di massimo rendimento dei sistemi di accumulo e per facilitarne il riciclaggio una volta giunti a fine vita</w:t>
      </w:r>
      <w:r>
        <w:rPr>
          <w:b/>
          <w:bCs/>
          <w:color w:val="000000" w:themeColor="text1"/>
          <w:sz w:val="24"/>
          <w:szCs w:val="24"/>
        </w:rPr>
        <w:t>;</w:t>
      </w:r>
      <w:r>
        <w:rPr>
          <w:rStyle w:val="Rimandonotaapidipagina"/>
          <w:b/>
          <w:bCs/>
          <w:color w:val="000000" w:themeColor="text1"/>
          <w:sz w:val="24"/>
          <w:szCs w:val="24"/>
        </w:rPr>
        <w:footnoteReference w:id="31"/>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rPr>
      </w:pPr>
      <w:r w:rsidRPr="00050426">
        <w:rPr>
          <w:rFonts w:asciiTheme="minorHAnsi" w:eastAsia="Times New Roman" w:hAnsiTheme="minorHAnsi" w:cs="Times New Roman"/>
          <w:bCs/>
          <w:strike/>
          <w:color w:val="000000" w:themeColor="text1"/>
          <w:sz w:val="24"/>
          <w:szCs w:val="24"/>
          <w:highlight w:val="yellow"/>
        </w:rPr>
        <w:t xml:space="preserve">h) introdurre misure per la </w:t>
      </w:r>
      <w:proofErr w:type="gramStart"/>
      <w:r w:rsidRPr="00050426">
        <w:rPr>
          <w:rFonts w:asciiTheme="minorHAnsi" w:eastAsia="Times New Roman" w:hAnsiTheme="minorHAnsi" w:cs="Times New Roman"/>
          <w:bCs/>
          <w:strike/>
          <w:color w:val="000000" w:themeColor="text1"/>
          <w:sz w:val="24"/>
          <w:szCs w:val="24"/>
          <w:highlight w:val="yellow"/>
        </w:rPr>
        <w:t>promozione</w:t>
      </w:r>
      <w:proofErr w:type="gramEnd"/>
      <w:r w:rsidRPr="00050426">
        <w:rPr>
          <w:rFonts w:asciiTheme="minorHAnsi" w:eastAsia="Times New Roman" w:hAnsiTheme="minorHAnsi" w:cs="Times New Roman"/>
          <w:bCs/>
          <w:strike/>
          <w:color w:val="000000" w:themeColor="text1"/>
          <w:sz w:val="24"/>
          <w:szCs w:val="24"/>
          <w:highlight w:val="yellow"/>
        </w:rPr>
        <w:t xml:space="preserve"> dell'utilizzo energetico di biomasse legnose, nel quadro della gestione forestale sostenibile e della valorizzazione della silvicoltura a turno di taglio breve (short rotation forestry) e in coerenza con le previsioni europee dell'utilizzo a cascata e con le esigenze ambientali di cui alla lettera l)</w:t>
      </w:r>
      <w:r w:rsidR="00BF2293" w:rsidRPr="00050426">
        <w:rPr>
          <w:rFonts w:asciiTheme="minorHAnsi" w:hAnsiTheme="minorHAnsi"/>
          <w:b/>
          <w:bCs/>
          <w:strike/>
          <w:color w:val="000000" w:themeColor="text1"/>
          <w:sz w:val="24"/>
          <w:szCs w:val="24"/>
          <w:highlight w:val="yellow"/>
        </w:rPr>
        <w:t>, considerando anche le opportunità derivanti anche dalle biomasse residuali industriali</w:t>
      </w:r>
      <w:r w:rsidR="00BF2293" w:rsidRPr="00050426">
        <w:rPr>
          <w:rStyle w:val="Rimandonotaapidipagina"/>
          <w:rFonts w:asciiTheme="minorHAnsi" w:hAnsiTheme="minorHAnsi"/>
          <w:b/>
          <w:bCs/>
          <w:strike/>
          <w:color w:val="000000" w:themeColor="text1"/>
          <w:sz w:val="24"/>
          <w:szCs w:val="24"/>
          <w:highlight w:val="yellow"/>
        </w:rPr>
        <w:footnoteReference w:id="32"/>
      </w:r>
      <w:r w:rsidRPr="00050426">
        <w:rPr>
          <w:rFonts w:asciiTheme="minorHAnsi" w:eastAsia="Times New Roman" w:hAnsiTheme="minorHAnsi" w:cs="Times New Roman"/>
          <w:bCs/>
          <w:strike/>
          <w:color w:val="000000" w:themeColor="text1"/>
          <w:sz w:val="24"/>
          <w:szCs w:val="24"/>
          <w:highlight w:val="yellow"/>
        </w:rPr>
        <w:t>;</w:t>
      </w:r>
    </w:p>
    <w:p w:rsidR="00050426" w:rsidRPr="00255D85" w:rsidRDefault="00050426" w:rsidP="00050426">
      <w:pPr>
        <w:jc w:val="both"/>
        <w:rPr>
          <w:b/>
          <w:bCs/>
          <w:color w:val="000000" w:themeColor="text1"/>
          <w:sz w:val="24"/>
          <w:szCs w:val="24"/>
        </w:rPr>
      </w:pPr>
      <w:r w:rsidRPr="00255D85">
        <w:rPr>
          <w:b/>
          <w:bCs/>
          <w:color w:val="000000" w:themeColor="text1"/>
          <w:sz w:val="24"/>
          <w:szCs w:val="24"/>
        </w:rPr>
        <w:lastRenderedPageBreak/>
        <w:t xml:space="preserve">        h) introdurre misure per l'utilizzo energetico di biomasse legnose, </w:t>
      </w:r>
      <w:proofErr w:type="gramStart"/>
      <w:r w:rsidRPr="00255D85">
        <w:rPr>
          <w:b/>
          <w:bCs/>
          <w:color w:val="000000" w:themeColor="text1"/>
          <w:sz w:val="24"/>
          <w:szCs w:val="24"/>
        </w:rPr>
        <w:t>nel quadro della</w:t>
      </w:r>
      <w:proofErr w:type="gramEnd"/>
      <w:r w:rsidRPr="00255D85">
        <w:rPr>
          <w:b/>
          <w:bCs/>
          <w:color w:val="000000" w:themeColor="text1"/>
          <w:sz w:val="24"/>
          <w:szCs w:val="24"/>
        </w:rPr>
        <w:t xml:space="preserve"> gestione forestale sostenibile, e della silvicoltura a turno di taglio breve (short rotation forestry) in coerenza con le previsioni europee dell'utilizzo a cascata, in particolare dei principi di sostenibilità, uso efficiente delle risorse, circolarità in tutti i flussi e in ogni fase e sussidiarietà, e con le esigenze ambientali di cui alla lettera l).</w:t>
      </w:r>
      <w:r>
        <w:rPr>
          <w:rStyle w:val="Rimandonotaapidipagina"/>
          <w:b/>
          <w:bCs/>
          <w:color w:val="000000" w:themeColor="text1"/>
          <w:sz w:val="24"/>
          <w:szCs w:val="24"/>
        </w:rPr>
        <w:footnoteReference w:id="33"/>
      </w:r>
    </w:p>
    <w:p w:rsidR="00050426" w:rsidRPr="00050426" w:rsidRDefault="00050426" w:rsidP="002C1B13">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rPr>
      </w:pPr>
    </w:p>
    <w:p w:rsidR="00BF2293" w:rsidRPr="00052EF6" w:rsidRDefault="00BF2293" w:rsidP="00BF2293">
      <w:pPr>
        <w:jc w:val="both"/>
        <w:rPr>
          <w:rFonts w:asciiTheme="minorHAnsi" w:hAnsiTheme="minorHAnsi"/>
          <w:b/>
          <w:bCs/>
          <w:color w:val="000000" w:themeColor="text1"/>
          <w:sz w:val="24"/>
          <w:szCs w:val="24"/>
        </w:rPr>
      </w:pPr>
      <w:proofErr w:type="gramStart"/>
      <w:r w:rsidRPr="00052EF6">
        <w:rPr>
          <w:rFonts w:asciiTheme="minorHAnsi" w:hAnsiTheme="minorHAnsi"/>
          <w:b/>
          <w:bCs/>
          <w:color w:val="000000" w:themeColor="text1"/>
          <w:sz w:val="24"/>
          <w:szCs w:val="24"/>
        </w:rPr>
        <w:t>h-bis</w:t>
      </w:r>
      <w:proofErr w:type="gramEnd"/>
      <w:r w:rsidRPr="00052EF6">
        <w:rPr>
          <w:rFonts w:asciiTheme="minorHAnsi" w:hAnsiTheme="minorHAnsi"/>
          <w:b/>
          <w:bCs/>
          <w:color w:val="000000" w:themeColor="text1"/>
          <w:sz w:val="24"/>
          <w:szCs w:val="24"/>
        </w:rPr>
        <w:t>) favorire lo sviluppo dei biocarburanti ai fini del raggiungimento degli obiettivi delle fonti rinnovabili nel settore dei trasporti, nel rispetto dei criteri di sostenibilità di cui all'articolo 29 della direttiva (UE) 2018/2001</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34"/>
      </w:r>
    </w:p>
    <w:p w:rsidR="002C1B13" w:rsidRPr="002C1B13" w:rsidRDefault="002C1B13" w:rsidP="00B935CC">
      <w:pPr>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i) prevedere misure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 xml:space="preserve">incentivazione per la trasformazione ad uso plurimo di invasi, traverse e dighe esistenti, sia grandi, sia piccole, promuovendone, ove compatibile </w:t>
      </w:r>
      <w:r w:rsidR="00050426" w:rsidRPr="00255D85">
        <w:rPr>
          <w:b/>
          <w:bCs/>
          <w:color w:val="000000" w:themeColor="text1"/>
          <w:sz w:val="24"/>
          <w:szCs w:val="24"/>
        </w:rPr>
        <w:t>con gli ecosistemi, la pianificazione energetica e</w:t>
      </w:r>
      <w:r w:rsidR="00050426" w:rsidRPr="002C1B13">
        <w:rPr>
          <w:rFonts w:asciiTheme="minorHAnsi" w:eastAsia="Times New Roman" w:hAnsiTheme="minorHAnsi" w:cs="Times New Roman"/>
          <w:bCs/>
          <w:color w:val="000000" w:themeColor="text1"/>
          <w:sz w:val="24"/>
          <w:szCs w:val="24"/>
        </w:rPr>
        <w:t xml:space="preserve"> </w:t>
      </w:r>
      <w:r w:rsidR="00050426">
        <w:rPr>
          <w:rStyle w:val="Rimandonotaapidipagina"/>
          <w:rFonts w:asciiTheme="minorHAnsi" w:eastAsia="Times New Roman" w:hAnsiTheme="minorHAnsi" w:cs="Times New Roman"/>
          <w:bCs/>
          <w:color w:val="000000" w:themeColor="text1"/>
          <w:sz w:val="24"/>
          <w:szCs w:val="24"/>
        </w:rPr>
        <w:footnoteReference w:id="35"/>
      </w:r>
      <w:r w:rsidRPr="002C1B13">
        <w:rPr>
          <w:rFonts w:asciiTheme="minorHAnsi" w:eastAsia="Times New Roman" w:hAnsiTheme="minorHAnsi" w:cs="Times New Roman"/>
          <w:bCs/>
          <w:color w:val="000000" w:themeColor="text1"/>
          <w:sz w:val="24"/>
          <w:szCs w:val="24"/>
        </w:rPr>
        <w:t>con gli altri usi, anche l'utilizzo energetico</w:t>
      </w:r>
      <w:r w:rsidR="00B935CC" w:rsidRPr="00C805EF">
        <w:rPr>
          <w:b/>
          <w:bCs/>
          <w:color w:val="000000" w:themeColor="text1"/>
          <w:sz w:val="24"/>
          <w:szCs w:val="24"/>
        </w:rPr>
        <w:t>, purché siano rispettati gli standard di sicurezza geomorfologica</w:t>
      </w:r>
      <w:r w:rsidR="00B935CC">
        <w:rPr>
          <w:rStyle w:val="Rimandonotaapidipagina"/>
          <w:b/>
          <w:bCs/>
          <w:color w:val="000000" w:themeColor="text1"/>
          <w:sz w:val="24"/>
          <w:szCs w:val="24"/>
        </w:rPr>
        <w:footnoteReference w:id="36"/>
      </w:r>
      <w:r w:rsidRPr="002C1B13">
        <w:rPr>
          <w:rFonts w:asciiTheme="minorHAnsi" w:eastAsia="Times New Roman" w:hAnsiTheme="minorHAnsi" w:cs="Times New Roman"/>
          <w:bCs/>
          <w:color w:val="000000" w:themeColor="text1"/>
          <w:sz w:val="24"/>
          <w:szCs w:val="24"/>
        </w:rPr>
        <w:t>;</w:t>
      </w:r>
    </w:p>
    <w:p w:rsidR="0056677D" w:rsidRPr="005E5DC0" w:rsidRDefault="002C1B13" w:rsidP="0056677D">
      <w:pPr>
        <w:jc w:val="both"/>
        <w:rPr>
          <w:b/>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l) aggiornare e potenziare i meccanismi di sostegno alle fonti rinnovabili, ivi inclusi gli interventi a favore dello sviluppo tecnologico e industriale, di cui al decreto legislativo 3 marzo 2011, n. 28, in coerenza con le diverse esigenze di tutela ambientale, con semplificazione della gestione degli impianti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piccola taglia</w:t>
      </w:r>
      <w:r w:rsidR="00B935CC" w:rsidRPr="00C805EF">
        <w:rPr>
          <w:b/>
          <w:bCs/>
          <w:color w:val="000000" w:themeColor="text1"/>
          <w:sz w:val="24"/>
          <w:szCs w:val="24"/>
        </w:rPr>
        <w:t>, valorizzando l'energia prodotta da biogas per la trasformazione in biometano o in digestato equiparato ai sensi del decreto ministeriale 25 febbraio 2016</w:t>
      </w:r>
      <w:r w:rsidR="00B935CC">
        <w:rPr>
          <w:rStyle w:val="Rimandonotaapidipagina"/>
          <w:b/>
          <w:bCs/>
          <w:color w:val="000000" w:themeColor="text1"/>
          <w:sz w:val="24"/>
          <w:szCs w:val="24"/>
        </w:rPr>
        <w:footnoteReference w:id="37"/>
      </w:r>
      <w:r w:rsidR="00B935CC">
        <w:rPr>
          <w:b/>
          <w:bCs/>
          <w:color w:val="000000" w:themeColor="text1"/>
          <w:sz w:val="24"/>
          <w:szCs w:val="24"/>
        </w:rPr>
        <w:t xml:space="preserve"> </w:t>
      </w:r>
      <w:proofErr w:type="gramStart"/>
      <w:r w:rsidRPr="002C1B13">
        <w:rPr>
          <w:rFonts w:asciiTheme="minorHAnsi" w:eastAsia="Times New Roman" w:hAnsiTheme="minorHAnsi" w:cs="Times New Roman"/>
          <w:bCs/>
          <w:color w:val="000000" w:themeColor="text1"/>
          <w:sz w:val="24"/>
          <w:szCs w:val="24"/>
        </w:rPr>
        <w:t>e</w:t>
      </w:r>
      <w:proofErr w:type="gramEnd"/>
      <w:r w:rsidRPr="002C1B13">
        <w:rPr>
          <w:rFonts w:asciiTheme="minorHAnsi" w:eastAsia="Times New Roman" w:hAnsiTheme="minorHAnsi" w:cs="Times New Roman"/>
          <w:bCs/>
          <w:color w:val="000000" w:themeColor="text1"/>
          <w:sz w:val="24"/>
          <w:szCs w:val="24"/>
        </w:rPr>
        <w:t xml:space="preserve"> in coordinamento con le disposizioni agevolative per l'autoconsumo, </w:t>
      </w:r>
      <w:r w:rsidRPr="00B935CC">
        <w:rPr>
          <w:rFonts w:asciiTheme="minorHAnsi" w:eastAsia="Times New Roman" w:hAnsiTheme="minorHAnsi" w:cs="Times New Roman"/>
          <w:bCs/>
          <w:strike/>
          <w:color w:val="000000" w:themeColor="text1"/>
          <w:sz w:val="24"/>
          <w:szCs w:val="24"/>
          <w:highlight w:val="yellow"/>
        </w:rPr>
        <w:t>anche favorendo</w:t>
      </w:r>
      <w:r w:rsidR="00B935CC">
        <w:rPr>
          <w:rFonts w:asciiTheme="minorHAnsi" w:eastAsia="Times New Roman" w:hAnsiTheme="minorHAnsi" w:cs="Times New Roman"/>
          <w:bCs/>
          <w:color w:val="000000" w:themeColor="text1"/>
          <w:sz w:val="24"/>
          <w:szCs w:val="24"/>
        </w:rPr>
        <w:t xml:space="preserve"> </w:t>
      </w:r>
      <w:r w:rsidR="00B935CC" w:rsidRPr="00C805EF">
        <w:rPr>
          <w:b/>
          <w:bCs/>
          <w:color w:val="000000" w:themeColor="text1"/>
          <w:sz w:val="24"/>
          <w:szCs w:val="24"/>
        </w:rPr>
        <w:t>prevedendo</w:t>
      </w:r>
      <w:r w:rsidR="00B935CC">
        <w:rPr>
          <w:rStyle w:val="Rimandonotaapidipagina"/>
          <w:b/>
          <w:bCs/>
          <w:color w:val="000000" w:themeColor="text1"/>
          <w:sz w:val="24"/>
          <w:szCs w:val="24"/>
        </w:rPr>
        <w:footnoteReference w:id="38"/>
      </w:r>
      <w:r w:rsidR="00B935CC">
        <w:rPr>
          <w:rFonts w:asciiTheme="minorHAnsi" w:eastAsia="Times New Roman" w:hAnsiTheme="minorHAnsi" w:cs="Times New Roman"/>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 xml:space="preserve">la sostituzione di impianti obsoleti e </w:t>
      </w:r>
      <w:r w:rsidRPr="002C1B13">
        <w:rPr>
          <w:rFonts w:asciiTheme="minorHAnsi" w:eastAsia="Times New Roman" w:hAnsiTheme="minorHAnsi" w:cs="Times New Roman"/>
          <w:bCs/>
          <w:color w:val="000000" w:themeColor="text1"/>
          <w:sz w:val="24"/>
          <w:szCs w:val="24"/>
        </w:rPr>
        <w:lastRenderedPageBreak/>
        <w:t>incentivando quelli tecnologicamente avanzati per la riduzione dei gas di scarico e dei particolati inquinanti, promuovendo la realizzazione di impianti fotovoltaici su edifici esistenti, anche al fine della completa rimozione dell’eternit o dell'amianto</w:t>
      </w:r>
      <w:r w:rsidR="0056677D">
        <w:rPr>
          <w:rFonts w:asciiTheme="minorHAnsi" w:eastAsia="Times New Roman" w:hAnsiTheme="minorHAnsi" w:cs="Times New Roman"/>
          <w:bCs/>
          <w:color w:val="000000" w:themeColor="text1"/>
          <w:sz w:val="24"/>
          <w:szCs w:val="24"/>
        </w:rPr>
        <w:t xml:space="preserve">. </w:t>
      </w:r>
      <w:r w:rsidR="0056677D" w:rsidRPr="005E5DC0">
        <w:rPr>
          <w:b/>
          <w:bCs/>
          <w:color w:val="000000" w:themeColor="text1"/>
          <w:sz w:val="24"/>
          <w:szCs w:val="24"/>
        </w:rPr>
        <w:t xml:space="preserve">L'aggiornamento e potenziamento dei meccanismi </w:t>
      </w:r>
      <w:proofErr w:type="gramStart"/>
      <w:r w:rsidR="0056677D" w:rsidRPr="005E5DC0">
        <w:rPr>
          <w:b/>
          <w:bCs/>
          <w:color w:val="000000" w:themeColor="text1"/>
          <w:sz w:val="24"/>
          <w:szCs w:val="24"/>
        </w:rPr>
        <w:t xml:space="preserve">di </w:t>
      </w:r>
      <w:proofErr w:type="gramEnd"/>
      <w:r w:rsidR="0056677D" w:rsidRPr="005E5DC0">
        <w:rPr>
          <w:b/>
          <w:bCs/>
          <w:color w:val="000000" w:themeColor="text1"/>
          <w:sz w:val="24"/>
          <w:szCs w:val="24"/>
        </w:rPr>
        <w:t>incentivazione tiene inoltre conto dei seguenti indirizzi:</w:t>
      </w:r>
    </w:p>
    <w:p w:rsidR="0056677D" w:rsidRPr="005E5DC0" w:rsidRDefault="0056677D" w:rsidP="0056677D">
      <w:pPr>
        <w:jc w:val="both"/>
        <w:rPr>
          <w:b/>
          <w:bCs/>
          <w:color w:val="000000" w:themeColor="text1"/>
          <w:sz w:val="24"/>
          <w:szCs w:val="24"/>
        </w:rPr>
      </w:pPr>
    </w:p>
    <w:p w:rsidR="0056677D" w:rsidRPr="005E5DC0" w:rsidRDefault="0056677D" w:rsidP="0056677D">
      <w:pPr>
        <w:jc w:val="both"/>
        <w:rPr>
          <w:b/>
          <w:bCs/>
          <w:color w:val="000000" w:themeColor="text1"/>
          <w:sz w:val="24"/>
          <w:szCs w:val="24"/>
        </w:rPr>
      </w:pPr>
      <w:r w:rsidRPr="005E5DC0">
        <w:rPr>
          <w:b/>
          <w:bCs/>
          <w:color w:val="000000" w:themeColor="text1"/>
          <w:sz w:val="24"/>
          <w:szCs w:val="24"/>
        </w:rPr>
        <w:t xml:space="preserve">            1) i meccanismi devono promuovere l'accoppiamento delle fonti rinnovabili non programmabili con sistemi di accumulo di energia, in modo da consentire una maggiore programmabilità delle fonti;</w:t>
      </w:r>
    </w:p>
    <w:p w:rsidR="0056677D" w:rsidRPr="005E5DC0" w:rsidRDefault="0056677D" w:rsidP="0056677D">
      <w:pPr>
        <w:jc w:val="both"/>
        <w:rPr>
          <w:b/>
          <w:bCs/>
          <w:color w:val="000000" w:themeColor="text1"/>
          <w:sz w:val="24"/>
          <w:szCs w:val="24"/>
        </w:rPr>
      </w:pPr>
    </w:p>
    <w:p w:rsidR="002C1B13" w:rsidRPr="002C1B13" w:rsidRDefault="0056677D" w:rsidP="00B935CC">
      <w:pPr>
        <w:jc w:val="both"/>
        <w:rPr>
          <w:rFonts w:asciiTheme="minorHAnsi" w:eastAsia="Times New Roman" w:hAnsiTheme="minorHAnsi" w:cs="Times New Roman"/>
          <w:bCs/>
          <w:color w:val="000000" w:themeColor="text1"/>
          <w:sz w:val="24"/>
          <w:szCs w:val="24"/>
        </w:rPr>
      </w:pPr>
      <w:r w:rsidRPr="005E5DC0">
        <w:rPr>
          <w:b/>
          <w:bCs/>
          <w:color w:val="000000" w:themeColor="text1"/>
          <w:sz w:val="24"/>
          <w:szCs w:val="24"/>
        </w:rPr>
        <w:t xml:space="preserve">            2) il meccanismo dello scambio sul posto è abrogato, prevedendo meccanismi di tutela degli investimenti già avviati e introducendo nuovi meccanismi volti a premiare l'autoconsumo istantaneo </w:t>
      </w:r>
      <w:proofErr w:type="gramStart"/>
      <w:r w:rsidRPr="005E5DC0">
        <w:rPr>
          <w:b/>
          <w:bCs/>
          <w:color w:val="000000" w:themeColor="text1"/>
          <w:sz w:val="24"/>
          <w:szCs w:val="24"/>
        </w:rPr>
        <w:t>nonché</w:t>
      </w:r>
      <w:proofErr w:type="gramEnd"/>
      <w:r w:rsidRPr="005E5DC0">
        <w:rPr>
          <w:b/>
          <w:bCs/>
          <w:color w:val="000000" w:themeColor="text1"/>
          <w:sz w:val="24"/>
          <w:szCs w:val="24"/>
        </w:rPr>
        <w:t xml:space="preserve"> la condivisione dell'energia nell'ambito di configurazioni di autoconsumo multiplo quali l'autoconsumo collettivo e le comunità dell'energia;</w:t>
      </w:r>
      <w:r>
        <w:rPr>
          <w:rStyle w:val="Rimandonotaapidipagina"/>
          <w:b/>
          <w:bCs/>
          <w:color w:val="000000" w:themeColor="text1"/>
          <w:sz w:val="24"/>
          <w:szCs w:val="24"/>
        </w:rPr>
        <w:footnoteReference w:id="39"/>
      </w:r>
    </w:p>
    <w:p w:rsidR="002C1B13" w:rsidRDefault="002C1B13" w:rsidP="0056677D">
      <w:pPr>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m) promuovere l'utilizzo delle risorse rinnovabili disponibili in mare, previa identificazione delle aree idonee e la razionalizzazione dei procedimenti di rilascio delle concessioni demaniali e delle autorizzazioni, nel rispetto delle esigenze di tutela </w:t>
      </w:r>
      <w:r w:rsidR="0056677D" w:rsidRPr="005E5DC0">
        <w:rPr>
          <w:b/>
          <w:bCs/>
          <w:color w:val="000000" w:themeColor="text1"/>
          <w:sz w:val="24"/>
          <w:szCs w:val="24"/>
        </w:rPr>
        <w:t>dell'ecosistema marino e costiero,</w:t>
      </w:r>
      <w:proofErr w:type="gramStart"/>
      <w:r w:rsidR="0056677D">
        <w:rPr>
          <w:rStyle w:val="Rimandonotaapidipagina"/>
          <w:b/>
          <w:bCs/>
          <w:color w:val="000000" w:themeColor="text1"/>
          <w:sz w:val="24"/>
          <w:szCs w:val="24"/>
        </w:rPr>
        <w:footnoteReference w:id="40"/>
      </w:r>
      <w:r w:rsidR="0056677D">
        <w:rPr>
          <w:b/>
          <w:bCs/>
          <w:color w:val="000000" w:themeColor="text1"/>
          <w:sz w:val="24"/>
          <w:szCs w:val="24"/>
        </w:rPr>
        <w:t xml:space="preserve"> </w:t>
      </w:r>
      <w:proofErr w:type="gramEnd"/>
      <w:r w:rsidRPr="002C1B13">
        <w:rPr>
          <w:rFonts w:asciiTheme="minorHAnsi" w:eastAsia="Times New Roman" w:hAnsiTheme="minorHAnsi" w:cs="Times New Roman"/>
          <w:bCs/>
          <w:color w:val="000000" w:themeColor="text1"/>
          <w:sz w:val="24"/>
          <w:szCs w:val="24"/>
        </w:rPr>
        <w:t>del patrimonio culturale e del paesaggio</w:t>
      </w:r>
      <w:r w:rsidR="00DC0921">
        <w:rPr>
          <w:rFonts w:asciiTheme="minorHAnsi" w:eastAsia="Times New Roman" w:hAnsiTheme="minorHAnsi" w:cs="Times New Roman"/>
          <w:bCs/>
          <w:color w:val="000000" w:themeColor="text1"/>
          <w:sz w:val="24"/>
          <w:szCs w:val="24"/>
        </w:rPr>
        <w:t xml:space="preserve"> </w:t>
      </w:r>
      <w:r w:rsidR="00DC0921" w:rsidRPr="005E5DC0">
        <w:rPr>
          <w:b/>
          <w:bCs/>
          <w:color w:val="000000" w:themeColor="text1"/>
          <w:sz w:val="24"/>
          <w:szCs w:val="24"/>
        </w:rPr>
        <w:t>privilegiando, ove possibile, l'utilizzo delle piattaforme petrolifere in disuso</w:t>
      </w:r>
      <w:r w:rsidR="00DC0921">
        <w:rPr>
          <w:rStyle w:val="Rimandonotaapidipagina"/>
          <w:b/>
          <w:bCs/>
          <w:color w:val="000000" w:themeColor="text1"/>
          <w:sz w:val="24"/>
          <w:szCs w:val="24"/>
        </w:rPr>
        <w:footnoteReference w:id="41"/>
      </w:r>
      <w:r w:rsidRPr="002C1B13">
        <w:rPr>
          <w:rFonts w:asciiTheme="minorHAnsi" w:eastAsia="Times New Roman" w:hAnsiTheme="minorHAnsi" w:cs="Times New Roman"/>
          <w:bCs/>
          <w:color w:val="000000" w:themeColor="text1"/>
          <w:sz w:val="24"/>
          <w:szCs w:val="24"/>
        </w:rPr>
        <w:t>;</w:t>
      </w:r>
    </w:p>
    <w:p w:rsidR="007C6467" w:rsidRPr="005E5DC0" w:rsidRDefault="007C6467" w:rsidP="007C6467">
      <w:pPr>
        <w:jc w:val="both"/>
        <w:rPr>
          <w:b/>
          <w:bCs/>
          <w:color w:val="000000" w:themeColor="text1"/>
          <w:sz w:val="24"/>
          <w:szCs w:val="24"/>
        </w:rPr>
      </w:pPr>
      <w:r w:rsidRPr="005E5DC0">
        <w:rPr>
          <w:b/>
          <w:bCs/>
          <w:color w:val="000000" w:themeColor="text1"/>
          <w:sz w:val="24"/>
          <w:szCs w:val="24"/>
        </w:rPr>
        <w:t xml:space="preserve">        </w:t>
      </w:r>
      <w:proofErr w:type="gramStart"/>
      <w:r w:rsidRPr="005E5DC0">
        <w:rPr>
          <w:b/>
          <w:bCs/>
          <w:color w:val="000000" w:themeColor="text1"/>
          <w:sz w:val="24"/>
          <w:szCs w:val="24"/>
        </w:rPr>
        <w:t>m-bis</w:t>
      </w:r>
      <w:proofErr w:type="gramEnd"/>
      <w:r w:rsidRPr="005E5DC0">
        <w:rPr>
          <w:b/>
          <w:bCs/>
          <w:color w:val="000000" w:themeColor="text1"/>
          <w:sz w:val="24"/>
          <w:szCs w:val="24"/>
        </w:rPr>
        <w:t>) prevedere disposizioni volte all'introduzione di misure per lo sviluppo dei biocarburanti avanzati per favorire la decarbonizzazione nel settore dell'aviazione, anche mediante specifiche forme di incentivazione;</w:t>
      </w:r>
      <w:r>
        <w:rPr>
          <w:rStyle w:val="Rimandonotaapidipagina"/>
          <w:b/>
          <w:bCs/>
          <w:color w:val="000000" w:themeColor="text1"/>
          <w:sz w:val="24"/>
          <w:szCs w:val="24"/>
        </w:rPr>
        <w:footnoteReference w:id="42"/>
      </w:r>
    </w:p>
    <w:p w:rsidR="007C6467" w:rsidRPr="002C1B13" w:rsidRDefault="007C6467" w:rsidP="0056677D">
      <w:pPr>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n) semplificare e stimolare il ricorso a strumenti, aggiuntivi ai meccanismi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incentivazione economica, per incrementare il consumo di energia da fonti rinnovabili, ivi inclusi gli accordi di compravendita di energia elettrica da fonti rinnovabili a lungo termine;</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o) introdurre misure per la razionalizzazione, la valorizzazione e l'incremento della produzione del parco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 xml:space="preserve">impianti a fonti rinnovabili esistente, </w:t>
      </w:r>
      <w:r w:rsidRPr="000554CC">
        <w:rPr>
          <w:rFonts w:asciiTheme="minorHAnsi" w:eastAsia="Times New Roman" w:hAnsiTheme="minorHAnsi" w:cs="Times New Roman"/>
          <w:bCs/>
          <w:strike/>
          <w:color w:val="000000" w:themeColor="text1"/>
          <w:sz w:val="24"/>
          <w:szCs w:val="24"/>
          <w:highlight w:val="yellow"/>
        </w:rPr>
        <w:t>fatte salve le disposizioni dell'articolo 11-quater del decreto-legge 14 dicembre 2018, n. 135, convertito, con modificazioni, dalla legge 11 febbraio 2019, n. 12</w:t>
      </w:r>
      <w:r w:rsidRPr="002C1B13">
        <w:rPr>
          <w:rFonts w:asciiTheme="minorHAnsi" w:eastAsia="Times New Roman" w:hAnsiTheme="minorHAnsi" w:cs="Times New Roman"/>
          <w:bCs/>
          <w:color w:val="000000" w:themeColor="text1"/>
          <w:sz w:val="24"/>
          <w:szCs w:val="24"/>
        </w:rPr>
        <w:t>.</w:t>
      </w:r>
      <w:r w:rsidR="000554CC">
        <w:rPr>
          <w:rStyle w:val="Rimandonotaapidipagina"/>
          <w:rFonts w:asciiTheme="minorHAnsi" w:eastAsia="Times New Roman" w:hAnsiTheme="minorHAnsi" w:cs="Times New Roman"/>
          <w:bCs/>
          <w:color w:val="000000" w:themeColor="text1"/>
          <w:sz w:val="24"/>
          <w:szCs w:val="24"/>
        </w:rPr>
        <w:footnoteReference w:id="43"/>
      </w:r>
    </w:p>
    <w:p w:rsidR="009D2A31" w:rsidRPr="00683687" w:rsidRDefault="009D2A31" w:rsidP="009D2A31">
      <w:pPr>
        <w:jc w:val="both"/>
        <w:rPr>
          <w:rFonts w:asciiTheme="minorHAnsi" w:hAnsiTheme="minorHAnsi"/>
          <w:b/>
          <w:bCs/>
          <w:color w:val="000000" w:themeColor="text1"/>
          <w:sz w:val="24"/>
          <w:szCs w:val="24"/>
        </w:rPr>
      </w:pPr>
      <w:proofErr w:type="gramStart"/>
      <w:r w:rsidRPr="00683687">
        <w:rPr>
          <w:rFonts w:asciiTheme="minorHAnsi" w:hAnsiTheme="minorHAnsi"/>
          <w:b/>
          <w:bCs/>
          <w:color w:val="000000" w:themeColor="text1"/>
          <w:sz w:val="24"/>
          <w:szCs w:val="24"/>
        </w:rPr>
        <w:t>o-bis</w:t>
      </w:r>
      <w:proofErr w:type="gramEnd"/>
      <w:r w:rsidRPr="00683687">
        <w:rPr>
          <w:rFonts w:asciiTheme="minorHAnsi" w:hAnsiTheme="minorHAnsi"/>
          <w:b/>
          <w:bCs/>
          <w:color w:val="000000" w:themeColor="text1"/>
          <w:sz w:val="24"/>
          <w:szCs w:val="24"/>
        </w:rPr>
        <w:t>) riordinare e semplificare la normativa vigente in materia di procedure di qualificazione degli installatori di impianti a fonti rinnovabili, prevedendo che detta qualificazione professionale, ai sensi dell'articolo 18 della direttiva (UE) 2018/2001, sia conseguita con il possesso dei requisiti tecnico professionali di cui ad almeno una delle lettere di cui all'articolo 4 del decreto del Ministro dello sviluppo economico 22 gennaio 2008, n. 37, come modificato dall'articolo 1, comma 50, della legge n. 107 del 2015</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44"/>
      </w:r>
    </w:p>
    <w:p w:rsidR="007F755E" w:rsidRDefault="007F755E" w:rsidP="007F755E">
      <w:pPr>
        <w:jc w:val="both"/>
        <w:rPr>
          <w:rFonts w:asciiTheme="minorHAnsi" w:hAnsiTheme="minorHAnsi"/>
          <w:b/>
          <w:bCs/>
          <w:color w:val="000000" w:themeColor="text1"/>
          <w:sz w:val="24"/>
          <w:szCs w:val="24"/>
        </w:rPr>
      </w:pPr>
      <w:proofErr w:type="gramStart"/>
      <w:r w:rsidRPr="00683687">
        <w:rPr>
          <w:rFonts w:asciiTheme="minorHAnsi" w:hAnsiTheme="minorHAnsi"/>
          <w:b/>
          <w:bCs/>
          <w:color w:val="000000" w:themeColor="text1"/>
          <w:sz w:val="24"/>
          <w:szCs w:val="24"/>
        </w:rPr>
        <w:t>o-bis</w:t>
      </w:r>
      <w:proofErr w:type="gramEnd"/>
      <w:r w:rsidRPr="00683687">
        <w:rPr>
          <w:rFonts w:asciiTheme="minorHAnsi" w:hAnsiTheme="minorHAnsi"/>
          <w:b/>
          <w:bCs/>
          <w:color w:val="000000" w:themeColor="text1"/>
          <w:sz w:val="24"/>
          <w:szCs w:val="24"/>
        </w:rPr>
        <w:t>) ai sensi del regolamento delegato (UE) 2019/807, prevedere la graduale esclusione, a partire dal 1° gennaio 2024, che dovrà essere totale entro il 31 dicembre 2030, dagli obblighi di miscelazione al combustibile diesel e dalla produzione elettrica rinnovabile, così come dal relativo conteggio delle fonti rinnovabili e dai sussidi di mercato, in ragione delle evidenze sugli impatti causati in termini di deforestazione, di olio di palma.</w:t>
      </w:r>
      <w:r>
        <w:rPr>
          <w:rStyle w:val="Rimandonotaapidipagina"/>
          <w:rFonts w:asciiTheme="minorHAnsi" w:hAnsiTheme="minorHAnsi"/>
          <w:b/>
          <w:bCs/>
          <w:color w:val="000000" w:themeColor="text1"/>
          <w:sz w:val="24"/>
          <w:szCs w:val="24"/>
        </w:rPr>
        <w:footnoteReference w:id="45"/>
      </w:r>
    </w:p>
    <w:p w:rsidR="008826E5" w:rsidRDefault="008826E5" w:rsidP="007F755E">
      <w:pPr>
        <w:jc w:val="both"/>
        <w:rPr>
          <w:rFonts w:asciiTheme="minorHAnsi" w:hAnsiTheme="minorHAnsi"/>
          <w:b/>
          <w:bCs/>
          <w:color w:val="000000" w:themeColor="text1"/>
          <w:sz w:val="24"/>
          <w:szCs w:val="24"/>
        </w:rPr>
      </w:pPr>
      <w:r w:rsidRPr="00B25B6B">
        <w:rPr>
          <w:rFonts w:asciiTheme="minorHAnsi" w:hAnsiTheme="minorHAnsi"/>
          <w:b/>
          <w:bCs/>
          <w:color w:val="000000" w:themeColor="text1"/>
          <w:sz w:val="24"/>
          <w:szCs w:val="24"/>
        </w:rPr>
        <w:t xml:space="preserve">        </w:t>
      </w:r>
      <w:proofErr w:type="gramStart"/>
      <w:r w:rsidRPr="00B25B6B">
        <w:rPr>
          <w:rFonts w:asciiTheme="minorHAnsi" w:hAnsiTheme="minorHAnsi"/>
          <w:b/>
          <w:bCs/>
          <w:color w:val="000000" w:themeColor="text1"/>
          <w:sz w:val="24"/>
          <w:szCs w:val="24"/>
        </w:rPr>
        <w:t>o-bis</w:t>
      </w:r>
      <w:proofErr w:type="gramEnd"/>
      <w:r w:rsidRPr="00B25B6B">
        <w:rPr>
          <w:rFonts w:asciiTheme="minorHAnsi" w:hAnsiTheme="minorHAnsi"/>
          <w:b/>
          <w:bCs/>
          <w:color w:val="000000" w:themeColor="text1"/>
          <w:sz w:val="24"/>
          <w:szCs w:val="24"/>
        </w:rPr>
        <w:t>) riordinare e semplificare la normativa vigente in materia di procedure di qualificazione degli installatori di impianti a fonti rinnovabili, prevedendo che detta qualificazione professionale, ai sensi dell'articolo 18 della direttiva (UE) 2018/2001, sia conseguita con il possesso dei requisiti tecnico professionali di cui ad almeno una delle lettere di cui all'articolo 4 del decreto del Ministro dello sviluppo economico 22 gennaio 2008, n. 37, come modificato dall'articolo 1, comma 50, della legge 13 luglio 2015, n. 107</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46"/>
      </w:r>
    </w:p>
    <w:p w:rsidR="00DF6986" w:rsidRPr="006725C6" w:rsidRDefault="00DF6986" w:rsidP="00DF6986">
      <w:pPr>
        <w:jc w:val="both"/>
        <w:rPr>
          <w:b/>
          <w:bCs/>
          <w:color w:val="000000" w:themeColor="text1"/>
          <w:sz w:val="24"/>
          <w:szCs w:val="24"/>
        </w:rPr>
      </w:pPr>
      <w:r w:rsidRPr="006725C6">
        <w:rPr>
          <w:b/>
          <w:bCs/>
          <w:color w:val="000000" w:themeColor="text1"/>
          <w:sz w:val="24"/>
          <w:szCs w:val="24"/>
        </w:rPr>
        <w:lastRenderedPageBreak/>
        <w:t xml:space="preserve">            </w:t>
      </w:r>
      <w:proofErr w:type="gramStart"/>
      <w:r w:rsidRPr="006725C6">
        <w:rPr>
          <w:b/>
          <w:bCs/>
          <w:color w:val="000000" w:themeColor="text1"/>
          <w:sz w:val="24"/>
          <w:szCs w:val="24"/>
        </w:rPr>
        <w:t>o-bis</w:t>
      </w:r>
      <w:proofErr w:type="gramEnd"/>
      <w:r w:rsidRPr="006725C6">
        <w:rPr>
          <w:b/>
          <w:bCs/>
          <w:color w:val="000000" w:themeColor="text1"/>
          <w:sz w:val="24"/>
          <w:szCs w:val="24"/>
        </w:rPr>
        <w:t>) aggiornare, potenziare e introdurre meccanismi di sostegno per la produzione di biometano, biocarburanti avanzati, carburanti derivanti dal carbonio riciclato e idrogeno, per contribuire efficacemente alla decarbonizzazione di tutte le forme di trasporto, in funzione delle emissioni nell'intero ciclo di vita dei vettori energetici e dei veicoli che li utilizzano;</w:t>
      </w:r>
    </w:p>
    <w:p w:rsidR="00DF6986" w:rsidRPr="006725C6" w:rsidRDefault="00DF6986" w:rsidP="00DF6986">
      <w:pPr>
        <w:jc w:val="both"/>
        <w:rPr>
          <w:b/>
          <w:bCs/>
          <w:color w:val="000000" w:themeColor="text1"/>
          <w:sz w:val="24"/>
          <w:szCs w:val="24"/>
        </w:rPr>
      </w:pPr>
    </w:p>
    <w:p w:rsidR="00DF6986" w:rsidRDefault="00DF6986" w:rsidP="00DF6986">
      <w:pPr>
        <w:jc w:val="both"/>
        <w:rPr>
          <w:b/>
          <w:bCs/>
          <w:color w:val="000000" w:themeColor="text1"/>
          <w:sz w:val="24"/>
          <w:szCs w:val="24"/>
        </w:rPr>
      </w:pPr>
      <w:r w:rsidRPr="006725C6">
        <w:rPr>
          <w:b/>
          <w:bCs/>
          <w:color w:val="000000" w:themeColor="text1"/>
          <w:sz w:val="24"/>
          <w:szCs w:val="24"/>
        </w:rPr>
        <w:t xml:space="preserve">            </w:t>
      </w:r>
      <w:proofErr w:type="gramStart"/>
      <w:r w:rsidRPr="006725C6">
        <w:rPr>
          <w:b/>
          <w:bCs/>
          <w:color w:val="000000" w:themeColor="text1"/>
          <w:sz w:val="24"/>
          <w:szCs w:val="24"/>
        </w:rPr>
        <w:t>o-ter</w:t>
      </w:r>
      <w:proofErr w:type="gramEnd"/>
      <w:r w:rsidRPr="006725C6">
        <w:rPr>
          <w:b/>
          <w:bCs/>
          <w:color w:val="000000" w:themeColor="text1"/>
          <w:sz w:val="24"/>
          <w:szCs w:val="24"/>
        </w:rPr>
        <w:t>) semplificare e accelerare il processo di recepimento degli aggiornamenti all'allegato IX della direttiva (UE) 2018/2001 relativo alle materie prime idonee alla produzione di biometano e biocarburanti avanzati al fine di incrementarne lo sviluppo in senso inclusivo, prevedendo che il recepimento degli aggiornamenti sia adottato con decreto del Ministro dello sviluppo economico, di concerto con il Ministro dell'ambiente e della tutela del territorio e del mare.</w:t>
      </w:r>
      <w:r>
        <w:rPr>
          <w:rStyle w:val="Rimandonotaapidipagina"/>
          <w:b/>
          <w:bCs/>
          <w:color w:val="000000" w:themeColor="text1"/>
          <w:sz w:val="24"/>
          <w:szCs w:val="24"/>
        </w:rPr>
        <w:footnoteReference w:id="47"/>
      </w:r>
    </w:p>
    <w:p w:rsidR="00790DC5" w:rsidRPr="00FC07A5" w:rsidRDefault="00790DC5" w:rsidP="00790DC5">
      <w:pPr>
        <w:jc w:val="both"/>
        <w:rPr>
          <w:b/>
          <w:bCs/>
          <w:color w:val="000000" w:themeColor="text1"/>
          <w:sz w:val="24"/>
          <w:szCs w:val="24"/>
        </w:rPr>
      </w:pPr>
      <w:r w:rsidRPr="00FC07A5">
        <w:rPr>
          <w:b/>
          <w:bCs/>
          <w:color w:val="000000" w:themeColor="text1"/>
          <w:sz w:val="24"/>
          <w:szCs w:val="24"/>
        </w:rPr>
        <w:t xml:space="preserve">        </w:t>
      </w:r>
      <w:proofErr w:type="gramStart"/>
      <w:r w:rsidRPr="00FC07A5">
        <w:rPr>
          <w:b/>
          <w:bCs/>
          <w:color w:val="000000" w:themeColor="text1"/>
          <w:sz w:val="24"/>
          <w:szCs w:val="24"/>
        </w:rPr>
        <w:t>o-bis</w:t>
      </w:r>
      <w:proofErr w:type="gramEnd"/>
      <w:r w:rsidRPr="00FC07A5">
        <w:rPr>
          <w:b/>
          <w:bCs/>
          <w:color w:val="000000" w:themeColor="text1"/>
          <w:sz w:val="24"/>
          <w:szCs w:val="24"/>
        </w:rPr>
        <w:t>) prevedere, al fine di favorire il contributo dei biocarburanti avanzati prodotti a partire dalle materie prime elencate all'Allegato IX, parte A, della direttiva, come quota finale nel settore dei trasporti, un approccio tecnologicamente neutro, evitando la promozione di specifiche fonti di energia rinnovabile, anche alla luce dello stato di sviluppo tecnologico;</w:t>
      </w:r>
      <w:r>
        <w:rPr>
          <w:rStyle w:val="Rimandonotaapidipagina"/>
          <w:b/>
          <w:bCs/>
          <w:color w:val="000000" w:themeColor="text1"/>
          <w:sz w:val="24"/>
          <w:szCs w:val="24"/>
        </w:rPr>
        <w:footnoteReference w:id="48"/>
      </w:r>
    </w:p>
    <w:p w:rsidR="001420B8" w:rsidRPr="00FC07A5" w:rsidRDefault="001420B8" w:rsidP="001420B8">
      <w:pPr>
        <w:jc w:val="both"/>
        <w:rPr>
          <w:b/>
          <w:bCs/>
          <w:color w:val="000000" w:themeColor="text1"/>
          <w:sz w:val="24"/>
          <w:szCs w:val="24"/>
        </w:rPr>
      </w:pPr>
      <w:r w:rsidRPr="00FC07A5">
        <w:rPr>
          <w:b/>
          <w:bCs/>
          <w:color w:val="000000" w:themeColor="text1"/>
          <w:sz w:val="24"/>
          <w:szCs w:val="24"/>
        </w:rPr>
        <w:t xml:space="preserve">        </w:t>
      </w:r>
      <w:proofErr w:type="gramStart"/>
      <w:r w:rsidRPr="00FC07A5">
        <w:rPr>
          <w:b/>
          <w:bCs/>
          <w:color w:val="000000" w:themeColor="text1"/>
          <w:sz w:val="24"/>
          <w:szCs w:val="24"/>
        </w:rPr>
        <w:t>o-bis</w:t>
      </w:r>
      <w:proofErr w:type="gramEnd"/>
      <w:r w:rsidRPr="00FC07A5">
        <w:rPr>
          <w:b/>
          <w:bCs/>
          <w:color w:val="000000" w:themeColor="text1"/>
          <w:sz w:val="24"/>
          <w:szCs w:val="24"/>
        </w:rPr>
        <w:t>) promuovere l'impiego di idrogeno verde nell'industria siderurgica e chimica, volto a soddisfare gli impieghi industriali che necessitano di intensità energetiche molto elevate che non possono essere soddisfatte dalla produzione di energia da fonti rinnovabili;</w:t>
      </w:r>
      <w:r>
        <w:rPr>
          <w:rStyle w:val="Rimandonotaapidipagina"/>
          <w:b/>
          <w:bCs/>
          <w:color w:val="000000" w:themeColor="text1"/>
          <w:sz w:val="24"/>
          <w:szCs w:val="24"/>
        </w:rPr>
        <w:footnoteReference w:id="49"/>
      </w:r>
    </w:p>
    <w:p w:rsidR="009D2A31" w:rsidRPr="002C1B13" w:rsidRDefault="009D2A31"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6.</w:t>
      </w:r>
    </w:p>
    <w:p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185E53">
        <w:rPr>
          <w:rFonts w:asciiTheme="minorHAnsi" w:eastAsia="Times New Roman" w:hAnsiTheme="minorHAnsi" w:cs="Times New Roman"/>
          <w:bCs/>
          <w:i/>
          <w:color w:val="000000" w:themeColor="text1"/>
          <w:sz w:val="24"/>
          <w:szCs w:val="24"/>
        </w:rPr>
        <w:t>(Princìpi e criteri direttivi per l'attuazione della direttiva (UE) 2019/1, che conferisce alle autorità garanti della concorrenza degli Stati membri poteri di applicazione più efficace e che assicura il corretto funzionamento del mercato interno</w:t>
      </w:r>
      <w:proofErr w:type="gramStart"/>
      <w:r w:rsidRPr="00185E53">
        <w:rPr>
          <w:rFonts w:asciiTheme="minorHAnsi" w:eastAsia="Times New Roman" w:hAnsiTheme="minorHAnsi" w:cs="Times New Roman"/>
          <w:bCs/>
          <w:i/>
          <w:color w:val="000000" w:themeColor="text1"/>
          <w:sz w:val="24"/>
          <w:szCs w:val="24"/>
        </w:rPr>
        <w:t>)</w:t>
      </w:r>
      <w:proofErr w:type="gramEnd"/>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Nell'esercizio della delega per l'attuazione della direttiva (UE) 2019/1 del Parlamento europeo e del Consiglio, dell'11 dicembre 2018, il Governo osserva, oltre ai princìpi e criteri direttivi generali di cui all'articolo </w:t>
      </w:r>
      <w:proofErr w:type="gramStart"/>
      <w:r w:rsidRPr="002C1B13">
        <w:rPr>
          <w:rFonts w:asciiTheme="minorHAnsi" w:eastAsia="Times New Roman" w:hAnsiTheme="minorHAnsi" w:cs="Times New Roman"/>
          <w:bCs/>
          <w:color w:val="000000" w:themeColor="text1"/>
          <w:sz w:val="24"/>
          <w:szCs w:val="24"/>
        </w:rPr>
        <w:t>32</w:t>
      </w:r>
      <w:proofErr w:type="gramEnd"/>
      <w:r w:rsidRPr="002C1B13">
        <w:rPr>
          <w:rFonts w:asciiTheme="minorHAnsi" w:eastAsia="Times New Roman" w:hAnsiTheme="minorHAnsi" w:cs="Times New Roman"/>
          <w:bCs/>
          <w:color w:val="000000" w:themeColor="text1"/>
          <w:sz w:val="24"/>
          <w:szCs w:val="24"/>
        </w:rPr>
        <w:t xml:space="preserve">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 apportare alla normativa vigente le modifiche e le integrazioni necessarie al coordinamento ordinamentale e, in particolare, alla disciplina nazionale in materia di tutela della concorrenza e del mercato di cui alla legge 10 ottobre 1990, n. 287;</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stabilire che i poteri investigativi e decisori di cui ai capi IV, V e VI della direttiva (UE) 2019/1 </w:t>
      </w:r>
      <w:proofErr w:type="gramStart"/>
      <w:r w:rsidRPr="002C1B13">
        <w:rPr>
          <w:rFonts w:asciiTheme="minorHAnsi" w:eastAsia="Times New Roman" w:hAnsiTheme="minorHAnsi" w:cs="Times New Roman"/>
          <w:bCs/>
          <w:color w:val="000000" w:themeColor="text1"/>
          <w:sz w:val="24"/>
          <w:szCs w:val="24"/>
        </w:rPr>
        <w:t>siano</w:t>
      </w:r>
      <w:proofErr w:type="gramEnd"/>
      <w:r w:rsidRPr="002C1B13">
        <w:rPr>
          <w:rFonts w:asciiTheme="minorHAnsi" w:eastAsia="Times New Roman" w:hAnsiTheme="minorHAnsi" w:cs="Times New Roman"/>
          <w:bCs/>
          <w:color w:val="000000" w:themeColor="text1"/>
          <w:sz w:val="24"/>
          <w:szCs w:val="24"/>
        </w:rPr>
        <w:t xml:space="preserve"> esercitati dall'Autorità garante della concorrenza e del mercato anche in relazione alle fattispecie di esclusivo rilievo nazionale, cui si applicano gli articoli 2 e 3 della legge n. 287 del 1990;</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apportare alla legge n. 287 del 1990 le modifiche necessarie a consentire all'Autorità garante della concorrenza e del mercato di </w:t>
      </w:r>
      <w:proofErr w:type="gramStart"/>
      <w:r w:rsidRPr="002C1B13">
        <w:rPr>
          <w:rFonts w:asciiTheme="minorHAnsi" w:eastAsia="Times New Roman" w:hAnsiTheme="minorHAnsi" w:cs="Times New Roman"/>
          <w:bCs/>
          <w:color w:val="000000" w:themeColor="text1"/>
          <w:sz w:val="24"/>
          <w:szCs w:val="24"/>
        </w:rPr>
        <w:t>irrogare</w:t>
      </w:r>
      <w:proofErr w:type="gramEnd"/>
      <w:r w:rsidRPr="002C1B13">
        <w:rPr>
          <w:rFonts w:asciiTheme="minorHAnsi" w:eastAsia="Times New Roman" w:hAnsiTheme="minorHAnsi" w:cs="Times New Roman"/>
          <w:bCs/>
          <w:color w:val="000000" w:themeColor="text1"/>
          <w:sz w:val="24"/>
          <w:szCs w:val="24"/>
        </w:rPr>
        <w:t xml:space="preserve"> sanzioni e penalità di mora efficaci, proporzionate e deterrenti alle imprese che non ottemperino alle decisioni dell'Autorità o non si conformino all'esercizio dei suoi poteri istruttori, in linea con le sanzioni irrogate dalla Commissione per analoghe infrazioni ai sensi degli articoli 23 e 24 del regolamento (CE) n. 1/2003 del Consiglio, del 16 dicembre 2002;</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prevedere che l'Autorità garante della concorrenza e del mercato possa </w:t>
      </w:r>
      <w:proofErr w:type="gramStart"/>
      <w:r w:rsidRPr="002C1B13">
        <w:rPr>
          <w:rFonts w:asciiTheme="minorHAnsi" w:eastAsia="Times New Roman" w:hAnsiTheme="minorHAnsi" w:cs="Times New Roman"/>
          <w:bCs/>
          <w:color w:val="000000" w:themeColor="text1"/>
          <w:sz w:val="24"/>
          <w:szCs w:val="24"/>
        </w:rPr>
        <w:t>irrogare</w:t>
      </w:r>
      <w:proofErr w:type="gramEnd"/>
      <w:r w:rsidRPr="002C1B13">
        <w:rPr>
          <w:rFonts w:asciiTheme="minorHAnsi" w:eastAsia="Times New Roman" w:hAnsiTheme="minorHAnsi" w:cs="Times New Roman"/>
          <w:bCs/>
          <w:color w:val="000000" w:themeColor="text1"/>
          <w:sz w:val="24"/>
          <w:szCs w:val="24"/>
        </w:rPr>
        <w:t>, nei limiti edittali fissati dall'articolo 32 della legge n. 234 del 2012, sanzioni e penalità di mora efficaci, proporzionate e deterrenti alle persone fisiche che non adempiano alle richieste di informazioni e alla convocazione in audizione da parte dell'Autorità ovvero si sottraggano alle ispezioni domiciliari o le ostacolino;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disporre che il termine di prescrizione per l'irrogazione della sanzione da parte dell'Autorità sia interrotto dagli eventi di cui all'articolo </w:t>
      </w:r>
      <w:proofErr w:type="gramStart"/>
      <w:r w:rsidRPr="002C1B13">
        <w:rPr>
          <w:rFonts w:asciiTheme="minorHAnsi" w:eastAsia="Times New Roman" w:hAnsiTheme="minorHAnsi" w:cs="Times New Roman"/>
          <w:bCs/>
          <w:color w:val="000000" w:themeColor="text1"/>
          <w:sz w:val="24"/>
          <w:szCs w:val="24"/>
        </w:rPr>
        <w:t>29</w:t>
      </w:r>
      <w:proofErr w:type="gramEnd"/>
      <w:r w:rsidRPr="002C1B13">
        <w:rPr>
          <w:rFonts w:asciiTheme="minorHAnsi" w:eastAsia="Times New Roman" w:hAnsiTheme="minorHAnsi" w:cs="Times New Roman"/>
          <w:bCs/>
          <w:color w:val="000000" w:themeColor="text1"/>
          <w:sz w:val="24"/>
          <w:szCs w:val="24"/>
        </w:rPr>
        <w:t>, paragrafo 1, della direttiva (UE) 2019/1 e che, in analogia con quanto previsto dal regolamento (CE) n. 1/2003, la prescrizione operi comunque alla scadenza del termine doppio di quello originariamente previsto, fatte salve le cause di sospensione di cui al medesimo articolo 29, paragrafo 2;</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prevedere che l'Autorità garante della concorrenza e del mercato </w:t>
      </w:r>
      <w:proofErr w:type="gramStart"/>
      <w:r w:rsidRPr="002C1B13">
        <w:rPr>
          <w:rFonts w:asciiTheme="minorHAnsi" w:eastAsia="Times New Roman" w:hAnsiTheme="minorHAnsi" w:cs="Times New Roman"/>
          <w:bCs/>
          <w:color w:val="000000" w:themeColor="text1"/>
          <w:sz w:val="24"/>
          <w:szCs w:val="24"/>
        </w:rPr>
        <w:t>disponga di</w:t>
      </w:r>
      <w:proofErr w:type="gramEnd"/>
      <w:r w:rsidRPr="002C1B13">
        <w:rPr>
          <w:rFonts w:asciiTheme="minorHAnsi" w:eastAsia="Times New Roman" w:hAnsiTheme="minorHAnsi" w:cs="Times New Roman"/>
          <w:bCs/>
          <w:color w:val="000000" w:themeColor="text1"/>
          <w:sz w:val="24"/>
          <w:szCs w:val="24"/>
        </w:rPr>
        <w:t xml:space="preserve"> personale e risorse adeguate per lo svolgimento dei maggiori compiti previsti.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Dall'attuazione del presente articolo non </w:t>
      </w:r>
      <w:proofErr w:type="gramStart"/>
      <w:r w:rsidRPr="002C1B13">
        <w:rPr>
          <w:rFonts w:asciiTheme="minorHAnsi" w:eastAsia="Times New Roman" w:hAnsiTheme="minorHAnsi" w:cs="Times New Roman"/>
          <w:bCs/>
          <w:color w:val="000000" w:themeColor="text1"/>
          <w:sz w:val="24"/>
          <w:szCs w:val="24"/>
        </w:rPr>
        <w:t>devono</w:t>
      </w:r>
      <w:proofErr w:type="gramEnd"/>
      <w:r w:rsidRPr="002C1B13">
        <w:rPr>
          <w:rFonts w:asciiTheme="minorHAnsi" w:eastAsia="Times New Roman" w:hAnsiTheme="minorHAnsi" w:cs="Times New Roman"/>
          <w:bCs/>
          <w:color w:val="000000" w:themeColor="text1"/>
          <w:sz w:val="24"/>
          <w:szCs w:val="24"/>
        </w:rPr>
        <w:t xml:space="preserve"> derivare nuovi o maggiori oneri a carico del bilancio dello Stato e l'Autorità garante della concorrenza e del mercato provvede all'adempimento dei compiti derivanti dall'esercizio della delega di cui al presente articolo nei limiti delle proprie disponibilità finanziarie.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7.</w:t>
      </w:r>
    </w:p>
    <w:p w:rsidR="002C1B13" w:rsidRPr="00185E5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185E53">
        <w:rPr>
          <w:rFonts w:asciiTheme="minorHAnsi" w:eastAsia="Times New Roman" w:hAnsiTheme="minorHAnsi" w:cs="Times New Roman"/>
          <w:bCs/>
          <w:i/>
          <w:color w:val="000000" w:themeColor="text1"/>
          <w:sz w:val="24"/>
          <w:szCs w:val="24"/>
        </w:rPr>
        <w:t>(Princìpi e criteri direttivi per l'attuazione della direttiva (UE) 2019/633, in materia di pratiche commerciali sleali nei rapporti tra imprese nella filiera agricola e alimentare)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D335B0" w:rsidRPr="00D335B0" w:rsidRDefault="002C1B13" w:rsidP="00D335B0">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Nell'esercizio della delega per l'attuazione della direttiva (UE) 2019/633 del Parlamento europeo e del Consiglio, del 17 aprile 2019, il Governo osserva, oltre ai princìpi e criteri direttivi generali di cui all'articolo </w:t>
      </w:r>
      <w:proofErr w:type="gramStart"/>
      <w:r w:rsidRPr="002C1B13">
        <w:rPr>
          <w:rFonts w:asciiTheme="minorHAnsi" w:eastAsia="Times New Roman" w:hAnsiTheme="minorHAnsi" w:cs="Times New Roman"/>
          <w:bCs/>
          <w:color w:val="000000" w:themeColor="text1"/>
          <w:sz w:val="24"/>
          <w:szCs w:val="24"/>
        </w:rPr>
        <w:t>32</w:t>
      </w:r>
      <w:proofErr w:type="gramEnd"/>
      <w:r w:rsidRPr="002C1B13">
        <w:rPr>
          <w:rFonts w:asciiTheme="minorHAnsi" w:eastAsia="Times New Roman" w:hAnsiTheme="minorHAnsi" w:cs="Times New Roman"/>
          <w:bCs/>
          <w:color w:val="000000" w:themeColor="text1"/>
          <w:sz w:val="24"/>
          <w:szCs w:val="24"/>
        </w:rPr>
        <w:t xml:space="preserve"> della legge n. 234 del 2012, anche i seguenti princìpi e criteri direttivi specifici:</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adottare </w:t>
      </w:r>
      <w:proofErr w:type="gramStart"/>
      <w:r w:rsidRPr="002C1B13">
        <w:rPr>
          <w:rFonts w:asciiTheme="minorHAnsi" w:eastAsia="Times New Roman" w:hAnsiTheme="minorHAnsi" w:cs="Times New Roman"/>
          <w:bCs/>
          <w:color w:val="000000" w:themeColor="text1"/>
          <w:sz w:val="24"/>
          <w:szCs w:val="24"/>
        </w:rPr>
        <w:t>le</w:t>
      </w:r>
      <w:proofErr w:type="gramEnd"/>
      <w:r w:rsidRPr="002C1B13">
        <w:rPr>
          <w:rFonts w:asciiTheme="minorHAnsi" w:eastAsia="Times New Roman" w:hAnsiTheme="minorHAnsi" w:cs="Times New Roman"/>
          <w:bCs/>
          <w:color w:val="000000" w:themeColor="text1"/>
          <w:sz w:val="24"/>
          <w:szCs w:val="24"/>
        </w:rPr>
        <w:t xml:space="preserve"> occorrenti modificazioni e integrazioni alla normativa vigente in merito alla commercializzazione dei prodotti agricoli e alimentari, in particolare con riferimento all'articolo 62 del decreto-legge 24 gennaio 2012, n. 1, convertito, con modificazioni, dalla legge 24 marzo 2012, n. 27</w:t>
      </w:r>
      <w:r w:rsidR="00D335B0">
        <w:rPr>
          <w:rFonts w:asciiTheme="minorHAnsi" w:eastAsia="Times New Roman" w:hAnsiTheme="minorHAnsi" w:cs="Times New Roman"/>
          <w:bCs/>
          <w:color w:val="000000" w:themeColor="text1"/>
          <w:sz w:val="24"/>
          <w:szCs w:val="24"/>
        </w:rPr>
        <w:t xml:space="preserve"> </w:t>
      </w:r>
      <w:r w:rsidR="00D335B0" w:rsidRPr="00D335B0">
        <w:rPr>
          <w:rFonts w:asciiTheme="minorHAnsi" w:eastAsia="Times New Roman" w:hAnsiTheme="minorHAnsi" w:cs="Times New Roman"/>
          <w:b/>
          <w:bCs/>
          <w:color w:val="000000" w:themeColor="text1"/>
          <w:sz w:val="24"/>
          <w:szCs w:val="24"/>
        </w:rPr>
        <w:t>razionalizzando e rafforzando il quadro giuridico esistente nella direzione di una maggiore tutela degli operatori delle filiere agricole e alimentari rispetto alla problematica delle pratiche sleali</w:t>
      </w:r>
      <w:r w:rsidR="00D335B0">
        <w:rPr>
          <w:rStyle w:val="Rimandonotaapidipagina"/>
          <w:rFonts w:asciiTheme="minorHAnsi" w:eastAsia="Times New Roman" w:hAnsiTheme="minorHAnsi" w:cs="Times New Roman"/>
          <w:bCs/>
          <w:color w:val="000000" w:themeColor="text1"/>
          <w:sz w:val="24"/>
          <w:szCs w:val="24"/>
        </w:rPr>
        <w:footnoteReference w:id="50"/>
      </w:r>
      <w:r w:rsidR="00D335B0">
        <w:rPr>
          <w:rFonts w:asciiTheme="minorHAnsi" w:eastAsia="Times New Roman" w:hAnsiTheme="minorHAnsi" w:cs="Times New Roman"/>
          <w:b/>
          <w:bCs/>
          <w:color w:val="000000" w:themeColor="text1"/>
          <w:sz w:val="24"/>
          <w:szCs w:val="24"/>
        </w:rPr>
        <w:t xml:space="preserve">, </w:t>
      </w:r>
      <w:r w:rsidR="00D335B0" w:rsidRPr="00D335B0">
        <w:rPr>
          <w:rFonts w:asciiTheme="minorHAnsi" w:eastAsia="Times New Roman" w:hAnsiTheme="minorHAnsi" w:cs="Times New Roman"/>
          <w:b/>
          <w:bCs/>
          <w:color w:val="000000" w:themeColor="text1"/>
          <w:sz w:val="24"/>
          <w:szCs w:val="24"/>
        </w:rPr>
        <w:t>e all'articolo 78, commi 2-bis, 2-ter e 2-quater del decreto-legge 17 marzo 2020, n. 18, convertito con modificazioni dalla legge 24 aprile 2020, n. 27</w:t>
      </w:r>
      <w:r w:rsidR="00D335B0">
        <w:rPr>
          <w:rStyle w:val="Rimandonotaapidipagina"/>
          <w:rFonts w:asciiTheme="minorHAnsi" w:eastAsia="Times New Roman" w:hAnsiTheme="minorHAnsi" w:cs="Times New Roman"/>
          <w:b/>
          <w:bCs/>
          <w:color w:val="000000" w:themeColor="text1"/>
          <w:sz w:val="24"/>
          <w:szCs w:val="24"/>
        </w:rPr>
        <w:footnoteReference w:id="51"/>
      </w:r>
      <w:r w:rsidR="00D335B0">
        <w:rPr>
          <w:rFonts w:asciiTheme="minorHAnsi" w:eastAsia="Times New Roman" w:hAnsiTheme="minorHAnsi" w:cs="Times New Roman"/>
          <w:b/>
          <w:bCs/>
          <w:color w:val="000000" w:themeColor="text1"/>
          <w:sz w:val="24"/>
          <w:szCs w:val="24"/>
        </w:rPr>
        <w:t xml:space="preserve"> </w:t>
      </w:r>
      <w:proofErr w:type="gramStart"/>
      <w:r w:rsidR="00D335B0" w:rsidRPr="00D335B0">
        <w:rPr>
          <w:rFonts w:asciiTheme="minorHAnsi" w:eastAsia="Times New Roman" w:hAnsiTheme="minorHAnsi" w:cs="Times New Roman"/>
          <w:b/>
          <w:bCs/>
          <w:color w:val="000000" w:themeColor="text1"/>
          <w:sz w:val="24"/>
          <w:szCs w:val="24"/>
        </w:rPr>
        <w:t>ferma</w:t>
      </w:r>
      <w:proofErr w:type="gramEnd"/>
      <w:r w:rsidR="00D335B0" w:rsidRPr="00D335B0">
        <w:rPr>
          <w:rFonts w:asciiTheme="minorHAnsi" w:eastAsia="Times New Roman" w:hAnsiTheme="minorHAnsi" w:cs="Times New Roman"/>
          <w:b/>
          <w:bCs/>
          <w:color w:val="000000" w:themeColor="text1"/>
          <w:sz w:val="24"/>
          <w:szCs w:val="24"/>
        </w:rPr>
        <w:t xml:space="preserve"> restando l'applicazione della disciplina a tutte le cessioni di prodotti agricoli e agroalimentari, indipendentemente dal fatturato aziendale</w:t>
      </w:r>
      <w:r w:rsidR="00D335B0">
        <w:rPr>
          <w:rStyle w:val="Rimandonotaapidipagina"/>
          <w:rFonts w:asciiTheme="minorHAnsi" w:eastAsia="Times New Roman" w:hAnsiTheme="minorHAnsi" w:cs="Times New Roman"/>
          <w:b/>
          <w:bCs/>
          <w:color w:val="000000" w:themeColor="text1"/>
          <w:sz w:val="24"/>
          <w:szCs w:val="24"/>
        </w:rPr>
        <w:footnoteReference w:id="52"/>
      </w:r>
      <w:r w:rsidR="00B54B25">
        <w:rPr>
          <w:rFonts w:asciiTheme="minorHAnsi" w:eastAsia="Times New Roman" w:hAnsiTheme="minorHAnsi" w:cs="Times New Roman"/>
          <w:b/>
          <w:bCs/>
          <w:color w:val="000000" w:themeColor="text1"/>
          <w:sz w:val="24"/>
          <w:szCs w:val="24"/>
        </w:rPr>
        <w:t xml:space="preserve"> </w:t>
      </w:r>
      <w:r w:rsidR="00B54B25" w:rsidRPr="00B54B25">
        <w:rPr>
          <w:rFonts w:asciiTheme="minorHAnsi" w:eastAsia="Times New Roman" w:hAnsiTheme="minorHAnsi" w:cs="Times New Roman"/>
          <w:b/>
          <w:bCs/>
          <w:color w:val="000000" w:themeColor="text1"/>
          <w:sz w:val="24"/>
          <w:szCs w:val="24"/>
        </w:rPr>
        <w:t>, razionalizzando e rafforzando il quadro giuridico esistente nella direzione di una maggiore tutela degli operatori delle filiere agricole e alimentari rispetto alla problematica delle pratiche sleali</w:t>
      </w:r>
      <w:r w:rsidR="00B54B25">
        <w:rPr>
          <w:rStyle w:val="Rimandonotaapidipagina"/>
          <w:rFonts w:asciiTheme="minorHAnsi" w:eastAsia="Times New Roman" w:hAnsiTheme="minorHAnsi" w:cs="Times New Roman"/>
          <w:b/>
          <w:bCs/>
          <w:color w:val="000000" w:themeColor="text1"/>
          <w:sz w:val="24"/>
          <w:szCs w:val="24"/>
        </w:rPr>
        <w:footnoteReference w:id="53"/>
      </w:r>
      <w:r w:rsidR="00D335B0">
        <w:rPr>
          <w:rFonts w:asciiTheme="minorHAnsi" w:eastAsia="Times New Roman" w:hAnsiTheme="minorHAnsi" w:cs="Times New Roman"/>
          <w:b/>
          <w:bCs/>
          <w:color w:val="000000" w:themeColor="text1"/>
          <w:sz w:val="24"/>
          <w:szCs w:val="24"/>
        </w:rPr>
        <w:t>;</w:t>
      </w:r>
    </w:p>
    <w:p w:rsid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B54B25">
        <w:rPr>
          <w:rFonts w:asciiTheme="minorHAnsi" w:eastAsia="Times New Roman" w:hAnsiTheme="minorHAnsi" w:cs="Times New Roman"/>
          <w:b/>
          <w:bCs/>
          <w:color w:val="000000" w:themeColor="text1"/>
          <w:sz w:val="24"/>
          <w:szCs w:val="24"/>
        </w:rPr>
        <w:t>a-bis</w:t>
      </w:r>
      <w:proofErr w:type="gramEnd"/>
      <w:r w:rsidRPr="00B54B25">
        <w:rPr>
          <w:rFonts w:asciiTheme="minorHAnsi" w:eastAsia="Times New Roman" w:hAnsiTheme="minorHAnsi" w:cs="Times New Roman"/>
          <w:b/>
          <w:bCs/>
          <w:color w:val="000000" w:themeColor="text1"/>
          <w:sz w:val="24"/>
          <w:szCs w:val="24"/>
        </w:rPr>
        <w:t>) prevedere l'applicabilità della normativa risultante dall'esercizio della presente delega a favore di tutti i fornitori di prodotti agricoli e alimentari operanti in Italia indipendentemente dal fatturato;</w:t>
      </w:r>
      <w:r>
        <w:rPr>
          <w:rStyle w:val="Rimandonotaapidipagina"/>
          <w:rFonts w:asciiTheme="minorHAnsi" w:eastAsia="Times New Roman" w:hAnsiTheme="minorHAnsi" w:cs="Times New Roman"/>
          <w:b/>
          <w:bCs/>
          <w:color w:val="000000" w:themeColor="text1"/>
          <w:sz w:val="24"/>
          <w:szCs w:val="24"/>
        </w:rPr>
        <w:footnoteReference w:id="54"/>
      </w:r>
    </w:p>
    <w:p w:rsidR="00B54B25" w:rsidRP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B54B25">
        <w:rPr>
          <w:rFonts w:asciiTheme="minorHAnsi" w:eastAsia="Times New Roman" w:hAnsiTheme="minorHAnsi" w:cs="Times New Roman"/>
          <w:b/>
          <w:bCs/>
          <w:color w:val="000000" w:themeColor="text1"/>
          <w:sz w:val="24"/>
          <w:szCs w:val="24"/>
        </w:rPr>
        <w:t>a-bis</w:t>
      </w:r>
      <w:proofErr w:type="gramEnd"/>
      <w:r w:rsidRPr="00B54B25">
        <w:rPr>
          <w:rFonts w:asciiTheme="minorHAnsi" w:eastAsia="Times New Roman" w:hAnsiTheme="minorHAnsi" w:cs="Times New Roman"/>
          <w:b/>
          <w:bCs/>
          <w:color w:val="000000" w:themeColor="text1"/>
          <w:sz w:val="24"/>
          <w:szCs w:val="24"/>
        </w:rPr>
        <w:t>) mantenere e ulteriormente definire i principi generali di buone pratiche commerciali di trasparenza, buona fede, correttezza, proporzionalità e reciproca corrispettività delle prestazioni a cui gli acquirenti di prodotti agricoli e alimentari debbano attenersi prima, durante e dopo l'instaurazione della relazione commerciale;</w:t>
      </w:r>
      <w:r>
        <w:rPr>
          <w:rStyle w:val="Rimandonotaapidipagina"/>
          <w:rFonts w:asciiTheme="minorHAnsi" w:eastAsia="Times New Roman" w:hAnsiTheme="minorHAnsi" w:cs="Times New Roman"/>
          <w:b/>
          <w:bCs/>
          <w:color w:val="000000" w:themeColor="text1"/>
          <w:sz w:val="24"/>
          <w:szCs w:val="24"/>
        </w:rPr>
        <w:footnoteReference w:id="55"/>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coordinare la normativa vigente in materia di termini di pagamento del corrispettivo, di cui all'articolo </w:t>
      </w:r>
      <w:proofErr w:type="gramStart"/>
      <w:r w:rsidRPr="002C1B13">
        <w:rPr>
          <w:rFonts w:asciiTheme="minorHAnsi" w:eastAsia="Times New Roman" w:hAnsiTheme="minorHAnsi" w:cs="Times New Roman"/>
          <w:bCs/>
          <w:color w:val="000000" w:themeColor="text1"/>
          <w:sz w:val="24"/>
          <w:szCs w:val="24"/>
        </w:rPr>
        <w:t>62</w:t>
      </w:r>
      <w:proofErr w:type="gramEnd"/>
      <w:r w:rsidRPr="002C1B13">
        <w:rPr>
          <w:rFonts w:asciiTheme="minorHAnsi" w:eastAsia="Times New Roman" w:hAnsiTheme="minorHAnsi" w:cs="Times New Roman"/>
          <w:bCs/>
          <w:color w:val="000000" w:themeColor="text1"/>
          <w:sz w:val="24"/>
          <w:szCs w:val="24"/>
        </w:rPr>
        <w:t xml:space="preserve"> del decreto-legge n. 1 del 2012, convertito, con modificazioni, dalla legge n. 27 del 2012, con le previsioni relative alla fatturazione elettronica;</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prevedere che i contratti di cessione dei prodotti agricoli e alimentari, ad eccezione di quelli </w:t>
      </w:r>
      <w:proofErr w:type="gramStart"/>
      <w:r w:rsidRPr="002C1B13">
        <w:rPr>
          <w:rFonts w:asciiTheme="minorHAnsi" w:eastAsia="Times New Roman" w:hAnsiTheme="minorHAnsi" w:cs="Times New Roman"/>
          <w:bCs/>
          <w:color w:val="000000" w:themeColor="text1"/>
          <w:sz w:val="24"/>
          <w:szCs w:val="24"/>
        </w:rPr>
        <w:t>conclusi</w:t>
      </w:r>
      <w:proofErr w:type="gramEnd"/>
      <w:r w:rsidRPr="002C1B13">
        <w:rPr>
          <w:rFonts w:asciiTheme="minorHAnsi" w:eastAsia="Times New Roman" w:hAnsiTheme="minorHAnsi" w:cs="Times New Roman"/>
          <w:bCs/>
          <w:color w:val="000000" w:themeColor="text1"/>
          <w:sz w:val="24"/>
          <w:szCs w:val="24"/>
        </w:rPr>
        <w:t xml:space="preserve"> con il consumatore e delle cessioni con contestuale consegna e pagamento del prezzo pattuito, siano stipulati obbligatoriamente in forma scritta</w:t>
      </w:r>
      <w:r w:rsidR="009A4340">
        <w:rPr>
          <w:rFonts w:asciiTheme="minorHAnsi" w:eastAsia="Times New Roman" w:hAnsiTheme="minorHAnsi" w:cs="Times New Roman"/>
          <w:bCs/>
          <w:color w:val="000000" w:themeColor="text1"/>
          <w:sz w:val="24"/>
          <w:szCs w:val="24"/>
        </w:rPr>
        <w:t xml:space="preserve"> </w:t>
      </w:r>
      <w:r w:rsidR="009A4340" w:rsidRPr="00FC07A5">
        <w:rPr>
          <w:b/>
          <w:bCs/>
          <w:color w:val="000000" w:themeColor="text1"/>
          <w:sz w:val="24"/>
          <w:szCs w:val="24"/>
        </w:rPr>
        <w:t>e prima della consegna</w:t>
      </w:r>
      <w:r w:rsidR="009A4340">
        <w:rPr>
          <w:rStyle w:val="Rimandonotaapidipagina"/>
          <w:b/>
          <w:bCs/>
          <w:color w:val="000000" w:themeColor="text1"/>
          <w:sz w:val="24"/>
          <w:szCs w:val="24"/>
        </w:rPr>
        <w:footnoteReference w:id="56"/>
      </w:r>
      <w:r w:rsidRPr="002C1B13">
        <w:rPr>
          <w:rFonts w:asciiTheme="minorHAnsi" w:eastAsia="Times New Roman" w:hAnsiTheme="minorHAnsi" w:cs="Times New Roman"/>
          <w:bCs/>
          <w:color w:val="000000" w:themeColor="text1"/>
          <w:sz w:val="24"/>
          <w:szCs w:val="24"/>
        </w:rPr>
        <w:t>;</w:t>
      </w:r>
    </w:p>
    <w:p w:rsid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B54B25">
        <w:rPr>
          <w:rFonts w:asciiTheme="minorHAnsi" w:eastAsia="Times New Roman" w:hAnsiTheme="minorHAnsi" w:cs="Times New Roman"/>
          <w:b/>
          <w:bCs/>
          <w:color w:val="000000" w:themeColor="text1"/>
          <w:sz w:val="24"/>
          <w:szCs w:val="24"/>
        </w:rPr>
        <w:t>c-bis</w:t>
      </w:r>
      <w:proofErr w:type="gramEnd"/>
      <w:r w:rsidRPr="00B54B25">
        <w:rPr>
          <w:rFonts w:asciiTheme="minorHAnsi" w:eastAsia="Times New Roman" w:hAnsiTheme="minorHAnsi" w:cs="Times New Roman"/>
          <w:b/>
          <w:bCs/>
          <w:color w:val="000000" w:themeColor="text1"/>
          <w:sz w:val="24"/>
          <w:szCs w:val="24"/>
        </w:rPr>
        <w:t>) salvaguardare la specificità dei rapporti intercorrenti tra imprenditore agricolo e cooperativa agricola di cui è socio per il prodotto conferito, avuto riguardo sia alla materia dei termini di pagamento sia a</w:t>
      </w:r>
      <w:r>
        <w:rPr>
          <w:rFonts w:asciiTheme="minorHAnsi" w:eastAsia="Times New Roman" w:hAnsiTheme="minorHAnsi" w:cs="Times New Roman"/>
          <w:b/>
          <w:bCs/>
          <w:color w:val="000000" w:themeColor="text1"/>
          <w:sz w:val="24"/>
          <w:szCs w:val="24"/>
        </w:rPr>
        <w:t>lla forma scritta del contratto;</w:t>
      </w:r>
      <w:r>
        <w:rPr>
          <w:rStyle w:val="Rimandonotaapidipagina"/>
          <w:rFonts w:asciiTheme="minorHAnsi" w:eastAsia="Times New Roman" w:hAnsiTheme="minorHAnsi" w:cs="Times New Roman"/>
          <w:b/>
          <w:bCs/>
          <w:color w:val="000000" w:themeColor="text1"/>
          <w:sz w:val="24"/>
          <w:szCs w:val="24"/>
        </w:rPr>
        <w:footnoteReference w:id="57"/>
      </w:r>
    </w:p>
    <w:p w:rsidR="00B54B25" w:rsidRP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Pr>
          <w:rFonts w:asciiTheme="minorHAnsi" w:eastAsia="Times New Roman" w:hAnsiTheme="minorHAnsi" w:cs="Times New Roman"/>
          <w:b/>
          <w:bCs/>
          <w:color w:val="000000" w:themeColor="text1"/>
          <w:sz w:val="24"/>
          <w:szCs w:val="24"/>
        </w:rPr>
        <w:lastRenderedPageBreak/>
        <w:t>c-bis</w:t>
      </w:r>
      <w:proofErr w:type="gramEnd"/>
      <w:r>
        <w:rPr>
          <w:rFonts w:asciiTheme="minorHAnsi" w:eastAsia="Times New Roman" w:hAnsiTheme="minorHAnsi" w:cs="Times New Roman"/>
          <w:b/>
          <w:bCs/>
          <w:color w:val="000000" w:themeColor="text1"/>
          <w:sz w:val="24"/>
          <w:szCs w:val="24"/>
        </w:rPr>
        <w:t xml:space="preserve">) confermare </w:t>
      </w:r>
      <w:r w:rsidRPr="00B54B25">
        <w:rPr>
          <w:rFonts w:asciiTheme="minorHAnsi" w:eastAsia="Times New Roman" w:hAnsiTheme="minorHAnsi" w:cs="Times New Roman"/>
          <w:b/>
          <w:bCs/>
          <w:color w:val="000000" w:themeColor="text1"/>
          <w:sz w:val="24"/>
          <w:szCs w:val="24"/>
        </w:rPr>
        <w:t>che i princìpi della direttiva, compreso il divieto previsto con riferimento ai termini di pagamento per i prodotti deperibili dall'articolo 3, comma 1, lettera a), si applicano anche alle pubbliche amministrazioni e che, in ogni caso, alle amministrazioni del settore scolastico e sanitario, quando debitrici in una transazione commerciale, seppur siano escluse dall'applicazione dell'articolo 3, comma 1, lettera a), si applica quanto previsto dall'articolo 4, comma 4, del decreto legislativo 9 ottobre 2002, n. 231, ai sensi del quale nelle transazioni commerciali in cui il debitore è una pubblica amministrazione le parti possono pattuire, purché in modo espresso, un termine per il pagamento mai superiore a sessanta giorni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8"/>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confermare che l'obbligo della forma scritta dei contratti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cessione dei prodotti agricoli e alimentari non possa essere assolto mediante forme equipollenti quali documenti di trasporto o di consegna e fatture, secondo le disposizioni vigenti;</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prevedere, ai sensi dell'articolo </w:t>
      </w:r>
      <w:proofErr w:type="gramStart"/>
      <w:r w:rsidRPr="002C1B13">
        <w:rPr>
          <w:rFonts w:asciiTheme="minorHAnsi" w:eastAsia="Times New Roman" w:hAnsiTheme="minorHAnsi" w:cs="Times New Roman"/>
          <w:bCs/>
          <w:color w:val="000000" w:themeColor="text1"/>
          <w:sz w:val="24"/>
          <w:szCs w:val="24"/>
        </w:rPr>
        <w:t>9</w:t>
      </w:r>
      <w:proofErr w:type="gramEnd"/>
      <w:r w:rsidRPr="002C1B13">
        <w:rPr>
          <w:rFonts w:asciiTheme="minorHAnsi" w:eastAsia="Times New Roman" w:hAnsiTheme="minorHAnsi" w:cs="Times New Roman"/>
          <w:bCs/>
          <w:color w:val="000000" w:themeColor="text1"/>
          <w:sz w:val="24"/>
          <w:szCs w:val="24"/>
        </w:rPr>
        <w:t xml:space="preserve">, paragrafo 1, della direttiva (UE) 2019/633, tra le pratiche commerciali sleali vietate le vendite dei prodotti agricoli e alimentari attraverso il ricorso a gare </w:t>
      </w:r>
      <w:r w:rsidR="009A4340" w:rsidRPr="00FC07A5">
        <w:rPr>
          <w:b/>
          <w:bCs/>
          <w:color w:val="000000" w:themeColor="text1"/>
          <w:sz w:val="24"/>
          <w:szCs w:val="24"/>
        </w:rPr>
        <w:t>e aste elettroniche</w:t>
      </w:r>
      <w:r w:rsidR="009A4340">
        <w:rPr>
          <w:rStyle w:val="Rimandonotaapidipagina"/>
          <w:b/>
          <w:bCs/>
          <w:color w:val="000000" w:themeColor="text1"/>
          <w:sz w:val="24"/>
          <w:szCs w:val="24"/>
        </w:rPr>
        <w:footnoteReference w:id="59"/>
      </w:r>
      <w:r w:rsidR="009A4340" w:rsidRPr="002C1B13">
        <w:rPr>
          <w:rFonts w:asciiTheme="minorHAnsi" w:eastAsia="Times New Roman" w:hAnsiTheme="minorHAnsi" w:cs="Times New Roman"/>
          <w:bCs/>
          <w:color w:val="000000" w:themeColor="text1"/>
          <w:sz w:val="24"/>
          <w:szCs w:val="24"/>
        </w:rPr>
        <w:t xml:space="preserve"> </w:t>
      </w:r>
      <w:proofErr w:type="gramStart"/>
      <w:r w:rsidRPr="002C1B13">
        <w:rPr>
          <w:rFonts w:asciiTheme="minorHAnsi" w:eastAsia="Times New Roman" w:hAnsiTheme="minorHAnsi" w:cs="Times New Roman"/>
          <w:bCs/>
          <w:color w:val="000000" w:themeColor="text1"/>
          <w:sz w:val="24"/>
          <w:szCs w:val="24"/>
        </w:rPr>
        <w:t>a</w:t>
      </w:r>
      <w:proofErr w:type="gramEnd"/>
      <w:r w:rsidRPr="002C1B13">
        <w:rPr>
          <w:rFonts w:asciiTheme="minorHAnsi" w:eastAsia="Times New Roman" w:hAnsiTheme="minorHAnsi" w:cs="Times New Roman"/>
          <w:bCs/>
          <w:color w:val="000000" w:themeColor="text1"/>
          <w:sz w:val="24"/>
          <w:szCs w:val="24"/>
        </w:rPr>
        <w:t xml:space="preserve"> doppio ribasso</w:t>
      </w:r>
      <w:r w:rsidR="00D335B0">
        <w:rPr>
          <w:rFonts w:asciiTheme="minorHAnsi" w:eastAsia="Times New Roman" w:hAnsiTheme="minorHAnsi" w:cs="Times New Roman"/>
          <w:bCs/>
          <w:color w:val="000000" w:themeColor="text1"/>
          <w:sz w:val="24"/>
          <w:szCs w:val="24"/>
        </w:rPr>
        <w:t xml:space="preserve"> </w:t>
      </w:r>
      <w:r w:rsidR="00D335B0" w:rsidRPr="00D335B0">
        <w:rPr>
          <w:rFonts w:asciiTheme="minorHAnsi" w:eastAsia="Times New Roman" w:hAnsiTheme="minorHAnsi" w:cs="Times New Roman"/>
          <w:b/>
          <w:bCs/>
          <w:color w:val="000000" w:themeColor="text1"/>
          <w:sz w:val="24"/>
          <w:szCs w:val="24"/>
        </w:rPr>
        <w:t>nonché la vendita di prodotti agricoli realizzata ad un livello tale che determini condizioni contrattuali eccessivamente gravose, ivi compresa quella di vendere a prezzi palesemente al di sotto dei costi di produzione</w:t>
      </w:r>
      <w:r w:rsidRPr="002C1B13">
        <w:rPr>
          <w:rFonts w:asciiTheme="minorHAnsi" w:eastAsia="Times New Roman" w:hAnsiTheme="minorHAnsi" w:cs="Times New Roman"/>
          <w:bCs/>
          <w:color w:val="000000" w:themeColor="text1"/>
          <w:sz w:val="24"/>
          <w:szCs w:val="24"/>
        </w:rPr>
        <w:t>;</w:t>
      </w:r>
      <w:r w:rsidR="00D335B0">
        <w:rPr>
          <w:rStyle w:val="Rimandonotaapidipagina"/>
          <w:rFonts w:asciiTheme="minorHAnsi" w:eastAsia="Times New Roman" w:hAnsiTheme="minorHAnsi" w:cs="Times New Roman"/>
          <w:bCs/>
          <w:color w:val="000000" w:themeColor="text1"/>
          <w:sz w:val="24"/>
          <w:szCs w:val="24"/>
        </w:rPr>
        <w:footnoteReference w:id="60"/>
      </w:r>
    </w:p>
    <w:p w:rsidR="00B54B25" w:rsidRP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Pr>
          <w:rFonts w:asciiTheme="minorHAnsi" w:eastAsia="Times New Roman" w:hAnsiTheme="minorHAnsi" w:cs="Times New Roman"/>
          <w:b/>
          <w:bCs/>
          <w:color w:val="000000" w:themeColor="text1"/>
          <w:sz w:val="24"/>
          <w:szCs w:val="24"/>
        </w:rPr>
        <w:t>e-bis</w:t>
      </w:r>
      <w:proofErr w:type="gramEnd"/>
      <w:r>
        <w:rPr>
          <w:rFonts w:asciiTheme="minorHAnsi" w:eastAsia="Times New Roman" w:hAnsiTheme="minorHAnsi" w:cs="Times New Roman"/>
          <w:b/>
          <w:bCs/>
          <w:color w:val="000000" w:themeColor="text1"/>
          <w:sz w:val="24"/>
          <w:szCs w:val="24"/>
        </w:rPr>
        <w:t xml:space="preserve">). </w:t>
      </w:r>
      <w:proofErr w:type="gramStart"/>
      <w:r>
        <w:rPr>
          <w:rFonts w:asciiTheme="minorHAnsi" w:eastAsia="Times New Roman" w:hAnsiTheme="minorHAnsi" w:cs="Times New Roman"/>
          <w:b/>
          <w:bCs/>
          <w:color w:val="000000" w:themeColor="text1"/>
          <w:sz w:val="24"/>
          <w:szCs w:val="24"/>
        </w:rPr>
        <w:t>p</w:t>
      </w:r>
      <w:r w:rsidRPr="00B54B25">
        <w:rPr>
          <w:rFonts w:asciiTheme="minorHAnsi" w:eastAsia="Times New Roman" w:hAnsiTheme="minorHAnsi" w:cs="Times New Roman"/>
          <w:b/>
          <w:bCs/>
          <w:color w:val="000000" w:themeColor="text1"/>
          <w:sz w:val="24"/>
          <w:szCs w:val="24"/>
        </w:rPr>
        <w:t>revedere</w:t>
      </w:r>
      <w:proofErr w:type="gramEnd"/>
      <w:r w:rsidRPr="00B54B25">
        <w:rPr>
          <w:rFonts w:asciiTheme="minorHAnsi" w:eastAsia="Times New Roman" w:hAnsiTheme="minorHAnsi" w:cs="Times New Roman"/>
          <w:b/>
          <w:bCs/>
          <w:color w:val="000000" w:themeColor="text1"/>
          <w:sz w:val="24"/>
          <w:szCs w:val="24"/>
        </w:rPr>
        <w:t xml:space="preserve"> la possibilità di ricorrere a meccanismi di mediazione o di risoluzione alternativa delle controversie tra le parti, al fine di facilitare la risoluzione delle controversie senza dover forzatamente ricorrere ad una denuncia, ai sensi di quanto disposto dall'articolo 7 , della direttiva (UE) 2019/633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1"/>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introdurre sanzioni efficaci, proporzionate e dissuasive ai sensi dell'articolo </w:t>
      </w:r>
      <w:proofErr w:type="gramStart"/>
      <w:r w:rsidRPr="002C1B13">
        <w:rPr>
          <w:rFonts w:asciiTheme="minorHAnsi" w:eastAsia="Times New Roman" w:hAnsiTheme="minorHAnsi" w:cs="Times New Roman"/>
          <w:bCs/>
          <w:color w:val="000000" w:themeColor="text1"/>
          <w:sz w:val="24"/>
          <w:szCs w:val="24"/>
        </w:rPr>
        <w:t>6</w:t>
      </w:r>
      <w:proofErr w:type="gramEnd"/>
      <w:r w:rsidRPr="002C1B13">
        <w:rPr>
          <w:rFonts w:asciiTheme="minorHAnsi" w:eastAsia="Times New Roman" w:hAnsiTheme="minorHAnsi" w:cs="Times New Roman"/>
          <w:bCs/>
          <w:color w:val="000000" w:themeColor="text1"/>
          <w:sz w:val="24"/>
          <w:szCs w:val="24"/>
        </w:rPr>
        <w:t>, paragrafo 1, secondo comma, della direttiva (UE) 2019/633, entro il limite massimo del 10 per cento del fatturato realizzato nell'ultimo esercizio precedente all'accertame</w:t>
      </w:r>
      <w:r w:rsidR="00B54B25">
        <w:rPr>
          <w:rFonts w:asciiTheme="minorHAnsi" w:eastAsia="Times New Roman" w:hAnsiTheme="minorHAnsi" w:cs="Times New Roman"/>
          <w:bCs/>
          <w:color w:val="000000" w:themeColor="text1"/>
          <w:sz w:val="24"/>
          <w:szCs w:val="24"/>
        </w:rPr>
        <w:t>nto;</w:t>
      </w:r>
    </w:p>
    <w:p w:rsidR="0005597D" w:rsidRPr="00FC07A5" w:rsidRDefault="0005597D" w:rsidP="0005597D">
      <w:pPr>
        <w:jc w:val="both"/>
        <w:rPr>
          <w:b/>
          <w:bCs/>
          <w:color w:val="000000" w:themeColor="text1"/>
          <w:sz w:val="24"/>
          <w:szCs w:val="24"/>
        </w:rPr>
      </w:pPr>
      <w:r w:rsidRPr="00FC07A5">
        <w:rPr>
          <w:b/>
          <w:bCs/>
          <w:color w:val="000000" w:themeColor="text1"/>
          <w:sz w:val="24"/>
          <w:szCs w:val="24"/>
        </w:rPr>
        <w:t xml:space="preserve">            g) adottare </w:t>
      </w:r>
      <w:proofErr w:type="gramStart"/>
      <w:r w:rsidRPr="00FC07A5">
        <w:rPr>
          <w:b/>
          <w:bCs/>
          <w:color w:val="000000" w:themeColor="text1"/>
          <w:sz w:val="24"/>
          <w:szCs w:val="24"/>
        </w:rPr>
        <w:t>le</w:t>
      </w:r>
      <w:proofErr w:type="gramEnd"/>
      <w:r w:rsidRPr="00FC07A5">
        <w:rPr>
          <w:b/>
          <w:bCs/>
          <w:color w:val="000000" w:themeColor="text1"/>
          <w:sz w:val="24"/>
          <w:szCs w:val="24"/>
        </w:rPr>
        <w:t xml:space="preserve"> occorrenti modificazioni e integrazioni all'articolo 62 del decreto-legge 24 gennaio 2012, n. 1, convertito, con modificazioni, dalla legge 24 marzo 2012, n. 27, al fine di designare l'Ispettorato centrale della tutela della qualità e della repressione frodi dei prodotti agroalimentari (ICQRF) quale Autorità nazionale di contrasto deputata all'attività di vigilanza sull'applicazione delle disposizioni che disciplinano le relazioni commerciali in materia di cessione di prodotti agricoli e alimentari, all'applicazione dei divieti stabiliti dalla direttiva (UE) 2019/633 e all'applicazione delle relative sanzioni, nel rispetto delle procedure di cui alla legge 24 novembre 1981, n. 689. A tal fine, </w:t>
      </w:r>
      <w:r w:rsidRPr="00FC07A5">
        <w:rPr>
          <w:b/>
          <w:bCs/>
          <w:color w:val="000000" w:themeColor="text1"/>
          <w:sz w:val="24"/>
          <w:szCs w:val="24"/>
        </w:rPr>
        <w:lastRenderedPageBreak/>
        <w:t xml:space="preserve">l'Ispettorato può avvalersi dell'Arma dei Carabinieri, e in particolare del Comando per la tutela agroalimentare, oltre che della Guardia di finanza, fermo restando quanto previsto </w:t>
      </w:r>
      <w:proofErr w:type="gramStart"/>
      <w:r w:rsidRPr="00FC07A5">
        <w:rPr>
          <w:b/>
          <w:bCs/>
          <w:color w:val="000000" w:themeColor="text1"/>
          <w:sz w:val="24"/>
          <w:szCs w:val="24"/>
        </w:rPr>
        <w:t>in ordine ai</w:t>
      </w:r>
      <w:proofErr w:type="gramEnd"/>
      <w:r w:rsidRPr="00FC07A5">
        <w:rPr>
          <w:b/>
          <w:bCs/>
          <w:color w:val="000000" w:themeColor="text1"/>
          <w:sz w:val="24"/>
          <w:szCs w:val="24"/>
        </w:rPr>
        <w:t xml:space="preserve"> poteri di accertamento degli ufficiali e degli agenti di polizia giudiziaria dall'articolo 13 della predetta legge n. 689 del 1981;</w:t>
      </w:r>
    </w:p>
    <w:p w:rsidR="0005597D" w:rsidRPr="00FC07A5" w:rsidRDefault="0005597D" w:rsidP="0005597D">
      <w:pPr>
        <w:jc w:val="both"/>
        <w:rPr>
          <w:b/>
          <w:bCs/>
          <w:color w:val="000000" w:themeColor="text1"/>
          <w:sz w:val="24"/>
          <w:szCs w:val="24"/>
        </w:rPr>
      </w:pPr>
    </w:p>
    <w:p w:rsidR="0005597D" w:rsidRPr="00FC07A5" w:rsidRDefault="0005597D" w:rsidP="0005597D">
      <w:pPr>
        <w:jc w:val="both"/>
        <w:rPr>
          <w:b/>
          <w:bCs/>
          <w:color w:val="000000" w:themeColor="text1"/>
          <w:sz w:val="24"/>
          <w:szCs w:val="24"/>
        </w:rPr>
      </w:pPr>
      <w:r w:rsidRPr="00FC07A5">
        <w:rPr>
          <w:b/>
          <w:bCs/>
          <w:color w:val="000000" w:themeColor="text1"/>
          <w:sz w:val="24"/>
          <w:szCs w:val="24"/>
        </w:rPr>
        <w:t xml:space="preserve">            h) prevedere che la mancanza di almeno una delle</w:t>
      </w:r>
      <w:proofErr w:type="gramStart"/>
      <w:r w:rsidRPr="00FC07A5">
        <w:rPr>
          <w:b/>
          <w:bCs/>
          <w:color w:val="000000" w:themeColor="text1"/>
          <w:sz w:val="24"/>
          <w:szCs w:val="24"/>
        </w:rPr>
        <w:t xml:space="preserve">  </w:t>
      </w:r>
      <w:proofErr w:type="gramEnd"/>
      <w:r w:rsidRPr="00FC07A5">
        <w:rPr>
          <w:b/>
          <w:bCs/>
          <w:color w:val="000000" w:themeColor="text1"/>
          <w:sz w:val="24"/>
          <w:szCs w:val="24"/>
        </w:rPr>
        <w:t>condizioni  richieste dall'articolo 168, paragrafo 4, del regolamento (UE) n. 1308/2013 del Parlamento europeo e del Consiglio, del 17 dicembre 2013, costituisca in ogni caso una pratica commerciale sleale e, nel caso in cui sia fissato dall'acquirente un prezzo del 15 per cento inferiore ai costi medi di produzione risultanti dall'elaborazione dell'ISMEA, questo sia considerato quale parametro di controllo per la sussistenza della pratica commerciale sleale;</w:t>
      </w:r>
    </w:p>
    <w:p w:rsidR="0005597D" w:rsidRPr="00FC07A5" w:rsidRDefault="0005597D" w:rsidP="0005597D">
      <w:pPr>
        <w:jc w:val="both"/>
        <w:rPr>
          <w:b/>
          <w:bCs/>
          <w:color w:val="000000" w:themeColor="text1"/>
          <w:sz w:val="24"/>
          <w:szCs w:val="24"/>
        </w:rPr>
      </w:pPr>
    </w:p>
    <w:p w:rsidR="0005597D" w:rsidRPr="00FC07A5" w:rsidRDefault="0005597D" w:rsidP="0005597D">
      <w:pPr>
        <w:jc w:val="both"/>
        <w:rPr>
          <w:b/>
          <w:bCs/>
          <w:color w:val="000000" w:themeColor="text1"/>
          <w:sz w:val="24"/>
          <w:szCs w:val="24"/>
        </w:rPr>
      </w:pPr>
      <w:r w:rsidRPr="00FC07A5">
        <w:rPr>
          <w:b/>
          <w:bCs/>
          <w:color w:val="000000" w:themeColor="text1"/>
          <w:sz w:val="24"/>
          <w:szCs w:val="24"/>
        </w:rPr>
        <w:t xml:space="preserve">            i) prevedere la </w:t>
      </w:r>
      <w:proofErr w:type="gramStart"/>
      <w:r w:rsidRPr="00FC07A5">
        <w:rPr>
          <w:b/>
          <w:bCs/>
          <w:color w:val="000000" w:themeColor="text1"/>
          <w:sz w:val="24"/>
          <w:szCs w:val="24"/>
        </w:rPr>
        <w:t>revisione</w:t>
      </w:r>
      <w:proofErr w:type="gramEnd"/>
      <w:r w:rsidRPr="00FC07A5">
        <w:rPr>
          <w:b/>
          <w:bCs/>
          <w:color w:val="000000" w:themeColor="text1"/>
          <w:sz w:val="24"/>
          <w:szCs w:val="24"/>
        </w:rPr>
        <w:t xml:space="preserve"> del regolamento recante disciplina delle vendite sottocosto, a norma dell'articolo 15, comma 8, del decreto legislativo 31 marzo 1998, n. 114, di cui al decreto del Presidente della Repubblica 6 aprile 2001, n. 218, al fine di consentire che la vendita sottocosto dei prodotti alimentari freschi e deperibili sia ammessa solo nel caso si registri del prodotto invenduto a rischio di deperibilità o nel caso di operazioni commerciali programmate e concordate con il fornitore in forma scritta, salvo comunque il divieto di imporre unilateralmente al fornitore, in modo diretto o indiretto, la perdita o il costo della vendita sottocosto;</w:t>
      </w:r>
    </w:p>
    <w:p w:rsidR="0005597D" w:rsidRPr="00FC07A5" w:rsidRDefault="0005597D" w:rsidP="0005597D">
      <w:pPr>
        <w:jc w:val="both"/>
        <w:rPr>
          <w:b/>
          <w:bCs/>
          <w:color w:val="000000" w:themeColor="text1"/>
          <w:sz w:val="24"/>
          <w:szCs w:val="24"/>
        </w:rPr>
      </w:pPr>
    </w:p>
    <w:p w:rsidR="0005597D" w:rsidRPr="00FC07A5" w:rsidRDefault="0005597D" w:rsidP="0005597D">
      <w:pPr>
        <w:jc w:val="both"/>
        <w:rPr>
          <w:b/>
          <w:bCs/>
          <w:color w:val="000000" w:themeColor="text1"/>
          <w:sz w:val="24"/>
          <w:szCs w:val="24"/>
        </w:rPr>
      </w:pPr>
      <w:r w:rsidRPr="00FC07A5">
        <w:rPr>
          <w:b/>
          <w:bCs/>
          <w:color w:val="000000" w:themeColor="text1"/>
          <w:sz w:val="24"/>
          <w:szCs w:val="24"/>
        </w:rPr>
        <w:t xml:space="preserve">            l) prevedere che siano fatte salve le condizioni contrattuali, comprese quelle </w:t>
      </w:r>
      <w:proofErr w:type="gramStart"/>
      <w:r w:rsidRPr="00FC07A5">
        <w:rPr>
          <w:b/>
          <w:bCs/>
          <w:color w:val="000000" w:themeColor="text1"/>
          <w:sz w:val="24"/>
          <w:szCs w:val="24"/>
        </w:rPr>
        <w:t>relative ai</w:t>
      </w:r>
      <w:proofErr w:type="gramEnd"/>
      <w:r w:rsidRPr="00FC07A5">
        <w:rPr>
          <w:b/>
          <w:bCs/>
          <w:color w:val="000000" w:themeColor="text1"/>
          <w:sz w:val="24"/>
          <w:szCs w:val="24"/>
        </w:rPr>
        <w:t xml:space="preserve"> prezzi, che siano definite nell'ambito di accordi quadro nazionali aventi ad oggetto la fornitura dei prodotti agricoli e alimentari stipulati dalle organizzazioni professionali maggiormente rappresentative a livello nazionale;</w:t>
      </w:r>
    </w:p>
    <w:p w:rsidR="0005597D" w:rsidRPr="00FC07A5" w:rsidRDefault="0005597D" w:rsidP="0005597D">
      <w:pPr>
        <w:jc w:val="both"/>
        <w:rPr>
          <w:b/>
          <w:bCs/>
          <w:color w:val="000000" w:themeColor="text1"/>
          <w:sz w:val="24"/>
          <w:szCs w:val="24"/>
        </w:rPr>
      </w:pPr>
    </w:p>
    <w:p w:rsidR="0005597D" w:rsidRDefault="0005597D" w:rsidP="0005597D">
      <w:pPr>
        <w:jc w:val="both"/>
        <w:rPr>
          <w:rFonts w:asciiTheme="minorHAnsi" w:eastAsia="Times New Roman" w:hAnsiTheme="minorHAnsi" w:cs="Times New Roman"/>
          <w:bCs/>
          <w:color w:val="000000" w:themeColor="text1"/>
          <w:sz w:val="24"/>
          <w:szCs w:val="24"/>
        </w:rPr>
      </w:pPr>
      <w:r w:rsidRPr="00FC07A5">
        <w:rPr>
          <w:b/>
          <w:bCs/>
          <w:color w:val="000000" w:themeColor="text1"/>
          <w:sz w:val="24"/>
          <w:szCs w:val="24"/>
        </w:rPr>
        <w:t xml:space="preserve">            m) prevedere che all'accertamento delle violazioni delle disposizioni in materia di pratiche commerciali sleali al di fuori delle previsioni di cui alla direttiva (UE) 2019/633, l'Autorità garante della concorrenza e del mercato provveda d'ufficio o su segnalazione delle organizzazioni professionali maggiormente rappresentative a livello nazionale, assicurando, in ogni caso, la </w:t>
      </w:r>
      <w:r w:rsidRPr="00FC07A5">
        <w:rPr>
          <w:b/>
          <w:bCs/>
          <w:color w:val="000000" w:themeColor="text1"/>
          <w:sz w:val="24"/>
          <w:szCs w:val="24"/>
        </w:rPr>
        <w:lastRenderedPageBreak/>
        <w:t>legittimazione delle organizzazioni professionali ad agire in giudizio per la tutela degli interessi delle imprese rappresentate qualora siano state lese da pratiche commerciali sleali</w:t>
      </w:r>
      <w:proofErr w:type="gramStart"/>
      <w:r w:rsidRPr="00FC07A5">
        <w:rPr>
          <w:b/>
          <w:bCs/>
          <w:color w:val="000000" w:themeColor="text1"/>
          <w:sz w:val="24"/>
          <w:szCs w:val="24"/>
        </w:rPr>
        <w:t>.;</w:t>
      </w:r>
      <w:proofErr w:type="gramEnd"/>
      <w:r>
        <w:rPr>
          <w:rStyle w:val="Rimandonotaapidipagina"/>
          <w:rFonts w:asciiTheme="minorHAnsi" w:eastAsia="Times New Roman" w:hAnsiTheme="minorHAnsi" w:cs="Times New Roman"/>
          <w:bCs/>
          <w:color w:val="000000" w:themeColor="text1"/>
          <w:sz w:val="24"/>
          <w:szCs w:val="24"/>
        </w:rPr>
        <w:footnoteReference w:id="62"/>
      </w:r>
    </w:p>
    <w:p w:rsidR="00B54B25" w:rsidRP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B54B25">
        <w:rPr>
          <w:rFonts w:asciiTheme="minorHAnsi" w:eastAsia="Times New Roman" w:hAnsiTheme="minorHAnsi" w:cs="Times New Roman"/>
          <w:b/>
          <w:bCs/>
          <w:color w:val="000000" w:themeColor="text1"/>
          <w:sz w:val="24"/>
          <w:szCs w:val="24"/>
        </w:rPr>
        <w:t>f-bis</w:t>
      </w:r>
      <w:proofErr w:type="gramEnd"/>
      <w:r w:rsidRPr="00B54B25">
        <w:rPr>
          <w:rFonts w:asciiTheme="minorHAnsi" w:eastAsia="Times New Roman" w:hAnsiTheme="minorHAnsi" w:cs="Times New Roman"/>
          <w:b/>
          <w:bCs/>
          <w:color w:val="000000" w:themeColor="text1"/>
          <w:sz w:val="24"/>
          <w:szCs w:val="24"/>
        </w:rPr>
        <w:t>) valorizzare il ruolo delle organizzazioni di rappresentanza nella presentazione delle denunce come previsto dall'articolo 5, paragrafo 2, della direttiva (UE) 2019/633, estendendolo alle organizzazioni di impres</w:t>
      </w:r>
      <w:r>
        <w:rPr>
          <w:rFonts w:asciiTheme="minorHAnsi" w:eastAsia="Times New Roman" w:hAnsiTheme="minorHAnsi" w:cs="Times New Roman"/>
          <w:b/>
          <w:bCs/>
          <w:color w:val="000000" w:themeColor="text1"/>
          <w:sz w:val="24"/>
          <w:szCs w:val="24"/>
        </w:rPr>
        <w:t>e rilevanti a livello nazionale;</w:t>
      </w:r>
      <w:r>
        <w:rPr>
          <w:rStyle w:val="Rimandonotaapidipagina"/>
          <w:rFonts w:asciiTheme="minorHAnsi" w:eastAsia="Times New Roman" w:hAnsiTheme="minorHAnsi" w:cs="Times New Roman"/>
          <w:b/>
          <w:bCs/>
          <w:color w:val="000000" w:themeColor="text1"/>
          <w:sz w:val="24"/>
          <w:szCs w:val="24"/>
        </w:rPr>
        <w:footnoteReference w:id="63"/>
      </w:r>
    </w:p>
    <w:p w:rsidR="002C1B13"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B54B25">
        <w:rPr>
          <w:rFonts w:asciiTheme="minorHAnsi" w:eastAsia="Times New Roman" w:hAnsiTheme="minorHAnsi" w:cs="Times New Roman"/>
          <w:b/>
          <w:bCs/>
          <w:color w:val="000000" w:themeColor="text1"/>
          <w:sz w:val="24"/>
          <w:szCs w:val="24"/>
        </w:rPr>
        <w:t>f-bis</w:t>
      </w:r>
      <w:proofErr w:type="gramEnd"/>
      <w:r w:rsidRPr="00B54B25">
        <w:rPr>
          <w:rFonts w:asciiTheme="minorHAnsi" w:eastAsia="Times New Roman" w:hAnsiTheme="minorHAnsi" w:cs="Times New Roman"/>
          <w:b/>
          <w:bCs/>
          <w:color w:val="000000" w:themeColor="text1"/>
          <w:sz w:val="24"/>
          <w:szCs w:val="24"/>
        </w:rPr>
        <w:t>) adottare con rigore il principio della riservatezza nella denuncia alla autorità nazionale di una eventuale pratica sleale, previsto dall'articolo 5 d</w:t>
      </w:r>
      <w:r>
        <w:rPr>
          <w:rFonts w:asciiTheme="minorHAnsi" w:eastAsia="Times New Roman" w:hAnsiTheme="minorHAnsi" w:cs="Times New Roman"/>
          <w:b/>
          <w:bCs/>
          <w:color w:val="000000" w:themeColor="text1"/>
          <w:sz w:val="24"/>
          <w:szCs w:val="24"/>
        </w:rPr>
        <w:t>ella direttiva (UE) n. 2019/633</w:t>
      </w:r>
      <w:r>
        <w:rPr>
          <w:rStyle w:val="Rimandonotaapidipagina"/>
          <w:rFonts w:asciiTheme="minorHAnsi" w:eastAsia="Times New Roman" w:hAnsiTheme="minorHAnsi" w:cs="Times New Roman"/>
          <w:b/>
          <w:bCs/>
          <w:color w:val="000000" w:themeColor="text1"/>
          <w:sz w:val="24"/>
          <w:szCs w:val="24"/>
        </w:rPr>
        <w:footnoteReference w:id="64"/>
      </w:r>
      <w:proofErr w:type="gramStart"/>
      <w:r>
        <w:rPr>
          <w:rFonts w:asciiTheme="minorHAnsi" w:eastAsia="Times New Roman" w:hAnsiTheme="minorHAnsi" w:cs="Times New Roman"/>
          <w:b/>
          <w:bCs/>
          <w:color w:val="000000" w:themeColor="text1"/>
          <w:sz w:val="24"/>
          <w:szCs w:val="24"/>
        </w:rPr>
        <w:t>.</w:t>
      </w:r>
    </w:p>
    <w:p w:rsidR="0005597D" w:rsidRPr="00FC07A5" w:rsidRDefault="0005597D" w:rsidP="0005597D">
      <w:pPr>
        <w:jc w:val="both"/>
        <w:rPr>
          <w:b/>
          <w:bCs/>
          <w:color w:val="000000" w:themeColor="text1"/>
          <w:sz w:val="24"/>
          <w:szCs w:val="24"/>
        </w:rPr>
      </w:pPr>
      <w:proofErr w:type="gramEnd"/>
      <w:r w:rsidRPr="00FC07A5">
        <w:rPr>
          <w:b/>
          <w:bCs/>
          <w:color w:val="000000" w:themeColor="text1"/>
          <w:sz w:val="24"/>
          <w:szCs w:val="24"/>
        </w:rPr>
        <w:t xml:space="preserve">            2. Dall'attuazione del presente articolo non </w:t>
      </w:r>
      <w:proofErr w:type="gramStart"/>
      <w:r w:rsidRPr="00FC07A5">
        <w:rPr>
          <w:b/>
          <w:bCs/>
          <w:color w:val="000000" w:themeColor="text1"/>
          <w:sz w:val="24"/>
          <w:szCs w:val="24"/>
        </w:rPr>
        <w:t>devono</w:t>
      </w:r>
      <w:proofErr w:type="gramEnd"/>
      <w:r w:rsidRPr="00FC07A5">
        <w:rPr>
          <w:b/>
          <w:bCs/>
          <w:color w:val="000000" w:themeColor="text1"/>
          <w:sz w:val="24"/>
          <w:szCs w:val="24"/>
        </w:rPr>
        <w:t xml:space="preserve"> derivare nuovi o maggiori oneri a carico della finanza pubblica. Le amministrazioni interessate provvedono all'adempimento dei compiti derivanti dall'esercizio della delega </w:t>
      </w:r>
      <w:proofErr w:type="gramStart"/>
      <w:r w:rsidRPr="00FC07A5">
        <w:rPr>
          <w:b/>
          <w:bCs/>
          <w:color w:val="000000" w:themeColor="text1"/>
          <w:sz w:val="24"/>
          <w:szCs w:val="24"/>
        </w:rPr>
        <w:t>di</w:t>
      </w:r>
      <w:proofErr w:type="gramEnd"/>
      <w:r w:rsidRPr="00FC07A5">
        <w:rPr>
          <w:b/>
          <w:bCs/>
          <w:color w:val="000000" w:themeColor="text1"/>
          <w:sz w:val="24"/>
          <w:szCs w:val="24"/>
        </w:rPr>
        <w:t xml:space="preserve"> cui al presente articolo con le risorse umane, strumentali e finanziarie disponibili a legislazione vigente.</w:t>
      </w:r>
      <w:r>
        <w:rPr>
          <w:rStyle w:val="Rimandonotaapidipagina"/>
          <w:b/>
          <w:bCs/>
          <w:color w:val="000000" w:themeColor="text1"/>
          <w:sz w:val="24"/>
          <w:szCs w:val="24"/>
        </w:rPr>
        <w:footnoteReference w:id="65"/>
      </w:r>
    </w:p>
    <w:p w:rsidR="0005597D" w:rsidRDefault="0005597D"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B54B25" w:rsidRPr="00B54B25" w:rsidRDefault="00B54B25"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8.</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 xml:space="preserve">(Princìpi e criteri direttivi per il recepimento della direttiva (UE) 2019/789, che stabilisce norme </w:t>
      </w:r>
      <w:proofErr w:type="gramStart"/>
      <w:r w:rsidRPr="002C1B13">
        <w:rPr>
          <w:rFonts w:asciiTheme="minorHAnsi" w:eastAsia="Times New Roman" w:hAnsiTheme="minorHAnsi" w:cs="Times New Roman"/>
          <w:bCs/>
          <w:i/>
          <w:color w:val="000000" w:themeColor="text1"/>
          <w:sz w:val="24"/>
          <w:szCs w:val="24"/>
        </w:rPr>
        <w:t>relative all'</w:t>
      </w:r>
      <w:proofErr w:type="gramEnd"/>
      <w:r w:rsidRPr="002C1B13">
        <w:rPr>
          <w:rFonts w:asciiTheme="minorHAnsi" w:eastAsia="Times New Roman" w:hAnsiTheme="minorHAnsi" w:cs="Times New Roman"/>
          <w:bCs/>
          <w:i/>
          <w:color w:val="000000" w:themeColor="text1"/>
          <w:sz w:val="24"/>
          <w:szCs w:val="24"/>
        </w:rPr>
        <w:t>esercizio del diritto d'autore e dei diritti connessi applicabili a talune trasmissioni online degli organismi di diffusione radiotelevisiva e ritrasmissioni di programmi televisivi e radiofonici e che modifica la direttiva 93/83/CEE del Consiglio)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Nell'esercizio della delega per l'attuazione della direttiva (UE) 2019/789, del Parlamento europeo e del Consiglio, del 17 aprile 2019, il Governo osserva, oltre ai princìpi e criteri direttivi generali di cui all'articolo </w:t>
      </w:r>
      <w:proofErr w:type="gramStart"/>
      <w:r w:rsidRPr="002C1B13">
        <w:rPr>
          <w:rFonts w:asciiTheme="minorHAnsi" w:eastAsia="Times New Roman" w:hAnsiTheme="minorHAnsi" w:cs="Times New Roman"/>
          <w:bCs/>
          <w:color w:val="000000" w:themeColor="text1"/>
          <w:sz w:val="24"/>
          <w:szCs w:val="24"/>
        </w:rPr>
        <w:t>32</w:t>
      </w:r>
      <w:proofErr w:type="gramEnd"/>
      <w:r w:rsidRPr="002C1B13">
        <w:rPr>
          <w:rFonts w:asciiTheme="minorHAnsi" w:eastAsia="Times New Roman" w:hAnsiTheme="minorHAnsi" w:cs="Times New Roman"/>
          <w:bCs/>
          <w:color w:val="000000" w:themeColor="text1"/>
          <w:sz w:val="24"/>
          <w:szCs w:val="24"/>
        </w:rPr>
        <w:t xml:space="preserve">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definire in modo restrittivo i « programmi di produzione propria che </w:t>
      </w:r>
      <w:proofErr w:type="gramStart"/>
      <w:r w:rsidRPr="002C1B13">
        <w:rPr>
          <w:rFonts w:asciiTheme="minorHAnsi" w:eastAsia="Times New Roman" w:hAnsiTheme="minorHAnsi" w:cs="Times New Roman"/>
          <w:bCs/>
          <w:color w:val="000000" w:themeColor="text1"/>
          <w:sz w:val="24"/>
          <w:szCs w:val="24"/>
        </w:rPr>
        <w:t>sono</w:t>
      </w:r>
      <w:proofErr w:type="gramEnd"/>
      <w:r w:rsidRPr="002C1B13">
        <w:rPr>
          <w:rFonts w:asciiTheme="minorHAnsi" w:eastAsia="Times New Roman" w:hAnsiTheme="minorHAnsi" w:cs="Times New Roman"/>
          <w:bCs/>
          <w:color w:val="000000" w:themeColor="text1"/>
          <w:sz w:val="24"/>
          <w:szCs w:val="24"/>
        </w:rPr>
        <w:t xml:space="preserve"> finanziati interamente dall'organismo di diffusione radiotelevisiva » di cui all'articolo 3, paragrafo 1, lettera b), punto ii), della direttiva (UE) 2019/789, in particolare riconducendo il concetto di « produzione propria » alla nozione di « produzione interna »;</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b) individuare i requisiti degli organismi di gestione collettiva autorizzati a rilasciare le licenze obbligatorie di cui all'articolo </w:t>
      </w:r>
      <w:proofErr w:type="gramStart"/>
      <w:r w:rsidRPr="002C1B13">
        <w:rPr>
          <w:rFonts w:asciiTheme="minorHAnsi" w:eastAsia="Times New Roman" w:hAnsiTheme="minorHAnsi" w:cs="Times New Roman"/>
          <w:bCs/>
          <w:color w:val="000000" w:themeColor="text1"/>
          <w:sz w:val="24"/>
          <w:szCs w:val="24"/>
        </w:rPr>
        <w:t>4</w:t>
      </w:r>
      <w:proofErr w:type="gramEnd"/>
      <w:r w:rsidRPr="002C1B13">
        <w:rPr>
          <w:rFonts w:asciiTheme="minorHAnsi" w:eastAsia="Times New Roman" w:hAnsiTheme="minorHAnsi" w:cs="Times New Roman"/>
          <w:bCs/>
          <w:color w:val="000000" w:themeColor="text1"/>
          <w:sz w:val="24"/>
          <w:szCs w:val="24"/>
        </w:rPr>
        <w:t xml:space="preserve"> della direttiva (UE) 2019/789</w:t>
      </w:r>
      <w:r w:rsidR="00B54B25" w:rsidRPr="00B54B25">
        <w:rPr>
          <w:rFonts w:asciiTheme="minorHAnsi" w:eastAsia="Times New Roman" w:hAnsiTheme="minorHAnsi" w:cs="Times New Roman"/>
          <w:b/>
          <w:bCs/>
          <w:color w:val="000000" w:themeColor="text1"/>
          <w:sz w:val="24"/>
          <w:szCs w:val="24"/>
        </w:rPr>
        <w:t>, tenendo in considerazione quanto disposto dall'articolo 8 del decreto legislativo 15 marzo 2017, n. 35</w:t>
      </w:r>
      <w:r w:rsidR="00B54B25">
        <w:rPr>
          <w:rStyle w:val="Rimandonotaapidipagina"/>
          <w:rFonts w:asciiTheme="minorHAnsi" w:eastAsia="Times New Roman" w:hAnsiTheme="minorHAnsi" w:cs="Times New Roman"/>
          <w:b/>
          <w:bCs/>
          <w:color w:val="000000" w:themeColor="text1"/>
          <w:sz w:val="24"/>
          <w:szCs w:val="24"/>
        </w:rPr>
        <w:footnoteReference w:id="66"/>
      </w:r>
      <w:proofErr w:type="gramStart"/>
      <w:r w:rsidRPr="002C1B13">
        <w:rPr>
          <w:rFonts w:asciiTheme="minorHAnsi" w:eastAsia="Times New Roman" w:hAnsiTheme="minorHAnsi" w:cs="Times New Roman"/>
          <w:bCs/>
          <w:color w:val="000000" w:themeColor="text1"/>
          <w:sz w:val="24"/>
          <w:szCs w:val="24"/>
        </w:rPr>
        <w:t>.</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roofErr w:type="gramEnd"/>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Dall'attuazione del presente articolo non </w:t>
      </w:r>
      <w:proofErr w:type="gramStart"/>
      <w:r w:rsidRPr="002C1B13">
        <w:rPr>
          <w:rFonts w:asciiTheme="minorHAnsi" w:eastAsia="Times New Roman" w:hAnsiTheme="minorHAnsi" w:cs="Times New Roman"/>
          <w:bCs/>
          <w:color w:val="000000" w:themeColor="text1"/>
          <w:sz w:val="24"/>
          <w:szCs w:val="24"/>
        </w:rPr>
        <w:t>devono</w:t>
      </w:r>
      <w:proofErr w:type="gramEnd"/>
      <w:r w:rsidRPr="002C1B13">
        <w:rPr>
          <w:rFonts w:asciiTheme="minorHAnsi" w:eastAsia="Times New Roman" w:hAnsiTheme="minorHAnsi" w:cs="Times New Roman"/>
          <w:bCs/>
          <w:color w:val="000000" w:themeColor="text1"/>
          <w:sz w:val="24"/>
          <w:szCs w:val="24"/>
        </w:rPr>
        <w:t xml:space="preserve"> derivare nuovi o maggiori oneri a carico della finanza pubblica. Le amministrazioni interessate provvedono all'adempimento dei compiti derivanti dall'esercizio della delega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cui al presente articolo con le risorse umane, strumentali e finanziarie disponibili a legislazione vigente.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9.</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il recepimento della direttiva (UE) 2019/790, sul diritto d'autore e sui diritti connessi nel mercato unico digitale e che modifica le direttive 96/9/CE e 2001/29/CE</w:t>
      </w:r>
      <w:proofErr w:type="gramStart"/>
      <w:r w:rsidRPr="002C1B13">
        <w:rPr>
          <w:rFonts w:asciiTheme="minorHAnsi" w:eastAsia="Times New Roman" w:hAnsiTheme="minorHAnsi" w:cs="Times New Roman"/>
          <w:bCs/>
          <w:i/>
          <w:color w:val="000000" w:themeColor="text1"/>
          <w:sz w:val="24"/>
          <w:szCs w:val="24"/>
        </w:rPr>
        <w:t>)</w:t>
      </w:r>
      <w:proofErr w:type="gramEnd"/>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Nell'esercizio della delega per l'attuazione della direttiva (UE) 2019/790, del Parlamento europeo e del Consiglio, del 17 aprile 2019, il Governo osserva, oltre ai princìpi e criteri direttivi generali di cui all'articolo </w:t>
      </w:r>
      <w:proofErr w:type="gramStart"/>
      <w:r w:rsidRPr="002C1B13">
        <w:rPr>
          <w:rFonts w:asciiTheme="minorHAnsi" w:eastAsia="Times New Roman" w:hAnsiTheme="minorHAnsi" w:cs="Times New Roman"/>
          <w:bCs/>
          <w:color w:val="000000" w:themeColor="text1"/>
          <w:sz w:val="24"/>
          <w:szCs w:val="24"/>
        </w:rPr>
        <w:t>32</w:t>
      </w:r>
      <w:proofErr w:type="gramEnd"/>
      <w:r w:rsidRPr="002C1B13">
        <w:rPr>
          <w:rFonts w:asciiTheme="minorHAnsi" w:eastAsia="Times New Roman" w:hAnsiTheme="minorHAnsi" w:cs="Times New Roman"/>
          <w:bCs/>
          <w:color w:val="000000" w:themeColor="text1"/>
          <w:sz w:val="24"/>
          <w:szCs w:val="24"/>
        </w:rPr>
        <w:t xml:space="preserve">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applicare la definizione di </w:t>
      </w:r>
      <w:proofErr w:type="gramStart"/>
      <w:r w:rsidRPr="002C1B13">
        <w:rPr>
          <w:rFonts w:asciiTheme="minorHAnsi" w:eastAsia="Times New Roman" w:hAnsiTheme="minorHAnsi" w:cs="Times New Roman"/>
          <w:bCs/>
          <w:color w:val="000000" w:themeColor="text1"/>
          <w:sz w:val="24"/>
          <w:szCs w:val="24"/>
        </w:rPr>
        <w:t>«</w:t>
      </w:r>
      <w:proofErr w:type="gramEnd"/>
      <w:r w:rsidRPr="002C1B13">
        <w:rPr>
          <w:rFonts w:asciiTheme="minorHAnsi" w:eastAsia="Times New Roman" w:hAnsiTheme="minorHAnsi" w:cs="Times New Roman"/>
          <w:bCs/>
          <w:color w:val="000000" w:themeColor="text1"/>
          <w:sz w:val="24"/>
          <w:szCs w:val="24"/>
        </w:rPr>
        <w:t> istituti di tutela del patrimonio culturale », nell'accezione più ampia possibile, al fine di favorire l'accesso ai beni ivi custoditi;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disciplinare le eccezioni o limitazioni ai fini dell'estrazione di testo e dati di cui all'articolo </w:t>
      </w:r>
      <w:proofErr w:type="gramStart"/>
      <w:r w:rsidRPr="002C1B13">
        <w:rPr>
          <w:rFonts w:asciiTheme="minorHAnsi" w:eastAsia="Times New Roman" w:hAnsiTheme="minorHAnsi" w:cs="Times New Roman"/>
          <w:bCs/>
          <w:color w:val="000000" w:themeColor="text1"/>
          <w:sz w:val="24"/>
          <w:szCs w:val="24"/>
        </w:rPr>
        <w:t>3</w:t>
      </w:r>
      <w:proofErr w:type="gramEnd"/>
      <w:r w:rsidRPr="002C1B13">
        <w:rPr>
          <w:rFonts w:asciiTheme="minorHAnsi" w:eastAsia="Times New Roman" w:hAnsiTheme="minorHAnsi" w:cs="Times New Roman"/>
          <w:bCs/>
          <w:color w:val="000000" w:themeColor="text1"/>
          <w:sz w:val="24"/>
          <w:szCs w:val="24"/>
        </w:rPr>
        <w:t xml:space="preserve"> della direttiva (UE) 2019/790, garantendo adeguati livelli di sicurezza delle reti e delle banche dati nonché definire l'accesso legale e i requisiti dei soggetti coinvolti;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c) esercitare l'</w:t>
      </w:r>
      <w:proofErr w:type="gramStart"/>
      <w:r w:rsidRPr="002C1B13">
        <w:rPr>
          <w:rFonts w:asciiTheme="minorHAnsi" w:eastAsia="Times New Roman" w:hAnsiTheme="minorHAnsi" w:cs="Times New Roman"/>
          <w:bCs/>
          <w:color w:val="000000" w:themeColor="text1"/>
          <w:sz w:val="24"/>
          <w:szCs w:val="24"/>
        </w:rPr>
        <w:t>opzione</w:t>
      </w:r>
      <w:proofErr w:type="gramEnd"/>
      <w:r w:rsidRPr="002C1B13">
        <w:rPr>
          <w:rFonts w:asciiTheme="minorHAnsi" w:eastAsia="Times New Roman" w:hAnsiTheme="minorHAnsi" w:cs="Times New Roman"/>
          <w:bCs/>
          <w:color w:val="000000" w:themeColor="text1"/>
          <w:sz w:val="24"/>
          <w:szCs w:val="24"/>
        </w:rPr>
        <w:t xml:space="preserve"> di cui all'articolo 5, paragrafo 2, della direttiva (UE) 2019/790, che consente di escludere o limitare l'applicazione dell'eccezione o limitazione di cui al paragrafo 1 del medesimo articolo, per determinati utilizzi o tipi di opere o altri materiali;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stabilire le procedure che permettono ai titolari dei diritti che non abbiano autorizzato gli organismi di gestione collettiva a rappresentarli di escludere le loro opere o altri materiali dal meccanismo di concessione delle licenze di cui all'articolo </w:t>
      </w:r>
      <w:proofErr w:type="gramStart"/>
      <w:r w:rsidRPr="002C1B13">
        <w:rPr>
          <w:rFonts w:asciiTheme="minorHAnsi" w:eastAsia="Times New Roman" w:hAnsiTheme="minorHAnsi" w:cs="Times New Roman"/>
          <w:bCs/>
          <w:color w:val="000000" w:themeColor="text1"/>
          <w:sz w:val="24"/>
          <w:szCs w:val="24"/>
        </w:rPr>
        <w:t>8</w:t>
      </w:r>
      <w:proofErr w:type="gramEnd"/>
      <w:r w:rsidRPr="002C1B13">
        <w:rPr>
          <w:rFonts w:asciiTheme="minorHAnsi" w:eastAsia="Times New Roman" w:hAnsiTheme="minorHAnsi" w:cs="Times New Roman"/>
          <w:bCs/>
          <w:color w:val="000000" w:themeColor="text1"/>
          <w:sz w:val="24"/>
          <w:szCs w:val="24"/>
        </w:rPr>
        <w:t>, paragrafo 1, della direttiva (UE) 2019/790 o dall'applicazione dell'eccezione o limitazione di cui al paragrafo 2 del medesimo articolo;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esercitare l'</w:t>
      </w:r>
      <w:proofErr w:type="gramStart"/>
      <w:r w:rsidRPr="002C1B13">
        <w:rPr>
          <w:rFonts w:asciiTheme="minorHAnsi" w:eastAsia="Times New Roman" w:hAnsiTheme="minorHAnsi" w:cs="Times New Roman"/>
          <w:bCs/>
          <w:color w:val="000000" w:themeColor="text1"/>
          <w:sz w:val="24"/>
          <w:szCs w:val="24"/>
        </w:rPr>
        <w:t>opzione</w:t>
      </w:r>
      <w:proofErr w:type="gramEnd"/>
      <w:r w:rsidRPr="002C1B13">
        <w:rPr>
          <w:rFonts w:asciiTheme="minorHAnsi" w:eastAsia="Times New Roman" w:hAnsiTheme="minorHAnsi" w:cs="Times New Roman"/>
          <w:bCs/>
          <w:color w:val="000000" w:themeColor="text1"/>
          <w:sz w:val="24"/>
          <w:szCs w:val="24"/>
        </w:rPr>
        <w:t xml:space="preserve"> di cui all'articolo 8, paragrafo 5, della direttiva (UE) 2019/790, che consente di stabilire requisiti specifici per determinare se un'opera e altri materiali possano essere considerati fuori commercio;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f) individuare la disciplina applicabile nel caso </w:t>
      </w:r>
      <w:proofErr w:type="gramStart"/>
      <w:r w:rsidRPr="002C1B13">
        <w:rPr>
          <w:rFonts w:asciiTheme="minorHAnsi" w:eastAsia="Times New Roman" w:hAnsiTheme="minorHAnsi" w:cs="Times New Roman"/>
          <w:bCs/>
          <w:color w:val="000000" w:themeColor="text1"/>
          <w:sz w:val="24"/>
          <w:szCs w:val="24"/>
        </w:rPr>
        <w:t>l'</w:t>
      </w:r>
      <w:proofErr w:type="gramEnd"/>
      <w:r w:rsidRPr="002C1B13">
        <w:rPr>
          <w:rFonts w:asciiTheme="minorHAnsi" w:eastAsia="Times New Roman" w:hAnsiTheme="minorHAnsi" w:cs="Times New Roman"/>
          <w:bCs/>
          <w:color w:val="000000" w:themeColor="text1"/>
          <w:sz w:val="24"/>
          <w:szCs w:val="24"/>
        </w:rPr>
        <w:t>opera, oltre ad essere fuori commercio ai sensi dell'articolo 8 della direttiva (UE) 2019/790, sia anche « orfana » e quindi soggetta alle disposizioni della direttiva 2012/28/UE del Parlamento europeo e del Consiglio, del 25 ottobre 2012;</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g) prevedere, ai sensi dell'articolo </w:t>
      </w:r>
      <w:proofErr w:type="gramStart"/>
      <w:r w:rsidRPr="002C1B13">
        <w:rPr>
          <w:rFonts w:asciiTheme="minorHAnsi" w:eastAsia="Times New Roman" w:hAnsiTheme="minorHAnsi" w:cs="Times New Roman"/>
          <w:bCs/>
          <w:color w:val="000000" w:themeColor="text1"/>
          <w:sz w:val="24"/>
          <w:szCs w:val="24"/>
        </w:rPr>
        <w:t>10</w:t>
      </w:r>
      <w:proofErr w:type="gramEnd"/>
      <w:r w:rsidRPr="002C1B13">
        <w:rPr>
          <w:rFonts w:asciiTheme="minorHAnsi" w:eastAsia="Times New Roman" w:hAnsiTheme="minorHAnsi" w:cs="Times New Roman"/>
          <w:bCs/>
          <w:color w:val="000000" w:themeColor="text1"/>
          <w:sz w:val="24"/>
          <w:szCs w:val="24"/>
        </w:rPr>
        <w:t>, paragrafo 2, della direttiva (UE) 2019/790, ulteriori misure di pubblicità a favore dei titolari dei diritti oltre quelle previste dal paragrafo 1 del medesimo articolo;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h) prevedere, ai sensi dell'articolo </w:t>
      </w:r>
      <w:proofErr w:type="gramStart"/>
      <w:r w:rsidRPr="002C1B13">
        <w:rPr>
          <w:rFonts w:asciiTheme="minorHAnsi" w:eastAsia="Times New Roman" w:hAnsiTheme="minorHAnsi" w:cs="Times New Roman"/>
          <w:bCs/>
          <w:color w:val="000000" w:themeColor="text1"/>
          <w:sz w:val="24"/>
          <w:szCs w:val="24"/>
        </w:rPr>
        <w:t>15</w:t>
      </w:r>
      <w:proofErr w:type="gramEnd"/>
      <w:r w:rsidRPr="002C1B13">
        <w:rPr>
          <w:rFonts w:asciiTheme="minorHAnsi" w:eastAsia="Times New Roman" w:hAnsiTheme="minorHAnsi" w:cs="Times New Roman"/>
          <w:bCs/>
          <w:color w:val="000000" w:themeColor="text1"/>
          <w:sz w:val="24"/>
          <w:szCs w:val="24"/>
        </w:rPr>
        <w:t xml:space="preserve"> della direttiva (UE) 2019/790, che nel caso di utilizzo online delle pubblicazioni di carattere giornalistico da parte dei prestatori di servizi della società dell'informazione trovino adeguata tutela i diritti degli editori, tenendo in debita considerazione i diritti degli autori di tali pubblicazioni;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i) definire il concetto di </w:t>
      </w:r>
      <w:proofErr w:type="gramStart"/>
      <w:r w:rsidRPr="002C1B13">
        <w:rPr>
          <w:rFonts w:asciiTheme="minorHAnsi" w:eastAsia="Times New Roman" w:hAnsiTheme="minorHAnsi" w:cs="Times New Roman"/>
          <w:bCs/>
          <w:color w:val="000000" w:themeColor="text1"/>
          <w:sz w:val="24"/>
          <w:szCs w:val="24"/>
        </w:rPr>
        <w:t>«</w:t>
      </w:r>
      <w:proofErr w:type="gramEnd"/>
      <w:r w:rsidRPr="002C1B13">
        <w:rPr>
          <w:rFonts w:asciiTheme="minorHAnsi" w:eastAsia="Times New Roman" w:hAnsiTheme="minorHAnsi" w:cs="Times New Roman"/>
          <w:bCs/>
          <w:color w:val="000000" w:themeColor="text1"/>
          <w:sz w:val="24"/>
          <w:szCs w:val="24"/>
        </w:rPr>
        <w:t> estratti molto brevi » in modo da non pregiudicare la libera circolazione delle informazioni;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l) definire la quota adeguata dei proventi percepiti dagli editori per l'utilizzo delle pubblicazioni di carattere giornalistico di cui all'articolo </w:t>
      </w:r>
      <w:proofErr w:type="gramStart"/>
      <w:r w:rsidRPr="002C1B13">
        <w:rPr>
          <w:rFonts w:asciiTheme="minorHAnsi" w:eastAsia="Times New Roman" w:hAnsiTheme="minorHAnsi" w:cs="Times New Roman"/>
          <w:bCs/>
          <w:color w:val="000000" w:themeColor="text1"/>
          <w:sz w:val="24"/>
          <w:szCs w:val="24"/>
        </w:rPr>
        <w:t>15</w:t>
      </w:r>
      <w:proofErr w:type="gramEnd"/>
      <w:r w:rsidRPr="002C1B13">
        <w:rPr>
          <w:rFonts w:asciiTheme="minorHAnsi" w:eastAsia="Times New Roman" w:hAnsiTheme="minorHAnsi" w:cs="Times New Roman"/>
          <w:bCs/>
          <w:color w:val="000000" w:themeColor="text1"/>
          <w:sz w:val="24"/>
          <w:szCs w:val="24"/>
        </w:rPr>
        <w:t>, paragrafo 5, della direttiva (UE) 2019/790, destinata agli autori, tenendo in particolare considerazione i diritti di questi ultimi;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m) definire la quota del compenso di cui all'articolo </w:t>
      </w:r>
      <w:proofErr w:type="gramStart"/>
      <w:r w:rsidRPr="002C1B13">
        <w:rPr>
          <w:rFonts w:asciiTheme="minorHAnsi" w:eastAsia="Times New Roman" w:hAnsiTheme="minorHAnsi" w:cs="Times New Roman"/>
          <w:bCs/>
          <w:color w:val="000000" w:themeColor="text1"/>
          <w:sz w:val="24"/>
          <w:szCs w:val="24"/>
        </w:rPr>
        <w:t>16</w:t>
      </w:r>
      <w:proofErr w:type="gramEnd"/>
      <w:r w:rsidRPr="002C1B13">
        <w:rPr>
          <w:rFonts w:asciiTheme="minorHAnsi" w:eastAsia="Times New Roman" w:hAnsiTheme="minorHAnsi" w:cs="Times New Roman"/>
          <w:bCs/>
          <w:color w:val="000000" w:themeColor="text1"/>
          <w:sz w:val="24"/>
          <w:szCs w:val="24"/>
        </w:rPr>
        <w:t xml:space="preserve"> della direttiva (UE) 2019/ 790 spettante agli editori nel caso l'opera sia utilizzata in virtù di un'eccezione o di una limitazione, tenuti in debito conto i diritti degli autori;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n) definire le attività di cui all'articolo </w:t>
      </w:r>
      <w:proofErr w:type="gramStart"/>
      <w:r w:rsidRPr="002C1B13">
        <w:rPr>
          <w:rFonts w:asciiTheme="minorHAnsi" w:eastAsia="Times New Roman" w:hAnsiTheme="minorHAnsi" w:cs="Times New Roman"/>
          <w:bCs/>
          <w:color w:val="000000" w:themeColor="text1"/>
          <w:sz w:val="24"/>
          <w:szCs w:val="24"/>
        </w:rPr>
        <w:t>17</w:t>
      </w:r>
      <w:proofErr w:type="gramEnd"/>
      <w:r w:rsidRPr="002C1B13">
        <w:rPr>
          <w:rFonts w:asciiTheme="minorHAnsi" w:eastAsia="Times New Roman" w:hAnsiTheme="minorHAnsi" w:cs="Times New Roman"/>
          <w:bCs/>
          <w:color w:val="000000" w:themeColor="text1"/>
          <w:sz w:val="24"/>
          <w:szCs w:val="24"/>
        </w:rPr>
        <w:t>, paragrafo 4, della direttiva (UE) 2019/790, con particolare riferimento al livello di diligenza richiesto al fine di ritenere integrato il criterio dei « massimi sforzi », nel rispetto del principio di ragionevolezza;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o) individuare la disciplina </w:t>
      </w:r>
      <w:proofErr w:type="gramStart"/>
      <w:r w:rsidRPr="002C1B13">
        <w:rPr>
          <w:rFonts w:asciiTheme="minorHAnsi" w:eastAsia="Times New Roman" w:hAnsiTheme="minorHAnsi" w:cs="Times New Roman"/>
          <w:bCs/>
          <w:color w:val="000000" w:themeColor="text1"/>
          <w:sz w:val="24"/>
          <w:szCs w:val="24"/>
        </w:rPr>
        <w:t>relativa ai</w:t>
      </w:r>
      <w:proofErr w:type="gramEnd"/>
      <w:r w:rsidRPr="002C1B13">
        <w:rPr>
          <w:rFonts w:asciiTheme="minorHAnsi" w:eastAsia="Times New Roman" w:hAnsiTheme="minorHAnsi" w:cs="Times New Roman"/>
          <w:bCs/>
          <w:color w:val="000000" w:themeColor="text1"/>
          <w:sz w:val="24"/>
          <w:szCs w:val="24"/>
        </w:rPr>
        <w:t xml:space="preserve"> reclami e ai ricorsi di cui all'articolo 17, paragrafo 9, della direttiva (UE) 2019/790, ivi compreso l'organismo preposto alla gestione delle rispettive procedure;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p) stabilire le </w:t>
      </w:r>
      <w:proofErr w:type="gramStart"/>
      <w:r w:rsidRPr="002C1B13">
        <w:rPr>
          <w:rFonts w:asciiTheme="minorHAnsi" w:eastAsia="Times New Roman" w:hAnsiTheme="minorHAnsi" w:cs="Times New Roman"/>
          <w:bCs/>
          <w:color w:val="000000" w:themeColor="text1"/>
          <w:sz w:val="24"/>
          <w:szCs w:val="24"/>
        </w:rPr>
        <w:t>modalità</w:t>
      </w:r>
      <w:proofErr w:type="gramEnd"/>
      <w:r w:rsidRPr="002C1B13">
        <w:rPr>
          <w:rFonts w:asciiTheme="minorHAnsi" w:eastAsia="Times New Roman" w:hAnsiTheme="minorHAnsi" w:cs="Times New Roman"/>
          <w:bCs/>
          <w:color w:val="000000" w:themeColor="text1"/>
          <w:sz w:val="24"/>
          <w:szCs w:val="24"/>
        </w:rPr>
        <w:t xml:space="preserve"> e i criteri del meccanismo di adeguamento contrattuale previsto in mancanza di un accordo di contrattazione collettiva applicabile, di cui all'articolo 20 della direttiva (UE) 2019/790;</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q) stabilire le </w:t>
      </w:r>
      <w:proofErr w:type="gramStart"/>
      <w:r w:rsidRPr="002C1B13">
        <w:rPr>
          <w:rFonts w:asciiTheme="minorHAnsi" w:eastAsia="Times New Roman" w:hAnsiTheme="minorHAnsi" w:cs="Times New Roman"/>
          <w:bCs/>
          <w:color w:val="000000" w:themeColor="text1"/>
          <w:sz w:val="24"/>
          <w:szCs w:val="24"/>
        </w:rPr>
        <w:t>modalità</w:t>
      </w:r>
      <w:proofErr w:type="gramEnd"/>
      <w:r w:rsidRPr="002C1B13">
        <w:rPr>
          <w:rFonts w:asciiTheme="minorHAnsi" w:eastAsia="Times New Roman" w:hAnsiTheme="minorHAnsi" w:cs="Times New Roman"/>
          <w:bCs/>
          <w:color w:val="000000" w:themeColor="text1"/>
          <w:sz w:val="24"/>
          <w:szCs w:val="24"/>
        </w:rPr>
        <w:t xml:space="preserve"> e i criteri, anche variabili in base ai diversi settori e al genere di opera, per l'esercizio del diritto di revoca di cui all'articolo 22 della direttiva (UE) 2019/790.</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10.</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 xml:space="preserve">(Princìpi e criteri direttivi per il recepimento della direttiva 2019/878, che modifica la direttiva 2013/36/UE per </w:t>
      </w:r>
      <w:proofErr w:type="gramStart"/>
      <w:r w:rsidRPr="002C1B13">
        <w:rPr>
          <w:rFonts w:asciiTheme="minorHAnsi" w:eastAsia="Times New Roman" w:hAnsiTheme="minorHAnsi" w:cs="Times New Roman"/>
          <w:bCs/>
          <w:i/>
          <w:color w:val="000000" w:themeColor="text1"/>
          <w:sz w:val="24"/>
          <w:szCs w:val="24"/>
        </w:rPr>
        <w:t>quanto</w:t>
      </w:r>
      <w:proofErr w:type="gramEnd"/>
      <w:r w:rsidRPr="002C1B13">
        <w:rPr>
          <w:rFonts w:asciiTheme="minorHAnsi" w:eastAsia="Times New Roman" w:hAnsiTheme="minorHAnsi" w:cs="Times New Roman"/>
          <w:bCs/>
          <w:i/>
          <w:color w:val="000000" w:themeColor="text1"/>
          <w:sz w:val="24"/>
          <w:szCs w:val="24"/>
        </w:rPr>
        <w:t xml:space="preserve"> riguarda le entità esentate, le società di partecipazione finanziaria, le società di partecipazione finanziaria mista, la remunerazione, le misure e i poteri di vigilanza e le misure di conservazione del capitale, nonché per l'adeguamento al regolamento (UE) 2019/876, che modifica il regolamento (UE) 575/2013, relativo ai requisiti prudenziali per gli enti creditizi)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1. Nell'esercizio della delega per l'attuazione della direttiva (UE) 2019/878 del Parlamento europeo e del Consiglio, del 20 maggio 2019, e per l'adeguamento della normativa nazionale alle disposizioni del regolamento (UE) 2019/876 del Parlamento europeo e del Consiglio, del 20 maggio 2019, il Governo osserva, oltre ai princìpi e criteri direttivi generali di cui all'articolo </w:t>
      </w:r>
      <w:proofErr w:type="gramStart"/>
      <w:r w:rsidRPr="002C1B13">
        <w:rPr>
          <w:rFonts w:asciiTheme="minorHAnsi" w:eastAsia="Times New Roman" w:hAnsiTheme="minorHAnsi" w:cs="Times New Roman"/>
          <w:bCs/>
          <w:color w:val="000000" w:themeColor="text1"/>
          <w:sz w:val="24"/>
          <w:szCs w:val="24"/>
        </w:rPr>
        <w:t>32</w:t>
      </w:r>
      <w:proofErr w:type="gramEnd"/>
      <w:r w:rsidRPr="002C1B13">
        <w:rPr>
          <w:rFonts w:asciiTheme="minorHAnsi" w:eastAsia="Times New Roman" w:hAnsiTheme="minorHAnsi" w:cs="Times New Roman"/>
          <w:bCs/>
          <w:color w:val="000000" w:themeColor="text1"/>
          <w:sz w:val="24"/>
          <w:szCs w:val="24"/>
        </w:rPr>
        <w:t xml:space="preserve">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apportare alla normativa vigente e, in particolare, al testo unico delle leggi in materia bancaria e creditizia, di cui al decreto legislativo 1° settembre 1993, n. 385, le modifiche e le integrazioni necessarie al corretto e integrale recepimento della direttiva (UE) 2019/878 e all'applicazione del regolamento (UE) 2019/876, relativi ai requisiti prudenziali per gli enti creditizi, </w:t>
      </w:r>
      <w:proofErr w:type="gramStart"/>
      <w:r w:rsidRPr="002C1B13">
        <w:rPr>
          <w:rFonts w:asciiTheme="minorHAnsi" w:eastAsia="Times New Roman" w:hAnsiTheme="minorHAnsi" w:cs="Times New Roman"/>
          <w:bCs/>
          <w:color w:val="000000" w:themeColor="text1"/>
          <w:sz w:val="24"/>
          <w:szCs w:val="24"/>
        </w:rPr>
        <w:t>nonché</w:t>
      </w:r>
      <w:proofErr w:type="gramEnd"/>
      <w:r w:rsidRPr="002C1B13">
        <w:rPr>
          <w:rFonts w:asciiTheme="minorHAnsi" w:eastAsia="Times New Roman" w:hAnsiTheme="minorHAnsi" w:cs="Times New Roman"/>
          <w:bCs/>
          <w:color w:val="000000" w:themeColor="text1"/>
          <w:sz w:val="24"/>
          <w:szCs w:val="24"/>
        </w:rPr>
        <w:t xml:space="preserve"> delle pertinenti norme tecniche di regolamentazione di attuazione della direttiva e del regolamento tenendo conto degli orientamenti delle Autorità di vigilanza europee;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prevedere il ricorso alla disciplina secondaria adottata dalla Banca d'Italia che, nell'esercizio dei propri poteri regolamentari, tiene conto degli orientamenti emanati dalle Autorità di vigilanza europee;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confermare, ai sensi dell'articolo </w:t>
      </w:r>
      <w:proofErr w:type="gramStart"/>
      <w:r w:rsidRPr="002C1B13">
        <w:rPr>
          <w:rFonts w:asciiTheme="minorHAnsi" w:eastAsia="Times New Roman" w:hAnsiTheme="minorHAnsi" w:cs="Times New Roman"/>
          <w:bCs/>
          <w:color w:val="000000" w:themeColor="text1"/>
          <w:sz w:val="24"/>
          <w:szCs w:val="24"/>
        </w:rPr>
        <w:t>53</w:t>
      </w:r>
      <w:proofErr w:type="gramEnd"/>
      <w:r w:rsidRPr="002C1B13">
        <w:rPr>
          <w:rFonts w:asciiTheme="minorHAnsi" w:eastAsia="Times New Roman" w:hAnsiTheme="minorHAnsi" w:cs="Times New Roman"/>
          <w:bCs/>
          <w:color w:val="000000" w:themeColor="text1"/>
          <w:sz w:val="24"/>
          <w:szCs w:val="24"/>
        </w:rPr>
        <w:t xml:space="preserve"> del citato testo unico di cui al decreto legislativo n. 385 del 1993, l'individuazione nella Banca d'Italia dell'autorità competente a esercitare le opzioni che la direttiva (UE) 2019/878 e il regolamento (UE) 2019/876 attribuiscono agli Stati membri;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attribuire all'autorità designata ai sensi dell'articolo 53-ter del citato testo unico di cui al decreto legislativo n. 385 del 1993, i poteri previsti dagli articoli 124 e 164 del regolamento (UE) n. 2013/575 del Parlamento europeo e del Consiglio, del 26 giugno 2013, come modificato dal regolamento (UE) 2019/876;</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estendere la disciplina delle sanzioni amministrative di cui al titolo VIII del citato testo unico di cui al decreto legislativo n. 385 del 1993 alle violazioni delle disposizioni dettate in attuazione della direttiva (UE) 2019/878 e delle disposizioni emanate in attuazione del presente articolo, nel rispetto dei criteri, dei limiti e delle procedure previste dalle disposizioni nazionali vigenti che disciplinano l'esercizio del potere sanzionatorio da parte delle autorità competenti a </w:t>
      </w:r>
      <w:proofErr w:type="gramStart"/>
      <w:r w:rsidRPr="002C1B13">
        <w:rPr>
          <w:rFonts w:asciiTheme="minorHAnsi" w:eastAsia="Times New Roman" w:hAnsiTheme="minorHAnsi" w:cs="Times New Roman"/>
          <w:bCs/>
          <w:color w:val="000000" w:themeColor="text1"/>
          <w:sz w:val="24"/>
          <w:szCs w:val="24"/>
        </w:rPr>
        <w:t>irrogarle</w:t>
      </w:r>
      <w:proofErr w:type="gramEnd"/>
      <w:r w:rsidRPr="002C1B13">
        <w:rPr>
          <w:rFonts w:asciiTheme="minorHAnsi" w:eastAsia="Times New Roman" w:hAnsiTheme="minorHAnsi" w:cs="Times New Roman"/>
          <w:bCs/>
          <w:color w:val="000000" w:themeColor="text1"/>
          <w:sz w:val="24"/>
          <w:szCs w:val="24"/>
        </w:rPr>
        <w:t>;</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con riferimento al potere di rimuovere il soggetto incaricato della </w:t>
      </w:r>
      <w:proofErr w:type="gramStart"/>
      <w:r w:rsidRPr="002C1B13">
        <w:rPr>
          <w:rFonts w:asciiTheme="minorHAnsi" w:eastAsia="Times New Roman" w:hAnsiTheme="minorHAnsi" w:cs="Times New Roman"/>
          <w:bCs/>
          <w:color w:val="000000" w:themeColor="text1"/>
          <w:sz w:val="24"/>
          <w:szCs w:val="24"/>
        </w:rPr>
        <w:t>revisione</w:t>
      </w:r>
      <w:proofErr w:type="gramEnd"/>
      <w:r w:rsidRPr="002C1B13">
        <w:rPr>
          <w:rFonts w:asciiTheme="minorHAnsi" w:eastAsia="Times New Roman" w:hAnsiTheme="minorHAnsi" w:cs="Times New Roman"/>
          <w:bCs/>
          <w:color w:val="000000" w:themeColor="text1"/>
          <w:sz w:val="24"/>
          <w:szCs w:val="24"/>
        </w:rPr>
        <w:t xml:space="preserve"> legale dei conti in banche e imprese di investimento, previsto in attuazione dell'articolo 1, punto 15), della direttiva (UE) 2019/878, estendere l'applicazione di tale potere a tutti gli enti sottoposti a regime intermedio disciplinati ai sensi del citato testo unico di cui al decreto legislativo n. 385 del 1993 e del testo unico delle disposizioni in materia di intermediazione finanziaria, di cui al decreto legislativo 24 febbraio 1998, n. 58, in coerenza con quanto previsto dall'articolo 19-ter, comma 1, lettera b), del decreto legislativo 27 gennaio 2010, n. 39, per quanto attiene al rinvio all'articolo 12 del regolamento (UE) n. 537/2014 del Parlamento europeo e del Consiglio, del 16 aprile 2014;</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g) apportare alla disciplina in materia di assetti proprietari contenuta nel testo unico delle leggi in materia bancaria e creditizia, di cui al decreto legislativo n. 385 del 1993, e nel testo unico delle disposizioni in materia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 xml:space="preserve">intermediazione finanziaria, di cui al decreto legislativo n. 58 del 1998, le modifiche volte ad assicurarne la conformità agli orientamenti delle Autorità di vigilanza europee in </w:t>
      </w:r>
      <w:r w:rsidRPr="002C1B13">
        <w:rPr>
          <w:rFonts w:asciiTheme="minorHAnsi" w:eastAsia="Times New Roman" w:hAnsiTheme="minorHAnsi" w:cs="Times New Roman"/>
          <w:bCs/>
          <w:color w:val="000000" w:themeColor="text1"/>
          <w:sz w:val="24"/>
          <w:szCs w:val="24"/>
        </w:rPr>
        <w:lastRenderedPageBreak/>
        <w:t>materia e, in particolare, alle previsioni riguardanti l'individuazione delle partecipazioni rilevanti acquisite in via indiretta e tramite patti parasociali.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Dall'attuazione del presente articolo non </w:t>
      </w:r>
      <w:proofErr w:type="gramStart"/>
      <w:r w:rsidRPr="002C1B13">
        <w:rPr>
          <w:rFonts w:asciiTheme="minorHAnsi" w:eastAsia="Times New Roman" w:hAnsiTheme="minorHAnsi" w:cs="Times New Roman"/>
          <w:bCs/>
          <w:color w:val="000000" w:themeColor="text1"/>
          <w:sz w:val="24"/>
          <w:szCs w:val="24"/>
        </w:rPr>
        <w:t>devono</w:t>
      </w:r>
      <w:proofErr w:type="gramEnd"/>
      <w:r w:rsidRPr="002C1B13">
        <w:rPr>
          <w:rFonts w:asciiTheme="minorHAnsi" w:eastAsia="Times New Roman" w:hAnsiTheme="minorHAnsi" w:cs="Times New Roman"/>
          <w:bCs/>
          <w:color w:val="000000" w:themeColor="text1"/>
          <w:sz w:val="24"/>
          <w:szCs w:val="24"/>
        </w:rPr>
        <w:t xml:space="preserve"> derivare nuovi o maggiori oneri a carico della finanza pubblica. Le amministrazioni interessate provvedono all'adempimento dei compiti derivanti dall'esercizio della delega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cui al presente articolo con le risorse umane, strumentali e finanziarie disponibili a legislazione vigente.</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11.</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 xml:space="preserve">(Princìpi e criteri direttivi per il recepimento della direttiva (UE) 2019/879, che modifica la direttiva 2014/59/UE per </w:t>
      </w:r>
      <w:proofErr w:type="gramStart"/>
      <w:r w:rsidRPr="002C1B13">
        <w:rPr>
          <w:rFonts w:asciiTheme="minorHAnsi" w:eastAsia="Times New Roman" w:hAnsiTheme="minorHAnsi" w:cs="Times New Roman"/>
          <w:bCs/>
          <w:i/>
          <w:color w:val="000000" w:themeColor="text1"/>
          <w:sz w:val="24"/>
          <w:szCs w:val="24"/>
        </w:rPr>
        <w:t>quanto</w:t>
      </w:r>
      <w:proofErr w:type="gramEnd"/>
      <w:r w:rsidRPr="002C1B13">
        <w:rPr>
          <w:rFonts w:asciiTheme="minorHAnsi" w:eastAsia="Times New Roman" w:hAnsiTheme="minorHAnsi" w:cs="Times New Roman"/>
          <w:bCs/>
          <w:i/>
          <w:color w:val="000000" w:themeColor="text1"/>
          <w:sz w:val="24"/>
          <w:szCs w:val="24"/>
        </w:rPr>
        <w:t xml:space="preserve"> riguarda la capacità di assorbimento di perdite e di ricapitalizzazione degli enti creditizi e delle imprese di investimento e la direttiva 98/26/CE, nonché per l'adeguamento della normativa nazionale al regolamento (UE) 806/2014, che fissa norme e una procedura uniformi per la risoluzione degli enti creditizi e di talune imprese di investimento nel quadro del meccanismo di risoluzione unico e del Fondo di risoluzione unico e che modifica il regolamento (UE) n. 1093/2010)</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Nell'esercizio della delega per l'attuazione della direttiva (UE) 2019/879 del Parlamento europeo e del Consiglio, del 20 maggio 2019, e per l'adeguamento della normativa nazionale alle disposizioni del regolamento (UE) 806/2014 del Parlamento europeo e del Consiglio, del 15 luglio 2014, come modificato dal regolamento (UE) 2019/877 del Parlamento europeo e del Consiglio, del 20 maggio 2019, il Governo osserva, oltre ai princìpi e criteri direttivi generali di cui all'articolo </w:t>
      </w:r>
      <w:proofErr w:type="gramStart"/>
      <w:r w:rsidRPr="002C1B13">
        <w:rPr>
          <w:rFonts w:asciiTheme="minorHAnsi" w:eastAsia="Times New Roman" w:hAnsiTheme="minorHAnsi" w:cs="Times New Roman"/>
          <w:bCs/>
          <w:color w:val="000000" w:themeColor="text1"/>
          <w:sz w:val="24"/>
          <w:szCs w:val="24"/>
        </w:rPr>
        <w:t>32</w:t>
      </w:r>
      <w:proofErr w:type="gramEnd"/>
      <w:r w:rsidRPr="002C1B13">
        <w:rPr>
          <w:rFonts w:asciiTheme="minorHAnsi" w:eastAsia="Times New Roman" w:hAnsiTheme="minorHAnsi" w:cs="Times New Roman"/>
          <w:bCs/>
          <w:color w:val="000000" w:themeColor="text1"/>
          <w:sz w:val="24"/>
          <w:szCs w:val="24"/>
        </w:rPr>
        <w:t xml:space="preserve"> della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apportare alla normativa vigente e in particolare a quella di recepimento della direttiva 2014/59/UE del Parlamento europeo e del Consiglio, del 15 maggio 2014, contenuta nel decreto legislativo 16 novembre 2015, n. 180, nel testo unico delle leggi in materia bancaria e creditizia, di cui al decreto legislativo 1° settembre 1993, n. 385, e nel testo unico delle disposizioni in materia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intermediazione finanziaria, di cui al decreto legislativo 24 febbraio 1998, n. 58, le modifiche e le integrazioni necessarie al corretto e integrale recepimento della direttiva (UE) 2019/879, nonché all'applicazione del regolamento (UE) n. 806/2014, come modificato dal regolamento (UE) 2019/877, e delle pertinenti norme tecniche di regolamentazione e di attuazione, tenendo conto degli orientamenti dell'Autorità bancaria europea;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garantire la coerenza tra la disciplina nazionale di recepimento della direttiva e il quadro normativo dell'Unione europea in materia di vigilanza bancaria, gestione delle crisi e tutela dei depositanti;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prevedere il ricorso alla disciplina secondaria adottata dalla Banca d'Italia ai sensi dell'articolo </w:t>
      </w:r>
      <w:proofErr w:type="gramStart"/>
      <w:r w:rsidRPr="002C1B13">
        <w:rPr>
          <w:rFonts w:asciiTheme="minorHAnsi" w:eastAsia="Times New Roman" w:hAnsiTheme="minorHAnsi" w:cs="Times New Roman"/>
          <w:bCs/>
          <w:color w:val="000000" w:themeColor="text1"/>
          <w:sz w:val="24"/>
          <w:szCs w:val="24"/>
        </w:rPr>
        <w:t>3</w:t>
      </w:r>
      <w:proofErr w:type="gramEnd"/>
      <w:r w:rsidRPr="002C1B13">
        <w:rPr>
          <w:rFonts w:asciiTheme="minorHAnsi" w:eastAsia="Times New Roman" w:hAnsiTheme="minorHAnsi" w:cs="Times New Roman"/>
          <w:bCs/>
          <w:color w:val="000000" w:themeColor="text1"/>
          <w:sz w:val="24"/>
          <w:szCs w:val="24"/>
        </w:rPr>
        <w:t xml:space="preserve"> del decreto legislativo n. 180 del 2015; la Banca d'Italia, nell'esercizio dei propri poteri regolamentari, tiene conto degli orientamenti emanati dall'Autorità bancaria europea;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d) con riferimento alla disciplina della sospensione degli obblighi di pagamento e di consegna nel corso di una risoluzione o prima del suo avvio, avvalersi della facoltà prevista dall'articolo </w:t>
      </w:r>
      <w:proofErr w:type="gramStart"/>
      <w:r w:rsidRPr="002C1B13">
        <w:rPr>
          <w:rFonts w:asciiTheme="minorHAnsi" w:eastAsia="Times New Roman" w:hAnsiTheme="minorHAnsi" w:cs="Times New Roman"/>
          <w:bCs/>
          <w:color w:val="000000" w:themeColor="text1"/>
          <w:sz w:val="24"/>
          <w:szCs w:val="24"/>
        </w:rPr>
        <w:t>33</w:t>
      </w:r>
      <w:proofErr w:type="gramEnd"/>
      <w:r w:rsidRPr="002C1B13">
        <w:rPr>
          <w:rFonts w:asciiTheme="minorHAnsi" w:eastAsia="Times New Roman" w:hAnsiTheme="minorHAnsi" w:cs="Times New Roman"/>
          <w:bCs/>
          <w:color w:val="000000" w:themeColor="text1"/>
          <w:sz w:val="24"/>
          <w:szCs w:val="24"/>
        </w:rPr>
        <w:t xml:space="preserve"> bis, paragrafo 3, e dall'articolo 69, paragrafo 5, della direttiva 2014/59/UE, come modificata dalla direttiva (UE) 2019/879;</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con riferimento alla disciplina sulla commercializzazione a investitori non professionali degli strumenti finanziari computabili nel requisito minimo di passività soggette a bail-in, avvalersi, con le </w:t>
      </w:r>
      <w:proofErr w:type="gramStart"/>
      <w:r w:rsidRPr="002C1B13">
        <w:rPr>
          <w:rFonts w:asciiTheme="minorHAnsi" w:eastAsia="Times New Roman" w:hAnsiTheme="minorHAnsi" w:cs="Times New Roman"/>
          <w:bCs/>
          <w:color w:val="000000" w:themeColor="text1"/>
          <w:sz w:val="24"/>
          <w:szCs w:val="24"/>
        </w:rPr>
        <w:t>modalità</w:t>
      </w:r>
      <w:proofErr w:type="gramEnd"/>
      <w:r w:rsidRPr="002C1B13">
        <w:rPr>
          <w:rFonts w:asciiTheme="minorHAnsi" w:eastAsia="Times New Roman" w:hAnsiTheme="minorHAnsi" w:cs="Times New Roman"/>
          <w:bCs/>
          <w:color w:val="000000" w:themeColor="text1"/>
          <w:sz w:val="24"/>
          <w:szCs w:val="24"/>
        </w:rPr>
        <w:t xml:space="preserve"> più idonee ad assicurare la tutela di tali investitori, delle facoltà previste dall'articolo 44 bis della direttiva 2014/59/UE, come modificata dalla direttiva (UE) 2019/879</w:t>
      </w:r>
      <w:r w:rsidR="005711BE">
        <w:rPr>
          <w:rFonts w:asciiTheme="minorHAnsi" w:eastAsia="Times New Roman" w:hAnsiTheme="minorHAnsi" w:cs="Times New Roman"/>
          <w:bCs/>
          <w:color w:val="000000" w:themeColor="text1"/>
          <w:sz w:val="24"/>
          <w:szCs w:val="24"/>
        </w:rPr>
        <w:t xml:space="preserve"> </w:t>
      </w:r>
      <w:r w:rsidR="005711BE" w:rsidRPr="005711BE">
        <w:rPr>
          <w:rFonts w:asciiTheme="minorHAnsi" w:eastAsia="Times New Roman" w:hAnsiTheme="minorHAnsi" w:cs="Times New Roman"/>
          <w:b/>
          <w:bCs/>
          <w:color w:val="000000" w:themeColor="text1"/>
          <w:sz w:val="24"/>
          <w:szCs w:val="24"/>
        </w:rPr>
        <w:t>e prevedere opportune forme di coordinamento con i poteri e le competenze attribuiti alla CONSOB dal testo unico delle disposizioni in materia di intermediazione finanziaria, di cui al decreto legislativo 24 febbraio 1998, n. 58, in materia di trasparenza e correttezza dei comportamenti, al fine di garantire la coerenza e l'efficacia complessiva del sistema di vigilanza</w:t>
      </w:r>
      <w:r w:rsidR="005711BE">
        <w:rPr>
          <w:rStyle w:val="Rimandonotaapidipagina"/>
          <w:rFonts w:asciiTheme="minorHAnsi" w:eastAsia="Times New Roman" w:hAnsiTheme="minorHAnsi" w:cs="Times New Roman"/>
          <w:b/>
          <w:bCs/>
          <w:color w:val="000000" w:themeColor="text1"/>
          <w:sz w:val="24"/>
          <w:szCs w:val="24"/>
        </w:rPr>
        <w:footnoteReference w:id="67"/>
      </w:r>
      <w:r w:rsidRPr="002C1B13">
        <w:rPr>
          <w:rFonts w:asciiTheme="minorHAnsi" w:eastAsia="Times New Roman" w:hAnsiTheme="minorHAnsi" w:cs="Times New Roman"/>
          <w:bCs/>
          <w:color w:val="000000" w:themeColor="text1"/>
          <w:sz w:val="24"/>
          <w:szCs w:val="24"/>
        </w:rPr>
        <w:t>;</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avvalersi della facoltà, con gli effetti previsti dall'articolo </w:t>
      </w:r>
      <w:proofErr w:type="gramStart"/>
      <w:r w:rsidRPr="002C1B13">
        <w:rPr>
          <w:rFonts w:asciiTheme="minorHAnsi" w:eastAsia="Times New Roman" w:hAnsiTheme="minorHAnsi" w:cs="Times New Roman"/>
          <w:bCs/>
          <w:color w:val="000000" w:themeColor="text1"/>
          <w:sz w:val="24"/>
          <w:szCs w:val="24"/>
        </w:rPr>
        <w:t>71</w:t>
      </w:r>
      <w:proofErr w:type="gramEnd"/>
      <w:r w:rsidRPr="002C1B13">
        <w:rPr>
          <w:rFonts w:asciiTheme="minorHAnsi" w:eastAsia="Times New Roman" w:hAnsiTheme="minorHAnsi" w:cs="Times New Roman"/>
          <w:bCs/>
          <w:color w:val="000000" w:themeColor="text1"/>
          <w:sz w:val="24"/>
          <w:szCs w:val="24"/>
        </w:rPr>
        <w:t xml:space="preserve"> bis della direttiva (UE) 2014/59/UE, come modificata dalla direttiva (UE) 2019/879, di imporre alle società italiane capogruppo di un gruppo bancario l'obbligo di richiedere alle proprie controllate con sede legale in Stati terzi l'inserimento nei contratti finanziari da esse conclusi di una clausola che riconosca l'esercizio da parte dell'autorità di risoluzione dei poteri di sospensione degli obblighi di pagamento e di consegna, di limitazione dell'escussione di garanzie e di sospensione dei meccanismi terminativi previsti dalla direttiva 2014/59/UE, come modificata dalla direttiva (UE) 2019/879;</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apportare alla normativa di cui alla lettera a</w:t>
      </w:r>
      <w:proofErr w:type="gramStart"/>
      <w:r w:rsidRPr="002C1B13">
        <w:rPr>
          <w:rFonts w:asciiTheme="minorHAnsi" w:eastAsia="Times New Roman" w:hAnsiTheme="minorHAnsi" w:cs="Times New Roman"/>
          <w:bCs/>
          <w:color w:val="000000" w:themeColor="text1"/>
          <w:sz w:val="24"/>
          <w:szCs w:val="24"/>
        </w:rPr>
        <w:t>)</w:t>
      </w:r>
      <w:proofErr w:type="gramEnd"/>
      <w:r w:rsidRPr="002C1B13">
        <w:rPr>
          <w:rFonts w:asciiTheme="minorHAnsi" w:eastAsia="Times New Roman" w:hAnsiTheme="minorHAnsi" w:cs="Times New Roman"/>
          <w:bCs/>
          <w:color w:val="000000" w:themeColor="text1"/>
          <w:sz w:val="24"/>
          <w:szCs w:val="24"/>
        </w:rPr>
        <w:t xml:space="preserve"> ogni altra modifica e integrazione volta a chiarire la disciplina applicabile e ad assicurare maggiore efficacia ed efficienza alla gestione delle crisi di tutti gli intermediari ivi disciplinati, anche tenendo conto di quanto previsto dal codice della crisi d'impresa e dell'insolvenza, di cui al decreto legislativo 12 gennaio 2019, n. 14, e delle esigenze di celerità delle relative procedure;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h) apportare al decreto legislativo n. 180 del 2015, e al testo unico delle leggi in materia bancaria e redditizia, di cui al decreto legislativo n. 385 del 1993, le modifiche e le integrazioni necessarie ad assicurare la coerenza con il regolamento (UE) n. 806/2014, come modificato dal regolamento (UE) 2019/877;</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i) coordinare la disciplina delle sanzioni previste dal decreto legislativo n. 180 del 2015 e dal testo unico di cui al decreto legislativo n. 385 del 1993, con quanto previsto dagli articoli </w:t>
      </w:r>
      <w:proofErr w:type="gramStart"/>
      <w:r w:rsidRPr="002C1B13">
        <w:rPr>
          <w:rFonts w:asciiTheme="minorHAnsi" w:eastAsia="Times New Roman" w:hAnsiTheme="minorHAnsi" w:cs="Times New Roman"/>
          <w:bCs/>
          <w:color w:val="000000" w:themeColor="text1"/>
          <w:sz w:val="24"/>
          <w:szCs w:val="24"/>
        </w:rPr>
        <w:t>38</w:t>
      </w:r>
      <w:proofErr w:type="gramEnd"/>
      <w:r w:rsidRPr="002C1B13">
        <w:rPr>
          <w:rFonts w:asciiTheme="minorHAnsi" w:eastAsia="Times New Roman" w:hAnsiTheme="minorHAnsi" w:cs="Times New Roman"/>
          <w:bCs/>
          <w:color w:val="000000" w:themeColor="text1"/>
          <w:sz w:val="24"/>
          <w:szCs w:val="24"/>
        </w:rPr>
        <w:t>, 39, 40 e 41 del regolamento (UE) 806/2014</w:t>
      </w:r>
      <w:r w:rsidR="005711BE">
        <w:rPr>
          <w:rFonts w:asciiTheme="minorHAnsi" w:eastAsia="Times New Roman" w:hAnsiTheme="minorHAnsi" w:cs="Times New Roman"/>
          <w:bCs/>
          <w:color w:val="000000" w:themeColor="text1"/>
          <w:sz w:val="24"/>
          <w:szCs w:val="24"/>
        </w:rPr>
        <w:t xml:space="preserve"> </w:t>
      </w:r>
      <w:r w:rsidR="005711BE" w:rsidRPr="005711BE">
        <w:rPr>
          <w:rFonts w:asciiTheme="minorHAnsi" w:eastAsia="Times New Roman" w:hAnsiTheme="minorHAnsi" w:cs="Times New Roman"/>
          <w:b/>
          <w:bCs/>
          <w:color w:val="000000" w:themeColor="text1"/>
          <w:sz w:val="24"/>
          <w:szCs w:val="24"/>
        </w:rPr>
        <w:t>e coordinare il regime sanzionatorio previsto dal decreto legislativo 24 febbraio 1998, n. 58, con riferimento alle violazioni della disciplina di attuazione dell'articolo 44-bis della direttiva 2014/59/UE, come modificata dalla direttiva (UE) 2019/879</w:t>
      </w:r>
      <w:r w:rsidR="005711BE">
        <w:rPr>
          <w:rStyle w:val="Rimandonotaapidipagina"/>
          <w:rFonts w:asciiTheme="minorHAnsi" w:eastAsia="Times New Roman" w:hAnsiTheme="minorHAnsi" w:cs="Times New Roman"/>
          <w:b/>
          <w:bCs/>
          <w:color w:val="000000" w:themeColor="text1"/>
          <w:sz w:val="24"/>
          <w:szCs w:val="24"/>
        </w:rPr>
        <w:footnoteReference w:id="68"/>
      </w:r>
      <w:proofErr w:type="gramStart"/>
      <w:r w:rsidRPr="002C1B13">
        <w:rPr>
          <w:rFonts w:asciiTheme="minorHAnsi" w:eastAsia="Times New Roman" w:hAnsiTheme="minorHAnsi" w:cs="Times New Roman"/>
          <w:bCs/>
          <w:color w:val="000000" w:themeColor="text1"/>
          <w:sz w:val="24"/>
          <w:szCs w:val="24"/>
        </w:rPr>
        <w:t>.</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roofErr w:type="gramEnd"/>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2. Dall'attuazione del presente articolo non </w:t>
      </w:r>
      <w:proofErr w:type="gramStart"/>
      <w:r w:rsidRPr="002C1B13">
        <w:rPr>
          <w:rFonts w:asciiTheme="minorHAnsi" w:eastAsia="Times New Roman" w:hAnsiTheme="minorHAnsi" w:cs="Times New Roman"/>
          <w:bCs/>
          <w:color w:val="000000" w:themeColor="text1"/>
          <w:sz w:val="24"/>
          <w:szCs w:val="24"/>
        </w:rPr>
        <w:t>devono</w:t>
      </w:r>
      <w:proofErr w:type="gramEnd"/>
      <w:r w:rsidRPr="002C1B13">
        <w:rPr>
          <w:rFonts w:asciiTheme="minorHAnsi" w:eastAsia="Times New Roman" w:hAnsiTheme="minorHAnsi" w:cs="Times New Roman"/>
          <w:bCs/>
          <w:color w:val="000000" w:themeColor="text1"/>
          <w:sz w:val="24"/>
          <w:szCs w:val="24"/>
        </w:rPr>
        <w:t xml:space="preserve"> derivare nuovi o maggiori oneri a carico della finanza pubblica. Le amministrazioni interessate provvedono all'adempimento dei compiti derivanti dall'esercizio della delega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cui al presente articolo con le risorse umane, strumentali e finanziarie disponibili a legislazione vigente.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12.</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 xml:space="preserve">(Princìpi e criteri direttivi per l'attuazione della direttiva (UE) 2019/944, </w:t>
      </w:r>
      <w:proofErr w:type="gramStart"/>
      <w:r w:rsidRPr="002C1B13">
        <w:rPr>
          <w:rFonts w:asciiTheme="minorHAnsi" w:eastAsia="Times New Roman" w:hAnsiTheme="minorHAnsi" w:cs="Times New Roman"/>
          <w:bCs/>
          <w:i/>
          <w:color w:val="000000" w:themeColor="text1"/>
          <w:sz w:val="24"/>
          <w:szCs w:val="24"/>
        </w:rPr>
        <w:t>relativa a norme comuni</w:t>
      </w:r>
      <w:proofErr w:type="gramEnd"/>
      <w:r w:rsidRPr="002C1B13">
        <w:rPr>
          <w:rFonts w:asciiTheme="minorHAnsi" w:eastAsia="Times New Roman" w:hAnsiTheme="minorHAnsi" w:cs="Times New Roman"/>
          <w:bCs/>
          <w:i/>
          <w:color w:val="000000" w:themeColor="text1"/>
          <w:sz w:val="24"/>
          <w:szCs w:val="24"/>
        </w:rPr>
        <w:t xml:space="preserve"> per il mercato interno dell'energia elettrica e che modifica la direttiva 2012/27/UE (rifusione))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Nell'esercizio della delega per l'attuazione della direttiva (UE) 2019/944 del Parlamento europeo e del Consiglio, del 5 giugno 2019, il Governo osserva, oltre ai princìpi e criteri direttivi generali di cui all'articolo </w:t>
      </w:r>
      <w:proofErr w:type="gramStart"/>
      <w:r w:rsidRPr="002C1B13">
        <w:rPr>
          <w:rFonts w:asciiTheme="minorHAnsi" w:eastAsia="Times New Roman" w:hAnsiTheme="minorHAnsi" w:cs="Times New Roman"/>
          <w:bCs/>
          <w:color w:val="000000" w:themeColor="text1"/>
          <w:sz w:val="24"/>
          <w:szCs w:val="24"/>
        </w:rPr>
        <w:t>32</w:t>
      </w:r>
      <w:proofErr w:type="gramEnd"/>
      <w:r w:rsidRPr="002C1B13">
        <w:rPr>
          <w:rFonts w:asciiTheme="minorHAnsi" w:eastAsia="Times New Roman" w:hAnsiTheme="minorHAnsi" w:cs="Times New Roman"/>
          <w:bCs/>
          <w:color w:val="000000" w:themeColor="text1"/>
          <w:sz w:val="24"/>
          <w:szCs w:val="24"/>
        </w:rPr>
        <w:t xml:space="preserve">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in coerenza con le </w:t>
      </w:r>
      <w:proofErr w:type="gramStart"/>
      <w:r w:rsidRPr="002C1B13">
        <w:rPr>
          <w:rFonts w:asciiTheme="minorHAnsi" w:eastAsia="Times New Roman" w:hAnsiTheme="minorHAnsi" w:cs="Times New Roman"/>
          <w:bCs/>
          <w:color w:val="000000" w:themeColor="text1"/>
          <w:sz w:val="24"/>
          <w:szCs w:val="24"/>
        </w:rPr>
        <w:t>modalità</w:t>
      </w:r>
      <w:proofErr w:type="gramEnd"/>
      <w:r w:rsidRPr="002C1B13">
        <w:rPr>
          <w:rFonts w:asciiTheme="minorHAnsi" w:eastAsia="Times New Roman" w:hAnsiTheme="minorHAnsi" w:cs="Times New Roman"/>
          <w:bCs/>
          <w:color w:val="000000" w:themeColor="text1"/>
          <w:sz w:val="24"/>
          <w:szCs w:val="24"/>
        </w:rPr>
        <w:t xml:space="preserve"> e gli obblighi di servizio pubblico, definire la disciplina relativa alle comunità energetiche dei cittadini, attive nell'ambito della generazione, dell'approvvigionamento, della distribuzione, dell'accumulo, della condivisione, della vendita di energia elettrica e della fornitura di servizi energetici, ivi inclusi i servizi di efficienza energetica e di ricarica dei veicoli elettrici, valorizzando la rete elettrica esistente e assicurando un'adeguata partecipazione ai costi di sistema;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aggiornare </w:t>
      </w:r>
      <w:r w:rsidR="005711BE">
        <w:rPr>
          <w:rFonts w:asciiTheme="minorHAnsi" w:eastAsia="Times New Roman" w:hAnsiTheme="minorHAnsi" w:cs="Times New Roman"/>
          <w:b/>
          <w:bCs/>
          <w:color w:val="000000" w:themeColor="text1"/>
          <w:sz w:val="24"/>
          <w:szCs w:val="24"/>
        </w:rPr>
        <w:t>e semplificare</w:t>
      </w:r>
      <w:proofErr w:type="gramStart"/>
      <w:r w:rsidR="005711BE">
        <w:rPr>
          <w:rStyle w:val="Rimandonotaapidipagina"/>
          <w:rFonts w:asciiTheme="minorHAnsi" w:eastAsia="Times New Roman" w:hAnsiTheme="minorHAnsi" w:cs="Times New Roman"/>
          <w:b/>
          <w:bCs/>
          <w:color w:val="000000" w:themeColor="text1"/>
          <w:sz w:val="24"/>
          <w:szCs w:val="24"/>
        </w:rPr>
        <w:footnoteReference w:id="69"/>
      </w:r>
      <w:r w:rsidR="005711BE">
        <w:rPr>
          <w:rFonts w:asciiTheme="minorHAnsi" w:eastAsia="Times New Roman" w:hAnsiTheme="minorHAnsi" w:cs="Times New Roman"/>
          <w:b/>
          <w:bCs/>
          <w:color w:val="000000" w:themeColor="text1"/>
          <w:sz w:val="24"/>
          <w:szCs w:val="24"/>
        </w:rPr>
        <w:t xml:space="preserve"> </w:t>
      </w:r>
      <w:proofErr w:type="gramEnd"/>
      <w:r w:rsidRPr="002C1B13">
        <w:rPr>
          <w:rFonts w:asciiTheme="minorHAnsi" w:eastAsia="Times New Roman" w:hAnsiTheme="minorHAnsi" w:cs="Times New Roman"/>
          <w:bCs/>
          <w:color w:val="000000" w:themeColor="text1"/>
          <w:sz w:val="24"/>
          <w:szCs w:val="24"/>
        </w:rPr>
        <w:t>il quadro normativo in materia di configurazioni per l'autoconsumo, di sistemi di distribuzione chiusi e di linee dirette, disciplinando le modalità e gli obblighi di servizio pubblico e prevedendo un'adeguata partecipazione ai costi di sistema</w:t>
      </w:r>
      <w:r w:rsidR="005711BE">
        <w:rPr>
          <w:rFonts w:asciiTheme="minorHAnsi" w:eastAsia="Times New Roman" w:hAnsiTheme="minorHAnsi" w:cs="Times New Roman"/>
          <w:bCs/>
          <w:color w:val="000000" w:themeColor="text1"/>
          <w:sz w:val="24"/>
          <w:szCs w:val="24"/>
        </w:rPr>
        <w:t xml:space="preserve"> </w:t>
      </w:r>
      <w:r w:rsidR="005711BE">
        <w:rPr>
          <w:rFonts w:asciiTheme="minorHAnsi" w:eastAsia="Times New Roman" w:hAnsiTheme="minorHAnsi" w:cs="Times New Roman"/>
          <w:b/>
          <w:bCs/>
          <w:color w:val="000000" w:themeColor="text1"/>
          <w:sz w:val="24"/>
          <w:szCs w:val="24"/>
        </w:rPr>
        <w:t>e di rete</w:t>
      </w:r>
      <w:r w:rsidR="005711BE">
        <w:rPr>
          <w:rStyle w:val="Rimandonotaapidipagina"/>
          <w:rFonts w:asciiTheme="minorHAnsi" w:eastAsia="Times New Roman" w:hAnsiTheme="minorHAnsi" w:cs="Times New Roman"/>
          <w:b/>
          <w:bCs/>
          <w:color w:val="000000" w:themeColor="text1"/>
          <w:sz w:val="24"/>
          <w:szCs w:val="24"/>
        </w:rPr>
        <w:footnoteReference w:id="70"/>
      </w:r>
      <w:r w:rsidRPr="002C1B13">
        <w:rPr>
          <w:rFonts w:asciiTheme="minorHAnsi" w:eastAsia="Times New Roman" w:hAnsiTheme="minorHAnsi" w:cs="Times New Roman"/>
          <w:bCs/>
          <w:color w:val="000000" w:themeColor="text1"/>
          <w:sz w:val="24"/>
          <w:szCs w:val="24"/>
        </w:rPr>
        <w:t>;</w:t>
      </w:r>
    </w:p>
    <w:p w:rsidR="002C1B13" w:rsidRDefault="002C1B13" w:rsidP="002C1B13">
      <w:pPr>
        <w:shd w:val="clear" w:color="auto" w:fill="FFFFFF"/>
        <w:tabs>
          <w:tab w:val="left" w:pos="993"/>
        </w:tabs>
        <w:spacing w:after="120" w:line="240" w:lineRule="auto"/>
        <w:jc w:val="both"/>
        <w:rPr>
          <w:rFonts w:asciiTheme="minorHAnsi" w:hAnsiTheme="minorHAnsi"/>
          <w:b/>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definire il quadro normativo </w:t>
      </w:r>
      <w:r w:rsidR="00695884">
        <w:rPr>
          <w:rFonts w:asciiTheme="minorHAnsi" w:eastAsia="Times New Roman" w:hAnsiTheme="minorHAnsi" w:cs="Times New Roman"/>
          <w:b/>
          <w:bCs/>
          <w:color w:val="000000" w:themeColor="text1"/>
          <w:sz w:val="24"/>
          <w:szCs w:val="24"/>
        </w:rPr>
        <w:t>semplificato</w:t>
      </w:r>
      <w:proofErr w:type="gramStart"/>
      <w:r w:rsidR="00695884">
        <w:rPr>
          <w:rStyle w:val="Rimandonotaapidipagina"/>
          <w:rFonts w:asciiTheme="minorHAnsi" w:eastAsia="Times New Roman" w:hAnsiTheme="minorHAnsi" w:cs="Times New Roman"/>
          <w:b/>
          <w:bCs/>
          <w:color w:val="000000" w:themeColor="text1"/>
          <w:sz w:val="24"/>
          <w:szCs w:val="24"/>
        </w:rPr>
        <w:footnoteReference w:id="71"/>
      </w:r>
      <w:r w:rsidR="00695884">
        <w:rPr>
          <w:rFonts w:asciiTheme="minorHAnsi" w:eastAsia="Times New Roman" w:hAnsiTheme="minorHAnsi" w:cs="Times New Roman"/>
          <w:b/>
          <w:bCs/>
          <w:color w:val="000000" w:themeColor="text1"/>
          <w:sz w:val="24"/>
          <w:szCs w:val="24"/>
        </w:rPr>
        <w:t xml:space="preserve"> </w:t>
      </w:r>
      <w:proofErr w:type="gramEnd"/>
      <w:r w:rsidRPr="002C1B13">
        <w:rPr>
          <w:rFonts w:asciiTheme="minorHAnsi" w:eastAsia="Times New Roman" w:hAnsiTheme="minorHAnsi" w:cs="Times New Roman"/>
          <w:bCs/>
          <w:color w:val="000000" w:themeColor="text1"/>
          <w:sz w:val="24"/>
          <w:szCs w:val="24"/>
        </w:rPr>
        <w:t>per lo sviluppo e la diffusione dei sistemi di accumulo e per la partecipazione degli stessi ai mercati dell'energia elettrica e dei servizi, tenuto conto degli obiettivi di sviluppo e integrazione della generazione da fonti rinnovabili</w:t>
      </w:r>
      <w:r w:rsidR="00622F5A">
        <w:rPr>
          <w:rFonts w:asciiTheme="minorHAnsi" w:eastAsia="Times New Roman" w:hAnsiTheme="minorHAnsi" w:cs="Times New Roman"/>
          <w:bCs/>
          <w:color w:val="000000" w:themeColor="text1"/>
          <w:sz w:val="24"/>
          <w:szCs w:val="24"/>
        </w:rPr>
        <w:t xml:space="preserve"> </w:t>
      </w:r>
      <w:r w:rsidR="00622F5A" w:rsidRPr="00622F5A">
        <w:rPr>
          <w:rFonts w:asciiTheme="minorHAnsi" w:eastAsia="Times New Roman" w:hAnsiTheme="minorHAnsi" w:cs="Times New Roman"/>
          <w:b/>
          <w:bCs/>
          <w:color w:val="000000" w:themeColor="text1"/>
          <w:sz w:val="24"/>
          <w:szCs w:val="24"/>
        </w:rPr>
        <w:t>e delle esigenze di flessibilità e adeguatezza del sistema elettrico</w:t>
      </w:r>
      <w:r w:rsidR="00622F5A">
        <w:rPr>
          <w:rStyle w:val="Rimandonotaapidipagina"/>
          <w:rFonts w:asciiTheme="minorHAnsi" w:eastAsia="Times New Roman" w:hAnsiTheme="minorHAnsi" w:cs="Times New Roman"/>
          <w:b/>
          <w:bCs/>
          <w:color w:val="000000" w:themeColor="text1"/>
          <w:sz w:val="24"/>
          <w:szCs w:val="24"/>
        </w:rPr>
        <w:footnoteReference w:id="72"/>
      </w:r>
      <w:r w:rsidR="00695884" w:rsidRPr="00695884">
        <w:rPr>
          <w:rFonts w:asciiTheme="minorHAnsi" w:eastAsia="Times New Roman" w:hAnsiTheme="minorHAnsi" w:cs="Times New Roman"/>
          <w:b/>
          <w:bCs/>
          <w:color w:val="000000" w:themeColor="text1"/>
          <w:sz w:val="24"/>
          <w:szCs w:val="24"/>
        </w:rPr>
        <w:t>, prevedendo l'adozione delle necessarie procedure autorizzative e degli strumenti funzionali all'adozione di soluzioni di mercato con un orizzonte a lungo termine, al fine di dare stabilità agli investimenti</w:t>
      </w:r>
      <w:r w:rsidR="00695884">
        <w:rPr>
          <w:rStyle w:val="Rimandonotaapidipagina"/>
          <w:rFonts w:asciiTheme="minorHAnsi" w:eastAsia="Times New Roman" w:hAnsiTheme="minorHAnsi" w:cs="Times New Roman"/>
          <w:b/>
          <w:bCs/>
          <w:color w:val="000000" w:themeColor="text1"/>
          <w:sz w:val="24"/>
          <w:szCs w:val="24"/>
        </w:rPr>
        <w:footnoteReference w:id="73"/>
      </w:r>
      <w:r w:rsidRPr="002C1B13">
        <w:rPr>
          <w:rFonts w:asciiTheme="minorHAnsi" w:eastAsia="Times New Roman" w:hAnsiTheme="minorHAnsi" w:cs="Times New Roman"/>
          <w:bCs/>
          <w:color w:val="000000" w:themeColor="text1"/>
          <w:sz w:val="24"/>
          <w:szCs w:val="24"/>
        </w:rPr>
        <w:t>;</w:t>
      </w:r>
      <w:r w:rsidR="00A52E1C" w:rsidRPr="00341A03">
        <w:rPr>
          <w:rFonts w:asciiTheme="minorHAnsi" w:hAnsiTheme="minorHAnsi"/>
          <w:b/>
          <w:bCs/>
          <w:color w:val="000000" w:themeColor="text1"/>
          <w:sz w:val="24"/>
          <w:szCs w:val="24"/>
        </w:rPr>
        <w:t>", definendo, in particolare, procedure autorizzative armonizzate e semplificate per la costruzione e l'esercizio di accumuli di energia e individuando modalità di realizzazione congruenti con la finalità di accogliere l'intera produzione da fonti rinnovabili non programmabili individuata come necessaria per il raggiungimento degli obiettivi del Piano nazionale integrato per l'energia e il clima (PNIEC).";</w:t>
      </w:r>
      <w:r w:rsidR="00A52E1C">
        <w:rPr>
          <w:rStyle w:val="Rimandonotaapidipagina"/>
          <w:rFonts w:asciiTheme="minorHAnsi" w:hAnsiTheme="minorHAnsi"/>
          <w:b/>
          <w:bCs/>
          <w:color w:val="000000" w:themeColor="text1"/>
          <w:sz w:val="24"/>
          <w:szCs w:val="24"/>
        </w:rPr>
        <w:footnoteReference w:id="74"/>
      </w:r>
    </w:p>
    <w:p w:rsidR="00E56DC1" w:rsidRPr="002C1B13" w:rsidRDefault="00E56DC1"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roofErr w:type="gramStart"/>
      <w:r w:rsidRPr="00052EF6">
        <w:rPr>
          <w:rFonts w:asciiTheme="minorHAnsi" w:hAnsiTheme="minorHAnsi"/>
          <w:b/>
          <w:bCs/>
          <w:color w:val="000000" w:themeColor="text1"/>
          <w:sz w:val="24"/>
          <w:szCs w:val="24"/>
        </w:rPr>
        <w:lastRenderedPageBreak/>
        <w:t>c-bis</w:t>
      </w:r>
      <w:proofErr w:type="gramEnd"/>
      <w:r w:rsidRPr="00052EF6">
        <w:rPr>
          <w:rFonts w:asciiTheme="minorHAnsi" w:hAnsiTheme="minorHAnsi"/>
          <w:b/>
          <w:bCs/>
          <w:color w:val="000000" w:themeColor="text1"/>
          <w:sz w:val="24"/>
          <w:szCs w:val="24"/>
        </w:rPr>
        <w:t>) adottare le disposizioni di cui alle lettere a), b) e c) in coerenza con quelle di cui all'articolo 5, comma 1, lettere c), f) e g), allo scopo di definire una disciplina unica in materia di comunità energetiche, autoconsumo collettivo e sistemi di accumulo;</w:t>
      </w:r>
      <w:r>
        <w:rPr>
          <w:rStyle w:val="Rimandonotaapidipagina"/>
          <w:rFonts w:asciiTheme="minorHAnsi" w:hAnsiTheme="minorHAnsi"/>
          <w:b/>
          <w:bCs/>
          <w:color w:val="000000" w:themeColor="text1"/>
          <w:sz w:val="24"/>
          <w:szCs w:val="24"/>
        </w:rPr>
        <w:footnoteReference w:id="75"/>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 aggiornare il quadro normativo delle misure per implementare la protezione dei clienti vulnerabili e in condizioni di povertà energetica;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prevedere misure per l'evoluzione del ruolo e delle responsabilità dei gestori delle reti di distribuzione, in coordinamento con il gestore della rete di trasmissione, in funzione delle esigenze di flessibilità del sistema e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integrazione della generazione distribuita e della gestione della domanda, secondo criteri di gradualità;</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riordinare la disciplina di adozione del piano di sviluppo della rete di trasmissione nazionale </w:t>
      </w:r>
      <w:r w:rsidR="00622F5A">
        <w:rPr>
          <w:rFonts w:asciiTheme="minorHAnsi" w:eastAsia="Times New Roman" w:hAnsiTheme="minorHAnsi" w:cs="Times New Roman"/>
          <w:b/>
          <w:bCs/>
          <w:color w:val="000000" w:themeColor="text1"/>
          <w:sz w:val="24"/>
          <w:szCs w:val="24"/>
        </w:rPr>
        <w:t>coordinandolo con il piano di sicurezza</w:t>
      </w:r>
      <w:proofErr w:type="gramStart"/>
      <w:r w:rsidR="00622F5A">
        <w:rPr>
          <w:rStyle w:val="Rimandonotaapidipagina"/>
          <w:rFonts w:asciiTheme="minorHAnsi" w:eastAsia="Times New Roman" w:hAnsiTheme="minorHAnsi" w:cs="Times New Roman"/>
          <w:b/>
          <w:bCs/>
          <w:color w:val="000000" w:themeColor="text1"/>
          <w:sz w:val="24"/>
          <w:szCs w:val="24"/>
        </w:rPr>
        <w:footnoteReference w:id="76"/>
      </w:r>
      <w:r w:rsidR="00622F5A">
        <w:rPr>
          <w:rFonts w:asciiTheme="minorHAnsi" w:eastAsia="Times New Roman" w:hAnsiTheme="minorHAnsi" w:cs="Times New Roman"/>
          <w:b/>
          <w:bCs/>
          <w:color w:val="000000" w:themeColor="text1"/>
          <w:sz w:val="24"/>
          <w:szCs w:val="24"/>
        </w:rPr>
        <w:t xml:space="preserve"> </w:t>
      </w:r>
      <w:r w:rsidR="00622F5A" w:rsidRPr="00622F5A">
        <w:rPr>
          <w:rFonts w:asciiTheme="minorHAnsi" w:eastAsia="Times New Roman" w:hAnsiTheme="minorHAnsi" w:cs="Times New Roman"/>
          <w:b/>
          <w:bCs/>
          <w:color w:val="000000" w:themeColor="text1"/>
          <w:sz w:val="24"/>
          <w:szCs w:val="24"/>
        </w:rPr>
        <w:t>,</w:t>
      </w:r>
      <w:proofErr w:type="gramEnd"/>
      <w:r w:rsidR="00622F5A" w:rsidRPr="00622F5A">
        <w:rPr>
          <w:rFonts w:asciiTheme="minorHAnsi" w:eastAsia="Times New Roman" w:hAnsiTheme="minorHAnsi" w:cs="Times New Roman"/>
          <w:b/>
          <w:bCs/>
          <w:color w:val="000000" w:themeColor="text1"/>
          <w:sz w:val="24"/>
          <w:szCs w:val="24"/>
        </w:rPr>
        <w:t xml:space="preserve"> da adottare con cadenza biennale,</w:t>
      </w:r>
      <w:r w:rsidR="00622F5A">
        <w:rPr>
          <w:rStyle w:val="Rimandonotaapidipagina"/>
          <w:rFonts w:asciiTheme="minorHAnsi" w:eastAsia="Times New Roman" w:hAnsiTheme="minorHAnsi" w:cs="Times New Roman"/>
          <w:b/>
          <w:bCs/>
          <w:color w:val="000000" w:themeColor="text1"/>
          <w:sz w:val="24"/>
          <w:szCs w:val="24"/>
        </w:rPr>
        <w:footnoteReference w:id="77"/>
      </w:r>
      <w:r w:rsidR="00622F5A" w:rsidRPr="00622F5A">
        <w:rPr>
          <w:rFonts w:asciiTheme="minorHAnsi" w:eastAsia="Times New Roman" w:hAnsiTheme="minorHAnsi" w:cs="Times New Roman"/>
          <w:b/>
          <w:bCs/>
          <w:color w:val="000000" w:themeColor="text1"/>
          <w:sz w:val="24"/>
          <w:szCs w:val="24"/>
        </w:rPr>
        <w:t xml:space="preserve"> </w:t>
      </w:r>
      <w:proofErr w:type="gramStart"/>
      <w:r w:rsidRPr="002C1B13">
        <w:rPr>
          <w:rFonts w:asciiTheme="minorHAnsi" w:eastAsia="Times New Roman" w:hAnsiTheme="minorHAnsi" w:cs="Times New Roman"/>
          <w:bCs/>
          <w:color w:val="000000" w:themeColor="text1"/>
          <w:sz w:val="24"/>
          <w:szCs w:val="24"/>
        </w:rPr>
        <w:t>e</w:t>
      </w:r>
      <w:proofErr w:type="gramEnd"/>
      <w:r w:rsidRPr="002C1B13">
        <w:rPr>
          <w:rFonts w:asciiTheme="minorHAnsi" w:eastAsia="Times New Roman" w:hAnsiTheme="minorHAnsi" w:cs="Times New Roman"/>
          <w:bCs/>
          <w:color w:val="000000" w:themeColor="text1"/>
          <w:sz w:val="24"/>
          <w:szCs w:val="24"/>
        </w:rPr>
        <w:t xml:space="preserve"> le procedure finalizzate all'accelerazione dei tempi di conclusione dei procedimenti autorizzativi, inclusi quelli ambientali;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g) aggiornare la disciplina degli obblighi di servizio pubblico </w:t>
      </w:r>
      <w:proofErr w:type="gramStart"/>
      <w:r w:rsidRPr="002C1B13">
        <w:rPr>
          <w:rFonts w:asciiTheme="minorHAnsi" w:eastAsia="Times New Roman" w:hAnsiTheme="minorHAnsi" w:cs="Times New Roman"/>
          <w:bCs/>
          <w:color w:val="000000" w:themeColor="text1"/>
          <w:sz w:val="24"/>
          <w:szCs w:val="24"/>
        </w:rPr>
        <w:t>degli</w:t>
      </w:r>
      <w:proofErr w:type="gramEnd"/>
      <w:r w:rsidRPr="002C1B13">
        <w:rPr>
          <w:rFonts w:asciiTheme="minorHAnsi" w:eastAsia="Times New Roman" w:hAnsiTheme="minorHAnsi" w:cs="Times New Roman"/>
          <w:bCs/>
          <w:color w:val="000000" w:themeColor="text1"/>
          <w:sz w:val="24"/>
          <w:szCs w:val="24"/>
        </w:rPr>
        <w:t xml:space="preserve"> impianti di produzione di energia elettrica e dei processi di messa fuori servizio e dismissione al fine di garantire le esigenze di sicurezza del sistema elettrico;</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h) prevedere, in caso di mancato rispetto da parte delle imprese elettriche degli obblighi previsti dalla direttiva (UE) 2019/944, dal regolamento (UE) 2019/943 del Parlamento europeo e del Consiglio, del 5 giugno 2019, o dalle pertinenti decisioni giuridicamente vincolanti dell'Agenzia dell'Unione europea per la cooperazione fra i regolatori nazionali per l'energia (ACER) o dell'autorità nazionale di regolazione, l'irrogazione da parte dell'Autorità di regolazione per energia, reti e ambiente (ARERA) di sanzioni amministrative pecuniarie effettive, proporzionate e dissuasive, incluso il potere di imporre sanzioni fino al 10 per cento del fatturato annuo del gestore </w:t>
      </w:r>
      <w:proofErr w:type="gramStart"/>
      <w:r w:rsidRPr="002C1B13">
        <w:rPr>
          <w:rFonts w:asciiTheme="minorHAnsi" w:eastAsia="Times New Roman" w:hAnsiTheme="minorHAnsi" w:cs="Times New Roman"/>
          <w:bCs/>
          <w:color w:val="000000" w:themeColor="text1"/>
          <w:sz w:val="24"/>
          <w:szCs w:val="24"/>
        </w:rPr>
        <w:t>del</w:t>
      </w:r>
      <w:proofErr w:type="gramEnd"/>
      <w:r w:rsidRPr="002C1B13">
        <w:rPr>
          <w:rFonts w:asciiTheme="minorHAnsi" w:eastAsia="Times New Roman" w:hAnsiTheme="minorHAnsi" w:cs="Times New Roman"/>
          <w:bCs/>
          <w:color w:val="000000" w:themeColor="text1"/>
          <w:sz w:val="24"/>
          <w:szCs w:val="24"/>
        </w:rPr>
        <w:t xml:space="preserve"> sistema di trasmissione o fino al 10 per cento del fatturato annuo dell'</w:t>
      </w:r>
      <w:r w:rsidR="00622F5A">
        <w:rPr>
          <w:rFonts w:asciiTheme="minorHAnsi" w:eastAsia="Times New Roman" w:hAnsiTheme="minorHAnsi" w:cs="Times New Roman"/>
          <w:bCs/>
          <w:color w:val="000000" w:themeColor="text1"/>
          <w:sz w:val="24"/>
          <w:szCs w:val="24"/>
        </w:rPr>
        <w:t>impresa verticalmente integrata;</w:t>
      </w:r>
    </w:p>
    <w:p w:rsid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Pr>
          <w:rFonts w:asciiTheme="minorHAnsi" w:eastAsia="Times New Roman" w:hAnsiTheme="minorHAnsi" w:cs="Times New Roman"/>
          <w:b/>
          <w:bCs/>
          <w:color w:val="000000" w:themeColor="text1"/>
          <w:sz w:val="24"/>
          <w:szCs w:val="24"/>
        </w:rPr>
        <w:t>h-bis</w:t>
      </w:r>
      <w:proofErr w:type="gramEnd"/>
      <w:r>
        <w:rPr>
          <w:rFonts w:asciiTheme="minorHAnsi" w:eastAsia="Times New Roman" w:hAnsiTheme="minorHAnsi" w:cs="Times New Roman"/>
          <w:b/>
          <w:bCs/>
          <w:color w:val="000000" w:themeColor="text1"/>
          <w:sz w:val="24"/>
          <w:szCs w:val="24"/>
        </w:rPr>
        <w:t>) i</w:t>
      </w:r>
      <w:r w:rsidRPr="00622F5A">
        <w:rPr>
          <w:rFonts w:asciiTheme="minorHAnsi" w:eastAsia="Times New Roman" w:hAnsiTheme="minorHAnsi" w:cs="Times New Roman"/>
          <w:b/>
          <w:bCs/>
          <w:color w:val="000000" w:themeColor="text1"/>
          <w:sz w:val="24"/>
          <w:szCs w:val="24"/>
        </w:rPr>
        <w:t>ndirizzare i principi tariffari verso una tariffazione dinamica dell'energia elettrica riducendo la parte di componenti fisse delle fatture per l'energia elettrica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78"/>
      </w:r>
    </w:p>
    <w:p w:rsidR="00622F5A" w:rsidRP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622F5A">
        <w:rPr>
          <w:rFonts w:asciiTheme="minorHAnsi" w:eastAsia="Times New Roman" w:hAnsiTheme="minorHAnsi" w:cs="Times New Roman"/>
          <w:b/>
          <w:bCs/>
          <w:color w:val="000000" w:themeColor="text1"/>
          <w:sz w:val="24"/>
          <w:szCs w:val="24"/>
        </w:rPr>
        <w:t>h-bis</w:t>
      </w:r>
      <w:proofErr w:type="gramEnd"/>
      <w:r w:rsidRPr="00622F5A">
        <w:rPr>
          <w:rFonts w:asciiTheme="minorHAnsi" w:eastAsia="Times New Roman" w:hAnsiTheme="minorHAnsi" w:cs="Times New Roman"/>
          <w:b/>
          <w:bCs/>
          <w:color w:val="000000" w:themeColor="text1"/>
          <w:sz w:val="24"/>
          <w:szCs w:val="24"/>
        </w:rPr>
        <w:t>) introdurre misure per il potenziamento dell'infrastruttura di rete e la promozione di smart grids propedeutiche all'ottenimento dei risultati previsti nella strategia del Clean Energy Package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79"/>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Art. 13.</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 xml:space="preserve">(Princìpi e criteri direttivi per l'attuazione della direttiva (UE) 2019/1160, che modifica le direttive 2009/65/CE e 2011/61/UE per quanto riguarda la distribuzione transfrontaliera degli organismi </w:t>
      </w:r>
      <w:proofErr w:type="gramStart"/>
      <w:r w:rsidRPr="002C1B13">
        <w:rPr>
          <w:rFonts w:asciiTheme="minorHAnsi" w:eastAsia="Times New Roman" w:hAnsiTheme="minorHAnsi" w:cs="Times New Roman"/>
          <w:bCs/>
          <w:i/>
          <w:color w:val="000000" w:themeColor="text1"/>
          <w:sz w:val="24"/>
          <w:szCs w:val="24"/>
        </w:rPr>
        <w:t xml:space="preserve">di </w:t>
      </w:r>
      <w:proofErr w:type="gramEnd"/>
      <w:r w:rsidRPr="002C1B13">
        <w:rPr>
          <w:rFonts w:asciiTheme="minorHAnsi" w:eastAsia="Times New Roman" w:hAnsiTheme="minorHAnsi" w:cs="Times New Roman"/>
          <w:bCs/>
          <w:i/>
          <w:color w:val="000000" w:themeColor="text1"/>
          <w:sz w:val="24"/>
          <w:szCs w:val="24"/>
        </w:rPr>
        <w:t>investimento collettivo e per l'adeguamento della normativa nazionale alle disposizioni del regolamento (UE) 2019/1156, per facilitare la distribuzione transfrontaliera degli organismi di investimento collettivo e che modifica i regolamenti (UE) n. 345/2013, (UE) n. 346/2013 e (UE) n. 1286/2014)</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Nell'esercizio della delega per l'attuazione della direttiva (UE) 2019/1160 del Parlamento europeo e del Consiglio, del 20 giugno 2019, e per l'adeguamento della normativa nazionale alle disposizioni del regolamento (UE) 2019/1156 del Parlamento europeo e del Consiglio, del 20 giugno 2019, il Governo osserva, oltre ai princìpi e criteri direttivi generali di cui all'articolo </w:t>
      </w:r>
      <w:proofErr w:type="gramStart"/>
      <w:r w:rsidRPr="002C1B13">
        <w:rPr>
          <w:rFonts w:asciiTheme="minorHAnsi" w:eastAsia="Times New Roman" w:hAnsiTheme="minorHAnsi" w:cs="Times New Roman"/>
          <w:bCs/>
          <w:color w:val="000000" w:themeColor="text1"/>
          <w:sz w:val="24"/>
          <w:szCs w:val="24"/>
        </w:rPr>
        <w:t>32</w:t>
      </w:r>
      <w:proofErr w:type="gramEnd"/>
      <w:r w:rsidRPr="002C1B13">
        <w:rPr>
          <w:rFonts w:asciiTheme="minorHAnsi" w:eastAsia="Times New Roman" w:hAnsiTheme="minorHAnsi" w:cs="Times New Roman"/>
          <w:bCs/>
          <w:color w:val="000000" w:themeColor="text1"/>
          <w:sz w:val="24"/>
          <w:szCs w:val="24"/>
        </w:rPr>
        <w:t xml:space="preserve">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apportare al testo unico delle disposizioni in materia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intermediazione finanziaria, di cui al decreto legislativo 24 febbraio 1998, n. 58, le modifiche e le integrazioni necessarie al corretto e integrale recepimento della direttiva (UE) 2019/1160, attribuendo i poteri e le competenze di vigilanza previsti dalla citata direttiva alla Commissione nazionale per le società e la borsa (CONSOB) e alla Banca d'Italia, secondo le rispettive attribuzioni e finalità indicate negli articoli 5 e 6 del medesimo testo unico e prevedendo il ricorso alla disciplina secondaria;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apportare al testo unico delle disposizioni in materia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intermediazione finanziaria, di cui al decreto legislativo n. 58 del 1998, le modifiche e le integrazioni necessarie per adeguarlo al regolamento (UE) 2019/1156, e alle relative norme tecniche di attuazione, attribuendo i poteri e le competenze di vigilanza previsti dal citato regolamento alla CONSOB e alla Banca d'Italia, secondo le rispettive attribuzioni e finalità indicate negli articoli 5 e 6 del medesimo testo unico e prevedendo il ricorso alla disciplina secondaria;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prevedere le modifiche alle norme del citato testo unico di cui al decreto legislativo n. 58 del 1998, concernenti la disciplina sull'operatività transfrontaliera delle società di gestione del risparmio, delle società di gestione UE e dei Gestori di fondi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investimento alternativi (GEFIA) UE nel caso di stabilimento di succursali, prevedendo il ricorso alla disciplina secondaria adottata, secondo le rispettive attribuzioni, dalle autorità nazionali indicate nella lettera a), nell'ambito di quanto già specificamente previsto dagli articoli 41, 41-bis e 41-ter del citato testo unico di cui al decreto legislativo n. 58 del 1998;</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prevedere le modifiche alle norme del citato testo unico di cui al decreto legislativo n. 58 del 1998 al fine di </w:t>
      </w:r>
      <w:proofErr w:type="gramStart"/>
      <w:r w:rsidRPr="002C1B13">
        <w:rPr>
          <w:rFonts w:asciiTheme="minorHAnsi" w:eastAsia="Times New Roman" w:hAnsiTheme="minorHAnsi" w:cs="Times New Roman"/>
          <w:bCs/>
          <w:color w:val="000000" w:themeColor="text1"/>
          <w:sz w:val="24"/>
          <w:szCs w:val="24"/>
        </w:rPr>
        <w:t>recepire</w:t>
      </w:r>
      <w:proofErr w:type="gramEnd"/>
      <w:r w:rsidRPr="002C1B13">
        <w:rPr>
          <w:rFonts w:asciiTheme="minorHAnsi" w:eastAsia="Times New Roman" w:hAnsiTheme="minorHAnsi" w:cs="Times New Roman"/>
          <w:bCs/>
          <w:color w:val="000000" w:themeColor="text1"/>
          <w:sz w:val="24"/>
          <w:szCs w:val="24"/>
        </w:rPr>
        <w:t xml:space="preserve"> la disciplina in tema di strutture per gli investitori nel contesto della commercializzazione in Italia di Organismi di investimento collettivo in valori mobiliari (OICVM) UE e Fondi di investimento alternativi (FIA) UE prevista dagli articoli 1, numero 4), e 2, numero 6), della direttiva (UE) 2019/1160, prevedendo il ricorso alla disciplina secondaria adottata, secondo le rispettive </w:t>
      </w:r>
      <w:r w:rsidRPr="002C1B13">
        <w:rPr>
          <w:rFonts w:asciiTheme="minorHAnsi" w:eastAsia="Times New Roman" w:hAnsiTheme="minorHAnsi" w:cs="Times New Roman"/>
          <w:bCs/>
          <w:color w:val="000000" w:themeColor="text1"/>
          <w:sz w:val="24"/>
          <w:szCs w:val="24"/>
        </w:rPr>
        <w:lastRenderedPageBreak/>
        <w:t>attribuzioni, dalle autorità nazionali indicate nella lettera a), nell'ambito di quanto già specificamente previsto dagli articoli 42 e 44 del decreto legislativo n. 58 del 1998;</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prevedere le modifiche alle norme del citato testo unico di cui al decreto legislativo n. 58 del 1998 al fine di </w:t>
      </w:r>
      <w:proofErr w:type="gramStart"/>
      <w:r w:rsidRPr="002C1B13">
        <w:rPr>
          <w:rFonts w:asciiTheme="minorHAnsi" w:eastAsia="Times New Roman" w:hAnsiTheme="minorHAnsi" w:cs="Times New Roman"/>
          <w:bCs/>
          <w:color w:val="000000" w:themeColor="text1"/>
          <w:sz w:val="24"/>
          <w:szCs w:val="24"/>
        </w:rPr>
        <w:t>recepire</w:t>
      </w:r>
      <w:proofErr w:type="gramEnd"/>
      <w:r w:rsidRPr="002C1B13">
        <w:rPr>
          <w:rFonts w:asciiTheme="minorHAnsi" w:eastAsia="Times New Roman" w:hAnsiTheme="minorHAnsi" w:cs="Times New Roman"/>
          <w:bCs/>
          <w:color w:val="000000" w:themeColor="text1"/>
          <w:sz w:val="24"/>
          <w:szCs w:val="24"/>
        </w:rPr>
        <w:t xml:space="preserve"> la disciplina di cui agli articoli 1, numero 5), e 2, numero 3), della direttiva (UE) 2019/1160 prevista per il contenuto della lettera di notifica di cui all'articolo 93 della direttiva 2009/65/CE del Parlamento europeo e del Consiglio, del 13 luglio 2009, e nel caso di modifiche delle informazioni contenute nella lettera di notifica di cui all'articolo 93 della direttiva 2009/65/CE e di cui all'articolo 32 della direttiva 2011/61/UE del Parlamento europeo e del Consiglio, dell'8 giugno 2011, prevedendo il ricorso alla disciplina secondaria adottata, secondo le rispettive attribuzioni, dalle autorità nazionali indicate nella lettera a), nell'ambito di quanto già specificamente previsto dagli articoli 42, 43 e 44 del decreto legislativo n. 58 del 1998;</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prevedere le modifiche alle norme del citato testo unico di cui al decreto legislativo n. 58 del 1998 al fine di </w:t>
      </w:r>
      <w:proofErr w:type="gramStart"/>
      <w:r w:rsidRPr="002C1B13">
        <w:rPr>
          <w:rFonts w:asciiTheme="minorHAnsi" w:eastAsia="Times New Roman" w:hAnsiTheme="minorHAnsi" w:cs="Times New Roman"/>
          <w:bCs/>
          <w:color w:val="000000" w:themeColor="text1"/>
          <w:sz w:val="24"/>
          <w:szCs w:val="24"/>
        </w:rPr>
        <w:t>recepire</w:t>
      </w:r>
      <w:proofErr w:type="gramEnd"/>
      <w:r w:rsidRPr="002C1B13">
        <w:rPr>
          <w:rFonts w:asciiTheme="minorHAnsi" w:eastAsia="Times New Roman" w:hAnsiTheme="minorHAnsi" w:cs="Times New Roman"/>
          <w:bCs/>
          <w:color w:val="000000" w:themeColor="text1"/>
          <w:sz w:val="24"/>
          <w:szCs w:val="24"/>
        </w:rPr>
        <w:t xml:space="preserve"> la disciplina prevista dagli articoli 1, numero 6), e 2, numero 4), della direttiva (UE) 2019/1160 in tema di ritiro della notifica nel caso in cui un gestore intenda interrompere la commercializzazione di un OICVM o di un FIA in uno o più Stati membri, attribuendo alla CONSOB i relativi poteri e competenze e prevedendo il ricorso alla disciplina secondaria adottata, secondo le rispettive attribuzioni, dalle autorità nazionali indicate nella lettera 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g) prevedere le modifiche alle norme del citato testo unico di cui al decreto legislativo n. 58 del 1998 al fine di </w:t>
      </w:r>
      <w:proofErr w:type="gramStart"/>
      <w:r w:rsidRPr="002C1B13">
        <w:rPr>
          <w:rFonts w:asciiTheme="minorHAnsi" w:eastAsia="Times New Roman" w:hAnsiTheme="minorHAnsi" w:cs="Times New Roman"/>
          <w:bCs/>
          <w:color w:val="000000" w:themeColor="text1"/>
          <w:sz w:val="24"/>
          <w:szCs w:val="24"/>
        </w:rPr>
        <w:t>recepire</w:t>
      </w:r>
      <w:proofErr w:type="gramEnd"/>
      <w:r w:rsidRPr="002C1B13">
        <w:rPr>
          <w:rFonts w:asciiTheme="minorHAnsi" w:eastAsia="Times New Roman" w:hAnsiTheme="minorHAnsi" w:cs="Times New Roman"/>
          <w:bCs/>
          <w:color w:val="000000" w:themeColor="text1"/>
          <w:sz w:val="24"/>
          <w:szCs w:val="24"/>
        </w:rPr>
        <w:t xml:space="preserve"> la disciplina prevista dall'articolo 2, numeri 1) e 2), della direttiva (UE) 2019/1160 in tema di pre-commercializzazione di FIA, attribuendo alla CONSOB i relativi poteri e competenze e prevedendo il ricorso alla disciplina secondaria adottata, secondo le rispettive attribuzioni, dalle autorità nazionali indicate nella lettera 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h) designare la CONSOB e la Banca d'Italia, in base alle rispettive competenze previste dal citato testo unico di cui al decreto legislativo n. 58 del 1998, quali autorità competenti alla pubblicazione delle disposizioni nazionali relative ai requisiti per la commercializzazione prevista dall'articolo </w:t>
      </w:r>
      <w:proofErr w:type="gramStart"/>
      <w:r w:rsidRPr="002C1B13">
        <w:rPr>
          <w:rFonts w:asciiTheme="minorHAnsi" w:eastAsia="Times New Roman" w:hAnsiTheme="minorHAnsi" w:cs="Times New Roman"/>
          <w:bCs/>
          <w:color w:val="000000" w:themeColor="text1"/>
          <w:sz w:val="24"/>
          <w:szCs w:val="24"/>
        </w:rPr>
        <w:t>5</w:t>
      </w:r>
      <w:proofErr w:type="gramEnd"/>
      <w:r w:rsidRPr="002C1B13">
        <w:rPr>
          <w:rFonts w:asciiTheme="minorHAnsi" w:eastAsia="Times New Roman" w:hAnsiTheme="minorHAnsi" w:cs="Times New Roman"/>
          <w:bCs/>
          <w:color w:val="000000" w:themeColor="text1"/>
          <w:sz w:val="24"/>
          <w:szCs w:val="24"/>
        </w:rPr>
        <w:t xml:space="preserve"> del regolamento (UE) 2019/1156;</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i) designare la CONSOB quale autorità competente alla pubblicazione delle disposizioni nazionali relative a spese </w:t>
      </w:r>
      <w:proofErr w:type="gramStart"/>
      <w:r w:rsidRPr="002C1B13">
        <w:rPr>
          <w:rFonts w:asciiTheme="minorHAnsi" w:eastAsia="Times New Roman" w:hAnsiTheme="minorHAnsi" w:cs="Times New Roman"/>
          <w:bCs/>
          <w:color w:val="000000" w:themeColor="text1"/>
          <w:sz w:val="24"/>
          <w:szCs w:val="24"/>
        </w:rPr>
        <w:t>ed</w:t>
      </w:r>
      <w:proofErr w:type="gramEnd"/>
      <w:r w:rsidRPr="002C1B13">
        <w:rPr>
          <w:rFonts w:asciiTheme="minorHAnsi" w:eastAsia="Times New Roman" w:hAnsiTheme="minorHAnsi" w:cs="Times New Roman"/>
          <w:bCs/>
          <w:color w:val="000000" w:themeColor="text1"/>
          <w:sz w:val="24"/>
          <w:szCs w:val="24"/>
        </w:rPr>
        <w:t xml:space="preserve"> oneri prevista dall'articolo 10 del regolamento (UE) 2019/1156;</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l) designare la CONSOB quale autorità competente alla trasmissione all'Autorità europea degli strumenti finanziari e dei mercati delle informazioni previste dagli articoli </w:t>
      </w:r>
      <w:proofErr w:type="gramStart"/>
      <w:r w:rsidRPr="002C1B13">
        <w:rPr>
          <w:rFonts w:asciiTheme="minorHAnsi" w:eastAsia="Times New Roman" w:hAnsiTheme="minorHAnsi" w:cs="Times New Roman"/>
          <w:bCs/>
          <w:color w:val="000000" w:themeColor="text1"/>
          <w:sz w:val="24"/>
          <w:szCs w:val="24"/>
        </w:rPr>
        <w:t>5</w:t>
      </w:r>
      <w:proofErr w:type="gramEnd"/>
      <w:r w:rsidRPr="002C1B13">
        <w:rPr>
          <w:rFonts w:asciiTheme="minorHAnsi" w:eastAsia="Times New Roman" w:hAnsiTheme="minorHAnsi" w:cs="Times New Roman"/>
          <w:bCs/>
          <w:color w:val="000000" w:themeColor="text1"/>
          <w:sz w:val="24"/>
          <w:szCs w:val="24"/>
        </w:rPr>
        <w:t>, 8, 10 e 13 del regolamento (UE) 2019/1156;</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m) attribuire alla CONSOB le competenze e i poteri in tema di pre-commercializzazione di fondi europei per il venture capital e fondi europei per l'imprenditoria sociale ai sensi degli articoli 15 e </w:t>
      </w:r>
      <w:proofErr w:type="gramStart"/>
      <w:r w:rsidRPr="002C1B13">
        <w:rPr>
          <w:rFonts w:asciiTheme="minorHAnsi" w:eastAsia="Times New Roman" w:hAnsiTheme="minorHAnsi" w:cs="Times New Roman"/>
          <w:bCs/>
          <w:color w:val="000000" w:themeColor="text1"/>
          <w:sz w:val="24"/>
          <w:szCs w:val="24"/>
        </w:rPr>
        <w:t>16</w:t>
      </w:r>
      <w:proofErr w:type="gramEnd"/>
      <w:r w:rsidRPr="002C1B13">
        <w:rPr>
          <w:rFonts w:asciiTheme="minorHAnsi" w:eastAsia="Times New Roman" w:hAnsiTheme="minorHAnsi" w:cs="Times New Roman"/>
          <w:bCs/>
          <w:color w:val="000000" w:themeColor="text1"/>
          <w:sz w:val="24"/>
          <w:szCs w:val="24"/>
        </w:rPr>
        <w:t xml:space="preserve"> del regolamento (UE) 2019/1156;</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n) attribuire alla CONSOB i poteri di vigilanza e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indagine già previsti dal citato testo unico di cui al decreto legislativo n. 58 del 1998 per l'esercizio delle funzioni previste dal regolamento (UE) 2019/1156;</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o) attribuire alla CONSOB il potere di imporre le sanzioni e le altre misure amministrative in caso di violazione delle disposizioni </w:t>
      </w:r>
      <w:proofErr w:type="gramStart"/>
      <w:r w:rsidRPr="002C1B13">
        <w:rPr>
          <w:rFonts w:asciiTheme="minorHAnsi" w:eastAsia="Times New Roman" w:hAnsiTheme="minorHAnsi" w:cs="Times New Roman"/>
          <w:bCs/>
          <w:color w:val="000000" w:themeColor="text1"/>
          <w:sz w:val="24"/>
          <w:szCs w:val="24"/>
        </w:rPr>
        <w:t>del</w:t>
      </w:r>
      <w:proofErr w:type="gramEnd"/>
      <w:r w:rsidRPr="002C1B13">
        <w:rPr>
          <w:rFonts w:asciiTheme="minorHAnsi" w:eastAsia="Times New Roman" w:hAnsiTheme="minorHAnsi" w:cs="Times New Roman"/>
          <w:bCs/>
          <w:color w:val="000000" w:themeColor="text1"/>
          <w:sz w:val="24"/>
          <w:szCs w:val="24"/>
        </w:rPr>
        <w:t xml:space="preserve"> regolamento (UE) 2019/1156, già previste dal citato testo unico di cui al decreto legislativo n. 58 del 1998 nei limiti e secondo i criteri ivi indicati;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p) prevedere, in conformità alle definizioni e alla disciplina della direttiva (UE) 2019/1160 e del regolamento (UE) 2019/1156, </w:t>
      </w:r>
      <w:proofErr w:type="gramStart"/>
      <w:r w:rsidRPr="002C1B13">
        <w:rPr>
          <w:rFonts w:asciiTheme="minorHAnsi" w:eastAsia="Times New Roman" w:hAnsiTheme="minorHAnsi" w:cs="Times New Roman"/>
          <w:bCs/>
          <w:color w:val="000000" w:themeColor="text1"/>
          <w:sz w:val="24"/>
          <w:szCs w:val="24"/>
        </w:rPr>
        <w:t>nonché</w:t>
      </w:r>
      <w:proofErr w:type="gramEnd"/>
      <w:r w:rsidRPr="002C1B13">
        <w:rPr>
          <w:rFonts w:asciiTheme="minorHAnsi" w:eastAsia="Times New Roman" w:hAnsiTheme="minorHAnsi" w:cs="Times New Roman"/>
          <w:bCs/>
          <w:color w:val="000000" w:themeColor="text1"/>
          <w:sz w:val="24"/>
          <w:szCs w:val="24"/>
        </w:rPr>
        <w:t xml:space="preserve"> ai criteri direttivi previsti nella presente legge, le occorrenti modificazioni alla normativa vigente, anche di derivazione europea, per i settori interessati dalla normativa da attuare, al fine di realizzare il migliore coordinamento con le altre disposizioni vigenti, assicurando un appropriato grado di protezione dell'investitore e di tutela della stabilità finanziaria;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q) prevedere che la CONSOB e la Banca d'Italia adottino la disciplina secondaria di cui al presente articolo entro centoventi giorni dalla data di entrata in vigore del decreto legislativo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attuazione della direttiva (UE) 2019/1160 e di adeguamento della normativa nazionale alle disposizioni del regolamento (UE) 2019/1156.</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Dall'esercizio della delega di cui al presente articolo non devono derivare nuovi o </w:t>
      </w:r>
      <w:proofErr w:type="gramStart"/>
      <w:r w:rsidRPr="002C1B13">
        <w:rPr>
          <w:rFonts w:asciiTheme="minorHAnsi" w:eastAsia="Times New Roman" w:hAnsiTheme="minorHAnsi" w:cs="Times New Roman"/>
          <w:bCs/>
          <w:color w:val="000000" w:themeColor="text1"/>
          <w:sz w:val="24"/>
          <w:szCs w:val="24"/>
        </w:rPr>
        <w:t>maggiori</w:t>
      </w:r>
      <w:proofErr w:type="gramEnd"/>
      <w:r w:rsidRPr="002C1B13">
        <w:rPr>
          <w:rFonts w:asciiTheme="minorHAnsi" w:eastAsia="Times New Roman" w:hAnsiTheme="minorHAnsi" w:cs="Times New Roman"/>
          <w:bCs/>
          <w:color w:val="000000" w:themeColor="text1"/>
          <w:sz w:val="24"/>
          <w:szCs w:val="24"/>
        </w:rPr>
        <w:t xml:space="preserve"> oneri a carico della finanza pubblica. I soggetti pubblici interessati provvedono all'adempimento dei compiti derivanti dall'esercizio di tale delega con le risorse umane, strumentali e finanziarie disponibili a legislazione vigente.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14.</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l'adeguamento della normativa nazionale alle disposizioni del regolamento (UE) 2016/429, relativo alle malattie animali trasmissibili e che modifica e abroga taluni atti in materia di sanità animale (« normativa in materia di sanità animale »</w:t>
      </w:r>
      <w:proofErr w:type="gramStart"/>
      <w:r w:rsidRPr="002C1B13">
        <w:rPr>
          <w:rFonts w:asciiTheme="minorHAnsi" w:eastAsia="Times New Roman" w:hAnsiTheme="minorHAnsi" w:cs="Times New Roman"/>
          <w:bCs/>
          <w:i/>
          <w:color w:val="000000" w:themeColor="text1"/>
          <w:sz w:val="24"/>
          <w:szCs w:val="24"/>
        </w:rPr>
        <w:t>)</w:t>
      </w:r>
      <w:proofErr w:type="gramEnd"/>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Il Governo </w:t>
      </w:r>
      <w:proofErr w:type="gramStart"/>
      <w:r w:rsidRPr="002C1B13">
        <w:rPr>
          <w:rFonts w:asciiTheme="minorHAnsi" w:eastAsia="Times New Roman" w:hAnsiTheme="minorHAnsi" w:cs="Times New Roman"/>
          <w:bCs/>
          <w:color w:val="000000" w:themeColor="text1"/>
          <w:sz w:val="24"/>
          <w:szCs w:val="24"/>
        </w:rPr>
        <w:t>adotta</w:t>
      </w:r>
      <w:proofErr w:type="gramEnd"/>
      <w:r w:rsidRPr="002C1B13">
        <w:rPr>
          <w:rFonts w:asciiTheme="minorHAnsi" w:eastAsia="Times New Roman" w:hAnsiTheme="minorHAnsi" w:cs="Times New Roman"/>
          <w:bCs/>
          <w:color w:val="000000" w:themeColor="text1"/>
          <w:sz w:val="24"/>
          <w:szCs w:val="24"/>
        </w:rPr>
        <w:t>, entro dodici mesi dalla data di entrata in vigore della presente legge, uno o più decreti legislativi per l'adeguamento della normativa nazionale al regolamento (UE) 2016/429 del Parlamento europeo e del Consiglio, del 9 marzo 2016.</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Nell'esercizio della delega di cui al comma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xml:space="preserve"> il Governo osserva, oltre ai princìpi e criteri direttivi generali di cui all'articolo 32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adeguare e coordinare le disposizioni nazionali vigenti in materia di sanità e benessere animale alle disposizioni del regolamento (UE) 2016/429 e relativi regolamenti delegati e di esecuzione, incluse quelle riguardanti le malattie animali non </w:t>
      </w:r>
      <w:proofErr w:type="gramStart"/>
      <w:r w:rsidRPr="002C1B13">
        <w:rPr>
          <w:rFonts w:asciiTheme="minorHAnsi" w:eastAsia="Times New Roman" w:hAnsiTheme="minorHAnsi" w:cs="Times New Roman"/>
          <w:bCs/>
          <w:color w:val="000000" w:themeColor="text1"/>
          <w:sz w:val="24"/>
          <w:szCs w:val="24"/>
        </w:rPr>
        <w:t>elencate</w:t>
      </w:r>
      <w:proofErr w:type="gramEnd"/>
      <w:r w:rsidRPr="002C1B13">
        <w:rPr>
          <w:rFonts w:asciiTheme="minorHAnsi" w:eastAsia="Times New Roman" w:hAnsiTheme="minorHAnsi" w:cs="Times New Roman"/>
          <w:bCs/>
          <w:color w:val="000000" w:themeColor="text1"/>
          <w:sz w:val="24"/>
          <w:szCs w:val="24"/>
        </w:rPr>
        <w:t xml:space="preserve"> nell'articolo 5 del medesimo regolamento, con abrogazione espressa delle norme nazionali incompatibili;</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b) individuare, ai sensi dell'articolo </w:t>
      </w:r>
      <w:proofErr w:type="gramStart"/>
      <w:r w:rsidRPr="002C1B13">
        <w:rPr>
          <w:rFonts w:asciiTheme="minorHAnsi" w:eastAsia="Times New Roman" w:hAnsiTheme="minorHAnsi" w:cs="Times New Roman"/>
          <w:bCs/>
          <w:color w:val="000000" w:themeColor="text1"/>
          <w:sz w:val="24"/>
          <w:szCs w:val="24"/>
        </w:rPr>
        <w:t>4</w:t>
      </w:r>
      <w:proofErr w:type="gramEnd"/>
      <w:r w:rsidRPr="002C1B13">
        <w:rPr>
          <w:rFonts w:asciiTheme="minorHAnsi" w:eastAsia="Times New Roman" w:hAnsiTheme="minorHAnsi" w:cs="Times New Roman"/>
          <w:bCs/>
          <w:color w:val="000000" w:themeColor="text1"/>
          <w:sz w:val="24"/>
          <w:szCs w:val="24"/>
        </w:rPr>
        <w:t>, punto 55), del regolamento (UE) 2016/429, il Ministero della salute quale autorità competente veterinaria centrale responsabile del coordinamento delle autorità competenti regionali e locali in materia di programmazione ed esecuzione dei controlli ufficiali e delle altre attività ufficiali previste dal medesimo regolamento;</w:t>
      </w:r>
    </w:p>
    <w:p w:rsidR="0050083B" w:rsidRPr="00683687" w:rsidRDefault="0050083B" w:rsidP="0050083B">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w:t>
      </w:r>
      <w:proofErr w:type="gramStart"/>
      <w:r w:rsidRPr="00683687">
        <w:rPr>
          <w:rFonts w:asciiTheme="minorHAnsi" w:hAnsiTheme="minorHAnsi"/>
          <w:b/>
          <w:bCs/>
          <w:color w:val="000000" w:themeColor="text1"/>
          <w:sz w:val="24"/>
          <w:szCs w:val="24"/>
        </w:rPr>
        <w:t>b-bis</w:t>
      </w:r>
      <w:proofErr w:type="gramEnd"/>
      <w:r w:rsidRPr="00683687">
        <w:rPr>
          <w:rFonts w:asciiTheme="minorHAnsi" w:hAnsiTheme="minorHAnsi"/>
          <w:b/>
          <w:bCs/>
          <w:color w:val="000000" w:themeColor="text1"/>
          <w:sz w:val="24"/>
          <w:szCs w:val="24"/>
        </w:rPr>
        <w:t>) prevedere un esplicito divieto della commercializzazione di tutti i pesci appartenenti alla famiglia dei ciprinidi pescati nelle acque interne, ad esclusione delle acque salse e salmastre e dei laghi;</w:t>
      </w:r>
    </w:p>
    <w:p w:rsidR="0050083B" w:rsidRPr="00683687" w:rsidRDefault="0050083B" w:rsidP="0050083B">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w:t>
      </w:r>
      <w:proofErr w:type="gramStart"/>
      <w:r w:rsidRPr="00683687">
        <w:rPr>
          <w:rFonts w:asciiTheme="minorHAnsi" w:hAnsiTheme="minorHAnsi"/>
          <w:b/>
          <w:bCs/>
          <w:color w:val="000000" w:themeColor="text1"/>
          <w:sz w:val="24"/>
          <w:szCs w:val="24"/>
        </w:rPr>
        <w:t>b-ter</w:t>
      </w:r>
      <w:proofErr w:type="gramEnd"/>
      <w:r w:rsidRPr="00683687">
        <w:rPr>
          <w:rFonts w:asciiTheme="minorHAnsi" w:hAnsiTheme="minorHAnsi"/>
          <w:b/>
          <w:bCs/>
          <w:color w:val="000000" w:themeColor="text1"/>
          <w:sz w:val="24"/>
          <w:szCs w:val="24"/>
        </w:rPr>
        <w:t>) prevedere l'obbligatorietà della reimmissione del pesce appartenente alla famiglia dei ciprinidi, se catturato al termine dell'attività piscatoria in acque interne, ad esclusione delle acque salse e salmastre e dei laghi</w:t>
      </w:r>
      <w:r>
        <w:rPr>
          <w:rFonts w:asciiTheme="minorHAnsi" w:hAnsiTheme="minorHAnsi"/>
          <w:b/>
          <w:bCs/>
          <w:color w:val="000000" w:themeColor="text1"/>
          <w:sz w:val="24"/>
          <w:szCs w:val="24"/>
        </w:rPr>
        <w:t>;</w:t>
      </w:r>
      <w:r>
        <w:rPr>
          <w:rStyle w:val="Rimandonotaapidipagina"/>
          <w:rFonts w:asciiTheme="minorHAnsi" w:hAnsiTheme="minorHAnsi"/>
          <w:b/>
          <w:bCs/>
          <w:color w:val="000000" w:themeColor="text1"/>
          <w:sz w:val="24"/>
          <w:szCs w:val="24"/>
        </w:rPr>
        <w:footnoteReference w:id="80"/>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individuare, previo accordo in sede di Conferenza permanente per i rapporti tra lo Stato, le regioni e le province autonome di Trento e di Bolzano, le </w:t>
      </w:r>
      <w:proofErr w:type="gramStart"/>
      <w:r w:rsidRPr="002C1B13">
        <w:rPr>
          <w:rFonts w:asciiTheme="minorHAnsi" w:eastAsia="Times New Roman" w:hAnsiTheme="minorHAnsi" w:cs="Times New Roman"/>
          <w:bCs/>
          <w:color w:val="000000" w:themeColor="text1"/>
          <w:sz w:val="24"/>
          <w:szCs w:val="24"/>
        </w:rPr>
        <w:t>modalità</w:t>
      </w:r>
      <w:proofErr w:type="gramEnd"/>
      <w:r w:rsidRPr="002C1B13">
        <w:rPr>
          <w:rFonts w:asciiTheme="minorHAnsi" w:eastAsia="Times New Roman" w:hAnsiTheme="minorHAnsi" w:cs="Times New Roman"/>
          <w:bCs/>
          <w:color w:val="000000" w:themeColor="text1"/>
          <w:sz w:val="24"/>
          <w:szCs w:val="24"/>
        </w:rPr>
        <w:t>, uniformi sul territorio nazionale, per porre in essere le misure di emergenza in attuazione degli articoli 257 e 258 del regolamento (UE) 2016/249 attraverso: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la ridefinizione della composizione e delle funzioni del Centro nazionale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lotta ed emergenza contro le malattie animali;</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 la definizione di una rete tra i responsabili dei servizi veterinari individuati dalle regioni e dalle province autonome, coordinata dal Capo dei servizi veterinari nazionali, diretta a organizzare e razionalizzare le misure di emergenza in materia di sanità animale;</w:t>
      </w:r>
    </w:p>
    <w:p w:rsidR="00622F5A" w:rsidRP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2F5A">
        <w:rPr>
          <w:rFonts w:asciiTheme="minorHAnsi" w:eastAsia="Times New Roman" w:hAnsiTheme="minorHAnsi" w:cs="Times New Roman"/>
          <w:b/>
          <w:bCs/>
          <w:color w:val="000000" w:themeColor="text1"/>
          <w:sz w:val="24"/>
          <w:szCs w:val="24"/>
        </w:rPr>
        <w:t xml:space="preserve">2-bis) la predisposizione di un piano di emergenza nazionale di eradicazione in caso di focolaio di una malattia elencata nel regolamento (UE) 2016/429 o di una malattia emergente o </w:t>
      </w:r>
      <w:proofErr w:type="gramStart"/>
      <w:r w:rsidRPr="00622F5A">
        <w:rPr>
          <w:rFonts w:asciiTheme="minorHAnsi" w:eastAsia="Times New Roman" w:hAnsiTheme="minorHAnsi" w:cs="Times New Roman"/>
          <w:b/>
          <w:bCs/>
          <w:color w:val="000000" w:themeColor="text1"/>
          <w:sz w:val="24"/>
          <w:szCs w:val="24"/>
        </w:rPr>
        <w:t xml:space="preserve">di </w:t>
      </w:r>
      <w:proofErr w:type="gramEnd"/>
      <w:r w:rsidRPr="00622F5A">
        <w:rPr>
          <w:rFonts w:asciiTheme="minorHAnsi" w:eastAsia="Times New Roman" w:hAnsiTheme="minorHAnsi" w:cs="Times New Roman"/>
          <w:b/>
          <w:bCs/>
          <w:color w:val="000000" w:themeColor="text1"/>
          <w:sz w:val="24"/>
          <w:szCs w:val="24"/>
        </w:rPr>
        <w:t>insorgenza di un pericolo che può probabilmente comportare un grave rischio per la sanità pubblica o animale;</w:t>
      </w:r>
      <w:r>
        <w:rPr>
          <w:rStyle w:val="Rimandonotaapidipagina"/>
          <w:rFonts w:asciiTheme="minorHAnsi" w:eastAsia="Times New Roman" w:hAnsiTheme="minorHAnsi" w:cs="Times New Roman"/>
          <w:b/>
          <w:bCs/>
          <w:color w:val="000000" w:themeColor="text1"/>
          <w:sz w:val="24"/>
          <w:szCs w:val="24"/>
        </w:rPr>
        <w:footnoteReference w:id="81"/>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individuare criteri, regole e condizioni, </w:t>
      </w:r>
      <w:proofErr w:type="gramStart"/>
      <w:r w:rsidRPr="002C1B13">
        <w:rPr>
          <w:rFonts w:asciiTheme="minorHAnsi" w:eastAsia="Times New Roman" w:hAnsiTheme="minorHAnsi" w:cs="Times New Roman"/>
          <w:bCs/>
          <w:color w:val="000000" w:themeColor="text1"/>
          <w:sz w:val="24"/>
          <w:szCs w:val="24"/>
        </w:rPr>
        <w:t>nonché</w:t>
      </w:r>
      <w:proofErr w:type="gramEnd"/>
      <w:r w:rsidRPr="002C1B13">
        <w:rPr>
          <w:rFonts w:asciiTheme="minorHAnsi" w:eastAsia="Times New Roman" w:hAnsiTheme="minorHAnsi" w:cs="Times New Roman"/>
          <w:bCs/>
          <w:color w:val="000000" w:themeColor="text1"/>
          <w:sz w:val="24"/>
          <w:szCs w:val="24"/>
        </w:rPr>
        <w:t xml:space="preserve"> livello di responsabilità, per delegare, in conformità all'articolo 14 del regolamento (UE) 2016/429, specifiche attività ufficiali ai veterinari non ufficiali;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adeguare e coordinare le disposizioni nazionali vigenti in materia di registrazione e riconoscimento degli stabilimenti e degli operatori e in materia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identificazione e tracciabilità degli animali terrestri detenuti alle disposizioni del regolamento (UE) 2016/429 e relativi regolamenti delegati e di esecuzione, con abrogazione espressa delle norme nazionali incompatibili;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individuare le </w:t>
      </w:r>
      <w:proofErr w:type="gramStart"/>
      <w:r w:rsidRPr="002C1B13">
        <w:rPr>
          <w:rFonts w:asciiTheme="minorHAnsi" w:eastAsia="Times New Roman" w:hAnsiTheme="minorHAnsi" w:cs="Times New Roman"/>
          <w:bCs/>
          <w:color w:val="000000" w:themeColor="text1"/>
          <w:sz w:val="24"/>
          <w:szCs w:val="24"/>
        </w:rPr>
        <w:t>modalità</w:t>
      </w:r>
      <w:proofErr w:type="gramEnd"/>
      <w:r w:rsidRPr="002C1B13">
        <w:rPr>
          <w:rFonts w:asciiTheme="minorHAnsi" w:eastAsia="Times New Roman" w:hAnsiTheme="minorHAnsi" w:cs="Times New Roman"/>
          <w:bCs/>
          <w:color w:val="000000" w:themeColor="text1"/>
          <w:sz w:val="24"/>
          <w:szCs w:val="24"/>
        </w:rPr>
        <w:t xml:space="preserve"> per adempiere agli obblighi informativi verso l'Unione europea e le organizzazioni internazionali di settore attraverso il riordino e la connessione tra la Banca dati nazionale </w:t>
      </w:r>
      <w:r w:rsidRPr="002C1B13">
        <w:rPr>
          <w:rFonts w:asciiTheme="minorHAnsi" w:eastAsia="Times New Roman" w:hAnsiTheme="minorHAnsi" w:cs="Times New Roman"/>
          <w:bCs/>
          <w:color w:val="000000" w:themeColor="text1"/>
          <w:sz w:val="24"/>
          <w:szCs w:val="24"/>
        </w:rPr>
        <w:lastRenderedPageBreak/>
        <w:t>delle anagrafi zootecniche, i sistemi informativi del Ministero della salute e i sistemi informativi delle regioni e province autonome;</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g) individuare, in attuazione dell'articolo </w:t>
      </w:r>
      <w:proofErr w:type="gramStart"/>
      <w:r w:rsidRPr="002C1B13">
        <w:rPr>
          <w:rFonts w:asciiTheme="minorHAnsi" w:eastAsia="Times New Roman" w:hAnsiTheme="minorHAnsi" w:cs="Times New Roman"/>
          <w:bCs/>
          <w:color w:val="000000" w:themeColor="text1"/>
          <w:sz w:val="24"/>
          <w:szCs w:val="24"/>
        </w:rPr>
        <w:t>26</w:t>
      </w:r>
      <w:proofErr w:type="gramEnd"/>
      <w:r w:rsidRPr="002C1B13">
        <w:rPr>
          <w:rFonts w:asciiTheme="minorHAnsi" w:eastAsia="Times New Roman" w:hAnsiTheme="minorHAnsi" w:cs="Times New Roman"/>
          <w:bCs/>
          <w:color w:val="000000" w:themeColor="text1"/>
          <w:sz w:val="24"/>
          <w:szCs w:val="24"/>
        </w:rPr>
        <w:t>, paragrafo 3, del regolamento (UE) 2016/429, strumenti e modalità operative per consentire alle autorità competenti, nell'ambito delle attività di sorveglianza delle malattie animali, di acquisire i dati e le informazioni risultanti dall'attività di sorveglianza svolta dagli operatori e dagli esiti delle visite di sanità animale effettuate dai veterinari aziendali, di cui al decreto del Ministro della salute 7 dicembre 2017, pubblicato nella Gazzetta Ufficiale n. 29 del 5 febbraio 2018, ai sensi degli articoli 24 e 25 del menzionato regolamento;</w:t>
      </w:r>
    </w:p>
    <w:p w:rsid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622F5A">
        <w:rPr>
          <w:rFonts w:asciiTheme="minorHAnsi" w:eastAsia="Times New Roman" w:hAnsiTheme="minorHAnsi" w:cs="Times New Roman"/>
          <w:b/>
          <w:bCs/>
          <w:color w:val="000000" w:themeColor="text1"/>
          <w:sz w:val="24"/>
          <w:szCs w:val="24"/>
        </w:rPr>
        <w:t>g-bis</w:t>
      </w:r>
      <w:proofErr w:type="gramEnd"/>
      <w:r w:rsidRPr="00622F5A">
        <w:rPr>
          <w:rFonts w:asciiTheme="minorHAnsi" w:eastAsia="Times New Roman" w:hAnsiTheme="minorHAnsi" w:cs="Times New Roman"/>
          <w:b/>
          <w:bCs/>
          <w:color w:val="000000" w:themeColor="text1"/>
          <w:sz w:val="24"/>
          <w:szCs w:val="24"/>
        </w:rPr>
        <w:t>) individuare, in attuazione del capo 2 del Regolamento (UE) 2016/429, nell'applicativo REV lo strumento per consentire alle autorità competenti, senza nuovi o maggiori oneri a carico della finanza pubblica, nell'ambito delle attività di sorveglianza delle malattie animali e dei residui dei medicinali veterinari nei prodotti e sottoprodotti di origine animale, di acquisire dati e informazioni risultanti dalla somministrazione di ogni tipo di medicinale veterinario all'animale, compresi i medicinali veterinari ad azione stupefacente e psicotropa soggetti al dPR 309/90, appartenenti alla Tabella dei medicinali, sez. B, C, D ed E;</w:t>
      </w:r>
      <w:r>
        <w:rPr>
          <w:rStyle w:val="Rimandonotaapidipagina"/>
          <w:rFonts w:asciiTheme="minorHAnsi" w:eastAsia="Times New Roman" w:hAnsiTheme="minorHAnsi" w:cs="Times New Roman"/>
          <w:b/>
          <w:bCs/>
          <w:color w:val="000000" w:themeColor="text1"/>
          <w:sz w:val="24"/>
          <w:szCs w:val="24"/>
        </w:rPr>
        <w:footnoteReference w:id="82"/>
      </w:r>
    </w:p>
    <w:p w:rsid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622F5A">
        <w:rPr>
          <w:rFonts w:asciiTheme="minorHAnsi" w:eastAsia="Times New Roman" w:hAnsiTheme="minorHAnsi" w:cs="Times New Roman"/>
          <w:b/>
          <w:bCs/>
          <w:color w:val="000000" w:themeColor="text1"/>
          <w:sz w:val="24"/>
          <w:szCs w:val="24"/>
        </w:rPr>
        <w:t>g-bis</w:t>
      </w:r>
      <w:proofErr w:type="gramEnd"/>
      <w:r w:rsidRPr="00622F5A">
        <w:rPr>
          <w:rFonts w:asciiTheme="minorHAnsi" w:eastAsia="Times New Roman" w:hAnsiTheme="minorHAnsi" w:cs="Times New Roman"/>
          <w:b/>
          <w:bCs/>
          <w:color w:val="000000" w:themeColor="text1"/>
          <w:sz w:val="24"/>
          <w:szCs w:val="24"/>
        </w:rPr>
        <w:t>) prevedere, nel rispetto della normativa dell'Unione europea sugli aiuti de minimis, misure di incentivazione finanziaria per gli operatori e i professionisti degli animali che sviluppano buone prassi di allevamento non intensivo delle specie animali di cui si occupano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83"/>
      </w:r>
    </w:p>
    <w:p w:rsidR="00622F5A" w:rsidRDefault="00622F5A"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622F5A">
        <w:rPr>
          <w:rFonts w:asciiTheme="minorHAnsi" w:eastAsia="Times New Roman" w:hAnsiTheme="minorHAnsi" w:cs="Times New Roman"/>
          <w:b/>
          <w:bCs/>
          <w:color w:val="000000" w:themeColor="text1"/>
          <w:sz w:val="24"/>
          <w:szCs w:val="24"/>
        </w:rPr>
        <w:t>g-bis</w:t>
      </w:r>
      <w:proofErr w:type="gramEnd"/>
      <w:r w:rsidRPr="00622F5A">
        <w:rPr>
          <w:rFonts w:asciiTheme="minorHAnsi" w:eastAsia="Times New Roman" w:hAnsiTheme="minorHAnsi" w:cs="Times New Roman"/>
          <w:b/>
          <w:bCs/>
          <w:color w:val="000000" w:themeColor="text1"/>
          <w:sz w:val="24"/>
          <w:szCs w:val="24"/>
        </w:rPr>
        <w:t>) conformare la norma al principio della chiarezza e della semplificazione e semplicità applicativa, per non appesantire sul piano documentale e formale l'attività dei soggetti chiamati alla sua applicazione;</w:t>
      </w:r>
    </w:p>
    <w:p w:rsidR="008F0156" w:rsidRPr="00622F5A" w:rsidRDefault="008F0156" w:rsidP="002C1B1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8F0156">
        <w:rPr>
          <w:rFonts w:asciiTheme="minorHAnsi" w:eastAsia="Times New Roman" w:hAnsiTheme="minorHAnsi" w:cs="Times New Roman"/>
          <w:b/>
          <w:bCs/>
          <w:color w:val="000000" w:themeColor="text1"/>
          <w:sz w:val="24"/>
          <w:szCs w:val="24"/>
        </w:rPr>
        <w:t>g-bis</w:t>
      </w:r>
      <w:proofErr w:type="gramEnd"/>
      <w:r w:rsidRPr="008F0156">
        <w:rPr>
          <w:rFonts w:asciiTheme="minorHAnsi" w:eastAsia="Times New Roman" w:hAnsiTheme="minorHAnsi" w:cs="Times New Roman"/>
          <w:b/>
          <w:bCs/>
          <w:color w:val="000000" w:themeColor="text1"/>
          <w:sz w:val="24"/>
          <w:szCs w:val="24"/>
        </w:rPr>
        <w:t xml:space="preserve">) prevedere per gli operatori e i professionisti degli animali la formazione periodica finalizzata all'acquisizione di conoscenze adeguate in materia di malattie degli animali, comprese quelle trasmissibili all'uomo, principi di biosicurezza, interazione tra sanità animale, benessere degli animali e salute umana, buone prassi di allevamento delle specie animali di cui si occupano, resistenza ai trattamenti, compresa la resistenza antimicrobica, ed estendendo la formazione periodica anche agli operatori che vendono o trasferiscono in altro modo la titolarità di futuri animali da compagnia. A tal fine, in base all'articolo </w:t>
      </w:r>
      <w:proofErr w:type="gramStart"/>
      <w:r w:rsidRPr="008F0156">
        <w:rPr>
          <w:rFonts w:asciiTheme="minorHAnsi" w:eastAsia="Times New Roman" w:hAnsiTheme="minorHAnsi" w:cs="Times New Roman"/>
          <w:b/>
          <w:bCs/>
          <w:color w:val="000000" w:themeColor="text1"/>
          <w:sz w:val="24"/>
          <w:szCs w:val="24"/>
        </w:rPr>
        <w:t>13</w:t>
      </w:r>
      <w:proofErr w:type="gramEnd"/>
      <w:r w:rsidRPr="008F0156">
        <w:rPr>
          <w:rFonts w:asciiTheme="minorHAnsi" w:eastAsia="Times New Roman" w:hAnsiTheme="minorHAnsi" w:cs="Times New Roman"/>
          <w:b/>
          <w:bCs/>
          <w:color w:val="000000" w:themeColor="text1"/>
          <w:sz w:val="24"/>
          <w:szCs w:val="24"/>
        </w:rPr>
        <w:t>, paragrafo 2, del regolamento (UE) 2016/429 predisporre specifici programmi di formazione nei settori agricolo o dell'acquacoltura o tramite l'istruzione formale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84"/>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h) introdurre sanzioni amministrative efficaci dissuasive e proporzionate per la violazione delle disposizioni del regolamento (UE) 2016/429.</w:t>
      </w:r>
      <w:r w:rsidR="00622F5A">
        <w:rPr>
          <w:rStyle w:val="Rimandonotaapidipagina"/>
          <w:rFonts w:asciiTheme="minorHAnsi" w:eastAsia="Times New Roman" w:hAnsiTheme="minorHAnsi" w:cs="Times New Roman"/>
          <w:bCs/>
          <w:color w:val="000000" w:themeColor="text1"/>
          <w:sz w:val="24"/>
          <w:szCs w:val="24"/>
        </w:rPr>
        <w:footnoteReference w:id="85"/>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15.</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lastRenderedPageBreak/>
        <w:t xml:space="preserve">(Princìpi e criteri direttivi per l'adeguamento della normativa nazionale alle disposizioni del regolamento (UE) 2017/745, relativo ai dispositivi medici, che modifica la direttiva 2001/83/CE, il regolamento (CE) n. 178/2002 e il regolamento (CE) n. 1223/2009 e che abroga le direttive 90/385/CEE e 93/42/CEE del Consiglio, </w:t>
      </w:r>
      <w:r w:rsidR="00EC58EB" w:rsidRPr="00EC58EB">
        <w:rPr>
          <w:rFonts w:asciiTheme="minorHAnsi" w:eastAsia="Times New Roman" w:hAnsiTheme="minorHAnsi" w:cs="Times New Roman"/>
          <w:b/>
          <w:bCs/>
          <w:i/>
          <w:color w:val="000000" w:themeColor="text1"/>
          <w:sz w:val="24"/>
          <w:szCs w:val="24"/>
        </w:rPr>
        <w:t>del regolamento (UE) 2020/561 del Parlamento europeo e del Consiglio, del 23 aprile 2020, che modifica il regolamento (UE) 2017/745 relativo ai dispositivi medici, per quanto riguarda le date di applicazione di alcune delle sue disposizioni</w:t>
      </w:r>
      <w:proofErr w:type="gramStart"/>
      <w:r w:rsidR="00EC58EB" w:rsidRPr="00EC58EB">
        <w:rPr>
          <w:rFonts w:asciiTheme="minorHAnsi" w:eastAsia="Times New Roman" w:hAnsiTheme="minorHAnsi" w:cs="Times New Roman"/>
          <w:b/>
          <w:bCs/>
          <w:i/>
          <w:color w:val="000000" w:themeColor="text1"/>
          <w:sz w:val="24"/>
          <w:szCs w:val="24"/>
        </w:rPr>
        <w:t>,</w:t>
      </w:r>
      <w:proofErr w:type="gramEnd"/>
      <w:r w:rsidR="00EC58EB">
        <w:rPr>
          <w:rStyle w:val="Rimandonotaapidipagina"/>
          <w:rFonts w:asciiTheme="minorHAnsi" w:eastAsia="Times New Roman" w:hAnsiTheme="minorHAnsi" w:cs="Times New Roman"/>
          <w:b/>
          <w:bCs/>
          <w:i/>
          <w:color w:val="000000" w:themeColor="text1"/>
          <w:sz w:val="24"/>
          <w:szCs w:val="24"/>
        </w:rPr>
        <w:footnoteReference w:id="86"/>
      </w:r>
      <w:r w:rsidR="00EC58EB">
        <w:rPr>
          <w:rFonts w:asciiTheme="minorHAnsi" w:eastAsia="Times New Roman" w:hAnsiTheme="minorHAnsi" w:cs="Times New Roman"/>
          <w:b/>
          <w:bCs/>
          <w:i/>
          <w:color w:val="000000" w:themeColor="text1"/>
          <w:sz w:val="24"/>
          <w:szCs w:val="24"/>
        </w:rPr>
        <w:t xml:space="preserve"> </w:t>
      </w:r>
      <w:proofErr w:type="gramStart"/>
      <w:r w:rsidRPr="002C1B13">
        <w:rPr>
          <w:rFonts w:asciiTheme="minorHAnsi" w:eastAsia="Times New Roman" w:hAnsiTheme="minorHAnsi" w:cs="Times New Roman"/>
          <w:bCs/>
          <w:i/>
          <w:color w:val="000000" w:themeColor="text1"/>
          <w:sz w:val="24"/>
          <w:szCs w:val="24"/>
        </w:rPr>
        <w:t>e</w:t>
      </w:r>
      <w:proofErr w:type="gramEnd"/>
      <w:r w:rsidRPr="002C1B13">
        <w:rPr>
          <w:rFonts w:asciiTheme="minorHAnsi" w:eastAsia="Times New Roman" w:hAnsiTheme="minorHAnsi" w:cs="Times New Roman"/>
          <w:bCs/>
          <w:i/>
          <w:color w:val="000000" w:themeColor="text1"/>
          <w:sz w:val="24"/>
          <w:szCs w:val="24"/>
        </w:rPr>
        <w:t xml:space="preserve"> del regolamento (UE) 2017/746, relativo ai dispositivi medico diagnostici in vitro e che abroga la direttiva 98/79/CE e la decisione 2010/227/UE della Commissione)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EC58EB" w:rsidRPr="00EC58EB" w:rsidRDefault="002C1B13" w:rsidP="00EC58EB">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Il Governo </w:t>
      </w:r>
      <w:proofErr w:type="gramStart"/>
      <w:r w:rsidRPr="002C1B13">
        <w:rPr>
          <w:rFonts w:asciiTheme="minorHAnsi" w:eastAsia="Times New Roman" w:hAnsiTheme="minorHAnsi" w:cs="Times New Roman"/>
          <w:bCs/>
          <w:color w:val="000000" w:themeColor="text1"/>
          <w:sz w:val="24"/>
          <w:szCs w:val="24"/>
        </w:rPr>
        <w:t>adotta</w:t>
      </w:r>
      <w:proofErr w:type="gramEnd"/>
      <w:r w:rsidRPr="002C1B13">
        <w:rPr>
          <w:rFonts w:asciiTheme="minorHAnsi" w:eastAsia="Times New Roman" w:hAnsiTheme="minorHAnsi" w:cs="Times New Roman"/>
          <w:bCs/>
          <w:color w:val="000000" w:themeColor="text1"/>
          <w:sz w:val="24"/>
          <w:szCs w:val="24"/>
        </w:rPr>
        <w:t xml:space="preserve">, entro dodici mesi dalla data di entrata in vigore della presente legge, uno o più decreti legislativi per l'adeguamento della normativa nazionale al regolamento (UE) 2017/745 del Parlamento europeo e del Consiglio, del 5 aprile 2017, </w:t>
      </w:r>
      <w:r w:rsidR="00EC58EB" w:rsidRPr="00EC58EB">
        <w:rPr>
          <w:rFonts w:asciiTheme="minorHAnsi" w:eastAsia="Times New Roman" w:hAnsiTheme="minorHAnsi" w:cs="Times New Roman"/>
          <w:b/>
          <w:bCs/>
          <w:color w:val="000000" w:themeColor="text1"/>
          <w:sz w:val="24"/>
          <w:szCs w:val="24"/>
        </w:rPr>
        <w:t>al regolamento (UE) 2020/561 del Parlamento europeo e del Consiglio, del 23 aprile 2020</w:t>
      </w:r>
      <w:r w:rsidR="00EC58EB">
        <w:rPr>
          <w:rStyle w:val="Rimandonotaapidipagina"/>
          <w:rFonts w:asciiTheme="minorHAnsi" w:eastAsia="Times New Roman" w:hAnsiTheme="minorHAnsi" w:cs="Times New Roman"/>
          <w:b/>
          <w:bCs/>
          <w:color w:val="000000" w:themeColor="text1"/>
          <w:sz w:val="24"/>
          <w:szCs w:val="24"/>
        </w:rPr>
        <w:footnoteReference w:id="87"/>
      </w:r>
      <w:r w:rsidR="00EC58EB">
        <w:rPr>
          <w:rFonts w:asciiTheme="minorHAnsi" w:eastAsia="Times New Roman" w:hAnsiTheme="minorHAnsi" w:cs="Times New Roman"/>
          <w:b/>
          <w:bCs/>
          <w:color w:val="000000" w:themeColor="text1"/>
          <w:sz w:val="24"/>
          <w:szCs w:val="24"/>
        </w:rPr>
        <w:t xml:space="preserve"> </w:t>
      </w:r>
      <w:proofErr w:type="gramStart"/>
      <w:r w:rsidRPr="002C1B13">
        <w:rPr>
          <w:rFonts w:asciiTheme="minorHAnsi" w:eastAsia="Times New Roman" w:hAnsiTheme="minorHAnsi" w:cs="Times New Roman"/>
          <w:bCs/>
          <w:color w:val="000000" w:themeColor="text1"/>
          <w:sz w:val="24"/>
          <w:szCs w:val="24"/>
        </w:rPr>
        <w:t>e</w:t>
      </w:r>
      <w:proofErr w:type="gramEnd"/>
      <w:r w:rsidRPr="002C1B13">
        <w:rPr>
          <w:rFonts w:asciiTheme="minorHAnsi" w:eastAsia="Times New Roman" w:hAnsiTheme="minorHAnsi" w:cs="Times New Roman"/>
          <w:bCs/>
          <w:color w:val="000000" w:themeColor="text1"/>
          <w:sz w:val="24"/>
          <w:szCs w:val="24"/>
        </w:rPr>
        <w:t xml:space="preserve"> al regolamento (UE) 2017/746 del Parlamento europeo e del Consiglio, del 5 aprile 2017.</w:t>
      </w:r>
    </w:p>
    <w:p w:rsidR="00EC58EB" w:rsidRDefault="00EC58EB"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Nell'esercizio della delega di cui al comma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xml:space="preserve"> il Governo osserva, oltre ai princìpi e criteri direttivi generali di cui all'articolo 32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adeguare e raccordare le disposizioni nazionali vigenti alle </w:t>
      </w:r>
      <w:proofErr w:type="gramStart"/>
      <w:r w:rsidRPr="002C1B13">
        <w:rPr>
          <w:rFonts w:asciiTheme="minorHAnsi" w:eastAsia="Times New Roman" w:hAnsiTheme="minorHAnsi" w:cs="Times New Roman"/>
          <w:bCs/>
          <w:color w:val="000000" w:themeColor="text1"/>
          <w:sz w:val="24"/>
          <w:szCs w:val="24"/>
        </w:rPr>
        <w:t>disposizioni</w:t>
      </w:r>
      <w:proofErr w:type="gramEnd"/>
      <w:r w:rsidRPr="002C1B13">
        <w:rPr>
          <w:rFonts w:asciiTheme="minorHAnsi" w:eastAsia="Times New Roman" w:hAnsiTheme="minorHAnsi" w:cs="Times New Roman"/>
          <w:bCs/>
          <w:color w:val="000000" w:themeColor="text1"/>
          <w:sz w:val="24"/>
          <w:szCs w:val="24"/>
        </w:rPr>
        <w:t xml:space="preserve"> del regolamento (UE) 2017/745</w:t>
      </w:r>
      <w:r w:rsidR="00EC58EB" w:rsidRPr="00EC58EB">
        <w:rPr>
          <w:rFonts w:asciiTheme="minorHAnsi" w:eastAsia="Times New Roman" w:hAnsiTheme="minorHAnsi" w:cs="Times New Roman"/>
          <w:b/>
          <w:bCs/>
          <w:color w:val="000000" w:themeColor="text1"/>
          <w:sz w:val="24"/>
          <w:szCs w:val="24"/>
        </w:rPr>
        <w:t>, come modificato dal regolamento (UE) 2020/561,</w:t>
      </w:r>
      <w:r w:rsidR="00EC58EB">
        <w:rPr>
          <w:rStyle w:val="Rimandonotaapidipagina"/>
          <w:rFonts w:asciiTheme="minorHAnsi" w:eastAsia="Times New Roman" w:hAnsiTheme="minorHAnsi" w:cs="Times New Roman"/>
          <w:b/>
          <w:bCs/>
          <w:color w:val="000000" w:themeColor="text1"/>
          <w:sz w:val="24"/>
          <w:szCs w:val="24"/>
        </w:rPr>
        <w:footnoteReference w:id="88"/>
      </w:r>
      <w:r w:rsidRPr="002C1B13">
        <w:rPr>
          <w:rFonts w:asciiTheme="minorHAnsi" w:eastAsia="Times New Roman" w:hAnsiTheme="minorHAnsi" w:cs="Times New Roman"/>
          <w:bCs/>
          <w:color w:val="000000" w:themeColor="text1"/>
          <w:sz w:val="24"/>
          <w:szCs w:val="24"/>
        </w:rPr>
        <w:t xml:space="preserve"> </w:t>
      </w:r>
      <w:proofErr w:type="gramStart"/>
      <w:r w:rsidRPr="002C1B13">
        <w:rPr>
          <w:rFonts w:asciiTheme="minorHAnsi" w:eastAsia="Times New Roman" w:hAnsiTheme="minorHAnsi" w:cs="Times New Roman"/>
          <w:bCs/>
          <w:color w:val="000000" w:themeColor="text1"/>
          <w:sz w:val="24"/>
          <w:szCs w:val="24"/>
        </w:rPr>
        <w:t>e</w:t>
      </w:r>
      <w:proofErr w:type="gramEnd"/>
      <w:r w:rsidRPr="002C1B13">
        <w:rPr>
          <w:rFonts w:asciiTheme="minorHAnsi" w:eastAsia="Times New Roman" w:hAnsiTheme="minorHAnsi" w:cs="Times New Roman"/>
          <w:bCs/>
          <w:color w:val="000000" w:themeColor="text1"/>
          <w:sz w:val="24"/>
          <w:szCs w:val="24"/>
        </w:rPr>
        <w:t xml:space="preserve"> del regolamento (UE) 2017/746, e in particolare le modalità e le procedure di vigilanza, sorveglianza del mercato e controllo della sicurezza dei dispositivi medici, con abrogazione espressa delle norme nazionali incompatibili e coordinamento nonché riordino di quelle residue;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stabilire i contenuti, le tempistiche e le </w:t>
      </w:r>
      <w:proofErr w:type="gramStart"/>
      <w:r w:rsidRPr="002C1B13">
        <w:rPr>
          <w:rFonts w:asciiTheme="minorHAnsi" w:eastAsia="Times New Roman" w:hAnsiTheme="minorHAnsi" w:cs="Times New Roman"/>
          <w:bCs/>
          <w:color w:val="000000" w:themeColor="text1"/>
          <w:sz w:val="24"/>
          <w:szCs w:val="24"/>
        </w:rPr>
        <w:t>modalità</w:t>
      </w:r>
      <w:proofErr w:type="gramEnd"/>
      <w:r w:rsidRPr="002C1B13">
        <w:rPr>
          <w:rFonts w:asciiTheme="minorHAnsi" w:eastAsia="Times New Roman" w:hAnsiTheme="minorHAnsi" w:cs="Times New Roman"/>
          <w:bCs/>
          <w:color w:val="000000" w:themeColor="text1"/>
          <w:sz w:val="24"/>
          <w:szCs w:val="24"/>
        </w:rPr>
        <w:t xml:space="preserve"> di registrazione delle informazioni che i fabbricanti e i distributori di dispositivi medici sul territorio italiano, </w:t>
      </w:r>
      <w:r w:rsidRPr="00EC58EB">
        <w:rPr>
          <w:rFonts w:asciiTheme="minorHAnsi" w:eastAsia="Times New Roman" w:hAnsiTheme="minorHAnsi" w:cs="Times New Roman"/>
          <w:bCs/>
          <w:strike/>
          <w:color w:val="000000" w:themeColor="text1"/>
          <w:sz w:val="24"/>
          <w:szCs w:val="24"/>
          <w:highlight w:val="yellow"/>
        </w:rPr>
        <w:t>nonché gli utilizzatori come definiti</w:t>
      </w:r>
      <w:r w:rsidRPr="002C1B13">
        <w:rPr>
          <w:rFonts w:asciiTheme="minorHAnsi" w:eastAsia="Times New Roman" w:hAnsiTheme="minorHAnsi" w:cs="Times New Roman"/>
          <w:bCs/>
          <w:color w:val="000000" w:themeColor="text1"/>
          <w:sz w:val="24"/>
          <w:szCs w:val="24"/>
        </w:rPr>
        <w:t xml:space="preserve"> </w:t>
      </w:r>
      <w:r w:rsidR="00EC58EB">
        <w:rPr>
          <w:rFonts w:asciiTheme="minorHAnsi" w:eastAsia="Times New Roman" w:hAnsiTheme="minorHAnsi" w:cs="Times New Roman"/>
          <w:b/>
          <w:bCs/>
          <w:color w:val="000000" w:themeColor="text1"/>
          <w:sz w:val="24"/>
          <w:szCs w:val="24"/>
        </w:rPr>
        <w:t>nonché gli utilizzatori, come definiti</w:t>
      </w:r>
      <w:r w:rsidR="00EC58EB">
        <w:rPr>
          <w:rStyle w:val="Rimandonotaapidipagina"/>
          <w:rFonts w:asciiTheme="minorHAnsi" w:eastAsia="Times New Roman" w:hAnsiTheme="minorHAnsi" w:cs="Times New Roman"/>
          <w:b/>
          <w:bCs/>
          <w:color w:val="000000" w:themeColor="text1"/>
          <w:sz w:val="24"/>
          <w:szCs w:val="24"/>
        </w:rPr>
        <w:footnoteReference w:id="89"/>
      </w:r>
      <w:r w:rsidR="00EC58EB">
        <w:rPr>
          <w:rFonts w:asciiTheme="minorHAnsi" w:eastAsia="Times New Roman" w:hAnsiTheme="minorHAnsi" w:cs="Times New Roman"/>
          <w:b/>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t>dall'articolo 2, punti 30), 34) e 37), del regolamento (UE) 2017/745 e dall'articolo 2, punti 23), 27) e 30), del regolamento (UE) 2017/746, sono tenuti a comunicare al Ministero della salute;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provvedere al riordino e coordinamento delle attività tra gli enti pubblici deputati al governo dei dispositivi medici, anche attraverso una ridefinizione dei compiti, </w:t>
      </w:r>
      <w:r w:rsidRPr="00EC58EB">
        <w:rPr>
          <w:rFonts w:asciiTheme="minorHAnsi" w:eastAsia="Times New Roman" w:hAnsiTheme="minorHAnsi" w:cs="Times New Roman"/>
          <w:bCs/>
          <w:strike/>
          <w:color w:val="000000" w:themeColor="text1"/>
          <w:sz w:val="24"/>
          <w:szCs w:val="24"/>
          <w:highlight w:val="yellow"/>
        </w:rPr>
        <w:t>finalizzato all'emanazione</w:t>
      </w:r>
      <w:r w:rsidRPr="002C1B13">
        <w:rPr>
          <w:rFonts w:asciiTheme="minorHAnsi" w:eastAsia="Times New Roman" w:hAnsiTheme="minorHAnsi" w:cs="Times New Roman"/>
          <w:bCs/>
          <w:color w:val="000000" w:themeColor="text1"/>
          <w:sz w:val="24"/>
          <w:szCs w:val="24"/>
        </w:rPr>
        <w:t xml:space="preserve"> </w:t>
      </w:r>
      <w:r w:rsidR="00EC58EB" w:rsidRPr="00EC58EB">
        <w:rPr>
          <w:rFonts w:asciiTheme="minorHAnsi" w:eastAsia="Times New Roman" w:hAnsiTheme="minorHAnsi" w:cs="Times New Roman"/>
          <w:b/>
          <w:bCs/>
          <w:color w:val="000000" w:themeColor="text1"/>
          <w:sz w:val="24"/>
          <w:szCs w:val="24"/>
        </w:rPr>
        <w:t>e anche ai fini dell'emanazione</w:t>
      </w:r>
      <w:proofErr w:type="gramStart"/>
      <w:r w:rsidR="00EC58EB">
        <w:rPr>
          <w:rStyle w:val="Rimandonotaapidipagina"/>
          <w:rFonts w:asciiTheme="minorHAnsi" w:eastAsia="Times New Roman" w:hAnsiTheme="minorHAnsi" w:cs="Times New Roman"/>
          <w:b/>
          <w:bCs/>
          <w:color w:val="000000" w:themeColor="text1"/>
          <w:sz w:val="24"/>
          <w:szCs w:val="24"/>
        </w:rPr>
        <w:footnoteReference w:id="90"/>
      </w:r>
      <w:r w:rsidR="00EC58EB">
        <w:rPr>
          <w:rFonts w:asciiTheme="minorHAnsi" w:eastAsia="Times New Roman" w:hAnsiTheme="minorHAnsi" w:cs="Times New Roman"/>
          <w:bCs/>
          <w:color w:val="000000" w:themeColor="text1"/>
          <w:sz w:val="24"/>
          <w:szCs w:val="24"/>
        </w:rPr>
        <w:t xml:space="preserve"> </w:t>
      </w:r>
      <w:proofErr w:type="gramEnd"/>
      <w:r w:rsidRPr="002C1B13">
        <w:rPr>
          <w:rFonts w:asciiTheme="minorHAnsi" w:eastAsia="Times New Roman" w:hAnsiTheme="minorHAnsi" w:cs="Times New Roman"/>
          <w:bCs/>
          <w:color w:val="000000" w:themeColor="text1"/>
          <w:sz w:val="24"/>
          <w:szCs w:val="24"/>
        </w:rPr>
        <w:t>di indirizzi generali uniformi per la garanzia di efficienza del sistema, ivi incluso il riordino del meccanismo di definizione dei tetti di spesa nel rispetto di quanto previsto dall'articolo 9-</w:t>
      </w:r>
      <w:r w:rsidRPr="002C1B13">
        <w:rPr>
          <w:rFonts w:asciiTheme="minorHAnsi" w:eastAsia="Times New Roman" w:hAnsiTheme="minorHAnsi" w:cs="Times New Roman"/>
          <w:bCs/>
          <w:color w:val="000000" w:themeColor="text1"/>
          <w:sz w:val="24"/>
          <w:szCs w:val="24"/>
        </w:rPr>
        <w:lastRenderedPageBreak/>
        <w:t>ter, commi 1, lettera b), e 9, del decreto-legge 19 giugno 2015, n. 78, convertito, con modificazioni, dalla legge 6 agosto 2015, n. 125;</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definire il sistema sanzionatorio, attraverso la previsione di sanzioni amministrative efficaci, dissuasive e proporzionate alla gravità delle violazioni delle disposizioni </w:t>
      </w:r>
      <w:proofErr w:type="gramStart"/>
      <w:r w:rsidRPr="002C1B13">
        <w:rPr>
          <w:rFonts w:asciiTheme="minorHAnsi" w:eastAsia="Times New Roman" w:hAnsiTheme="minorHAnsi" w:cs="Times New Roman"/>
          <w:bCs/>
          <w:color w:val="000000" w:themeColor="text1"/>
          <w:sz w:val="24"/>
          <w:szCs w:val="24"/>
        </w:rPr>
        <w:t>del</w:t>
      </w:r>
      <w:proofErr w:type="gramEnd"/>
      <w:r w:rsidRPr="002C1B13">
        <w:rPr>
          <w:rFonts w:asciiTheme="minorHAnsi" w:eastAsia="Times New Roman" w:hAnsiTheme="minorHAnsi" w:cs="Times New Roman"/>
          <w:bCs/>
          <w:color w:val="000000" w:themeColor="text1"/>
          <w:sz w:val="24"/>
          <w:szCs w:val="24"/>
        </w:rPr>
        <w:t xml:space="preserve"> regolamento (UE) 2017/745 e del regolamento (UE) 2017/746 e il riordino del sistema vigente</w:t>
      </w:r>
      <w:r w:rsidR="00EC58EB">
        <w:rPr>
          <w:rFonts w:asciiTheme="minorHAnsi" w:eastAsia="Times New Roman" w:hAnsiTheme="minorHAnsi" w:cs="Times New Roman"/>
          <w:bCs/>
          <w:color w:val="000000" w:themeColor="text1"/>
          <w:sz w:val="24"/>
          <w:szCs w:val="24"/>
        </w:rPr>
        <w:t xml:space="preserve">. </w:t>
      </w:r>
      <w:r w:rsidR="00EC58EB" w:rsidRPr="00EC58EB">
        <w:rPr>
          <w:rFonts w:asciiTheme="minorHAnsi" w:eastAsia="Times New Roman" w:hAnsiTheme="minorHAnsi" w:cs="Times New Roman"/>
          <w:b/>
          <w:bCs/>
          <w:color w:val="000000" w:themeColor="text1"/>
          <w:sz w:val="24"/>
          <w:szCs w:val="24"/>
        </w:rPr>
        <w:t xml:space="preserve">Il sistema sanzionatorio prevede la riduzione di un terzo della sanzione amministrativa quando la violazione è commessa da imprese aventi i parametri di microimpresa, di cui alla raccomandazione 2003/361/CE del 6 maggio </w:t>
      </w:r>
      <w:proofErr w:type="gramStart"/>
      <w:r w:rsidR="00EC58EB" w:rsidRPr="00EC58EB">
        <w:rPr>
          <w:rFonts w:asciiTheme="minorHAnsi" w:eastAsia="Times New Roman" w:hAnsiTheme="minorHAnsi" w:cs="Times New Roman"/>
          <w:b/>
          <w:bCs/>
          <w:color w:val="000000" w:themeColor="text1"/>
          <w:sz w:val="24"/>
          <w:szCs w:val="24"/>
        </w:rPr>
        <w:t>2003</w:t>
      </w:r>
      <w:proofErr w:type="gramEnd"/>
      <w:r w:rsidR="00EC58EB">
        <w:rPr>
          <w:rStyle w:val="Rimandonotaapidipagina"/>
          <w:rFonts w:asciiTheme="minorHAnsi" w:eastAsia="Times New Roman" w:hAnsiTheme="minorHAnsi" w:cs="Times New Roman"/>
          <w:b/>
          <w:bCs/>
          <w:color w:val="000000" w:themeColor="text1"/>
          <w:sz w:val="24"/>
          <w:szCs w:val="24"/>
        </w:rPr>
        <w:footnoteReference w:id="91"/>
      </w:r>
      <w:r w:rsidRPr="002C1B13">
        <w:rPr>
          <w:rFonts w:asciiTheme="minorHAnsi" w:eastAsia="Times New Roman" w:hAnsiTheme="minorHAnsi" w:cs="Times New Roman"/>
          <w:bCs/>
          <w:color w:val="000000" w:themeColor="text1"/>
          <w:sz w:val="24"/>
          <w:szCs w:val="24"/>
        </w:rPr>
        <w:t>;</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individuare le </w:t>
      </w:r>
      <w:proofErr w:type="gramStart"/>
      <w:r w:rsidRPr="002C1B13">
        <w:rPr>
          <w:rFonts w:asciiTheme="minorHAnsi" w:eastAsia="Times New Roman" w:hAnsiTheme="minorHAnsi" w:cs="Times New Roman"/>
          <w:bCs/>
          <w:color w:val="000000" w:themeColor="text1"/>
          <w:sz w:val="24"/>
          <w:szCs w:val="24"/>
        </w:rPr>
        <w:t>modalità</w:t>
      </w:r>
      <w:proofErr w:type="gramEnd"/>
      <w:r w:rsidRPr="002C1B13">
        <w:rPr>
          <w:rFonts w:asciiTheme="minorHAnsi" w:eastAsia="Times New Roman" w:hAnsiTheme="minorHAnsi" w:cs="Times New Roman"/>
          <w:bCs/>
          <w:color w:val="000000" w:themeColor="text1"/>
          <w:sz w:val="24"/>
          <w:szCs w:val="24"/>
        </w:rPr>
        <w:t xml:space="preserve"> di tracciabilità dei dispositivi medici attraverso il riordino e la connessione delle banche dati esistenti in conformità al Sistema unico di identificazione del dispositivo (sistema UDI), previsto dai regolamenti (UE) 2017/745 e 2017/746, in modo da salvaguardare il livello informativo più completo;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previo accordo in sede di Conferenza permanente per i rapporti tra lo Stato, le regioni e le province autonome di Trento e di Bolzano, rendere i procedimenti di acquisto più efficienti attraverso l'articolazione e il rafforzamento delle funzioni di Health technology assessment (HTA), di cui all'articolo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comma 587 della legge 23 dicembre 2014, n. 190, sulla base degli obiettivi individuati dal relativo Programma nazionale HTA e adeguare le attività dell'Osservatorio dei prezzi di acquisto dei dispositivi;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g) adeguare i trattamenti di dati personali effettuati in applicazione del regolamento (UE) 2017/745 e del </w:t>
      </w:r>
      <w:proofErr w:type="gramStart"/>
      <w:r w:rsidRPr="002C1B13">
        <w:rPr>
          <w:rFonts w:asciiTheme="minorHAnsi" w:eastAsia="Times New Roman" w:hAnsiTheme="minorHAnsi" w:cs="Times New Roman"/>
          <w:bCs/>
          <w:color w:val="000000" w:themeColor="text1"/>
          <w:sz w:val="24"/>
          <w:szCs w:val="24"/>
        </w:rPr>
        <w:t>regolamento</w:t>
      </w:r>
      <w:proofErr w:type="gramEnd"/>
      <w:r w:rsidRPr="002C1B13">
        <w:rPr>
          <w:rFonts w:asciiTheme="minorHAnsi" w:eastAsia="Times New Roman" w:hAnsiTheme="minorHAnsi" w:cs="Times New Roman"/>
          <w:bCs/>
          <w:color w:val="000000" w:themeColor="text1"/>
          <w:sz w:val="24"/>
          <w:szCs w:val="24"/>
        </w:rPr>
        <w:t xml:space="preserve"> (UE) 2017/746 alle disposizioni del regolamento (UE) 2016/679 del Parlamento europeo e del Consiglio, del 27 aprile 2016, e alla normativa vigente in materia di tutela dei dati personali e sensibili;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h) prevedere il sistema di finanziamento del governo </w:t>
      </w:r>
      <w:proofErr w:type="gramStart"/>
      <w:r w:rsidRPr="002C1B13">
        <w:rPr>
          <w:rFonts w:asciiTheme="minorHAnsi" w:eastAsia="Times New Roman" w:hAnsiTheme="minorHAnsi" w:cs="Times New Roman"/>
          <w:bCs/>
          <w:color w:val="000000" w:themeColor="text1"/>
          <w:sz w:val="24"/>
          <w:szCs w:val="24"/>
        </w:rPr>
        <w:t>dei</w:t>
      </w:r>
      <w:proofErr w:type="gramEnd"/>
      <w:r w:rsidRPr="002C1B13">
        <w:rPr>
          <w:rFonts w:asciiTheme="minorHAnsi" w:eastAsia="Times New Roman" w:hAnsiTheme="minorHAnsi" w:cs="Times New Roman"/>
          <w:bCs/>
          <w:color w:val="000000" w:themeColor="text1"/>
          <w:sz w:val="24"/>
          <w:szCs w:val="24"/>
        </w:rPr>
        <w:t xml:space="preserve"> dispositivi medici attraverso il versamento da parte delle aziende che producono o commercializzano dispositivi medici di una quota non superiore all'1 per cento del fatturato, al netto dell'imposta sul valore aggiunto, derivante dalla vendita al Servizio sanitario nazionale dei dispositivi medici e delle grandi apparecchiature.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16.</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l'adeguamento della normativa nazionale al regolamento (UE) 2017/1991, che modifica il regolamento (UE) n. 345/2013 relativo ai fondi europei per il venture capital e il regolamento (UE) n. 346/2013 relativo ai fondi europei per l'imprenditoria sociale</w:t>
      </w:r>
      <w:proofErr w:type="gramStart"/>
      <w:r w:rsidRPr="002C1B13">
        <w:rPr>
          <w:rFonts w:asciiTheme="minorHAnsi" w:eastAsia="Times New Roman" w:hAnsiTheme="minorHAnsi" w:cs="Times New Roman"/>
          <w:bCs/>
          <w:i/>
          <w:color w:val="000000" w:themeColor="text1"/>
          <w:sz w:val="24"/>
          <w:szCs w:val="24"/>
        </w:rPr>
        <w:t>)</w:t>
      </w:r>
      <w:proofErr w:type="gramEnd"/>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Il Governo </w:t>
      </w:r>
      <w:proofErr w:type="gramStart"/>
      <w:r w:rsidRPr="002C1B13">
        <w:rPr>
          <w:rFonts w:asciiTheme="minorHAnsi" w:eastAsia="Times New Roman" w:hAnsiTheme="minorHAnsi" w:cs="Times New Roman"/>
          <w:bCs/>
          <w:color w:val="000000" w:themeColor="text1"/>
          <w:sz w:val="24"/>
          <w:szCs w:val="24"/>
        </w:rPr>
        <w:t>adotta</w:t>
      </w:r>
      <w:proofErr w:type="gramEnd"/>
      <w:r w:rsidRPr="002C1B13">
        <w:rPr>
          <w:rFonts w:asciiTheme="minorHAnsi" w:eastAsia="Times New Roman" w:hAnsiTheme="minorHAnsi" w:cs="Times New Roman"/>
          <w:bCs/>
          <w:color w:val="000000" w:themeColor="text1"/>
          <w:sz w:val="24"/>
          <w:szCs w:val="24"/>
        </w:rPr>
        <w:t>, entro dodici mesi dalla data di entrata in vigore della presente legge, uno o più decreti legislativi per l'adeguamento della normativa nazionale al regolamento (UE) 2017/1991 del Parlamento europeo e del Consiglio, del 25 ottobre 2017.</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Nell'esercizio della delega di cui al comma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xml:space="preserve"> il Governo osserva, oltre ai princìpi e criteri direttivi generali di cui all'articolo 32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apportare al testo unico delle disposizioni in materia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intermediazione finanziaria, di cui al decreto legislativo 24 febbraio 1998, n. 58, le modifiche e le integrazioni necessarie per l'attuazione del regolamento (UE) 2017/1991, attribuendo, i poteri e le competenze di vigilanza previsti dal citato regolamento alla Banca d'Italia e alla CONSOB, secondo le rispettive attribuzioni e finalità indicate negli articoli 5 e 6 del citato testo unico di cui al decreto legislativo n. 58 del 1998 e prevedendo il ricorso alla disciplina secondaria;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apportare al citato testo unico di cui al decreto legislativo n. 58 del 1998 le modifiche necessarie per prevedere la possibilità, per i gestori di fondi d'investimento alternativi autorizzati ai sensi della direttiva 2011/61/UE del Parlamento europeo e del Consiglio, dell'8 giugno 2011, di gestire e commercializzare fondi europei per il venture capital e fondi europei per l'imprenditoria sociale;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modificare il citato testo unico di cui al decreto legislativo n. 58 del 1998 per adeguarlo alle disposizioni del regolamento (UE) 2017/1991 in materia di cooperazione e scambio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informazioni con le autorità competenti degli Stati membri dell'Unione europea, nonché con l'Autorità europea degli strumenti finanziari e dei mercati;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apportare al citato testo unico di cui al decreto legislativo n. 58 del 1998 le modifiche e le integrazioni necessarie per estendere il regime sanzionatorio previsto dal medesimo testo unico in attuazione della direttiva 2011/61/CE anche ai gestori di cui all'articolo </w:t>
      </w:r>
      <w:proofErr w:type="gramStart"/>
      <w:r w:rsidRPr="002C1B13">
        <w:rPr>
          <w:rFonts w:asciiTheme="minorHAnsi" w:eastAsia="Times New Roman" w:hAnsiTheme="minorHAnsi" w:cs="Times New Roman"/>
          <w:bCs/>
          <w:color w:val="000000" w:themeColor="text1"/>
          <w:sz w:val="24"/>
          <w:szCs w:val="24"/>
        </w:rPr>
        <w:t>2</w:t>
      </w:r>
      <w:proofErr w:type="gramEnd"/>
      <w:r w:rsidRPr="002C1B13">
        <w:rPr>
          <w:rFonts w:asciiTheme="minorHAnsi" w:eastAsia="Times New Roman" w:hAnsiTheme="minorHAnsi" w:cs="Times New Roman"/>
          <w:bCs/>
          <w:color w:val="000000" w:themeColor="text1"/>
          <w:sz w:val="24"/>
          <w:szCs w:val="24"/>
        </w:rPr>
        <w:t>, paragrafo 2, del regolamento (UE) n. 345/2013 e di cui all'articolo 2, paragrafo 2, del regolamento (UE) n. 346/2013;</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e) prevedere, in conformità alle definizioni e alla disciplina del regolamento (UE) 2017/1991 </w:t>
      </w:r>
      <w:proofErr w:type="gramStart"/>
      <w:r w:rsidRPr="002C1B13">
        <w:rPr>
          <w:rFonts w:asciiTheme="minorHAnsi" w:eastAsia="Times New Roman" w:hAnsiTheme="minorHAnsi" w:cs="Times New Roman"/>
          <w:bCs/>
          <w:color w:val="000000" w:themeColor="text1"/>
          <w:sz w:val="24"/>
          <w:szCs w:val="24"/>
        </w:rPr>
        <w:t>nonché</w:t>
      </w:r>
      <w:proofErr w:type="gramEnd"/>
      <w:r w:rsidRPr="002C1B13">
        <w:rPr>
          <w:rFonts w:asciiTheme="minorHAnsi" w:eastAsia="Times New Roman" w:hAnsiTheme="minorHAnsi" w:cs="Times New Roman"/>
          <w:bCs/>
          <w:color w:val="000000" w:themeColor="text1"/>
          <w:sz w:val="24"/>
          <w:szCs w:val="24"/>
        </w:rPr>
        <w:t xml:space="preserve"> ai criteri direttivi previsti nella presente legge, le occorrenti modificazioni alla normativa vigente, anche di derivazione europea, per i settori interessati dalla normativa da attuare, al fine di realizzare il migliore coordinamento con le altre disposizioni vigenti.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3. Dall'attuazione del presente articolo non </w:t>
      </w:r>
      <w:proofErr w:type="gramStart"/>
      <w:r w:rsidRPr="002C1B13">
        <w:rPr>
          <w:rFonts w:asciiTheme="minorHAnsi" w:eastAsia="Times New Roman" w:hAnsiTheme="minorHAnsi" w:cs="Times New Roman"/>
          <w:bCs/>
          <w:color w:val="000000" w:themeColor="text1"/>
          <w:sz w:val="24"/>
          <w:szCs w:val="24"/>
        </w:rPr>
        <w:t>devono</w:t>
      </w:r>
      <w:proofErr w:type="gramEnd"/>
      <w:r w:rsidRPr="002C1B13">
        <w:rPr>
          <w:rFonts w:asciiTheme="minorHAnsi" w:eastAsia="Times New Roman" w:hAnsiTheme="minorHAnsi" w:cs="Times New Roman"/>
          <w:bCs/>
          <w:color w:val="000000" w:themeColor="text1"/>
          <w:sz w:val="24"/>
          <w:szCs w:val="24"/>
        </w:rPr>
        <w:t xml:space="preserve"> derivare nuovi o maggiori oneri a carico della finanza pubblica. Le amministrazioni interessate provvedono all'adempimento dei compiti derivanti dall'esercizio della delega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cui al presente articolo con le risorse umane, strumentali e finanziarie disponibili a legislazione vigente.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17.</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l'adeguamento della normativa nazionale alle disposizioni del regolamento (UE) 2019/518, che modifica il regolamento (CE) n. 924/2009 per quanto riguarda talune commissioni applicate sui pagamenti transfrontalieri nell'Unione e le commissioni di conversione valutaria</w:t>
      </w:r>
      <w:proofErr w:type="gramStart"/>
      <w:r w:rsidRPr="002C1B13">
        <w:rPr>
          <w:rFonts w:asciiTheme="minorHAnsi" w:eastAsia="Times New Roman" w:hAnsiTheme="minorHAnsi" w:cs="Times New Roman"/>
          <w:bCs/>
          <w:i/>
          <w:color w:val="000000" w:themeColor="text1"/>
          <w:sz w:val="24"/>
          <w:szCs w:val="24"/>
        </w:rPr>
        <w:t>)</w:t>
      </w:r>
      <w:proofErr w:type="gramEnd"/>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Il Governo </w:t>
      </w:r>
      <w:proofErr w:type="gramStart"/>
      <w:r w:rsidRPr="002C1B13">
        <w:rPr>
          <w:rFonts w:asciiTheme="minorHAnsi" w:eastAsia="Times New Roman" w:hAnsiTheme="minorHAnsi" w:cs="Times New Roman"/>
          <w:bCs/>
          <w:color w:val="000000" w:themeColor="text1"/>
          <w:sz w:val="24"/>
          <w:szCs w:val="24"/>
        </w:rPr>
        <w:t>adotta</w:t>
      </w:r>
      <w:proofErr w:type="gramEnd"/>
      <w:r w:rsidRPr="002C1B13">
        <w:rPr>
          <w:rFonts w:asciiTheme="minorHAnsi" w:eastAsia="Times New Roman" w:hAnsiTheme="minorHAnsi" w:cs="Times New Roman"/>
          <w:bCs/>
          <w:color w:val="000000" w:themeColor="text1"/>
          <w:sz w:val="24"/>
          <w:szCs w:val="24"/>
        </w:rPr>
        <w:t>, entro dodici mesi dalla data di entrata in vigore della presente legge, uno o più decreti legislativi per l'adeguamento della normativa nazionale al regolamento (UE) 2019/518 del Parlamento europeo e del Consiglio, del 19 marzo 2019.</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Nell'esercizio della delega di cui al comma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xml:space="preserve"> il Governo osserva, oltre ai princìpi e criteri direttivi generali di cui all'articolo 32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prevedere, in attuazione dell'articolo </w:t>
      </w:r>
      <w:proofErr w:type="gramStart"/>
      <w:r w:rsidRPr="002C1B13">
        <w:rPr>
          <w:rFonts w:asciiTheme="minorHAnsi" w:eastAsia="Times New Roman" w:hAnsiTheme="minorHAnsi" w:cs="Times New Roman"/>
          <w:bCs/>
          <w:color w:val="000000" w:themeColor="text1"/>
          <w:sz w:val="24"/>
          <w:szCs w:val="24"/>
        </w:rPr>
        <w:t>13</w:t>
      </w:r>
      <w:proofErr w:type="gramEnd"/>
      <w:r w:rsidRPr="002C1B13">
        <w:rPr>
          <w:rFonts w:asciiTheme="minorHAnsi" w:eastAsia="Times New Roman" w:hAnsiTheme="minorHAnsi" w:cs="Times New Roman"/>
          <w:bCs/>
          <w:color w:val="000000" w:themeColor="text1"/>
          <w:sz w:val="24"/>
          <w:szCs w:val="24"/>
        </w:rPr>
        <w:t xml:space="preserve"> del regolamento (CE) 924/2009 del Parlamento europeo e del Consiglio, del 16 settembre 2009, l'applicazione di sanzioni amministrative efficaci, proporzionate e dissuasive per le violazioni degli obblighi stabiliti dagli articoli 3 bis e 3 ter del regolamento medesimo, introdotti dal regolamento (UE) 518/2019, attraverso le modificazioni al decreto legislativo 18 agosto 2015, n. 135, e in linea con i limiti edittali ivi previsti</w:t>
      </w:r>
      <w:r w:rsidR="00EC58EB" w:rsidRPr="00200CEE">
        <w:rPr>
          <w:rFonts w:asciiTheme="minorHAnsi" w:eastAsia="Times New Roman" w:hAnsiTheme="minorHAnsi" w:cs="Times New Roman"/>
          <w:b/>
          <w:bCs/>
          <w:color w:val="000000" w:themeColor="text1"/>
          <w:sz w:val="24"/>
          <w:szCs w:val="24"/>
        </w:rPr>
        <w:t>, anche prevedendo che le infrazioni sono sanzionate solo quando abbiano carattere rilevante secondo criteri definiti dalla Banca d'Italia, con provvedimento di carattere generale, tenuto conto dell'incidenza delle condotte sulla complessiva organizzazione aziendale e sui profili di rischio</w:t>
      </w:r>
      <w:r w:rsidR="00200CEE">
        <w:rPr>
          <w:rStyle w:val="Rimandonotaapidipagina"/>
          <w:rFonts w:asciiTheme="minorHAnsi" w:eastAsia="Times New Roman" w:hAnsiTheme="minorHAnsi" w:cs="Times New Roman"/>
          <w:b/>
          <w:bCs/>
          <w:color w:val="000000" w:themeColor="text1"/>
          <w:sz w:val="24"/>
          <w:szCs w:val="24"/>
        </w:rPr>
        <w:footnoteReference w:id="92"/>
      </w:r>
      <w:r w:rsidRPr="002C1B13">
        <w:rPr>
          <w:rFonts w:asciiTheme="minorHAnsi" w:eastAsia="Times New Roman" w:hAnsiTheme="minorHAnsi" w:cs="Times New Roman"/>
          <w:bCs/>
          <w:color w:val="000000" w:themeColor="text1"/>
          <w:sz w:val="24"/>
          <w:szCs w:val="24"/>
        </w:rPr>
        <w:t>;</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prevedere, in conformità alle definizioni, alla disciplina e alle finalità del regolamento (UE) 518/2019, </w:t>
      </w:r>
      <w:proofErr w:type="gramStart"/>
      <w:r w:rsidRPr="002C1B13">
        <w:rPr>
          <w:rFonts w:asciiTheme="minorHAnsi" w:eastAsia="Times New Roman" w:hAnsiTheme="minorHAnsi" w:cs="Times New Roman"/>
          <w:bCs/>
          <w:color w:val="000000" w:themeColor="text1"/>
          <w:sz w:val="24"/>
          <w:szCs w:val="24"/>
        </w:rPr>
        <w:t>le</w:t>
      </w:r>
      <w:proofErr w:type="gramEnd"/>
      <w:r w:rsidRPr="002C1B13">
        <w:rPr>
          <w:rFonts w:asciiTheme="minorHAnsi" w:eastAsia="Times New Roman" w:hAnsiTheme="minorHAnsi" w:cs="Times New Roman"/>
          <w:bCs/>
          <w:color w:val="000000" w:themeColor="text1"/>
          <w:sz w:val="24"/>
          <w:szCs w:val="24"/>
        </w:rPr>
        <w:t xml:space="preserve"> occorrenti modificazioni e abrogazioni della normativa vigente, anche di derivazione europea, per i settori interessati dalla normativa da attuare, al fine di assicurare la corretta e integrale applicazione del medesimo regolamento e di realizzare il migliore coordinamento con le altre disposizioni vigenti.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18.</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l'adeguamento della normativa nazionale alle disposizioni del titolo III, Quadro di certificazione della cibersicurezza, del regolamento (UE) 2019/881, relativo all'ENISA, l'Agenzia dell'Unione europea per la cibersicurezza, e alla certificazione della cibersicurezza per le tecnologie dell'informazione e della comunicazione e che abroga il regolamento (UE) n. 526/2013 (« regolamento sulla cibersicurezza »</w:t>
      </w:r>
      <w:proofErr w:type="gramStart"/>
      <w:r w:rsidRPr="002C1B13">
        <w:rPr>
          <w:rFonts w:asciiTheme="minorHAnsi" w:eastAsia="Times New Roman" w:hAnsiTheme="minorHAnsi" w:cs="Times New Roman"/>
          <w:bCs/>
          <w:i/>
          <w:color w:val="000000" w:themeColor="text1"/>
          <w:sz w:val="24"/>
          <w:szCs w:val="24"/>
        </w:rPr>
        <w:t>))</w:t>
      </w:r>
      <w:proofErr w:type="gramEnd"/>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Il Governo </w:t>
      </w:r>
      <w:proofErr w:type="gramStart"/>
      <w:r w:rsidRPr="002C1B13">
        <w:rPr>
          <w:rFonts w:asciiTheme="minorHAnsi" w:eastAsia="Times New Roman" w:hAnsiTheme="minorHAnsi" w:cs="Times New Roman"/>
          <w:bCs/>
          <w:color w:val="000000" w:themeColor="text1"/>
          <w:sz w:val="24"/>
          <w:szCs w:val="24"/>
        </w:rPr>
        <w:t>adotta</w:t>
      </w:r>
      <w:proofErr w:type="gramEnd"/>
      <w:r w:rsidRPr="002C1B13">
        <w:rPr>
          <w:rFonts w:asciiTheme="minorHAnsi" w:eastAsia="Times New Roman" w:hAnsiTheme="minorHAnsi" w:cs="Times New Roman"/>
          <w:bCs/>
          <w:color w:val="000000" w:themeColor="text1"/>
          <w:sz w:val="24"/>
          <w:szCs w:val="24"/>
        </w:rPr>
        <w:t>, entro dodici mesi dalla data di entrata in vigore della presente legge, uno o più decreti legislativi per l'adeguamento della normativa nazionale al titolo III del regolamento (UE) 2019/881 del Parlamento europeo e del Consiglio, del 17 aprile 2019.</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2. Nell'esercizio della delega di cui al comma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xml:space="preserve"> il Governo osserva, oltre ai princìpi e criteri direttivi generali di cui all'articolo 32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designare il Ministero dello sviluppo economico quale « autorità competente » ai sensi del paragrafo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xml:space="preserve"> dell'articolo 58 del regolamento (UE) 2019/881;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individuare l'organizzazione e le </w:t>
      </w:r>
      <w:proofErr w:type="gramStart"/>
      <w:r w:rsidRPr="002C1B13">
        <w:rPr>
          <w:rFonts w:asciiTheme="minorHAnsi" w:eastAsia="Times New Roman" w:hAnsiTheme="minorHAnsi" w:cs="Times New Roman"/>
          <w:bCs/>
          <w:color w:val="000000" w:themeColor="text1"/>
          <w:sz w:val="24"/>
          <w:szCs w:val="24"/>
        </w:rPr>
        <w:t>modalità</w:t>
      </w:r>
      <w:proofErr w:type="gramEnd"/>
      <w:r w:rsidRPr="002C1B13">
        <w:rPr>
          <w:rFonts w:asciiTheme="minorHAnsi" w:eastAsia="Times New Roman" w:hAnsiTheme="minorHAnsi" w:cs="Times New Roman"/>
          <w:bCs/>
          <w:color w:val="000000" w:themeColor="text1"/>
          <w:sz w:val="24"/>
          <w:szCs w:val="24"/>
        </w:rPr>
        <w:t xml:space="preserve"> per lo svolgimento dei compiti e l'esercizio dei poteri dell'autorità di cui alla lettera a), attribuiti ai sensi dell'articolo 58 e dell'articolo 56, paragrafi 5 e 6, del regolamento (UE) 2019/881;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definire il sistema delle sanzioni applicabili ai sensi dell'articolo </w:t>
      </w:r>
      <w:proofErr w:type="gramStart"/>
      <w:r w:rsidRPr="002C1B13">
        <w:rPr>
          <w:rFonts w:asciiTheme="minorHAnsi" w:eastAsia="Times New Roman" w:hAnsiTheme="minorHAnsi" w:cs="Times New Roman"/>
          <w:bCs/>
          <w:color w:val="000000" w:themeColor="text1"/>
          <w:sz w:val="24"/>
          <w:szCs w:val="24"/>
        </w:rPr>
        <w:t>65</w:t>
      </w:r>
      <w:proofErr w:type="gramEnd"/>
      <w:r w:rsidRPr="002C1B13">
        <w:rPr>
          <w:rFonts w:asciiTheme="minorHAnsi" w:eastAsia="Times New Roman" w:hAnsiTheme="minorHAnsi" w:cs="Times New Roman"/>
          <w:bCs/>
          <w:color w:val="000000" w:themeColor="text1"/>
          <w:sz w:val="24"/>
          <w:szCs w:val="24"/>
        </w:rPr>
        <w:t xml:space="preserve"> del regolamento (UE) 2019/881, prevedendo che gli introiti derivanti dall'irrogazione delle sanzioni siano versati all'entrata del bilancio dello Stato per essere riassegnati ad apposito capitolo dello stato di previsione del Ministero dello sviluppo economico per finalità di ricerca e formazione in materia di certificazione della cibersicurezza; le sanzioni amministrative pecuniarie non devono essere inferiori nel minimo a 15.000 euro e non devono essere superiori nel massimo a 5.000.000 di euro;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prevedere, in conformità all'articolo </w:t>
      </w:r>
      <w:proofErr w:type="gramStart"/>
      <w:r w:rsidRPr="002C1B13">
        <w:rPr>
          <w:rFonts w:asciiTheme="minorHAnsi" w:eastAsia="Times New Roman" w:hAnsiTheme="minorHAnsi" w:cs="Times New Roman"/>
          <w:bCs/>
          <w:color w:val="000000" w:themeColor="text1"/>
          <w:sz w:val="24"/>
          <w:szCs w:val="24"/>
        </w:rPr>
        <w:t>58</w:t>
      </w:r>
      <w:proofErr w:type="gramEnd"/>
      <w:r w:rsidRPr="002C1B13">
        <w:rPr>
          <w:rFonts w:asciiTheme="minorHAnsi" w:eastAsia="Times New Roman" w:hAnsiTheme="minorHAnsi" w:cs="Times New Roman"/>
          <w:bCs/>
          <w:color w:val="000000" w:themeColor="text1"/>
          <w:sz w:val="24"/>
          <w:szCs w:val="24"/>
        </w:rPr>
        <w:t>, paragrafi 7 e 8, del regolamento (UE) 2019/881, il potere dell'autorità di cui alla lettera a) di revocare i certificati rilasciati ai sensi dell'articolo 56, paragrafi 4 e 5, lettera b), emessi sul territorio nazionale, salvo diverse disposizioni dei singoli sistemi europei di certificazione adottati ai sensi dell'articolo 49 di detto regolamento.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19.</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(Princìpi e criteri direttivi per l'adeguamento della normativa nazionale alle disposizioni del regolamento (UE) 2019/943, sul mercato interno dell'energia elettrica (rifusione), e del regolamento (UE) 2019/941, sulla preparazione ai rischi nel settore dell'energia elettrica e che abroga la direttiva 2005/89/CE</w:t>
      </w:r>
      <w:proofErr w:type="gramStart"/>
      <w:r w:rsidRPr="002C1B13">
        <w:rPr>
          <w:rFonts w:asciiTheme="minorHAnsi" w:eastAsia="Times New Roman" w:hAnsiTheme="minorHAnsi" w:cs="Times New Roman"/>
          <w:bCs/>
          <w:i/>
          <w:color w:val="000000" w:themeColor="text1"/>
          <w:sz w:val="24"/>
          <w:szCs w:val="24"/>
        </w:rPr>
        <w:t>)</w:t>
      </w:r>
      <w:proofErr w:type="gramEnd"/>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Il Governo </w:t>
      </w:r>
      <w:proofErr w:type="gramStart"/>
      <w:r w:rsidRPr="002C1B13">
        <w:rPr>
          <w:rFonts w:asciiTheme="minorHAnsi" w:eastAsia="Times New Roman" w:hAnsiTheme="minorHAnsi" w:cs="Times New Roman"/>
          <w:bCs/>
          <w:color w:val="000000" w:themeColor="text1"/>
          <w:sz w:val="24"/>
          <w:szCs w:val="24"/>
        </w:rPr>
        <w:t>adotta</w:t>
      </w:r>
      <w:proofErr w:type="gramEnd"/>
      <w:r w:rsidRPr="002C1B13">
        <w:rPr>
          <w:rFonts w:asciiTheme="minorHAnsi" w:eastAsia="Times New Roman" w:hAnsiTheme="minorHAnsi" w:cs="Times New Roman"/>
          <w:bCs/>
          <w:color w:val="000000" w:themeColor="text1"/>
          <w:sz w:val="24"/>
          <w:szCs w:val="24"/>
        </w:rPr>
        <w:t>, entro diciotto mesi dalla data di entrata in vigore della presente legge, uno o più decreti legislativi per l'adeguamento della normativa nazionale ai regolamenti (UE) 2019/943 e 2019/941 del Parlamento europeo e del Consiglio, del 5 giugno 2019.</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Nell'esercizio della delega di cui al comma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xml:space="preserve"> il Governo osserva, oltre ai princìpi e criteri direttivi generali di cui all'articolo 32 della legge n. 234 del 2012, anche i seguenti princìpi e criteri direttivi specifici:</w:t>
      </w:r>
    </w:p>
    <w:p w:rsidR="00200CEE" w:rsidRPr="00200CEE" w:rsidRDefault="002C1B13"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 riordinare, coordinare e aggiornare le disposizioni nazionali al fine di adeguarle alle disposizioni del regolamento (UE) 2019/943 e del </w:t>
      </w:r>
      <w:proofErr w:type="gramStart"/>
      <w:r w:rsidRPr="002C1B13">
        <w:rPr>
          <w:rFonts w:asciiTheme="minorHAnsi" w:eastAsia="Times New Roman" w:hAnsiTheme="minorHAnsi" w:cs="Times New Roman"/>
          <w:bCs/>
          <w:color w:val="000000" w:themeColor="text1"/>
          <w:sz w:val="24"/>
          <w:szCs w:val="24"/>
        </w:rPr>
        <w:t>regolamento</w:t>
      </w:r>
      <w:proofErr w:type="gramEnd"/>
      <w:r w:rsidRPr="002C1B13">
        <w:rPr>
          <w:rFonts w:asciiTheme="minorHAnsi" w:eastAsia="Times New Roman" w:hAnsiTheme="minorHAnsi" w:cs="Times New Roman"/>
          <w:bCs/>
          <w:color w:val="000000" w:themeColor="text1"/>
          <w:sz w:val="24"/>
          <w:szCs w:val="24"/>
        </w:rPr>
        <w:t xml:space="preserve"> (UE) 2019/941, con abrogazione espressa delle disposizioni incompatibili</w:t>
      </w:r>
      <w:r w:rsidR="00200CEE" w:rsidRPr="00200CEE">
        <w:rPr>
          <w:rFonts w:asciiTheme="minorHAnsi" w:eastAsia="Times New Roman" w:hAnsiTheme="minorHAnsi" w:cs="Times New Roman"/>
          <w:b/>
          <w:bCs/>
          <w:color w:val="000000" w:themeColor="text1"/>
          <w:sz w:val="24"/>
          <w:szCs w:val="24"/>
        </w:rPr>
        <w:t>, tenendo conto dei seguenti indirizzi specifici:</w:t>
      </w: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1) prevedere l'avvio di un processo per il graduale superamento del Prezzo Unico Nazionale - PUN;</w:t>
      </w:r>
    </w:p>
    <w:p w:rsidR="002C1B13" w:rsidRDefault="00200CEE" w:rsidP="00200CEE">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00CEE">
        <w:rPr>
          <w:rFonts w:asciiTheme="minorHAnsi" w:eastAsia="Times New Roman" w:hAnsiTheme="minorHAnsi" w:cs="Times New Roman"/>
          <w:b/>
          <w:bCs/>
          <w:color w:val="000000" w:themeColor="text1"/>
          <w:sz w:val="24"/>
          <w:szCs w:val="24"/>
        </w:rPr>
        <w:lastRenderedPageBreak/>
        <w:t xml:space="preserve">2) prevedere una semplificazione e una modifica della disciplina del dispacciamento e dei mercati all'ingrosso dell'energia volta a tener conto delle nuove esigenze di flessibilità del sistema e della necessità </w:t>
      </w:r>
      <w:proofErr w:type="gramStart"/>
      <w:r w:rsidRPr="00200CEE">
        <w:rPr>
          <w:rFonts w:asciiTheme="minorHAnsi" w:eastAsia="Times New Roman" w:hAnsiTheme="minorHAnsi" w:cs="Times New Roman"/>
          <w:b/>
          <w:bCs/>
          <w:color w:val="000000" w:themeColor="text1"/>
          <w:sz w:val="24"/>
          <w:szCs w:val="24"/>
        </w:rPr>
        <w:t xml:space="preserve">di </w:t>
      </w:r>
      <w:proofErr w:type="gramEnd"/>
      <w:r w:rsidRPr="00200CEE">
        <w:rPr>
          <w:rFonts w:asciiTheme="minorHAnsi" w:eastAsia="Times New Roman" w:hAnsiTheme="minorHAnsi" w:cs="Times New Roman"/>
          <w:b/>
          <w:bCs/>
          <w:color w:val="000000" w:themeColor="text1"/>
          <w:sz w:val="24"/>
          <w:szCs w:val="24"/>
        </w:rPr>
        <w:t xml:space="preserve">integrazione della generazione distribuita, degli aggregatori, delle fonti rinnovabili non programmabili, dei sistemi di accumulo e della gestione della domanda. A tal fine, è previsto, fra l'altro, il ricorso a contratti di acquisto di energia a prezzo dinamico, l'avvio di sperimentazioni e attività di dispacciamento locale e auto-dispacciamento in sinergia con quanto disposto all'articolo </w:t>
      </w:r>
      <w:proofErr w:type="gramStart"/>
      <w:r w:rsidRPr="00200CEE">
        <w:rPr>
          <w:rFonts w:asciiTheme="minorHAnsi" w:eastAsia="Times New Roman" w:hAnsiTheme="minorHAnsi" w:cs="Times New Roman"/>
          <w:b/>
          <w:bCs/>
          <w:color w:val="000000" w:themeColor="text1"/>
          <w:sz w:val="24"/>
          <w:szCs w:val="24"/>
        </w:rPr>
        <w:t>12</w:t>
      </w:r>
      <w:proofErr w:type="gramEnd"/>
      <w:r w:rsidRPr="00200CEE">
        <w:rPr>
          <w:rFonts w:asciiTheme="minorHAnsi" w:eastAsia="Times New Roman" w:hAnsiTheme="minorHAnsi" w:cs="Times New Roman"/>
          <w:b/>
          <w:bCs/>
          <w:color w:val="000000" w:themeColor="text1"/>
          <w:sz w:val="24"/>
          <w:szCs w:val="24"/>
        </w:rPr>
        <w:t>, comma 1, lettera e), la possibilità di stipulare accordi diretti semplificati fra produttore e consumatore di energia all'interno della medesima zona di mercato</w:t>
      </w:r>
      <w:r>
        <w:rPr>
          <w:rStyle w:val="Rimandonotaapidipagina"/>
          <w:rFonts w:asciiTheme="minorHAnsi" w:eastAsia="Times New Roman" w:hAnsiTheme="minorHAnsi" w:cs="Times New Roman"/>
          <w:b/>
          <w:bCs/>
          <w:color w:val="000000" w:themeColor="text1"/>
          <w:sz w:val="24"/>
          <w:szCs w:val="24"/>
        </w:rPr>
        <w:footnoteReference w:id="93"/>
      </w:r>
      <w:r w:rsidR="002C1B13" w:rsidRPr="002C1B13">
        <w:rPr>
          <w:rFonts w:asciiTheme="minorHAnsi" w:eastAsia="Times New Roman" w:hAnsiTheme="minorHAnsi" w:cs="Times New Roman"/>
          <w:bCs/>
          <w:color w:val="000000" w:themeColor="text1"/>
          <w:sz w:val="24"/>
          <w:szCs w:val="24"/>
        </w:rPr>
        <w:t>;</w:t>
      </w:r>
    </w:p>
    <w:p w:rsid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200CEE">
        <w:rPr>
          <w:rFonts w:asciiTheme="minorHAnsi" w:eastAsia="Times New Roman" w:hAnsiTheme="minorHAnsi" w:cs="Times New Roman"/>
          <w:b/>
          <w:bCs/>
          <w:color w:val="000000" w:themeColor="text1"/>
          <w:sz w:val="24"/>
          <w:szCs w:val="24"/>
        </w:rPr>
        <w:t>a-bis</w:t>
      </w:r>
      <w:proofErr w:type="gramEnd"/>
      <w:r w:rsidRPr="00200CEE">
        <w:rPr>
          <w:rFonts w:asciiTheme="minorHAnsi" w:eastAsia="Times New Roman" w:hAnsiTheme="minorHAnsi" w:cs="Times New Roman"/>
          <w:b/>
          <w:bCs/>
          <w:color w:val="000000" w:themeColor="text1"/>
          <w:sz w:val="24"/>
          <w:szCs w:val="24"/>
        </w:rPr>
        <w:t xml:space="preserve">) nell'opera di riordino di cui alla lettera a), attribuire all'Autorità di regolazione per energia, reti e ambiente le competenze in materia di esenzione dell'accesso ai terzi per gli interconnector ai sensi di quanto disposto dall'articolo 63, par. </w:t>
      </w:r>
      <w:proofErr w:type="gramStart"/>
      <w:r w:rsidRPr="00200CEE">
        <w:rPr>
          <w:rFonts w:asciiTheme="minorHAnsi" w:eastAsia="Times New Roman" w:hAnsiTheme="minorHAnsi" w:cs="Times New Roman"/>
          <w:b/>
          <w:bCs/>
          <w:color w:val="000000" w:themeColor="text1"/>
          <w:sz w:val="24"/>
          <w:szCs w:val="24"/>
        </w:rPr>
        <w:t>4,</w:t>
      </w:r>
      <w:proofErr w:type="gramEnd"/>
      <w:r w:rsidRPr="00200CEE">
        <w:rPr>
          <w:rFonts w:asciiTheme="minorHAnsi" w:eastAsia="Times New Roman" w:hAnsiTheme="minorHAnsi" w:cs="Times New Roman"/>
          <w:b/>
          <w:bCs/>
          <w:color w:val="000000" w:themeColor="text1"/>
          <w:sz w:val="24"/>
          <w:szCs w:val="24"/>
        </w:rPr>
        <w:t xml:space="preserve"> della direttiva (UE) 2019/943, al fine di semplificare la gestione delle procedure di richiesta di esenzione;</w:t>
      </w:r>
      <w:r>
        <w:rPr>
          <w:rStyle w:val="Rimandonotaapidipagina"/>
          <w:rFonts w:asciiTheme="minorHAnsi" w:eastAsia="Times New Roman" w:hAnsiTheme="minorHAnsi" w:cs="Times New Roman"/>
          <w:b/>
          <w:bCs/>
          <w:color w:val="000000" w:themeColor="text1"/>
          <w:sz w:val="24"/>
          <w:szCs w:val="24"/>
        </w:rPr>
        <w:footnoteReference w:id="94"/>
      </w: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roofErr w:type="gramStart"/>
      <w:r w:rsidRPr="00200CEE">
        <w:rPr>
          <w:rFonts w:asciiTheme="minorHAnsi" w:eastAsia="Times New Roman" w:hAnsiTheme="minorHAnsi" w:cs="Times New Roman"/>
          <w:b/>
          <w:bCs/>
          <w:color w:val="000000" w:themeColor="text1"/>
          <w:sz w:val="24"/>
          <w:szCs w:val="24"/>
        </w:rPr>
        <w:t>a-bis</w:t>
      </w:r>
      <w:proofErr w:type="gramEnd"/>
      <w:r w:rsidRPr="00200CEE">
        <w:rPr>
          <w:rFonts w:asciiTheme="minorHAnsi" w:eastAsia="Times New Roman" w:hAnsiTheme="minorHAnsi" w:cs="Times New Roman"/>
          <w:b/>
          <w:bCs/>
          <w:color w:val="000000" w:themeColor="text1"/>
          <w:sz w:val="24"/>
          <w:szCs w:val="24"/>
        </w:rPr>
        <w:t>) in materia di ricorso al ridispacciamento della generazione, allo stoccaggio dell'energia e alla gestione della domanda non basati sul mercato di cui all'articolo 13, paragrafo 3, del Regolamento (UE) 2019/943, conferire all'Autorità di regolazione per energia, reti e ambiente le competenze finalizzate alla deroga all'obbligo di ridispacciare gli impianti di generazione;</w:t>
      </w:r>
      <w:r>
        <w:rPr>
          <w:rStyle w:val="Rimandonotaapidipagina"/>
          <w:rFonts w:asciiTheme="minorHAnsi" w:eastAsia="Times New Roman" w:hAnsiTheme="minorHAnsi" w:cs="Times New Roman"/>
          <w:b/>
          <w:bCs/>
          <w:color w:val="000000" w:themeColor="text1"/>
          <w:sz w:val="24"/>
          <w:szCs w:val="24"/>
        </w:rPr>
        <w:footnoteReference w:id="95"/>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b) stabilire, in caso di mancato rispetto degli obblighi previsti dal regolamento (UE) 2019/943, l'irrogazione da parte dell'Autorità di regolazione per energia, reti e ambiente di sanzioni amministrative pecuniarie effettive, proporzionate e dissuasive.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Art. 20.</w:t>
      </w:r>
    </w:p>
    <w:p w:rsidR="002C1B13" w:rsidRPr="002C1B13" w:rsidRDefault="002C1B13" w:rsidP="002C1B13">
      <w:pPr>
        <w:shd w:val="clear" w:color="auto" w:fill="FFFFFF"/>
        <w:tabs>
          <w:tab w:val="left" w:pos="993"/>
        </w:tabs>
        <w:spacing w:after="120" w:line="240" w:lineRule="auto"/>
        <w:jc w:val="center"/>
        <w:rPr>
          <w:rFonts w:asciiTheme="minorHAnsi" w:eastAsia="Times New Roman" w:hAnsiTheme="minorHAnsi" w:cs="Times New Roman"/>
          <w:bCs/>
          <w:i/>
          <w:color w:val="000000" w:themeColor="text1"/>
          <w:sz w:val="24"/>
          <w:szCs w:val="24"/>
        </w:rPr>
      </w:pPr>
      <w:r w:rsidRPr="002C1B13">
        <w:rPr>
          <w:rFonts w:asciiTheme="minorHAnsi" w:eastAsia="Times New Roman" w:hAnsiTheme="minorHAnsi" w:cs="Times New Roman"/>
          <w:bCs/>
          <w:i/>
          <w:color w:val="000000" w:themeColor="text1"/>
          <w:sz w:val="24"/>
          <w:szCs w:val="24"/>
        </w:rPr>
        <w:t xml:space="preserve">(Princìpi e criteri direttivi per l'adeguamento della normativa nazionale alle disposizioni del regolamento (UE) 2019/1238, sul prodotto </w:t>
      </w:r>
      <w:proofErr w:type="gramStart"/>
      <w:r w:rsidRPr="002C1B13">
        <w:rPr>
          <w:rFonts w:asciiTheme="minorHAnsi" w:eastAsia="Times New Roman" w:hAnsiTheme="minorHAnsi" w:cs="Times New Roman"/>
          <w:bCs/>
          <w:i/>
          <w:color w:val="000000" w:themeColor="text1"/>
          <w:sz w:val="24"/>
          <w:szCs w:val="24"/>
        </w:rPr>
        <w:t>pensionistico</w:t>
      </w:r>
      <w:proofErr w:type="gramEnd"/>
      <w:r w:rsidRPr="002C1B13">
        <w:rPr>
          <w:rFonts w:asciiTheme="minorHAnsi" w:eastAsia="Times New Roman" w:hAnsiTheme="minorHAnsi" w:cs="Times New Roman"/>
          <w:bCs/>
          <w:i/>
          <w:color w:val="000000" w:themeColor="text1"/>
          <w:sz w:val="24"/>
          <w:szCs w:val="24"/>
        </w:rPr>
        <w:t xml:space="preserve"> individuale paneuropeo (PEPP))</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 Il Governo </w:t>
      </w:r>
      <w:proofErr w:type="gramStart"/>
      <w:r w:rsidRPr="002C1B13">
        <w:rPr>
          <w:rFonts w:asciiTheme="minorHAnsi" w:eastAsia="Times New Roman" w:hAnsiTheme="minorHAnsi" w:cs="Times New Roman"/>
          <w:bCs/>
          <w:color w:val="000000" w:themeColor="text1"/>
          <w:sz w:val="24"/>
          <w:szCs w:val="24"/>
        </w:rPr>
        <w:t>adotta</w:t>
      </w:r>
      <w:proofErr w:type="gramEnd"/>
      <w:r w:rsidRPr="002C1B13">
        <w:rPr>
          <w:rFonts w:asciiTheme="minorHAnsi" w:eastAsia="Times New Roman" w:hAnsiTheme="minorHAnsi" w:cs="Times New Roman"/>
          <w:bCs/>
          <w:color w:val="000000" w:themeColor="text1"/>
          <w:sz w:val="24"/>
          <w:szCs w:val="24"/>
        </w:rPr>
        <w:t>, entro dodici mesi dalla data di entrata in vigore della presente legge, uno o più decreti legislativi per l'adeguamento della normativa nazionale alle disposizioni del regolamento (UE) 2019/1238 del Parlamento europeo e del Consiglio, del 20 giugno 2019.</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Nell'esercizio della delega di cui al comma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xml:space="preserve"> il Governo osserva, oltre ai princìpi e criteri direttivi generali di cui all'articolo 32 della legge n. 234 del 2012, anche i seguenti princìpi e criteri direttivi specifici: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a) individuare e designare la Commissione di vigilanza sui fondi pensione (COVIP) come autorità competente per le procedure di registrazione e di </w:t>
      </w:r>
      <w:r w:rsidRPr="00200CEE">
        <w:rPr>
          <w:rFonts w:asciiTheme="minorHAnsi" w:eastAsia="Times New Roman" w:hAnsiTheme="minorHAnsi" w:cs="Times New Roman"/>
          <w:bCs/>
          <w:strike/>
          <w:color w:val="000000" w:themeColor="text1"/>
          <w:sz w:val="24"/>
          <w:szCs w:val="24"/>
          <w:highlight w:val="yellow"/>
        </w:rPr>
        <w:t>cancellazione</w:t>
      </w:r>
      <w:r w:rsidR="00200CEE">
        <w:rPr>
          <w:rFonts w:asciiTheme="minorHAnsi" w:eastAsia="Times New Roman" w:hAnsiTheme="minorHAnsi" w:cs="Times New Roman"/>
          <w:bCs/>
          <w:color w:val="000000" w:themeColor="text1"/>
          <w:sz w:val="24"/>
          <w:szCs w:val="24"/>
        </w:rPr>
        <w:t xml:space="preserve"> </w:t>
      </w:r>
      <w:r w:rsidR="00200CEE" w:rsidRPr="00200CEE">
        <w:rPr>
          <w:rFonts w:asciiTheme="minorHAnsi" w:eastAsia="Times New Roman" w:hAnsiTheme="minorHAnsi" w:cs="Times New Roman"/>
          <w:b/>
          <w:bCs/>
          <w:color w:val="000000" w:themeColor="text1"/>
          <w:sz w:val="24"/>
          <w:szCs w:val="24"/>
        </w:rPr>
        <w:t>annullamento della registrazione</w:t>
      </w:r>
      <w:r w:rsidR="00200CEE">
        <w:rPr>
          <w:rFonts w:asciiTheme="minorHAnsi" w:eastAsia="Times New Roman" w:hAnsiTheme="minorHAnsi" w:cs="Times New Roman"/>
          <w:bCs/>
          <w:color w:val="000000" w:themeColor="text1"/>
          <w:sz w:val="24"/>
          <w:szCs w:val="24"/>
        </w:rPr>
        <w:t>,</w:t>
      </w:r>
      <w:proofErr w:type="gramStart"/>
      <w:r w:rsidRPr="002C1B13">
        <w:rPr>
          <w:rFonts w:asciiTheme="minorHAnsi" w:eastAsia="Times New Roman" w:hAnsiTheme="minorHAnsi" w:cs="Times New Roman"/>
          <w:bCs/>
          <w:color w:val="000000" w:themeColor="text1"/>
          <w:sz w:val="24"/>
          <w:szCs w:val="24"/>
        </w:rPr>
        <w:t xml:space="preserve"> </w:t>
      </w:r>
      <w:r w:rsidR="00200CEE">
        <w:rPr>
          <w:rStyle w:val="Rimandonotaapidipagina"/>
          <w:rFonts w:asciiTheme="minorHAnsi" w:eastAsia="Times New Roman" w:hAnsiTheme="minorHAnsi" w:cs="Times New Roman"/>
          <w:bCs/>
          <w:color w:val="000000" w:themeColor="text1"/>
          <w:sz w:val="24"/>
          <w:szCs w:val="24"/>
        </w:rPr>
        <w:footnoteReference w:id="96"/>
      </w:r>
      <w:proofErr w:type="gramEnd"/>
      <w:r w:rsidRPr="002C1B13">
        <w:rPr>
          <w:rFonts w:asciiTheme="minorHAnsi" w:eastAsia="Times New Roman" w:hAnsiTheme="minorHAnsi" w:cs="Times New Roman"/>
          <w:bCs/>
          <w:color w:val="000000" w:themeColor="text1"/>
          <w:sz w:val="24"/>
          <w:szCs w:val="24"/>
        </w:rPr>
        <w:t>nonché come unico soggetto deputato allo scambio di informazioni con le autorità competenti degli Stati membri e di comunicazioni con l'Autorità europea delle assicurazioni e delle pensioni aziendali e professionali (EIOPA); individuare e designare le autorità nazionali competenti, ai fini dello svolgimento delle altre attività di vigilanza previste dal medesimo regolamento, tra cui la vigilanza sull'adozione e la corretta attuazione delle procedure in materia di governo e di controllo del prodotto in coerenza con il generale assetto e il riparto di competenze previsti, a livello nazionale, tra la COVIP, la Banca d'Italia, la CONSOB e l'Istituto per la vigilanza sulle assicurazioni (IVASS), con particolare riguardo alle competenze previste in materia di autorizzazione alla costituzione delle forme pensionistiche individuali e vigilanza sulle stesse, anche prevedendo forme di coordinamento e di intesa tra le anzidette autorità;</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b) attribuire alle autorità designate ai sensi della lettera a) i poteri previsti dal regolamento (UE) 2019/1238, ivi inclusi i poteri di vigilanza e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indagine e quelli di intervento sul prodotto rispettivamente previsti dagli articoli 62 e 63 del medesimo regolamento, in coerenza con quanto disposto in forza della lettera 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c) individuare nella COVIP l'autorità nazionale competente a </w:t>
      </w:r>
      <w:proofErr w:type="gramStart"/>
      <w:r w:rsidRPr="002C1B13">
        <w:rPr>
          <w:rFonts w:asciiTheme="minorHAnsi" w:eastAsia="Times New Roman" w:hAnsiTheme="minorHAnsi" w:cs="Times New Roman"/>
          <w:bCs/>
          <w:color w:val="000000" w:themeColor="text1"/>
          <w:sz w:val="24"/>
          <w:szCs w:val="24"/>
        </w:rPr>
        <w:t>effettuare</w:t>
      </w:r>
      <w:proofErr w:type="gramEnd"/>
      <w:r w:rsidRPr="002C1B13">
        <w:rPr>
          <w:rFonts w:asciiTheme="minorHAnsi" w:eastAsia="Times New Roman" w:hAnsiTheme="minorHAnsi" w:cs="Times New Roman"/>
          <w:bCs/>
          <w:color w:val="000000" w:themeColor="text1"/>
          <w:sz w:val="24"/>
          <w:szCs w:val="24"/>
        </w:rPr>
        <w:t xml:space="preserve"> la pubblicazione sul proprio sito internet delle disposizioni nazionali, primarie e secondarie, di cui all'articolo 12, paragrafo 1, del regolamento (UE) 2019/1238, prevedendo che la Banca d'Italia, la CONSOB e l'IVASS garantiscano un collegamento diretto dai propri siti internet a tale pubblicazione;</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d) definire per i prodotti </w:t>
      </w:r>
      <w:proofErr w:type="gramStart"/>
      <w:r w:rsidRPr="002C1B13">
        <w:rPr>
          <w:rFonts w:asciiTheme="minorHAnsi" w:eastAsia="Times New Roman" w:hAnsiTheme="minorHAnsi" w:cs="Times New Roman"/>
          <w:bCs/>
          <w:color w:val="000000" w:themeColor="text1"/>
          <w:sz w:val="24"/>
          <w:szCs w:val="24"/>
        </w:rPr>
        <w:t>pensionistici</w:t>
      </w:r>
      <w:proofErr w:type="gramEnd"/>
      <w:r w:rsidRPr="002C1B13">
        <w:rPr>
          <w:rFonts w:asciiTheme="minorHAnsi" w:eastAsia="Times New Roman" w:hAnsiTheme="minorHAnsi" w:cs="Times New Roman"/>
          <w:bCs/>
          <w:color w:val="000000" w:themeColor="text1"/>
          <w:sz w:val="24"/>
          <w:szCs w:val="24"/>
        </w:rPr>
        <w:t xml:space="preserve"> individuali paneuropei (PEPP) un trattamento fiscale analogo a quello previsto per le forme pensionistiche complementari di cui al decreto legislativo 5 dicembre 2005, n. 252, anche prevedendo l'obbligo della sussistenza di requisiti che garantiscano al risparmiatore in PEPP un livello di tutela almeno analogo a quello derivante dalla sottoscrizione di forme pensionistiche complementari già esistenti;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e) esercitare l'</w:t>
      </w:r>
      <w:proofErr w:type="gramStart"/>
      <w:r w:rsidRPr="002C1B13">
        <w:rPr>
          <w:rFonts w:asciiTheme="minorHAnsi" w:eastAsia="Times New Roman" w:hAnsiTheme="minorHAnsi" w:cs="Times New Roman"/>
          <w:bCs/>
          <w:color w:val="000000" w:themeColor="text1"/>
          <w:sz w:val="24"/>
          <w:szCs w:val="24"/>
        </w:rPr>
        <w:t>opzione</w:t>
      </w:r>
      <w:proofErr w:type="gramEnd"/>
      <w:r w:rsidRPr="002C1B13">
        <w:rPr>
          <w:rFonts w:asciiTheme="minorHAnsi" w:eastAsia="Times New Roman" w:hAnsiTheme="minorHAnsi" w:cs="Times New Roman"/>
          <w:bCs/>
          <w:color w:val="000000" w:themeColor="text1"/>
          <w:sz w:val="24"/>
          <w:szCs w:val="24"/>
        </w:rPr>
        <w:t xml:space="preserve"> di cui all'articolo 37, paragrafo 3, del regolamento (UE) 2019/1238, che consente di imporre ai fornitori di PEPP di fornire, ai risparmiatori in PEPP, proiezioni pensionistiche aggiuntive rispetto a quelle previste dal regolamento (UE) 2019/1238, basate su ipotesi fissate a livello nazionale in modo da permettere la confrontabilità con i prodotti nazionali;</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f) esercitare, in coerenza con la vigente disciplina delle forme </w:t>
      </w:r>
      <w:proofErr w:type="gramStart"/>
      <w:r w:rsidRPr="002C1B13">
        <w:rPr>
          <w:rFonts w:asciiTheme="minorHAnsi" w:eastAsia="Times New Roman" w:hAnsiTheme="minorHAnsi" w:cs="Times New Roman"/>
          <w:bCs/>
          <w:color w:val="000000" w:themeColor="text1"/>
          <w:sz w:val="24"/>
          <w:szCs w:val="24"/>
        </w:rPr>
        <w:t>pensionistiche</w:t>
      </w:r>
      <w:proofErr w:type="gramEnd"/>
      <w:r w:rsidRPr="002C1B13">
        <w:rPr>
          <w:rFonts w:asciiTheme="minorHAnsi" w:eastAsia="Times New Roman" w:hAnsiTheme="minorHAnsi" w:cs="Times New Roman"/>
          <w:bCs/>
          <w:color w:val="000000" w:themeColor="text1"/>
          <w:sz w:val="24"/>
          <w:szCs w:val="24"/>
        </w:rPr>
        <w:t xml:space="preserve"> complementari di cui decreto legislativo n. 252 del 2005, l'opzione di cui all'articolo 47, paragrafo 1, del regolamento (UE) 2019/1238, che consente di determinare le condizioni relative alla fase di accumulo del sottoconto nazionale del PEPP;</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g) esercitare l'</w:t>
      </w:r>
      <w:proofErr w:type="gramStart"/>
      <w:r w:rsidRPr="002C1B13">
        <w:rPr>
          <w:rFonts w:asciiTheme="minorHAnsi" w:eastAsia="Times New Roman" w:hAnsiTheme="minorHAnsi" w:cs="Times New Roman"/>
          <w:bCs/>
          <w:color w:val="000000" w:themeColor="text1"/>
          <w:sz w:val="24"/>
          <w:szCs w:val="24"/>
        </w:rPr>
        <w:t>opzione</w:t>
      </w:r>
      <w:proofErr w:type="gramEnd"/>
      <w:r w:rsidRPr="002C1B13">
        <w:rPr>
          <w:rFonts w:asciiTheme="minorHAnsi" w:eastAsia="Times New Roman" w:hAnsiTheme="minorHAnsi" w:cs="Times New Roman"/>
          <w:bCs/>
          <w:color w:val="000000" w:themeColor="text1"/>
          <w:sz w:val="24"/>
          <w:szCs w:val="24"/>
        </w:rPr>
        <w:t xml:space="preserve"> di cui all'articolo 53, paragrafo 2, del regolamento (UE) 2019/1238, che consente di prevedere che la richiesta di trasferimento del risparmiatore in PEPP sia presentata in forma scritta e che questi abbia anche il diritto di ricevere comunicazione, in forma scritta, da parte del fornitore di PEPP, dell'accoglimento della stessa;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h) esercitare l'</w:t>
      </w:r>
      <w:proofErr w:type="gramStart"/>
      <w:r w:rsidRPr="002C1B13">
        <w:rPr>
          <w:rFonts w:asciiTheme="minorHAnsi" w:eastAsia="Times New Roman" w:hAnsiTheme="minorHAnsi" w:cs="Times New Roman"/>
          <w:bCs/>
          <w:color w:val="000000" w:themeColor="text1"/>
          <w:sz w:val="24"/>
          <w:szCs w:val="24"/>
        </w:rPr>
        <w:t>opzione</w:t>
      </w:r>
      <w:proofErr w:type="gramEnd"/>
      <w:r w:rsidRPr="002C1B13">
        <w:rPr>
          <w:rFonts w:asciiTheme="minorHAnsi" w:eastAsia="Times New Roman" w:hAnsiTheme="minorHAnsi" w:cs="Times New Roman"/>
          <w:bCs/>
          <w:color w:val="000000" w:themeColor="text1"/>
          <w:sz w:val="24"/>
          <w:szCs w:val="24"/>
        </w:rPr>
        <w:t xml:space="preserve"> di cui all'articolo 54, paragrafo 3, del regolamento (UE) 2019/1238, che, nel caso di richiesta di trasferimento del risparmiatore in PEPP, consente di fissare le commissioni e gli oneri addebitati al risparmiatore in PEPP dal fornitore di PEPP trasferente, per la chiusura del conto PEPP detenuto presso di esso, ad un limite inferiore rispetto a quello previsto nella medesima disposizione, ovvero un limite diverso nel caso in cui il fornitore di PEPP consenta ai risparmiatori in PEPP di effettuare il trasferimento presso altro fornitore di PEPP con una frequenza maggiore di quella prevista dall'articolo 52, paragrafo 3, dello stesso regolamento;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i) esercitare, in coerenza con la vigente disciplina delle forme </w:t>
      </w:r>
      <w:proofErr w:type="gramStart"/>
      <w:r w:rsidRPr="002C1B13">
        <w:rPr>
          <w:rFonts w:asciiTheme="minorHAnsi" w:eastAsia="Times New Roman" w:hAnsiTheme="minorHAnsi" w:cs="Times New Roman"/>
          <w:bCs/>
          <w:color w:val="000000" w:themeColor="text1"/>
          <w:sz w:val="24"/>
          <w:szCs w:val="24"/>
        </w:rPr>
        <w:t>pensionistiche</w:t>
      </w:r>
      <w:proofErr w:type="gramEnd"/>
      <w:r w:rsidRPr="002C1B13">
        <w:rPr>
          <w:rFonts w:asciiTheme="minorHAnsi" w:eastAsia="Times New Roman" w:hAnsiTheme="minorHAnsi" w:cs="Times New Roman"/>
          <w:bCs/>
          <w:color w:val="000000" w:themeColor="text1"/>
          <w:sz w:val="24"/>
          <w:szCs w:val="24"/>
        </w:rPr>
        <w:t xml:space="preserve"> complementari di cui al decreto legislativo n. 252 del 2005, l'opzione di cui all'articolo 57, paragrafo 1, del regolamento (UE) 2019/1238, che consente di fissare le condizioni riguardanti la fase di decumulo e le erogazioni del sottoconto nazionale, ivi incluse le condizioni del rimborso prima dell'inizio della fase di decumulo;</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l) esercitare l'</w:t>
      </w:r>
      <w:proofErr w:type="gramStart"/>
      <w:r w:rsidRPr="002C1B13">
        <w:rPr>
          <w:rFonts w:asciiTheme="minorHAnsi" w:eastAsia="Times New Roman" w:hAnsiTheme="minorHAnsi" w:cs="Times New Roman"/>
          <w:bCs/>
          <w:color w:val="000000" w:themeColor="text1"/>
          <w:sz w:val="24"/>
          <w:szCs w:val="24"/>
        </w:rPr>
        <w:t>opzione</w:t>
      </w:r>
      <w:proofErr w:type="gramEnd"/>
      <w:r w:rsidRPr="002C1B13">
        <w:rPr>
          <w:rFonts w:asciiTheme="minorHAnsi" w:eastAsia="Times New Roman" w:hAnsiTheme="minorHAnsi" w:cs="Times New Roman"/>
          <w:bCs/>
          <w:color w:val="000000" w:themeColor="text1"/>
          <w:sz w:val="24"/>
          <w:szCs w:val="24"/>
        </w:rPr>
        <w:t xml:space="preserve"> di cui all'articolo 58, paragrafo 3, del regolamento (UE) n. 2019/1238, che consente di adottare misure volte a privilegiare la rendita vitalizia quale forma di erogazione della prestazione, coordinando e collegando tali misure alla definizione del trattamento fiscale di cui alla lettera d);</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m) esercitare l'</w:t>
      </w:r>
      <w:proofErr w:type="gramStart"/>
      <w:r w:rsidRPr="002C1B13">
        <w:rPr>
          <w:rFonts w:asciiTheme="minorHAnsi" w:eastAsia="Times New Roman" w:hAnsiTheme="minorHAnsi" w:cs="Times New Roman"/>
          <w:bCs/>
          <w:color w:val="000000" w:themeColor="text1"/>
          <w:sz w:val="24"/>
          <w:szCs w:val="24"/>
        </w:rPr>
        <w:t>opzione</w:t>
      </w:r>
      <w:proofErr w:type="gramEnd"/>
      <w:r w:rsidRPr="002C1B13">
        <w:rPr>
          <w:rFonts w:asciiTheme="minorHAnsi" w:eastAsia="Times New Roman" w:hAnsiTheme="minorHAnsi" w:cs="Times New Roman"/>
          <w:bCs/>
          <w:color w:val="000000" w:themeColor="text1"/>
          <w:sz w:val="24"/>
          <w:szCs w:val="24"/>
        </w:rPr>
        <w:t xml:space="preserve"> di cui all'articolo 58, paragrafo 4, del regolamento (UE) 2019/1238, che consente di specificare le condizioni che devono sussistere affinché lo Stato possa esigere il rimborso dei vantaggi e degli incentivi concessi ai risparmiatori in PEPP ai sensi della lettera c);</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n) attribuire alle autorità designate ai sensi della lettera a) il potere di imporre le sanzioni e le altre misure amministrative previste dall'articolo </w:t>
      </w:r>
      <w:proofErr w:type="gramStart"/>
      <w:r w:rsidRPr="002C1B13">
        <w:rPr>
          <w:rFonts w:asciiTheme="minorHAnsi" w:eastAsia="Times New Roman" w:hAnsiTheme="minorHAnsi" w:cs="Times New Roman"/>
          <w:bCs/>
          <w:color w:val="000000" w:themeColor="text1"/>
          <w:sz w:val="24"/>
          <w:szCs w:val="24"/>
        </w:rPr>
        <w:t>67</w:t>
      </w:r>
      <w:proofErr w:type="gramEnd"/>
      <w:r w:rsidRPr="002C1B13">
        <w:rPr>
          <w:rFonts w:asciiTheme="minorHAnsi" w:eastAsia="Times New Roman" w:hAnsiTheme="minorHAnsi" w:cs="Times New Roman"/>
          <w:bCs/>
          <w:color w:val="000000" w:themeColor="text1"/>
          <w:sz w:val="24"/>
          <w:szCs w:val="24"/>
        </w:rPr>
        <w:t>, paragrafo 3, del regolamento (UE) 2019/1238 per le violazioni previste dal paragrafo 2 del medesimo articolo 67 e per le violazioni di ulteriori obblighi previsti dal regolamento medesimo, nel rispetto dei previsti criteri e dei limiti, nonché delle procedure previste dalle disposizioni nazionali vigenti che disciplinano l'esercizio del potere sanzionatorio da parte delle autorità anzidette, avuto riguardo alla ripartizione di competenze secondo i princìpi indicati nella lettera a); le sanzioni amministrative pecuniarie devono essere non inferiori nel minimo a 500 euro e non superiori nel massimo a quanto previsto dall'articolo 67, paragrafo 3, del regolamento (UE) 2019/1238;</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o) prevedere che, per stabilire il tipo e il livello delle sanzioni e delle altre misure amministrative previste dall'articolo </w:t>
      </w:r>
      <w:proofErr w:type="gramStart"/>
      <w:r w:rsidRPr="002C1B13">
        <w:rPr>
          <w:rFonts w:asciiTheme="minorHAnsi" w:eastAsia="Times New Roman" w:hAnsiTheme="minorHAnsi" w:cs="Times New Roman"/>
          <w:bCs/>
          <w:color w:val="000000" w:themeColor="text1"/>
          <w:sz w:val="24"/>
          <w:szCs w:val="24"/>
        </w:rPr>
        <w:t>67</w:t>
      </w:r>
      <w:proofErr w:type="gramEnd"/>
      <w:r w:rsidRPr="002C1B13">
        <w:rPr>
          <w:rFonts w:asciiTheme="minorHAnsi" w:eastAsia="Times New Roman" w:hAnsiTheme="minorHAnsi" w:cs="Times New Roman"/>
          <w:bCs/>
          <w:color w:val="000000" w:themeColor="text1"/>
          <w:sz w:val="24"/>
          <w:szCs w:val="24"/>
        </w:rPr>
        <w:t>, paragrafo 3, del regolamento (UE) 2019/1238, si tenga conto delle circostanze pertinenti elencate dall'articolo 68, paragrafo 2, del medesimo regolamento e prevedere la pubblicazione delle decisioni che impongono sanzioni o altre misure amministrative nei limiti e secondo le previsioni dell'articolo 69 del medesimo regolamento (UE) 2019/1238;</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p) apportare alla normativa vigente tutte le modifiche e le integrazioni necessarie a dare adeguamento alle disposizioni del regolamento (UE) 2019/1238 e alle inerenti norme tecniche di </w:t>
      </w:r>
      <w:proofErr w:type="gramStart"/>
      <w:r w:rsidRPr="002C1B13">
        <w:rPr>
          <w:rFonts w:asciiTheme="minorHAnsi" w:eastAsia="Times New Roman" w:hAnsiTheme="minorHAnsi" w:cs="Times New Roman"/>
          <w:bCs/>
          <w:color w:val="000000" w:themeColor="text1"/>
          <w:sz w:val="24"/>
          <w:szCs w:val="24"/>
        </w:rPr>
        <w:t>regolamentazione</w:t>
      </w:r>
      <w:proofErr w:type="gramEnd"/>
      <w:r w:rsidRPr="002C1B13">
        <w:rPr>
          <w:rFonts w:asciiTheme="minorHAnsi" w:eastAsia="Times New Roman" w:hAnsiTheme="minorHAnsi" w:cs="Times New Roman"/>
          <w:bCs/>
          <w:color w:val="000000" w:themeColor="text1"/>
          <w:sz w:val="24"/>
          <w:szCs w:val="24"/>
        </w:rPr>
        <w:t xml:space="preserve"> e di attuazione della Commissione europea previste dal medesimo regolamento;</w:t>
      </w: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q) prevedere forme di coordinamento e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intesa tra le autorità di cui alla lettera a), al fine di dare esecuzione alle disposizioni emanate in forza del presente articolo.</w:t>
      </w:r>
    </w:p>
    <w:p w:rsidR="00A410E7" w:rsidRPr="00FC07A5" w:rsidRDefault="00A410E7" w:rsidP="00A410E7">
      <w:pPr>
        <w:jc w:val="center"/>
        <w:rPr>
          <w:b/>
          <w:bCs/>
          <w:color w:val="000000" w:themeColor="text1"/>
          <w:sz w:val="24"/>
          <w:szCs w:val="24"/>
        </w:rPr>
      </w:pPr>
      <w:r w:rsidRPr="00FC07A5">
        <w:rPr>
          <w:b/>
          <w:bCs/>
          <w:color w:val="000000" w:themeColor="text1"/>
          <w:sz w:val="24"/>
          <w:szCs w:val="24"/>
        </w:rPr>
        <w:lastRenderedPageBreak/>
        <w:t>Art. 20-bis.</w:t>
      </w:r>
    </w:p>
    <w:p w:rsidR="00A410E7" w:rsidRPr="00FC07A5" w:rsidRDefault="00A410E7" w:rsidP="00A410E7">
      <w:pPr>
        <w:jc w:val="center"/>
        <w:rPr>
          <w:b/>
          <w:bCs/>
          <w:color w:val="000000" w:themeColor="text1"/>
          <w:sz w:val="24"/>
          <w:szCs w:val="24"/>
        </w:rPr>
      </w:pPr>
    </w:p>
    <w:p w:rsidR="00A410E7" w:rsidRPr="00FC07A5" w:rsidRDefault="00A410E7" w:rsidP="00A410E7">
      <w:pPr>
        <w:jc w:val="center"/>
        <w:rPr>
          <w:b/>
          <w:bCs/>
          <w:color w:val="000000" w:themeColor="text1"/>
          <w:sz w:val="24"/>
          <w:szCs w:val="24"/>
        </w:rPr>
      </w:pPr>
      <w:r w:rsidRPr="00FC07A5">
        <w:rPr>
          <w:b/>
          <w:bCs/>
          <w:color w:val="000000" w:themeColor="text1"/>
          <w:sz w:val="24"/>
          <w:szCs w:val="24"/>
        </w:rPr>
        <w:t>(Princìpi e criteri direttivi per l'attuazione della direttiva (UE) 2019/1937 del Parlamento europeo e del Consiglio, del 23 ottobre 2019, riguardante la protezione delle persone che segnalano violazioni del diritto dell'Unione</w:t>
      </w:r>
      <w:proofErr w:type="gramStart"/>
      <w:r w:rsidRPr="00FC07A5">
        <w:rPr>
          <w:b/>
          <w:bCs/>
          <w:color w:val="000000" w:themeColor="text1"/>
          <w:sz w:val="24"/>
          <w:szCs w:val="24"/>
        </w:rPr>
        <w:t>)</w:t>
      </w:r>
      <w:proofErr w:type="gramEnd"/>
    </w:p>
    <w:p w:rsidR="00A410E7" w:rsidRPr="00FC07A5" w:rsidRDefault="00A410E7" w:rsidP="00A410E7">
      <w:pPr>
        <w:jc w:val="center"/>
        <w:rPr>
          <w:b/>
          <w:bCs/>
          <w:color w:val="000000" w:themeColor="text1"/>
          <w:sz w:val="24"/>
          <w:szCs w:val="24"/>
        </w:rPr>
      </w:pPr>
    </w:p>
    <w:p w:rsidR="00A410E7" w:rsidRPr="00FC07A5" w:rsidRDefault="00A410E7" w:rsidP="00A410E7">
      <w:pPr>
        <w:jc w:val="both"/>
        <w:rPr>
          <w:b/>
          <w:bCs/>
          <w:color w:val="000000" w:themeColor="text1"/>
          <w:sz w:val="24"/>
          <w:szCs w:val="24"/>
        </w:rPr>
      </w:pPr>
      <w:r w:rsidRPr="00FC07A5">
        <w:rPr>
          <w:b/>
          <w:bCs/>
          <w:color w:val="000000" w:themeColor="text1"/>
          <w:sz w:val="24"/>
          <w:szCs w:val="24"/>
        </w:rPr>
        <w:t xml:space="preserve">        1. Nell'esercizio della delega per l'attuazione della direttiva (UE) 2019/1937 del Parlamento europeo e del Consigli, del 23 ottobre 2019, il Governo osserva, oltre ai principi e criteri direttivi generali di cui all'articolo </w:t>
      </w:r>
      <w:proofErr w:type="gramStart"/>
      <w:r w:rsidRPr="00FC07A5">
        <w:rPr>
          <w:b/>
          <w:bCs/>
          <w:color w:val="000000" w:themeColor="text1"/>
          <w:sz w:val="24"/>
          <w:szCs w:val="24"/>
        </w:rPr>
        <w:t>32</w:t>
      </w:r>
      <w:proofErr w:type="gramEnd"/>
      <w:r w:rsidRPr="00FC07A5">
        <w:rPr>
          <w:b/>
          <w:bCs/>
          <w:color w:val="000000" w:themeColor="text1"/>
          <w:sz w:val="24"/>
          <w:szCs w:val="24"/>
        </w:rPr>
        <w:t xml:space="preserve"> della legge n.234 del 2012, anche i seguenti princìpi e criteri direttivi specifici:</w:t>
      </w:r>
    </w:p>
    <w:p w:rsidR="00A410E7" w:rsidRPr="00FC07A5" w:rsidRDefault="00A410E7" w:rsidP="00A410E7">
      <w:pPr>
        <w:jc w:val="both"/>
        <w:rPr>
          <w:b/>
          <w:bCs/>
          <w:color w:val="000000" w:themeColor="text1"/>
          <w:sz w:val="24"/>
          <w:szCs w:val="24"/>
        </w:rPr>
      </w:pPr>
    </w:p>
    <w:p w:rsidR="00A410E7" w:rsidRPr="00FC07A5" w:rsidRDefault="00A410E7" w:rsidP="00A410E7">
      <w:pPr>
        <w:jc w:val="both"/>
        <w:rPr>
          <w:b/>
          <w:bCs/>
          <w:color w:val="000000" w:themeColor="text1"/>
          <w:sz w:val="24"/>
          <w:szCs w:val="24"/>
        </w:rPr>
      </w:pPr>
      <w:r w:rsidRPr="00FC07A5">
        <w:rPr>
          <w:b/>
          <w:bCs/>
          <w:color w:val="000000" w:themeColor="text1"/>
          <w:sz w:val="24"/>
          <w:szCs w:val="24"/>
        </w:rPr>
        <w:t xml:space="preserve">            a) modificare, in conformità alla disciplina della direttiva (UE) 2019/1937, la normativa vigente in materia di tutela degli autori di segnalazioni delle violazioni di cui all'articolo </w:t>
      </w:r>
      <w:proofErr w:type="gramStart"/>
      <w:r w:rsidRPr="00FC07A5">
        <w:rPr>
          <w:b/>
          <w:bCs/>
          <w:color w:val="000000" w:themeColor="text1"/>
          <w:sz w:val="24"/>
          <w:szCs w:val="24"/>
        </w:rPr>
        <w:t>2</w:t>
      </w:r>
      <w:proofErr w:type="gramEnd"/>
      <w:r w:rsidRPr="00FC07A5">
        <w:rPr>
          <w:b/>
          <w:bCs/>
          <w:color w:val="000000" w:themeColor="text1"/>
          <w:sz w:val="24"/>
          <w:szCs w:val="24"/>
        </w:rPr>
        <w:t xml:space="preserve"> della predetta direttiva di cui siano venuti a conoscenza nell'ambito di un contesto lavorativo pubblico o privato e dei soggetti indicati dall'articolo 4, paragrafo 4 della stessa direttiva;</w:t>
      </w:r>
    </w:p>
    <w:p w:rsidR="00A410E7" w:rsidRPr="00FC07A5" w:rsidRDefault="00A410E7" w:rsidP="00A410E7">
      <w:pPr>
        <w:jc w:val="both"/>
        <w:rPr>
          <w:b/>
          <w:bCs/>
          <w:color w:val="000000" w:themeColor="text1"/>
          <w:sz w:val="24"/>
          <w:szCs w:val="24"/>
        </w:rPr>
      </w:pPr>
    </w:p>
    <w:p w:rsidR="00A410E7" w:rsidRPr="00FC07A5" w:rsidRDefault="00A410E7" w:rsidP="00A410E7">
      <w:pPr>
        <w:jc w:val="both"/>
        <w:rPr>
          <w:b/>
          <w:bCs/>
          <w:color w:val="000000" w:themeColor="text1"/>
          <w:sz w:val="24"/>
          <w:szCs w:val="24"/>
        </w:rPr>
      </w:pPr>
      <w:r w:rsidRPr="00FC07A5">
        <w:rPr>
          <w:b/>
          <w:bCs/>
          <w:color w:val="000000" w:themeColor="text1"/>
          <w:sz w:val="24"/>
          <w:szCs w:val="24"/>
        </w:rPr>
        <w:t xml:space="preserve">            b) curare il coordinamento con le disposizioni vigenti, assicurando un alto grado di protezione e tutela dei soggetti di cui alla lettera a</w:t>
      </w:r>
      <w:proofErr w:type="gramStart"/>
      <w:r w:rsidRPr="00FC07A5">
        <w:rPr>
          <w:b/>
          <w:bCs/>
          <w:color w:val="000000" w:themeColor="text1"/>
          <w:sz w:val="24"/>
          <w:szCs w:val="24"/>
        </w:rPr>
        <w:t>)</w:t>
      </w:r>
      <w:proofErr w:type="gramEnd"/>
      <w:r w:rsidRPr="00FC07A5">
        <w:rPr>
          <w:b/>
          <w:bCs/>
          <w:color w:val="000000" w:themeColor="text1"/>
          <w:sz w:val="24"/>
          <w:szCs w:val="24"/>
        </w:rPr>
        <w:t>, operando le necessarie abrogazioni e adottando le opportune disposizioni transitorie;</w:t>
      </w:r>
    </w:p>
    <w:p w:rsidR="00A410E7" w:rsidRPr="00FC07A5" w:rsidRDefault="00A410E7" w:rsidP="00A410E7">
      <w:pPr>
        <w:jc w:val="both"/>
        <w:rPr>
          <w:b/>
          <w:bCs/>
          <w:color w:val="000000" w:themeColor="text1"/>
          <w:sz w:val="24"/>
          <w:szCs w:val="24"/>
        </w:rPr>
      </w:pPr>
    </w:p>
    <w:p w:rsidR="00A410E7" w:rsidRPr="006725C6" w:rsidRDefault="00A410E7" w:rsidP="00A410E7">
      <w:pPr>
        <w:jc w:val="both"/>
        <w:rPr>
          <w:color w:val="000000" w:themeColor="text1"/>
          <w:sz w:val="24"/>
          <w:szCs w:val="24"/>
        </w:rPr>
      </w:pPr>
      <w:r w:rsidRPr="00FC07A5">
        <w:rPr>
          <w:b/>
          <w:bCs/>
          <w:color w:val="000000" w:themeColor="text1"/>
          <w:sz w:val="24"/>
          <w:szCs w:val="24"/>
        </w:rPr>
        <w:t xml:space="preserve">            c) esercitare l'</w:t>
      </w:r>
      <w:proofErr w:type="gramStart"/>
      <w:r w:rsidRPr="00FC07A5">
        <w:rPr>
          <w:b/>
          <w:bCs/>
          <w:color w:val="000000" w:themeColor="text1"/>
          <w:sz w:val="24"/>
          <w:szCs w:val="24"/>
        </w:rPr>
        <w:t>opzione</w:t>
      </w:r>
      <w:proofErr w:type="gramEnd"/>
      <w:r w:rsidRPr="00FC07A5">
        <w:rPr>
          <w:b/>
          <w:bCs/>
          <w:color w:val="000000" w:themeColor="text1"/>
          <w:sz w:val="24"/>
          <w:szCs w:val="24"/>
        </w:rPr>
        <w:t xml:space="preserve"> di cui all'articolo 25, paragrafo 1, della direttiva (UE) 2019/1937 che consente l'introduzione o il mantenimento delle disposizioni più favorevoli ai diritti delle persone segnalanti e di quelle indicate dalla direttiva, al fine di assicurare comunque il massimo livello di protezione e tutela dei medesimi soggetti.</w:t>
      </w:r>
      <w:r>
        <w:rPr>
          <w:rStyle w:val="Rimandonotaapidipagina"/>
          <w:b/>
          <w:bCs/>
          <w:color w:val="000000" w:themeColor="text1"/>
          <w:sz w:val="24"/>
          <w:szCs w:val="24"/>
        </w:rPr>
        <w:footnoteReference w:id="97"/>
      </w:r>
    </w:p>
    <w:p w:rsidR="00A410E7" w:rsidRDefault="00A410E7"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74526D" w:rsidRDefault="0074526D"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7B65DD" w:rsidRPr="000D1215" w:rsidRDefault="007B65DD" w:rsidP="007B65DD">
      <w:pPr>
        <w:jc w:val="center"/>
        <w:rPr>
          <w:b/>
          <w:bCs/>
          <w:color w:val="000000" w:themeColor="text1"/>
          <w:sz w:val="24"/>
          <w:szCs w:val="24"/>
        </w:rPr>
      </w:pPr>
      <w:r w:rsidRPr="000D1215">
        <w:rPr>
          <w:b/>
          <w:bCs/>
          <w:color w:val="000000" w:themeColor="text1"/>
          <w:sz w:val="24"/>
          <w:szCs w:val="24"/>
        </w:rPr>
        <w:t>Art. 20-bis.</w:t>
      </w:r>
    </w:p>
    <w:p w:rsidR="007B65DD" w:rsidRPr="000D1215" w:rsidRDefault="007B65DD" w:rsidP="007B65DD">
      <w:pPr>
        <w:jc w:val="center"/>
        <w:rPr>
          <w:b/>
          <w:bCs/>
          <w:color w:val="000000" w:themeColor="text1"/>
          <w:sz w:val="24"/>
          <w:szCs w:val="24"/>
        </w:rPr>
      </w:pPr>
    </w:p>
    <w:p w:rsidR="007B65DD" w:rsidRPr="000D1215" w:rsidRDefault="007B65DD" w:rsidP="007B65DD">
      <w:pPr>
        <w:jc w:val="center"/>
        <w:rPr>
          <w:b/>
          <w:bCs/>
          <w:color w:val="000000" w:themeColor="text1"/>
          <w:sz w:val="24"/>
          <w:szCs w:val="24"/>
        </w:rPr>
      </w:pPr>
      <w:r w:rsidRPr="000D1215">
        <w:rPr>
          <w:b/>
          <w:bCs/>
          <w:color w:val="000000" w:themeColor="text1"/>
          <w:sz w:val="24"/>
          <w:szCs w:val="24"/>
        </w:rPr>
        <w:t>(Delega al Governo per l'adeguamento della normativa nazionale alle disposizioni del regolamento (UE) 2017/2402 del Parlamento europeo e del Consiglio, del 12 dicembre 2017, che stabilisce un quadro generale per la cartolarizzazione, instaura un quadro specifico per cartolarizzazioni semplici, trasparenti e standardizzate e modifica le direttive 2009/65/CE, 2009/138/CE e 2011/61/UE e i regolamenti (CE) n. 1060/2009 e (UE) n. 648/2012</w:t>
      </w:r>
      <w:proofErr w:type="gramStart"/>
      <w:r w:rsidRPr="000D1215">
        <w:rPr>
          <w:b/>
          <w:bCs/>
          <w:color w:val="000000" w:themeColor="text1"/>
          <w:sz w:val="24"/>
          <w:szCs w:val="24"/>
        </w:rPr>
        <w:t>)</w:t>
      </w:r>
      <w:proofErr w:type="gramEnd"/>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1. Il Governo </w:t>
      </w:r>
      <w:proofErr w:type="gramStart"/>
      <w:r w:rsidRPr="000D1215">
        <w:rPr>
          <w:b/>
          <w:bCs/>
          <w:color w:val="000000" w:themeColor="text1"/>
          <w:sz w:val="24"/>
          <w:szCs w:val="24"/>
        </w:rPr>
        <w:t>è</w:t>
      </w:r>
      <w:proofErr w:type="gramEnd"/>
      <w:r w:rsidRPr="000D1215">
        <w:rPr>
          <w:b/>
          <w:bCs/>
          <w:color w:val="000000" w:themeColor="text1"/>
          <w:sz w:val="24"/>
          <w:szCs w:val="24"/>
        </w:rPr>
        <w:t xml:space="preserve"> delegato ad adottare, entro dodici mesi dalla data di entrata in vigore della presente legge, con le procedure di cui all'articolo 31 della legge 24 dicembre 2012, n. 234, acquisito il parere delle competenti Commissioni parlamentari, uno o più decreti legislativi per l'adeguamento della normativa nazionale al regolamento (UE) 2017/2402 del Parlamento europeo e del Consiglio, del 12 dicembre 2017, che stabilisce un quadro generale per la cartolarizzazione, instaura un quadro specifico per cartolarizzazioni semplici, trasparenti e standardizzate e modifica le direttive 2009/65/CE, 2009/138/CE e 2011/61/UE e i regolamenti (CE) n. 1060/2009 e (UE) n. 648/2012.</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2. Nell'esercizio della delega di cui al comma </w:t>
      </w:r>
      <w:proofErr w:type="gramStart"/>
      <w:r w:rsidRPr="000D1215">
        <w:rPr>
          <w:b/>
          <w:bCs/>
          <w:color w:val="000000" w:themeColor="text1"/>
          <w:sz w:val="24"/>
          <w:szCs w:val="24"/>
        </w:rPr>
        <w:t>1</w:t>
      </w:r>
      <w:proofErr w:type="gramEnd"/>
      <w:r w:rsidRPr="000D1215">
        <w:rPr>
          <w:b/>
          <w:bCs/>
          <w:color w:val="000000" w:themeColor="text1"/>
          <w:sz w:val="24"/>
          <w:szCs w:val="24"/>
        </w:rPr>
        <w:t>, il Governo si attiene ai seguenti principi e criteri direttivi specifici:</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a) apportare alla normativa vigente tutte le modificazioni necessarie ad assicurare la corretta applicazione del regolamento (UE) 2402/2017;</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b) individuare la Banca d'Italia, l'Ivass, la Consob e la Covip, secondo le relative attribuzioni, quali autorità competenti, ai sensi dell'articolo </w:t>
      </w:r>
      <w:proofErr w:type="gramStart"/>
      <w:r w:rsidRPr="000D1215">
        <w:rPr>
          <w:b/>
          <w:bCs/>
          <w:color w:val="000000" w:themeColor="text1"/>
          <w:sz w:val="24"/>
          <w:szCs w:val="24"/>
        </w:rPr>
        <w:t>29</w:t>
      </w:r>
      <w:proofErr w:type="gramEnd"/>
      <w:r w:rsidRPr="000D1215">
        <w:rPr>
          <w:b/>
          <w:bCs/>
          <w:color w:val="000000" w:themeColor="text1"/>
          <w:sz w:val="24"/>
          <w:szCs w:val="24"/>
        </w:rPr>
        <w:t>, commi 1, 2, 3, 4 e 5 del regolamento (UE) 2402/2017;</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lastRenderedPageBreak/>
        <w:t xml:space="preserve">            c) prevedere, ove opportuno, il ricorso alla disciplina secondaria adottata dalle autorità individuate ai sensi della lettera b) nell'ambito e per le finalità specificamente previste dal regolamento (UE</w:t>
      </w:r>
      <w:proofErr w:type="gramStart"/>
      <w:r w:rsidRPr="000D1215">
        <w:rPr>
          <w:b/>
          <w:bCs/>
          <w:color w:val="000000" w:themeColor="text1"/>
          <w:sz w:val="24"/>
          <w:szCs w:val="24"/>
        </w:rPr>
        <w:t>)</w:t>
      </w:r>
      <w:proofErr w:type="gramEnd"/>
      <w:r w:rsidRPr="000D1215">
        <w:rPr>
          <w:b/>
          <w:bCs/>
          <w:color w:val="000000" w:themeColor="text1"/>
          <w:sz w:val="24"/>
          <w:szCs w:val="24"/>
        </w:rPr>
        <w:t xml:space="preserve"> 2402/2017 e dalla legislazione dell'Unione europea attuativa del medesimo regolamento;</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d) prevedere che le autorità individuate ai sensi della lettera b</w:t>
      </w:r>
      <w:proofErr w:type="gramStart"/>
      <w:r w:rsidRPr="000D1215">
        <w:rPr>
          <w:b/>
          <w:bCs/>
          <w:color w:val="000000" w:themeColor="text1"/>
          <w:sz w:val="24"/>
          <w:szCs w:val="24"/>
        </w:rPr>
        <w:t>)</w:t>
      </w:r>
      <w:proofErr w:type="gramEnd"/>
      <w:r w:rsidRPr="000D1215">
        <w:rPr>
          <w:b/>
          <w:bCs/>
          <w:color w:val="000000" w:themeColor="text1"/>
          <w:sz w:val="24"/>
          <w:szCs w:val="24"/>
        </w:rPr>
        <w:t>:</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 </w:t>
      </w:r>
      <w:proofErr w:type="gramStart"/>
      <w:r w:rsidRPr="000D1215">
        <w:rPr>
          <w:b/>
          <w:bCs/>
          <w:color w:val="000000" w:themeColor="text1"/>
          <w:sz w:val="24"/>
          <w:szCs w:val="24"/>
        </w:rPr>
        <w:t>dispongano di</w:t>
      </w:r>
      <w:proofErr w:type="gramEnd"/>
      <w:r w:rsidRPr="000D1215">
        <w:rPr>
          <w:b/>
          <w:bCs/>
          <w:color w:val="000000" w:themeColor="text1"/>
          <w:sz w:val="24"/>
          <w:szCs w:val="24"/>
        </w:rPr>
        <w:t xml:space="preserve"> poteri di vigilanza conformi a quanto previsto dall'articolo 30 del regolamento (UE) 2402/2017, in coerenza con i poteri di cui esse dispongono in base alla legislazione vigente;</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 provvedano alla cooperazione e allo scambio </w:t>
      </w:r>
      <w:proofErr w:type="gramStart"/>
      <w:r w:rsidRPr="000D1215">
        <w:rPr>
          <w:b/>
          <w:bCs/>
          <w:color w:val="000000" w:themeColor="text1"/>
          <w:sz w:val="24"/>
          <w:szCs w:val="24"/>
        </w:rPr>
        <w:t xml:space="preserve">di </w:t>
      </w:r>
      <w:proofErr w:type="gramEnd"/>
      <w:r w:rsidRPr="000D1215">
        <w:rPr>
          <w:b/>
          <w:bCs/>
          <w:color w:val="000000" w:themeColor="text1"/>
          <w:sz w:val="24"/>
          <w:szCs w:val="24"/>
        </w:rPr>
        <w:t>informazioni con l'Autorità europea degli strumenti finanziari e dei mercati (ESMA), l'Autorità bancaria europea (EBA) e l'Autorità europea delle assicurazioni e delle pensioni aziendali e professionali (EIOPA), ai sensi dell'articolo 36 del regolamento (UE) 2402/2017 e in coerenza con le disposizioni nazionali vigenti che attengono alla cooperazione con le predette autorità europee;</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 </w:t>
      </w:r>
      <w:proofErr w:type="gramStart"/>
      <w:r w:rsidRPr="000D1215">
        <w:rPr>
          <w:b/>
          <w:bCs/>
          <w:color w:val="000000" w:themeColor="text1"/>
          <w:sz w:val="24"/>
          <w:szCs w:val="24"/>
        </w:rPr>
        <w:t>provvedano ad adempiere</w:t>
      </w:r>
      <w:proofErr w:type="gramEnd"/>
      <w:r w:rsidRPr="000D1215">
        <w:rPr>
          <w:b/>
          <w:bCs/>
          <w:color w:val="000000" w:themeColor="text1"/>
          <w:sz w:val="24"/>
          <w:szCs w:val="24"/>
        </w:rPr>
        <w:t xml:space="preserve"> agli obblighi informativi verso l'ESMA previsti dall'articolo 37, paragrafo 6, del regolamento 2402/2017;</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 individuino forme di coordinamento operativo per l'esercizio delle competenze e dei poteri loro attribuiti.</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e) attuare l'articolo </w:t>
      </w:r>
      <w:proofErr w:type="gramStart"/>
      <w:r w:rsidRPr="000D1215">
        <w:rPr>
          <w:b/>
          <w:bCs/>
          <w:color w:val="000000" w:themeColor="text1"/>
          <w:sz w:val="24"/>
          <w:szCs w:val="24"/>
        </w:rPr>
        <w:t>32</w:t>
      </w:r>
      <w:proofErr w:type="gramEnd"/>
      <w:r w:rsidRPr="000D1215">
        <w:rPr>
          <w:b/>
          <w:bCs/>
          <w:color w:val="000000" w:themeColor="text1"/>
          <w:sz w:val="24"/>
          <w:szCs w:val="24"/>
        </w:rPr>
        <w:t xml:space="preserve"> del regolamento (UE) 2402/2017 coordinando le sanzioni ivi previste con quelle disciplinate dalle disposizioni nazionali vigenti sull'esercizio del potere sanzionatorio da parte della Banca d'Italia, dell'Ivass, della Consob e della Covip, nel rispetto dei criteri, dei limiti, delle procedure e del regime di pubblicazione previsti dal regolamento (UE) 2402/2017 e prevedendo, per le violazioni individuate dal medesimo articolo 32, nonché dagli articoli 3 e 5 del richiamato </w:t>
      </w:r>
      <w:r w:rsidRPr="000D1215">
        <w:rPr>
          <w:b/>
          <w:bCs/>
          <w:color w:val="000000" w:themeColor="text1"/>
          <w:sz w:val="24"/>
          <w:szCs w:val="24"/>
        </w:rPr>
        <w:lastRenderedPageBreak/>
        <w:t>regolamento, le sanzioni amministrative pecuniarie ivi previste nel rispetto, fermi restando i massimi edittali ivi previsti, dei seguenti minimi edittali:</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a) con riferimento alla sanzione applicabile alle persone giuridiche un minimo di 30.000 euro;</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b) con riferimento alla sanzione applicabile alle persone fisiche un minimo di 5.000 euro.</w:t>
      </w:r>
    </w:p>
    <w:p w:rsidR="007B65DD" w:rsidRPr="000D1215" w:rsidRDefault="007B65DD" w:rsidP="007B65DD">
      <w:pPr>
        <w:jc w:val="both"/>
        <w:rPr>
          <w:b/>
          <w:bCs/>
          <w:color w:val="000000" w:themeColor="text1"/>
          <w:sz w:val="24"/>
          <w:szCs w:val="24"/>
        </w:rPr>
      </w:pPr>
    </w:p>
    <w:p w:rsidR="007B65DD" w:rsidRPr="000D1215" w:rsidRDefault="007B65DD" w:rsidP="007B65DD">
      <w:pPr>
        <w:jc w:val="both"/>
        <w:rPr>
          <w:b/>
          <w:bCs/>
          <w:color w:val="000000" w:themeColor="text1"/>
          <w:sz w:val="24"/>
          <w:szCs w:val="24"/>
        </w:rPr>
      </w:pPr>
      <w:r w:rsidRPr="000D1215">
        <w:rPr>
          <w:b/>
          <w:bCs/>
          <w:color w:val="000000" w:themeColor="text1"/>
          <w:sz w:val="24"/>
          <w:szCs w:val="24"/>
        </w:rPr>
        <w:t xml:space="preserve">        3.</w:t>
      </w:r>
      <w:proofErr w:type="gramStart"/>
      <w:r w:rsidRPr="000D1215">
        <w:rPr>
          <w:b/>
          <w:bCs/>
          <w:color w:val="000000" w:themeColor="text1"/>
          <w:sz w:val="24"/>
          <w:szCs w:val="24"/>
        </w:rPr>
        <w:t xml:space="preserve">         </w:t>
      </w:r>
      <w:proofErr w:type="gramEnd"/>
      <w:r w:rsidRPr="000D1215">
        <w:rPr>
          <w:b/>
          <w:bCs/>
          <w:color w:val="000000" w:themeColor="text1"/>
          <w:sz w:val="24"/>
          <w:szCs w:val="24"/>
        </w:rPr>
        <w:t>Si applica l'articolo 31, comma 5, della legge 24 dicembre 2012, n. 234.</w:t>
      </w:r>
    </w:p>
    <w:p w:rsidR="007B65DD" w:rsidRPr="000D1215" w:rsidRDefault="007B65DD" w:rsidP="007B65DD">
      <w:pPr>
        <w:jc w:val="both"/>
        <w:rPr>
          <w:b/>
          <w:bCs/>
          <w:color w:val="000000" w:themeColor="text1"/>
          <w:sz w:val="24"/>
          <w:szCs w:val="24"/>
        </w:rPr>
      </w:pPr>
    </w:p>
    <w:p w:rsidR="007B65DD" w:rsidRDefault="007B65DD" w:rsidP="007B65DD">
      <w:pPr>
        <w:jc w:val="both"/>
        <w:rPr>
          <w:b/>
          <w:bCs/>
          <w:color w:val="000000" w:themeColor="text1"/>
          <w:sz w:val="24"/>
          <w:szCs w:val="24"/>
        </w:rPr>
      </w:pPr>
      <w:r w:rsidRPr="000D1215">
        <w:rPr>
          <w:b/>
          <w:bCs/>
          <w:color w:val="000000" w:themeColor="text1"/>
          <w:sz w:val="24"/>
          <w:szCs w:val="24"/>
        </w:rPr>
        <w:t xml:space="preserve">        4.</w:t>
      </w:r>
      <w:proofErr w:type="gramStart"/>
      <w:r w:rsidRPr="000D1215">
        <w:rPr>
          <w:b/>
          <w:bCs/>
          <w:color w:val="000000" w:themeColor="text1"/>
          <w:sz w:val="24"/>
          <w:szCs w:val="24"/>
        </w:rPr>
        <w:t xml:space="preserve">         </w:t>
      </w:r>
      <w:proofErr w:type="gramEnd"/>
      <w:r w:rsidRPr="000D1215">
        <w:rPr>
          <w:b/>
          <w:bCs/>
          <w:color w:val="000000" w:themeColor="text1"/>
          <w:sz w:val="24"/>
          <w:szCs w:val="24"/>
        </w:rPr>
        <w:t>Dall'attuazione del presente articolo non derivano nuovi o maggiori oneri a carico della finanza pubblica.</w:t>
      </w:r>
      <w:r>
        <w:rPr>
          <w:rStyle w:val="Rimandonotaapidipagina"/>
          <w:b/>
          <w:bCs/>
          <w:color w:val="000000" w:themeColor="text1"/>
          <w:sz w:val="24"/>
          <w:szCs w:val="24"/>
        </w:rPr>
        <w:footnoteReference w:id="98"/>
      </w:r>
    </w:p>
    <w:p w:rsidR="00081CED" w:rsidRPr="000D1215" w:rsidRDefault="00081CED" w:rsidP="00081CED">
      <w:pPr>
        <w:jc w:val="center"/>
        <w:rPr>
          <w:b/>
          <w:bCs/>
          <w:color w:val="000000" w:themeColor="text1"/>
          <w:sz w:val="24"/>
          <w:szCs w:val="24"/>
        </w:rPr>
      </w:pPr>
      <w:r w:rsidRPr="000D1215">
        <w:rPr>
          <w:b/>
          <w:bCs/>
          <w:color w:val="000000" w:themeColor="text1"/>
          <w:sz w:val="24"/>
          <w:szCs w:val="24"/>
        </w:rPr>
        <w:t>Art. 20-bis.</w:t>
      </w:r>
    </w:p>
    <w:p w:rsidR="00081CED" w:rsidRPr="000D1215" w:rsidRDefault="00081CED" w:rsidP="00081CED">
      <w:pPr>
        <w:jc w:val="center"/>
        <w:rPr>
          <w:b/>
          <w:bCs/>
          <w:color w:val="000000" w:themeColor="text1"/>
          <w:sz w:val="24"/>
          <w:szCs w:val="24"/>
        </w:rPr>
      </w:pPr>
    </w:p>
    <w:p w:rsidR="00081CED" w:rsidRPr="000D1215" w:rsidRDefault="00081CED" w:rsidP="00081CED">
      <w:pPr>
        <w:jc w:val="center"/>
        <w:rPr>
          <w:b/>
          <w:bCs/>
          <w:color w:val="000000" w:themeColor="text1"/>
          <w:sz w:val="24"/>
          <w:szCs w:val="24"/>
        </w:rPr>
      </w:pPr>
      <w:r w:rsidRPr="000D1215">
        <w:rPr>
          <w:b/>
          <w:bCs/>
          <w:color w:val="000000" w:themeColor="text1"/>
          <w:sz w:val="24"/>
          <w:szCs w:val="24"/>
        </w:rPr>
        <w:t>(Principi e criteri direttivi per l'attuazione della direttiva (UE) 2019/2162 del Parlamento europeo e del Consiglio, del 27 novembre 2019, relativa all'emissione di obbligazioni garantite e alla vigilanza pubblica delle obbligazioni garantite e che modifica la direttiva 2009/65/CE e la direttiva 2014/59/UE e per l'adeguamento della normativa nazionale alle disposizioni del regolamento (UE) 2019/2160 del Parlamento europeo e del Consiglio, del 27 novembre 2019, che modifica il regolamento (UE) n. 575/2013 per quanto riguarda le esposizioni sotto forma di obbligazioni garantite</w:t>
      </w:r>
      <w:proofErr w:type="gramStart"/>
      <w:r w:rsidRPr="000D1215">
        <w:rPr>
          <w:b/>
          <w:bCs/>
          <w:color w:val="000000" w:themeColor="text1"/>
          <w:sz w:val="24"/>
          <w:szCs w:val="24"/>
        </w:rPr>
        <w:t>)</w:t>
      </w:r>
      <w:proofErr w:type="gramEnd"/>
    </w:p>
    <w:p w:rsidR="00081CED" w:rsidRPr="000D1215" w:rsidRDefault="00081CED" w:rsidP="00081CED">
      <w:pPr>
        <w:jc w:val="both"/>
        <w:rPr>
          <w:b/>
          <w:bCs/>
          <w:color w:val="000000" w:themeColor="text1"/>
          <w:sz w:val="24"/>
          <w:szCs w:val="24"/>
        </w:rPr>
      </w:pPr>
    </w:p>
    <w:p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1. Nell'esercizio della delega per l'attuazione della direttiva (UE) 2019/2162 del Parlamento europeo e del Consiglio, del 27 novembre 2019, e per l'adeguamento della normativa nazionale alle disposizioni del regolamento (UE) 2019/2160</w:t>
      </w:r>
      <w:proofErr w:type="gramStart"/>
      <w:r w:rsidRPr="000D1215">
        <w:rPr>
          <w:b/>
          <w:bCs/>
          <w:color w:val="000000" w:themeColor="text1"/>
          <w:sz w:val="24"/>
          <w:szCs w:val="24"/>
        </w:rPr>
        <w:t xml:space="preserve">  </w:t>
      </w:r>
      <w:proofErr w:type="gramEnd"/>
      <w:r w:rsidRPr="000D1215">
        <w:rPr>
          <w:b/>
          <w:bCs/>
          <w:color w:val="000000" w:themeColor="text1"/>
          <w:sz w:val="24"/>
          <w:szCs w:val="24"/>
        </w:rPr>
        <w:t xml:space="preserve">del Parlamento europeo e del Consiglio, del 27 </w:t>
      </w:r>
      <w:r w:rsidRPr="000D1215">
        <w:rPr>
          <w:b/>
          <w:bCs/>
          <w:color w:val="000000" w:themeColor="text1"/>
          <w:sz w:val="24"/>
          <w:szCs w:val="24"/>
        </w:rPr>
        <w:lastRenderedPageBreak/>
        <w:t>novembre 2019, il Governo osserva, oltre ai princìpi e criteri direttivi generali di cui all'articolo 32 della legge n. 234 del 2012, anche i seguenti princìpi e criteri direttivi specifici:</w:t>
      </w:r>
    </w:p>
    <w:p w:rsidR="00081CED" w:rsidRPr="000D1215" w:rsidRDefault="00081CED" w:rsidP="00081CED">
      <w:pPr>
        <w:jc w:val="both"/>
        <w:rPr>
          <w:b/>
          <w:bCs/>
          <w:color w:val="000000" w:themeColor="text1"/>
          <w:sz w:val="24"/>
          <w:szCs w:val="24"/>
        </w:rPr>
      </w:pPr>
    </w:p>
    <w:p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a) apportare alla normativa vigente e, in particolare, al testo unico delle leggi in materia bancaria e creditizia, di cui al decreto legislativo 1° settembre 1993, n. 385, e alla legge 30 aprile 1999, n. 130, </w:t>
      </w:r>
      <w:proofErr w:type="gramStart"/>
      <w:r w:rsidRPr="000D1215">
        <w:rPr>
          <w:b/>
          <w:bCs/>
          <w:color w:val="000000" w:themeColor="text1"/>
          <w:sz w:val="24"/>
          <w:szCs w:val="24"/>
        </w:rPr>
        <w:t>recante disposizioni</w:t>
      </w:r>
      <w:proofErr w:type="gramEnd"/>
      <w:r w:rsidRPr="000D1215">
        <w:rPr>
          <w:b/>
          <w:bCs/>
          <w:color w:val="000000" w:themeColor="text1"/>
          <w:sz w:val="24"/>
          <w:szCs w:val="24"/>
        </w:rPr>
        <w:t xml:space="preserve"> sulla cartolarizzazione dei crediti, le modifiche e le integrazioni necessarie al corretto e integrale recepimento della direttiva (UE) 2019/2162, incluso l'eventuale esercizio delle opzioni ivi previste;</w:t>
      </w:r>
    </w:p>
    <w:p w:rsidR="00081CED" w:rsidRPr="000D1215" w:rsidRDefault="00081CED" w:rsidP="00081CED">
      <w:pPr>
        <w:jc w:val="both"/>
        <w:rPr>
          <w:b/>
          <w:bCs/>
          <w:color w:val="000000" w:themeColor="text1"/>
          <w:sz w:val="24"/>
          <w:szCs w:val="24"/>
        </w:rPr>
      </w:pPr>
    </w:p>
    <w:p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b) individuare nella Banca d'Italia l'autorità competente a esercitare la vigilanza pubblica delle obbligazioni garantite ai sensi dell'articolo </w:t>
      </w:r>
      <w:proofErr w:type="gramStart"/>
      <w:r w:rsidRPr="000D1215">
        <w:rPr>
          <w:b/>
          <w:bCs/>
          <w:color w:val="000000" w:themeColor="text1"/>
          <w:sz w:val="24"/>
          <w:szCs w:val="24"/>
        </w:rPr>
        <w:t>18</w:t>
      </w:r>
      <w:proofErr w:type="gramEnd"/>
      <w:r w:rsidRPr="000D1215">
        <w:rPr>
          <w:b/>
          <w:bCs/>
          <w:color w:val="000000" w:themeColor="text1"/>
          <w:sz w:val="24"/>
          <w:szCs w:val="24"/>
        </w:rPr>
        <w:t xml:space="preserve"> della direttiva (UE) 2019/2162;</w:t>
      </w:r>
    </w:p>
    <w:p w:rsidR="00081CED" w:rsidRPr="000D1215" w:rsidRDefault="00081CED" w:rsidP="00081CED">
      <w:pPr>
        <w:jc w:val="both"/>
        <w:rPr>
          <w:b/>
          <w:bCs/>
          <w:color w:val="000000" w:themeColor="text1"/>
          <w:sz w:val="24"/>
          <w:szCs w:val="24"/>
        </w:rPr>
      </w:pPr>
    </w:p>
    <w:p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c) attribuire alla Banca d'Italia tutti i poteri per l'esercizio delle funzioni </w:t>
      </w:r>
      <w:proofErr w:type="gramStart"/>
      <w:r w:rsidRPr="000D1215">
        <w:rPr>
          <w:b/>
          <w:bCs/>
          <w:color w:val="000000" w:themeColor="text1"/>
          <w:sz w:val="24"/>
          <w:szCs w:val="24"/>
        </w:rPr>
        <w:t>relative alla</w:t>
      </w:r>
      <w:proofErr w:type="gramEnd"/>
      <w:r w:rsidRPr="000D1215">
        <w:rPr>
          <w:b/>
          <w:bCs/>
          <w:color w:val="000000" w:themeColor="text1"/>
          <w:sz w:val="24"/>
          <w:szCs w:val="24"/>
        </w:rPr>
        <w:t xml:space="preserve"> vigilanza pubblica delle obbligazioni garantite in conformità all'articolo 22 della direttiva (UE) 2019/2162;</w:t>
      </w:r>
    </w:p>
    <w:p w:rsidR="00081CED" w:rsidRPr="000D1215" w:rsidRDefault="00081CED" w:rsidP="00081CED">
      <w:pPr>
        <w:jc w:val="both"/>
        <w:rPr>
          <w:b/>
          <w:bCs/>
          <w:color w:val="000000" w:themeColor="text1"/>
          <w:sz w:val="24"/>
          <w:szCs w:val="24"/>
        </w:rPr>
      </w:pPr>
    </w:p>
    <w:p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d) prevedere il ricorso alla disciplina secondaria adottata dalla Banca d'Italia che, nell'esercizio dei propri poteri regolamentari, tiene conto degli orientamenti emanati dalle Autorità di vigilanza europee;</w:t>
      </w:r>
    </w:p>
    <w:p w:rsidR="00081CED" w:rsidRPr="000D1215" w:rsidRDefault="00081CED" w:rsidP="00081CED">
      <w:pPr>
        <w:jc w:val="both"/>
        <w:rPr>
          <w:b/>
          <w:bCs/>
          <w:color w:val="000000" w:themeColor="text1"/>
          <w:sz w:val="24"/>
          <w:szCs w:val="24"/>
        </w:rPr>
      </w:pPr>
    </w:p>
    <w:p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e) apportare alla disciplina delle sanzioni amministrative previste al titolo VIII del testo unico delle leggi in materia bancaria e creditizia, di cui al decreto legislativo 1° settembre 1993, n. 385, le modifiche e le integrazioni volte ad assicurare che la Banca d'Italia abbia il potere di applicare le sanzioni e le misure amministrative stabilite dall'articolo </w:t>
      </w:r>
      <w:proofErr w:type="gramStart"/>
      <w:r w:rsidRPr="000D1215">
        <w:rPr>
          <w:b/>
          <w:bCs/>
          <w:color w:val="000000" w:themeColor="text1"/>
          <w:sz w:val="24"/>
          <w:szCs w:val="24"/>
        </w:rPr>
        <w:t>23</w:t>
      </w:r>
      <w:proofErr w:type="gramEnd"/>
      <w:r w:rsidRPr="000D1215">
        <w:rPr>
          <w:b/>
          <w:bCs/>
          <w:color w:val="000000" w:themeColor="text1"/>
          <w:sz w:val="24"/>
          <w:szCs w:val="24"/>
        </w:rPr>
        <w:t xml:space="preserve"> della direttiva per le violazioni ivi indicate, nel rispetto dei criteri, dei limiti e delle procedure previsti dalle disposizioni nazionali vigenti che disciplinano l'esercizio del potere sanzionatorio da parte della Banca d'Italia, e anche tenuto conto del regime di pubblicazione previsto dall'articolo 24 della direttiva, fatti salvi i poteri attribuiti alla CONSOB in materia di offerta al pubblico di sottoscrizione e vendita ai sensi della parte V, titolo Il, del testo unico delle disposizioni in materia finanziaria di cui al decreto legislativo 24 febbraio 1998, n. 58;</w:t>
      </w:r>
    </w:p>
    <w:p w:rsidR="00081CED" w:rsidRPr="000D1215" w:rsidRDefault="00081CED" w:rsidP="00081CED">
      <w:pPr>
        <w:jc w:val="both"/>
        <w:rPr>
          <w:b/>
          <w:bCs/>
          <w:color w:val="000000" w:themeColor="text1"/>
          <w:sz w:val="24"/>
          <w:szCs w:val="24"/>
        </w:rPr>
      </w:pPr>
    </w:p>
    <w:p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f) con riferimento al requisito per la riserva di liquidità dell'aggregato di copertura, avvalersi delle facoltà di cui all'articolo </w:t>
      </w:r>
      <w:proofErr w:type="gramStart"/>
      <w:r w:rsidRPr="000D1215">
        <w:rPr>
          <w:b/>
          <w:bCs/>
          <w:color w:val="000000" w:themeColor="text1"/>
          <w:sz w:val="24"/>
          <w:szCs w:val="24"/>
        </w:rPr>
        <w:t>16</w:t>
      </w:r>
      <w:proofErr w:type="gramEnd"/>
      <w:r w:rsidRPr="000D1215">
        <w:rPr>
          <w:b/>
          <w:bCs/>
          <w:color w:val="000000" w:themeColor="text1"/>
          <w:sz w:val="24"/>
          <w:szCs w:val="24"/>
        </w:rPr>
        <w:t>, paragrafi 4 e 5, della direttiva (UE) 2019/2162;</w:t>
      </w:r>
    </w:p>
    <w:p w:rsidR="00081CED" w:rsidRPr="000D1215" w:rsidRDefault="00081CED" w:rsidP="00081CED">
      <w:pPr>
        <w:jc w:val="both"/>
        <w:rPr>
          <w:b/>
          <w:bCs/>
          <w:color w:val="000000" w:themeColor="text1"/>
          <w:sz w:val="24"/>
          <w:szCs w:val="24"/>
        </w:rPr>
      </w:pPr>
    </w:p>
    <w:p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g) con riferimento all'emissione di obbligazioni garantite con strutture delle scadenze estensibili, avvalersi della facoltà di cui all'articolo </w:t>
      </w:r>
      <w:proofErr w:type="gramStart"/>
      <w:r w:rsidRPr="000D1215">
        <w:rPr>
          <w:b/>
          <w:bCs/>
          <w:color w:val="000000" w:themeColor="text1"/>
          <w:sz w:val="24"/>
          <w:szCs w:val="24"/>
        </w:rPr>
        <w:t>17</w:t>
      </w:r>
      <w:proofErr w:type="gramEnd"/>
      <w:r w:rsidRPr="000D1215">
        <w:rPr>
          <w:b/>
          <w:bCs/>
          <w:color w:val="000000" w:themeColor="text1"/>
          <w:sz w:val="24"/>
          <w:szCs w:val="24"/>
        </w:rPr>
        <w:t xml:space="preserve"> della direttiva (UE) 2019/2162;</w:t>
      </w:r>
    </w:p>
    <w:p w:rsidR="00081CED" w:rsidRPr="000D1215" w:rsidRDefault="00081CED" w:rsidP="00081CED">
      <w:pPr>
        <w:jc w:val="both"/>
        <w:rPr>
          <w:b/>
          <w:bCs/>
          <w:color w:val="000000" w:themeColor="text1"/>
          <w:sz w:val="24"/>
          <w:szCs w:val="24"/>
        </w:rPr>
      </w:pPr>
    </w:p>
    <w:p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h) attribuire all'autorità competente per la vigilanza pubblica delle obbligazioni garantite la facoltà di esercitare l'</w:t>
      </w:r>
      <w:proofErr w:type="gramStart"/>
      <w:r w:rsidRPr="000D1215">
        <w:rPr>
          <w:b/>
          <w:bCs/>
          <w:color w:val="000000" w:themeColor="text1"/>
          <w:sz w:val="24"/>
          <w:szCs w:val="24"/>
        </w:rPr>
        <w:t>opzione</w:t>
      </w:r>
      <w:proofErr w:type="gramEnd"/>
      <w:r w:rsidRPr="000D1215">
        <w:rPr>
          <w:b/>
          <w:bCs/>
          <w:color w:val="000000" w:themeColor="text1"/>
          <w:sz w:val="24"/>
          <w:szCs w:val="24"/>
        </w:rPr>
        <w:t>, di cui all'articolo l del regolamento (UE) 2019/2160, di fissare per le obbligazioni garantite un livello minimo di eccesso di garanzia inferiore al livello fissato dal medesimo articolo;</w:t>
      </w:r>
    </w:p>
    <w:p w:rsidR="00081CED" w:rsidRPr="000D1215" w:rsidRDefault="00081CED" w:rsidP="00081CED">
      <w:pPr>
        <w:jc w:val="both"/>
        <w:rPr>
          <w:b/>
          <w:bCs/>
          <w:color w:val="000000" w:themeColor="text1"/>
          <w:sz w:val="24"/>
          <w:szCs w:val="24"/>
        </w:rPr>
      </w:pPr>
    </w:p>
    <w:p w:rsidR="00081CED" w:rsidRPr="000D1215" w:rsidRDefault="00081CED" w:rsidP="00081CED">
      <w:pPr>
        <w:jc w:val="both"/>
        <w:rPr>
          <w:b/>
          <w:bCs/>
          <w:color w:val="000000" w:themeColor="text1"/>
          <w:sz w:val="24"/>
          <w:szCs w:val="24"/>
        </w:rPr>
      </w:pPr>
      <w:r w:rsidRPr="000D1215">
        <w:rPr>
          <w:b/>
          <w:bCs/>
          <w:color w:val="000000" w:themeColor="text1"/>
          <w:sz w:val="24"/>
          <w:szCs w:val="24"/>
        </w:rPr>
        <w:t xml:space="preserve">           i) apportare alla normativa vigente e, in particolare, alla legge 30 aprile 1999, n. 130, </w:t>
      </w:r>
      <w:proofErr w:type="gramStart"/>
      <w:r w:rsidRPr="000D1215">
        <w:rPr>
          <w:b/>
          <w:bCs/>
          <w:color w:val="000000" w:themeColor="text1"/>
          <w:sz w:val="24"/>
          <w:szCs w:val="24"/>
        </w:rPr>
        <w:t>recante disposizioni</w:t>
      </w:r>
      <w:proofErr w:type="gramEnd"/>
      <w:r w:rsidRPr="000D1215">
        <w:rPr>
          <w:b/>
          <w:bCs/>
          <w:color w:val="000000" w:themeColor="text1"/>
          <w:sz w:val="24"/>
          <w:szCs w:val="24"/>
        </w:rPr>
        <w:t xml:space="preserve"> sulla cartolarizzazione dei crediti, le modifiche e le integrazioni necessarie per coordinare le disposizioni in materia di obbligazioni garantite da crediti nei confronti di piccole medie e imprese con il quadro normativo armonizzato per le obbligazioni garantite europee.</w:t>
      </w:r>
    </w:p>
    <w:p w:rsidR="00081CED" w:rsidRPr="000D1215" w:rsidRDefault="00081CED" w:rsidP="00081CED">
      <w:pPr>
        <w:jc w:val="both"/>
        <w:rPr>
          <w:b/>
          <w:bCs/>
          <w:color w:val="000000" w:themeColor="text1"/>
          <w:sz w:val="24"/>
          <w:szCs w:val="24"/>
        </w:rPr>
      </w:pPr>
    </w:p>
    <w:p w:rsidR="00081CED" w:rsidRDefault="00081CED" w:rsidP="00081CED">
      <w:pPr>
        <w:jc w:val="both"/>
        <w:rPr>
          <w:b/>
          <w:bCs/>
          <w:color w:val="000000" w:themeColor="text1"/>
          <w:sz w:val="24"/>
          <w:szCs w:val="24"/>
        </w:rPr>
      </w:pPr>
      <w:r w:rsidRPr="000D1215">
        <w:rPr>
          <w:b/>
          <w:bCs/>
          <w:color w:val="000000" w:themeColor="text1"/>
          <w:sz w:val="24"/>
          <w:szCs w:val="24"/>
        </w:rPr>
        <w:t xml:space="preserve">        2. Dall'attuazione del presente articolo non </w:t>
      </w:r>
      <w:proofErr w:type="gramStart"/>
      <w:r w:rsidRPr="000D1215">
        <w:rPr>
          <w:b/>
          <w:bCs/>
          <w:color w:val="000000" w:themeColor="text1"/>
          <w:sz w:val="24"/>
          <w:szCs w:val="24"/>
        </w:rPr>
        <w:t>devono</w:t>
      </w:r>
      <w:proofErr w:type="gramEnd"/>
      <w:r w:rsidRPr="000D1215">
        <w:rPr>
          <w:b/>
          <w:bCs/>
          <w:color w:val="000000" w:themeColor="text1"/>
          <w:sz w:val="24"/>
          <w:szCs w:val="24"/>
        </w:rPr>
        <w:t xml:space="preserve"> derivare nuovi o maggiori oneri a carico della finanza pubblica. Le amministrazioni interessate provvedono all'adempimento dei compiti derivanti dall'esercizio della delega </w:t>
      </w:r>
      <w:proofErr w:type="gramStart"/>
      <w:r w:rsidRPr="000D1215">
        <w:rPr>
          <w:b/>
          <w:bCs/>
          <w:color w:val="000000" w:themeColor="text1"/>
          <w:sz w:val="24"/>
          <w:szCs w:val="24"/>
        </w:rPr>
        <w:t>di</w:t>
      </w:r>
      <w:proofErr w:type="gramEnd"/>
      <w:r w:rsidRPr="000D1215">
        <w:rPr>
          <w:b/>
          <w:bCs/>
          <w:color w:val="000000" w:themeColor="text1"/>
          <w:sz w:val="24"/>
          <w:szCs w:val="24"/>
        </w:rPr>
        <w:t xml:space="preserve"> cui al presente articolo con le risorse umane, strumentali e finanziarie disponibili a legislazione vigente.</w:t>
      </w:r>
      <w:r>
        <w:rPr>
          <w:rStyle w:val="Rimandonotaapidipagina"/>
          <w:b/>
          <w:bCs/>
          <w:color w:val="000000" w:themeColor="text1"/>
          <w:sz w:val="24"/>
          <w:szCs w:val="24"/>
        </w:rPr>
        <w:footnoteReference w:id="99"/>
      </w:r>
    </w:p>
    <w:p w:rsidR="0001790C" w:rsidRPr="00665678" w:rsidRDefault="0001790C" w:rsidP="0001790C">
      <w:pPr>
        <w:jc w:val="center"/>
        <w:rPr>
          <w:b/>
          <w:bCs/>
          <w:color w:val="000000" w:themeColor="text1"/>
          <w:sz w:val="24"/>
          <w:szCs w:val="24"/>
        </w:rPr>
      </w:pPr>
      <w:r w:rsidRPr="00665678">
        <w:rPr>
          <w:b/>
          <w:bCs/>
          <w:color w:val="000000" w:themeColor="text1"/>
          <w:sz w:val="24"/>
          <w:szCs w:val="24"/>
        </w:rPr>
        <w:t>Art. 20-bis.</w:t>
      </w:r>
    </w:p>
    <w:p w:rsidR="0001790C" w:rsidRPr="00665678" w:rsidRDefault="0001790C" w:rsidP="0001790C">
      <w:pPr>
        <w:jc w:val="center"/>
        <w:rPr>
          <w:b/>
          <w:bCs/>
          <w:color w:val="000000" w:themeColor="text1"/>
          <w:sz w:val="24"/>
          <w:szCs w:val="24"/>
        </w:rPr>
      </w:pPr>
    </w:p>
    <w:p w:rsidR="0001790C" w:rsidRPr="00665678" w:rsidRDefault="0001790C" w:rsidP="0001790C">
      <w:pPr>
        <w:jc w:val="center"/>
        <w:rPr>
          <w:b/>
          <w:bCs/>
          <w:color w:val="000000" w:themeColor="text1"/>
          <w:sz w:val="24"/>
          <w:szCs w:val="24"/>
        </w:rPr>
      </w:pPr>
      <w:r w:rsidRPr="00665678">
        <w:rPr>
          <w:b/>
          <w:bCs/>
          <w:color w:val="000000" w:themeColor="text1"/>
          <w:sz w:val="24"/>
          <w:szCs w:val="24"/>
        </w:rPr>
        <w:t xml:space="preserve">(Principi e criteri direttivi per l'attuazione della direttiva (UE) 2019/2034 del Parlamento europeo e del Consiglio, del 27 novembre 2019, relativa alla vigilanza prudenziale sulle imprese </w:t>
      </w:r>
      <w:proofErr w:type="gramStart"/>
      <w:r w:rsidRPr="00665678">
        <w:rPr>
          <w:b/>
          <w:bCs/>
          <w:color w:val="000000" w:themeColor="text1"/>
          <w:sz w:val="24"/>
          <w:szCs w:val="24"/>
        </w:rPr>
        <w:t xml:space="preserve">di </w:t>
      </w:r>
      <w:proofErr w:type="gramEnd"/>
      <w:r w:rsidRPr="00665678">
        <w:rPr>
          <w:b/>
          <w:bCs/>
          <w:color w:val="000000" w:themeColor="text1"/>
          <w:sz w:val="24"/>
          <w:szCs w:val="24"/>
        </w:rPr>
        <w:t xml:space="preserve">investimento </w:t>
      </w:r>
      <w:r w:rsidRPr="00665678">
        <w:rPr>
          <w:b/>
          <w:bCs/>
          <w:color w:val="000000" w:themeColor="text1"/>
          <w:sz w:val="24"/>
          <w:szCs w:val="24"/>
        </w:rPr>
        <w:lastRenderedPageBreak/>
        <w:t>e recante modifica delle direttive 2002/87/CE, 2009/65/CE, 2011/61/UE, 2013/36/UE, 2014/59/UE e 2014/65/UE e per l'adeguamento della normativa nazionale alle disposizioni del regolamento (UE) 2019/2033 del Parlamento europeo e del Consiglio, del 27 novembre 2019, relativo ai requisiti prudenziali delle imprese di investimento e che modifica i regolamenti (UE) n. 1093/2010, (UE) n. 575/2013, (UE) n. 600/2014 e (UE) n. 806/2014)</w:t>
      </w:r>
    </w:p>
    <w:p w:rsidR="0001790C" w:rsidRPr="00665678" w:rsidRDefault="0001790C" w:rsidP="0001790C">
      <w:pPr>
        <w:jc w:val="both"/>
        <w:rPr>
          <w:b/>
          <w:bCs/>
          <w:color w:val="000000" w:themeColor="text1"/>
          <w:sz w:val="24"/>
          <w:szCs w:val="24"/>
        </w:rPr>
      </w:pPr>
    </w:p>
    <w:p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1. Nell'esercizio della delega per l'attuazione della direttiva (UE) 2019/2034 del Parlamento europeo e del Consiglio, del 27 novembre 2019, e per l'adeguamento della normativa nazionale al regolamento (UE) 2019/2033 del Parlamento europeo e del Consiglio, del 27 novembre 2019, il Governo osserva, oltre ai principi e criteri direttivi generali di cui all'articolo </w:t>
      </w:r>
      <w:proofErr w:type="gramStart"/>
      <w:r w:rsidRPr="00665678">
        <w:rPr>
          <w:b/>
          <w:bCs/>
          <w:color w:val="000000" w:themeColor="text1"/>
          <w:sz w:val="24"/>
          <w:szCs w:val="24"/>
        </w:rPr>
        <w:t>32</w:t>
      </w:r>
      <w:proofErr w:type="gramEnd"/>
      <w:r w:rsidRPr="00665678">
        <w:rPr>
          <w:b/>
          <w:bCs/>
          <w:color w:val="000000" w:themeColor="text1"/>
          <w:sz w:val="24"/>
          <w:szCs w:val="24"/>
        </w:rPr>
        <w:t xml:space="preserve"> della legge n. 234 del 2012, anche i seguenti princìpi e criteri direttivi specifici:</w:t>
      </w:r>
    </w:p>
    <w:p w:rsidR="0001790C" w:rsidRPr="00665678" w:rsidRDefault="0001790C" w:rsidP="0001790C">
      <w:pPr>
        <w:jc w:val="both"/>
        <w:rPr>
          <w:b/>
          <w:bCs/>
          <w:color w:val="000000" w:themeColor="text1"/>
          <w:sz w:val="24"/>
          <w:szCs w:val="24"/>
        </w:rPr>
      </w:pPr>
    </w:p>
    <w:p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a) apportare alla normativa vigente e, in particolare, al testo unico delle leggi in materia bancaria e creditizia, di cui al decreto legislativo 1° settembre 1993, n. 385, e al testo unico delle disposizioni in materia </w:t>
      </w:r>
      <w:proofErr w:type="gramStart"/>
      <w:r w:rsidRPr="00665678">
        <w:rPr>
          <w:b/>
          <w:bCs/>
          <w:color w:val="000000" w:themeColor="text1"/>
          <w:sz w:val="24"/>
          <w:szCs w:val="24"/>
        </w:rPr>
        <w:t xml:space="preserve">di </w:t>
      </w:r>
      <w:proofErr w:type="gramEnd"/>
      <w:r w:rsidRPr="00665678">
        <w:rPr>
          <w:b/>
          <w:bCs/>
          <w:color w:val="000000" w:themeColor="text1"/>
          <w:sz w:val="24"/>
          <w:szCs w:val="24"/>
        </w:rPr>
        <w:t>intermediazione finanziaria, di cui al decreto legislativo 24 febbraio 1998, n. 58, le modifiche e le integrazioni necessarie per il corretto e integrale recepimento della direttiva (UE) 2019/2034 del Parlamento europeo e del Consiglio, del 27 novembre 2019, e per l'applicazione del regolamento (UE) 2019/2033 del Parlamento europeo e del Consiglio, del 27 novembre 2019, nonché delle pertinenti norme tecniche di regolamentazione e di attuazione della direttiva e del regolamento, tenendo conto, ove opportuno, degli orientamenti delle Autorità di vigilanza europee;</w:t>
      </w:r>
    </w:p>
    <w:p w:rsidR="0001790C" w:rsidRPr="00665678" w:rsidRDefault="0001790C" w:rsidP="0001790C">
      <w:pPr>
        <w:jc w:val="both"/>
        <w:rPr>
          <w:b/>
          <w:bCs/>
          <w:color w:val="000000" w:themeColor="text1"/>
          <w:sz w:val="24"/>
          <w:szCs w:val="24"/>
        </w:rPr>
      </w:pPr>
    </w:p>
    <w:p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b) per le imprese che si </w:t>
      </w:r>
      <w:proofErr w:type="gramStart"/>
      <w:r w:rsidRPr="00665678">
        <w:rPr>
          <w:b/>
          <w:bCs/>
          <w:color w:val="000000" w:themeColor="text1"/>
          <w:sz w:val="24"/>
          <w:szCs w:val="24"/>
        </w:rPr>
        <w:t>qualificano</w:t>
      </w:r>
      <w:proofErr w:type="gramEnd"/>
      <w:r w:rsidRPr="00665678">
        <w:rPr>
          <w:b/>
          <w:bCs/>
          <w:color w:val="000000" w:themeColor="text1"/>
          <w:sz w:val="24"/>
          <w:szCs w:val="24"/>
        </w:rPr>
        <w:t xml:space="preserve"> come enti creditizi ai sensi della lettera b) dell'articolo 4, paragrafo 1, punto 1, del regolamento (UE) n. 575/2013, come modificato dal regolamento (UE) 2019/2033, prevedere disposizioni in materia di autorizzazione, vigilanza prudenziale e gestione delle crisi, secondo quanto previsto dalla direttiva 2013/36/UE, dal regolamento (UE) n. 575/2013 e dalla direttiva 2014/59/UE, nonché dalle disposizioni del Meccanismo di Vigilanza Unico e del Meccanismo di Risoluzione Unico, tenuto conto del riparto di competenze tra la Banca Centrale Europea e la Banca d'Italia previsto dal regolamento (UE) n. 1024/2013 e dagli articoli 6 e 6-bis del citato testo unico di cui al decreto legislativo n. 385 del 1993, del riparto di competenze tra il Comitato di Risoluzione Unico e la Banca d'Italia ai sensi del regolamento (UE) n. 806/2014 e del decreto legislativo 16 </w:t>
      </w:r>
      <w:r w:rsidRPr="00665678">
        <w:rPr>
          <w:b/>
          <w:bCs/>
          <w:color w:val="000000" w:themeColor="text1"/>
          <w:sz w:val="24"/>
          <w:szCs w:val="24"/>
        </w:rPr>
        <w:lastRenderedPageBreak/>
        <w:t>novembre 2015, n. 180, nonché delle competenze e dei poteri riservati alla CONSOB secondo le attribuzioni e le finalità previste dal testo unico di cui al decreto legislativo n. 58 del 1998;</w:t>
      </w:r>
    </w:p>
    <w:p w:rsidR="0001790C" w:rsidRPr="00665678" w:rsidRDefault="0001790C" w:rsidP="0001790C">
      <w:pPr>
        <w:jc w:val="both"/>
        <w:rPr>
          <w:b/>
          <w:bCs/>
          <w:color w:val="000000" w:themeColor="text1"/>
          <w:sz w:val="24"/>
          <w:szCs w:val="24"/>
        </w:rPr>
      </w:pPr>
    </w:p>
    <w:p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c) prevedere, ove opportuno, il ricorso alla disciplina secondaria adottata dalla Banca d'Italia e dalla CONSOB che, nell'esercizio dei rispettivi poteri regolamentari e secondo le </w:t>
      </w:r>
      <w:proofErr w:type="gramStart"/>
      <w:r w:rsidRPr="00665678">
        <w:rPr>
          <w:b/>
          <w:bCs/>
          <w:color w:val="000000" w:themeColor="text1"/>
          <w:sz w:val="24"/>
          <w:szCs w:val="24"/>
        </w:rPr>
        <w:t>rispettive</w:t>
      </w:r>
      <w:proofErr w:type="gramEnd"/>
      <w:r w:rsidRPr="00665678">
        <w:rPr>
          <w:b/>
          <w:bCs/>
          <w:color w:val="000000" w:themeColor="text1"/>
          <w:sz w:val="24"/>
          <w:szCs w:val="24"/>
        </w:rPr>
        <w:t xml:space="preserve"> attribuzioni e finalità indicate nel citato testo unico di cui al decreto legislativo n. 385 del 1993 e nel citato testo unico di cui al decreto legislativo n. 58 del 1998, tengono conto degli orientamenti emanati dalle Autorità di vigilanza europee;</w:t>
      </w:r>
    </w:p>
    <w:p w:rsidR="0001790C" w:rsidRPr="00665678" w:rsidRDefault="0001790C" w:rsidP="0001790C">
      <w:pPr>
        <w:jc w:val="both"/>
        <w:rPr>
          <w:b/>
          <w:bCs/>
          <w:color w:val="000000" w:themeColor="text1"/>
          <w:sz w:val="24"/>
          <w:szCs w:val="24"/>
        </w:rPr>
      </w:pPr>
    </w:p>
    <w:p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d) designare la Banca d'Italia e la CONSOB quali autorità competenti ai sensi dell'articolo </w:t>
      </w:r>
      <w:proofErr w:type="gramStart"/>
      <w:r w:rsidRPr="00665678">
        <w:rPr>
          <w:b/>
          <w:bCs/>
          <w:color w:val="000000" w:themeColor="text1"/>
          <w:sz w:val="24"/>
          <w:szCs w:val="24"/>
        </w:rPr>
        <w:t>4</w:t>
      </w:r>
      <w:proofErr w:type="gramEnd"/>
      <w:r w:rsidRPr="00665678">
        <w:rPr>
          <w:b/>
          <w:bCs/>
          <w:color w:val="000000" w:themeColor="text1"/>
          <w:sz w:val="24"/>
          <w:szCs w:val="24"/>
        </w:rPr>
        <w:t xml:space="preserve"> della direttiva (UE) 2019/2034, per l'esercizio delle funzioni e dei poteri previsti dalla stessa direttiva e dal regolamento (UE) 2019/2033, sulle imprese diverse da quelle di cui alla lettera b), secondo le rispettive attribuzioni e finalità indicate dal citato testo unico di cui al decreto legislativo n. 58 del 1998;</w:t>
      </w:r>
    </w:p>
    <w:p w:rsidR="0001790C" w:rsidRPr="00665678" w:rsidRDefault="0001790C" w:rsidP="0001790C">
      <w:pPr>
        <w:jc w:val="both"/>
        <w:rPr>
          <w:b/>
          <w:bCs/>
          <w:color w:val="000000" w:themeColor="text1"/>
          <w:sz w:val="24"/>
          <w:szCs w:val="24"/>
        </w:rPr>
      </w:pPr>
    </w:p>
    <w:p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e) designare la Banca d'Italia quale autorità competente a decidere sull'applicazione alle imprese </w:t>
      </w:r>
      <w:proofErr w:type="gramStart"/>
      <w:r w:rsidRPr="00665678">
        <w:rPr>
          <w:b/>
          <w:bCs/>
          <w:color w:val="000000" w:themeColor="text1"/>
          <w:sz w:val="24"/>
          <w:szCs w:val="24"/>
        </w:rPr>
        <w:t xml:space="preserve">di </w:t>
      </w:r>
      <w:proofErr w:type="gramEnd"/>
      <w:r w:rsidRPr="00665678">
        <w:rPr>
          <w:b/>
          <w:bCs/>
          <w:color w:val="000000" w:themeColor="text1"/>
          <w:sz w:val="24"/>
          <w:szCs w:val="24"/>
        </w:rPr>
        <w:t>investimento delle norme della direttiva 2013/36/UE e del regolamento (UE) n. 575/2013, secondo quanto previsto dall'articolo 5 della direttiva (UE) 2019/2034 e dall'articolo 1, paragrafo 5, del regolamento (UE) 2019/2033, prevedendo adeguate forme di coordinamento con la CONSOB nel rispetto delle attribuzioni e finalità indicate dal citato testo unico di cui al decreto legislativo n. 58 del 1998;</w:t>
      </w:r>
    </w:p>
    <w:p w:rsidR="0001790C" w:rsidRPr="00665678" w:rsidRDefault="0001790C" w:rsidP="0001790C">
      <w:pPr>
        <w:jc w:val="both"/>
        <w:rPr>
          <w:b/>
          <w:bCs/>
          <w:color w:val="000000" w:themeColor="text1"/>
          <w:sz w:val="24"/>
          <w:szCs w:val="24"/>
        </w:rPr>
      </w:pPr>
    </w:p>
    <w:p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f) confermare la Banca d'Italia quale autorità competente </w:t>
      </w:r>
      <w:proofErr w:type="gramStart"/>
      <w:r w:rsidRPr="00665678">
        <w:rPr>
          <w:b/>
          <w:bCs/>
          <w:color w:val="000000" w:themeColor="text1"/>
          <w:sz w:val="24"/>
          <w:szCs w:val="24"/>
        </w:rPr>
        <w:t>ad</w:t>
      </w:r>
      <w:proofErr w:type="gramEnd"/>
      <w:r w:rsidRPr="00665678">
        <w:rPr>
          <w:b/>
          <w:bCs/>
          <w:color w:val="000000" w:themeColor="text1"/>
          <w:sz w:val="24"/>
          <w:szCs w:val="24"/>
        </w:rPr>
        <w:t xml:space="preserve"> esercitare, ove opportuno, le discrezionalità in materia di politiche e prassi di remunerazione per le imprese di investimento previste dall'articolo 32 della direttiva (UE) 2019/2034 e rimesse agli Stati membri;</w:t>
      </w:r>
    </w:p>
    <w:p w:rsidR="0001790C" w:rsidRPr="00665678" w:rsidRDefault="0001790C" w:rsidP="0001790C">
      <w:pPr>
        <w:jc w:val="both"/>
        <w:rPr>
          <w:b/>
          <w:bCs/>
          <w:color w:val="000000" w:themeColor="text1"/>
          <w:sz w:val="24"/>
          <w:szCs w:val="24"/>
        </w:rPr>
      </w:pPr>
    </w:p>
    <w:p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g) con riferimento alla disciplina delle imprese di Paesi terzi che prestano servizi e attività </w:t>
      </w:r>
      <w:proofErr w:type="gramStart"/>
      <w:r w:rsidRPr="00665678">
        <w:rPr>
          <w:b/>
          <w:bCs/>
          <w:color w:val="000000" w:themeColor="text1"/>
          <w:sz w:val="24"/>
          <w:szCs w:val="24"/>
        </w:rPr>
        <w:t xml:space="preserve">di </w:t>
      </w:r>
      <w:proofErr w:type="gramEnd"/>
      <w:r w:rsidRPr="00665678">
        <w:rPr>
          <w:b/>
          <w:bCs/>
          <w:color w:val="000000" w:themeColor="text1"/>
          <w:sz w:val="24"/>
          <w:szCs w:val="24"/>
        </w:rPr>
        <w:t xml:space="preserve">investimento con o senza stabilimento di succursale, apportare alla normativa nazionale di recepimento della direttiva 2014/65/UE e di attuazione del regolamento (UE) n. 600/2014, contenuta </w:t>
      </w:r>
      <w:r w:rsidRPr="00665678">
        <w:rPr>
          <w:b/>
          <w:bCs/>
          <w:color w:val="000000" w:themeColor="text1"/>
          <w:sz w:val="24"/>
          <w:szCs w:val="24"/>
        </w:rPr>
        <w:lastRenderedPageBreak/>
        <w:t>nel testo unico di cui al decreto legislativo n. 58 del 1998, le modifiche e le integrazioni necessarie alla corretta e integrale applicazione della direttiva (UE) 2019/2034 e del regolamento (UE) 2019/2033, prevedendo il ricorso alla disciplina secondaria adottata, secondo le rispettive attribuzioni, dalla CONSOB e dalla Banca d'Italia, nell'ambito di quanto già sancito dagli articoli 28 e 29-ter del citato testo unico; confermare l'attribuzione alle anzidette Autorità dei poteri e delle competenze di vigilanza previsti con riguardo alle imprese di Paesi terzi dalla direttiva 2014/65/UE, come modificata dalla direttiva (UE) 2019/2034, e dal regolamento (UE) n. 600/2014, come modificato dal regolamento (UE) 2019/2033, ivi inclusi i poteri di controllo e di intervento sui prodotti di cui al Titolo VII, Capo I, del citato regolamento (UE) n. 600/2014, in coerenza con il generale riparto di attribuzioni previsto a legislazione vigente;</w:t>
      </w:r>
    </w:p>
    <w:p w:rsidR="0001790C" w:rsidRPr="00665678" w:rsidRDefault="0001790C" w:rsidP="0001790C">
      <w:pPr>
        <w:jc w:val="both"/>
        <w:rPr>
          <w:b/>
          <w:bCs/>
          <w:color w:val="000000" w:themeColor="text1"/>
          <w:sz w:val="24"/>
          <w:szCs w:val="24"/>
        </w:rPr>
      </w:pPr>
    </w:p>
    <w:p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h) apportare le opportune modifiche alla disciplina delle sanzioni amministrative di cui al titolo VIII del citato testo unico di cui al decreto legislativo n. 385 del 1993 e alla Parte V, Titolo II, del citato testo unico di cui al decreto legislativo n. 58 del 1998, per attribuire alla Banca d'Italia e alla CONSOB, secondo le rispettive competenze e finalità previste dai citati testi unici, il potere di applicare le sanzioni e le misure amministrative ivi previste per le violazioni delle disposizioni dettate in attuazione della direttiva (UE) 2019/2034, di quelle del regolamento (UE) 2019/2033, delle relative disposizioni di attuazione, </w:t>
      </w:r>
      <w:proofErr w:type="gramStart"/>
      <w:r w:rsidRPr="00665678">
        <w:rPr>
          <w:b/>
          <w:bCs/>
          <w:color w:val="000000" w:themeColor="text1"/>
          <w:sz w:val="24"/>
          <w:szCs w:val="24"/>
        </w:rPr>
        <w:t>nonché</w:t>
      </w:r>
      <w:proofErr w:type="gramEnd"/>
      <w:r w:rsidRPr="00665678">
        <w:rPr>
          <w:b/>
          <w:bCs/>
          <w:color w:val="000000" w:themeColor="text1"/>
          <w:sz w:val="24"/>
          <w:szCs w:val="24"/>
        </w:rPr>
        <w:t xml:space="preserve"> delle disposizioni emanate in attuazione del presente articolo, nel rispetto dei criteri, dei limiti e delle procedure previste dalle disposizioni nazionali vigenti che disciplinano l'esercizio del potere sanzionatorio da parte delle autorità competenti a irrogarle;</w:t>
      </w:r>
    </w:p>
    <w:p w:rsidR="0001790C" w:rsidRPr="00665678" w:rsidRDefault="0001790C" w:rsidP="0001790C">
      <w:pPr>
        <w:jc w:val="both"/>
        <w:rPr>
          <w:b/>
          <w:bCs/>
          <w:color w:val="000000" w:themeColor="text1"/>
          <w:sz w:val="24"/>
          <w:szCs w:val="24"/>
        </w:rPr>
      </w:pPr>
    </w:p>
    <w:p w:rsidR="0001790C" w:rsidRPr="00665678" w:rsidRDefault="0001790C" w:rsidP="0001790C">
      <w:pPr>
        <w:jc w:val="both"/>
        <w:rPr>
          <w:b/>
          <w:bCs/>
          <w:color w:val="000000" w:themeColor="text1"/>
          <w:sz w:val="24"/>
          <w:szCs w:val="24"/>
        </w:rPr>
      </w:pPr>
      <w:r w:rsidRPr="00665678">
        <w:rPr>
          <w:b/>
          <w:bCs/>
          <w:color w:val="000000" w:themeColor="text1"/>
          <w:sz w:val="24"/>
          <w:szCs w:val="24"/>
        </w:rPr>
        <w:t xml:space="preserve">        2. Dall'attuazione del presente articolo non </w:t>
      </w:r>
      <w:proofErr w:type="gramStart"/>
      <w:r w:rsidRPr="00665678">
        <w:rPr>
          <w:b/>
          <w:bCs/>
          <w:color w:val="000000" w:themeColor="text1"/>
          <w:sz w:val="24"/>
          <w:szCs w:val="24"/>
        </w:rPr>
        <w:t>devono</w:t>
      </w:r>
      <w:proofErr w:type="gramEnd"/>
      <w:r w:rsidRPr="00665678">
        <w:rPr>
          <w:b/>
          <w:bCs/>
          <w:color w:val="000000" w:themeColor="text1"/>
          <w:sz w:val="24"/>
          <w:szCs w:val="24"/>
        </w:rPr>
        <w:t xml:space="preserve"> derivare nuovi o maggiori oneri a carico della finanza pubblica. Le amministrazioni interessate provvedono all'adempimento dei compiti derivanti dall'esercizio della delega </w:t>
      </w:r>
      <w:proofErr w:type="gramStart"/>
      <w:r w:rsidRPr="00665678">
        <w:rPr>
          <w:b/>
          <w:bCs/>
          <w:color w:val="000000" w:themeColor="text1"/>
          <w:sz w:val="24"/>
          <w:szCs w:val="24"/>
        </w:rPr>
        <w:t>di</w:t>
      </w:r>
      <w:proofErr w:type="gramEnd"/>
      <w:r w:rsidRPr="00665678">
        <w:rPr>
          <w:b/>
          <w:bCs/>
          <w:color w:val="000000" w:themeColor="text1"/>
          <w:sz w:val="24"/>
          <w:szCs w:val="24"/>
        </w:rPr>
        <w:t xml:space="preserve"> cui al presente articolo con le risorse umane, strumentali e finanziarie disponibili a legislazione vigente.</w:t>
      </w:r>
      <w:r>
        <w:rPr>
          <w:rStyle w:val="Rimandonotaapidipagina"/>
          <w:b/>
          <w:bCs/>
          <w:color w:val="000000" w:themeColor="text1"/>
          <w:sz w:val="24"/>
          <w:szCs w:val="24"/>
        </w:rPr>
        <w:footnoteReference w:id="100"/>
      </w:r>
    </w:p>
    <w:p w:rsidR="0001790C" w:rsidRPr="008A028B" w:rsidRDefault="0001790C" w:rsidP="0001790C">
      <w:pPr>
        <w:jc w:val="center"/>
        <w:rPr>
          <w:b/>
          <w:bCs/>
          <w:color w:val="000000" w:themeColor="text1"/>
          <w:sz w:val="24"/>
          <w:szCs w:val="24"/>
        </w:rPr>
      </w:pPr>
      <w:r w:rsidRPr="008A028B">
        <w:rPr>
          <w:b/>
          <w:bCs/>
          <w:color w:val="000000" w:themeColor="text1"/>
          <w:sz w:val="24"/>
          <w:szCs w:val="24"/>
        </w:rPr>
        <w:t>Art. 20-bis.</w:t>
      </w:r>
    </w:p>
    <w:p w:rsidR="0001790C" w:rsidRPr="008A028B" w:rsidRDefault="0001790C" w:rsidP="0001790C">
      <w:pPr>
        <w:jc w:val="center"/>
        <w:rPr>
          <w:b/>
          <w:bCs/>
          <w:color w:val="000000" w:themeColor="text1"/>
          <w:sz w:val="24"/>
          <w:szCs w:val="24"/>
        </w:rPr>
      </w:pPr>
    </w:p>
    <w:p w:rsidR="0001790C" w:rsidRPr="008A028B" w:rsidRDefault="0001790C" w:rsidP="0001790C">
      <w:pPr>
        <w:jc w:val="center"/>
        <w:rPr>
          <w:b/>
          <w:bCs/>
          <w:color w:val="000000" w:themeColor="text1"/>
          <w:sz w:val="24"/>
          <w:szCs w:val="24"/>
        </w:rPr>
      </w:pPr>
      <w:r w:rsidRPr="008A028B">
        <w:rPr>
          <w:b/>
          <w:bCs/>
          <w:color w:val="000000" w:themeColor="text1"/>
          <w:sz w:val="24"/>
          <w:szCs w:val="24"/>
        </w:rPr>
        <w:t xml:space="preserve">(Principi e criteri direttivi per l'attuazione della direttiva (UE) 2019/1159 del Parlamento europeo e del Consiglio, del 20 giugno 2019, recante modifica della direttiva 2008/106/CE concernente i requisiti </w:t>
      </w:r>
      <w:r w:rsidRPr="008A028B">
        <w:rPr>
          <w:b/>
          <w:bCs/>
          <w:color w:val="000000" w:themeColor="text1"/>
          <w:sz w:val="24"/>
          <w:szCs w:val="24"/>
        </w:rPr>
        <w:lastRenderedPageBreak/>
        <w:t>minimi di formazione per la gente di mare e che abroga la direttiva 2005/45/CE riguardante il reciproco riconoscimento dei certificati rilasciati dagli Stati membri alla gente di mare</w:t>
      </w:r>
      <w:proofErr w:type="gramStart"/>
      <w:r w:rsidRPr="008A028B">
        <w:rPr>
          <w:b/>
          <w:bCs/>
          <w:color w:val="000000" w:themeColor="text1"/>
          <w:sz w:val="24"/>
          <w:szCs w:val="24"/>
        </w:rPr>
        <w:t>)</w:t>
      </w:r>
      <w:proofErr w:type="gramEnd"/>
    </w:p>
    <w:p w:rsidR="0001790C" w:rsidRPr="008A028B" w:rsidRDefault="0001790C" w:rsidP="0001790C">
      <w:pPr>
        <w:jc w:val="both"/>
        <w:rPr>
          <w:b/>
          <w:bCs/>
          <w:color w:val="000000" w:themeColor="text1"/>
          <w:sz w:val="24"/>
          <w:szCs w:val="24"/>
        </w:rPr>
      </w:pPr>
    </w:p>
    <w:p w:rsidR="0001790C" w:rsidRPr="008A028B" w:rsidRDefault="0001790C" w:rsidP="0001790C">
      <w:pPr>
        <w:jc w:val="both"/>
        <w:rPr>
          <w:b/>
          <w:bCs/>
          <w:color w:val="000000" w:themeColor="text1"/>
          <w:sz w:val="24"/>
          <w:szCs w:val="24"/>
        </w:rPr>
      </w:pPr>
      <w:r w:rsidRPr="008A028B">
        <w:rPr>
          <w:b/>
          <w:bCs/>
          <w:color w:val="000000" w:themeColor="text1"/>
          <w:sz w:val="24"/>
          <w:szCs w:val="24"/>
        </w:rPr>
        <w:t xml:space="preserve">        1. Nell'esercizio della delega per l'attuazione della direttiva (UE) 2019/1159 del Parlamento europeo e del Consiglio, del 20 giugno 2019, il Governo osserva, oltre ai principi e criteri direttivi generali di cui all'articolo </w:t>
      </w:r>
      <w:proofErr w:type="gramStart"/>
      <w:r w:rsidRPr="008A028B">
        <w:rPr>
          <w:b/>
          <w:bCs/>
          <w:color w:val="000000" w:themeColor="text1"/>
          <w:sz w:val="24"/>
          <w:szCs w:val="24"/>
        </w:rPr>
        <w:t>32</w:t>
      </w:r>
      <w:proofErr w:type="gramEnd"/>
      <w:r w:rsidRPr="008A028B">
        <w:rPr>
          <w:b/>
          <w:bCs/>
          <w:color w:val="000000" w:themeColor="text1"/>
          <w:sz w:val="24"/>
          <w:szCs w:val="24"/>
        </w:rPr>
        <w:t xml:space="preserve"> della legge n. 234 del 2012, anche i seguenti principi e criteri direttivi specifici:</w:t>
      </w:r>
    </w:p>
    <w:p w:rsidR="0001790C" w:rsidRPr="008A028B" w:rsidRDefault="0001790C" w:rsidP="0001790C">
      <w:pPr>
        <w:jc w:val="both"/>
        <w:rPr>
          <w:b/>
          <w:bCs/>
          <w:color w:val="000000" w:themeColor="text1"/>
          <w:sz w:val="24"/>
          <w:szCs w:val="24"/>
        </w:rPr>
      </w:pPr>
    </w:p>
    <w:p w:rsidR="0001790C" w:rsidRPr="008A028B" w:rsidRDefault="0001790C" w:rsidP="0001790C">
      <w:pPr>
        <w:jc w:val="both"/>
        <w:rPr>
          <w:b/>
          <w:bCs/>
          <w:color w:val="000000" w:themeColor="text1"/>
          <w:sz w:val="24"/>
          <w:szCs w:val="24"/>
        </w:rPr>
      </w:pPr>
      <w:r w:rsidRPr="008A028B">
        <w:rPr>
          <w:b/>
          <w:bCs/>
          <w:color w:val="000000" w:themeColor="text1"/>
          <w:sz w:val="24"/>
          <w:szCs w:val="24"/>
        </w:rPr>
        <w:t xml:space="preserve">            a) introdurre le definizioni di «acque protette» e di «acque adiacenti alle acque protette», ai fini della concreta identificazione delle navi adibite alla navigazione marittima, alla gente di mare a bordo </w:t>
      </w:r>
      <w:proofErr w:type="gramStart"/>
      <w:r w:rsidRPr="008A028B">
        <w:rPr>
          <w:b/>
          <w:bCs/>
          <w:color w:val="000000" w:themeColor="text1"/>
          <w:sz w:val="24"/>
          <w:szCs w:val="24"/>
        </w:rPr>
        <w:t>delle quali</w:t>
      </w:r>
      <w:proofErr w:type="gramEnd"/>
      <w:r w:rsidRPr="008A028B">
        <w:rPr>
          <w:b/>
          <w:bCs/>
          <w:color w:val="000000" w:themeColor="text1"/>
          <w:sz w:val="24"/>
          <w:szCs w:val="24"/>
        </w:rPr>
        <w:t xml:space="preserve"> soltanto si applica la direttiva 2008/106/CE e definite da tale direttiva quali navi diverse da quelle che navigano esclusivamente nelle acque interne, nelle acque protette o nelle acque adiacenti alle acque protette od alle zone in cui si applicano i regolamenti portuali.</w:t>
      </w:r>
    </w:p>
    <w:p w:rsidR="0001790C" w:rsidRPr="008A028B" w:rsidRDefault="0001790C" w:rsidP="0001790C">
      <w:pPr>
        <w:jc w:val="both"/>
        <w:rPr>
          <w:b/>
          <w:bCs/>
          <w:color w:val="000000" w:themeColor="text1"/>
          <w:sz w:val="24"/>
          <w:szCs w:val="24"/>
        </w:rPr>
      </w:pPr>
    </w:p>
    <w:p w:rsidR="0001790C" w:rsidRPr="008A028B" w:rsidRDefault="0001790C" w:rsidP="0001790C">
      <w:pPr>
        <w:jc w:val="both"/>
        <w:rPr>
          <w:b/>
          <w:bCs/>
          <w:color w:val="000000" w:themeColor="text1"/>
          <w:sz w:val="24"/>
          <w:szCs w:val="24"/>
        </w:rPr>
      </w:pPr>
      <w:r w:rsidRPr="008A028B">
        <w:rPr>
          <w:b/>
          <w:bCs/>
          <w:color w:val="000000" w:themeColor="text1"/>
          <w:sz w:val="24"/>
          <w:szCs w:val="24"/>
        </w:rPr>
        <w:t xml:space="preserve">            b) valutare, in sede di elaborazione delle definizioni </w:t>
      </w:r>
      <w:proofErr w:type="gramStart"/>
      <w:r w:rsidRPr="008A028B">
        <w:rPr>
          <w:b/>
          <w:bCs/>
          <w:color w:val="000000" w:themeColor="text1"/>
          <w:sz w:val="24"/>
          <w:szCs w:val="24"/>
        </w:rPr>
        <w:t>di</w:t>
      </w:r>
      <w:proofErr w:type="gramEnd"/>
      <w:r w:rsidRPr="008A028B">
        <w:rPr>
          <w:b/>
          <w:bCs/>
          <w:color w:val="000000" w:themeColor="text1"/>
          <w:sz w:val="24"/>
          <w:szCs w:val="24"/>
        </w:rPr>
        <w:t xml:space="preserve"> "acque protette" e di "acque adiacenti alle acque protette", i criteri utilizzati a tal fine dagli altri Paesi membri, al fine di non penalizzare il personale della gente di mare.</w:t>
      </w:r>
      <w:r>
        <w:rPr>
          <w:rStyle w:val="Rimandonotaapidipagina"/>
          <w:b/>
          <w:bCs/>
          <w:color w:val="000000" w:themeColor="text1"/>
          <w:sz w:val="24"/>
          <w:szCs w:val="24"/>
        </w:rPr>
        <w:footnoteReference w:id="101"/>
      </w:r>
    </w:p>
    <w:p w:rsidR="0001790C" w:rsidRDefault="0001790C" w:rsidP="00081CED">
      <w:pPr>
        <w:jc w:val="both"/>
        <w:rPr>
          <w:rFonts w:asciiTheme="minorHAnsi" w:eastAsia="Times New Roman" w:hAnsiTheme="minorHAnsi" w:cs="Times New Roman"/>
          <w:bCs/>
          <w:color w:val="000000" w:themeColor="text1"/>
          <w:sz w:val="24"/>
          <w:szCs w:val="24"/>
        </w:rPr>
      </w:pPr>
    </w:p>
    <w:p w:rsidR="007B65DD" w:rsidRDefault="007B65DD"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74526D" w:rsidRPr="00683687" w:rsidRDefault="0074526D" w:rsidP="0074526D">
      <w:pPr>
        <w:jc w:val="center"/>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Art. 20-bis.</w:t>
      </w:r>
    </w:p>
    <w:p w:rsidR="0074526D" w:rsidRPr="00683687" w:rsidRDefault="0074526D" w:rsidP="0074526D">
      <w:pPr>
        <w:jc w:val="center"/>
        <w:rPr>
          <w:rFonts w:asciiTheme="minorHAnsi" w:hAnsiTheme="minorHAnsi"/>
          <w:b/>
          <w:bCs/>
          <w:color w:val="000000" w:themeColor="text1"/>
          <w:sz w:val="24"/>
          <w:szCs w:val="24"/>
        </w:rPr>
      </w:pPr>
    </w:p>
    <w:p w:rsidR="0074526D" w:rsidRPr="00683687" w:rsidRDefault="0074526D" w:rsidP="0074526D">
      <w:pPr>
        <w:jc w:val="center"/>
        <w:rPr>
          <w:rFonts w:asciiTheme="minorHAnsi" w:hAnsiTheme="minorHAnsi"/>
          <w:b/>
          <w:bCs/>
          <w:color w:val="000000" w:themeColor="text1"/>
          <w:sz w:val="24"/>
          <w:szCs w:val="24"/>
        </w:rPr>
      </w:pPr>
      <w:proofErr w:type="gramStart"/>
      <w:r w:rsidRPr="00683687">
        <w:rPr>
          <w:rFonts w:asciiTheme="minorHAnsi" w:hAnsiTheme="minorHAnsi"/>
          <w:b/>
          <w:bCs/>
          <w:color w:val="000000" w:themeColor="text1"/>
          <w:sz w:val="24"/>
          <w:szCs w:val="24"/>
        </w:rPr>
        <w:t>(Principi e criteri direttivi per l'attuazione della direttiva (UE) 2019/904 del Parlamento europeo e del Consiglio, del 5 giugno 2019, sull</w:t>
      </w:r>
      <w:proofErr w:type="gramEnd"/>
      <w:r w:rsidRPr="00683687">
        <w:rPr>
          <w:rFonts w:asciiTheme="minorHAnsi" w:hAnsiTheme="minorHAnsi"/>
          <w:b/>
          <w:bCs/>
          <w:color w:val="000000" w:themeColor="text1"/>
          <w:sz w:val="24"/>
          <w:szCs w:val="24"/>
        </w:rPr>
        <w:t>a riduzione dell'incidenza di determinati prodotti di plastica sull'ambiente)</w:t>
      </w:r>
    </w:p>
    <w:p w:rsidR="0074526D" w:rsidRPr="00683687" w:rsidRDefault="0074526D" w:rsidP="0074526D">
      <w:pPr>
        <w:jc w:val="both"/>
        <w:rPr>
          <w:rFonts w:asciiTheme="minorHAnsi" w:hAnsiTheme="minorHAnsi"/>
          <w:b/>
          <w:bCs/>
          <w:color w:val="000000" w:themeColor="text1"/>
          <w:sz w:val="24"/>
          <w:szCs w:val="24"/>
        </w:rPr>
      </w:pPr>
    </w:p>
    <w:p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1. Nell'esercizio della delega per l'attuazione della direttiva (UE) 2019/904 del Parlamento europeo e del Consiglio, del 5 giugno 2019, il Governo osserva, oltre ai princìpi e criteri direttivi generali di cui all'articolo </w:t>
      </w:r>
      <w:proofErr w:type="gramStart"/>
      <w:r w:rsidRPr="00683687">
        <w:rPr>
          <w:rFonts w:asciiTheme="minorHAnsi" w:hAnsiTheme="minorHAnsi"/>
          <w:b/>
          <w:bCs/>
          <w:color w:val="000000" w:themeColor="text1"/>
          <w:sz w:val="24"/>
          <w:szCs w:val="24"/>
        </w:rPr>
        <w:t>32</w:t>
      </w:r>
      <w:proofErr w:type="gramEnd"/>
      <w:r w:rsidRPr="00683687">
        <w:rPr>
          <w:rFonts w:asciiTheme="minorHAnsi" w:hAnsiTheme="minorHAnsi"/>
          <w:b/>
          <w:bCs/>
          <w:color w:val="000000" w:themeColor="text1"/>
          <w:sz w:val="24"/>
          <w:szCs w:val="24"/>
        </w:rPr>
        <w:t xml:space="preserve"> della legge n. 234 del 2012, anche i seguenti princìpi e criteri direttivi specifici:</w:t>
      </w:r>
    </w:p>
    <w:p w:rsidR="0074526D" w:rsidRPr="00683687" w:rsidRDefault="0074526D" w:rsidP="0074526D">
      <w:pPr>
        <w:jc w:val="both"/>
        <w:rPr>
          <w:rFonts w:asciiTheme="minorHAnsi" w:hAnsiTheme="minorHAnsi"/>
          <w:b/>
          <w:bCs/>
          <w:color w:val="000000" w:themeColor="text1"/>
          <w:sz w:val="24"/>
          <w:szCs w:val="24"/>
        </w:rPr>
      </w:pPr>
    </w:p>
    <w:p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a) garantire una riduzione duratura del consumo dei prodotti monouso elencati nella parte A dell'allegato alla direttiva (UE) 2019/904 e promuovere la transizione verso un'economia circolare con modelli imprenditoriali, prodotti e materiali innovativi e sostenibili, conformemente all'articolo </w:t>
      </w:r>
      <w:proofErr w:type="gramStart"/>
      <w:r w:rsidRPr="00683687">
        <w:rPr>
          <w:rFonts w:asciiTheme="minorHAnsi" w:hAnsiTheme="minorHAnsi"/>
          <w:b/>
          <w:bCs/>
          <w:color w:val="000000" w:themeColor="text1"/>
          <w:sz w:val="24"/>
          <w:szCs w:val="24"/>
        </w:rPr>
        <w:t>1</w:t>
      </w:r>
      <w:proofErr w:type="gramEnd"/>
      <w:r w:rsidRPr="00683687">
        <w:rPr>
          <w:rFonts w:asciiTheme="minorHAnsi" w:hAnsiTheme="minorHAnsi"/>
          <w:b/>
          <w:bCs/>
          <w:color w:val="000000" w:themeColor="text1"/>
          <w:sz w:val="24"/>
          <w:szCs w:val="24"/>
        </w:rPr>
        <w:t xml:space="preserve"> della direttiva (UE) 2019/904 e nel rispetto di quanto previsto dalla legge 27 dicembre 2019, n. 160, comma 653;</w:t>
      </w:r>
    </w:p>
    <w:p w:rsidR="0074526D" w:rsidRPr="00683687" w:rsidRDefault="0074526D" w:rsidP="0074526D">
      <w:pPr>
        <w:jc w:val="both"/>
        <w:rPr>
          <w:rFonts w:asciiTheme="minorHAnsi" w:hAnsiTheme="minorHAnsi"/>
          <w:b/>
          <w:bCs/>
          <w:color w:val="000000" w:themeColor="text1"/>
          <w:sz w:val="24"/>
          <w:szCs w:val="24"/>
        </w:rPr>
      </w:pPr>
    </w:p>
    <w:p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b) incoraggiare l'uso di prodotti sostenibili e riutilizzabili, alternativi a quelli monouso comunque realizzati, per quanto riguarda i materiali destinati a entrare in contatto con alimenti, conformemente all'articolo </w:t>
      </w:r>
      <w:proofErr w:type="gramStart"/>
      <w:r w:rsidRPr="00683687">
        <w:rPr>
          <w:rFonts w:asciiTheme="minorHAnsi" w:hAnsiTheme="minorHAnsi"/>
          <w:b/>
          <w:bCs/>
          <w:color w:val="000000" w:themeColor="text1"/>
          <w:sz w:val="24"/>
          <w:szCs w:val="24"/>
        </w:rPr>
        <w:t>11</w:t>
      </w:r>
      <w:proofErr w:type="gramEnd"/>
      <w:r w:rsidRPr="00683687">
        <w:rPr>
          <w:rFonts w:asciiTheme="minorHAnsi" w:hAnsiTheme="minorHAnsi"/>
          <w:b/>
          <w:bCs/>
          <w:color w:val="000000" w:themeColor="text1"/>
          <w:sz w:val="24"/>
          <w:szCs w:val="24"/>
        </w:rPr>
        <w:t>, paragrafo 2, della direttiva (UE) 2019/904, anche attraverso la messa a disposizione del consumatore finale, presso i punti vendita, di prodotti riutilizzabili, opportunamente definiti nelle loro caratteristiche tecniche in modo da garantire effettivi, molteplici utilizzi, comunque nel rispetto della normativa in materia di igiene e sicurezza degli alimenti;</w:t>
      </w:r>
    </w:p>
    <w:p w:rsidR="0074526D" w:rsidRPr="00683687" w:rsidRDefault="0074526D" w:rsidP="0074526D">
      <w:pPr>
        <w:jc w:val="both"/>
        <w:rPr>
          <w:rFonts w:asciiTheme="minorHAnsi" w:hAnsiTheme="minorHAnsi"/>
          <w:b/>
          <w:bCs/>
          <w:color w:val="000000" w:themeColor="text1"/>
          <w:sz w:val="24"/>
          <w:szCs w:val="24"/>
        </w:rPr>
      </w:pPr>
    </w:p>
    <w:p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c) ai sensi dell'articolo </w:t>
      </w:r>
      <w:proofErr w:type="gramStart"/>
      <w:r w:rsidRPr="00683687">
        <w:rPr>
          <w:rFonts w:asciiTheme="minorHAnsi" w:hAnsiTheme="minorHAnsi"/>
          <w:b/>
          <w:bCs/>
          <w:color w:val="000000" w:themeColor="text1"/>
          <w:sz w:val="24"/>
          <w:szCs w:val="24"/>
        </w:rPr>
        <w:t>10</w:t>
      </w:r>
      <w:proofErr w:type="gramEnd"/>
      <w:r w:rsidRPr="00683687">
        <w:rPr>
          <w:rFonts w:asciiTheme="minorHAnsi" w:hAnsiTheme="minorHAnsi"/>
          <w:b/>
          <w:bCs/>
          <w:color w:val="000000" w:themeColor="text1"/>
          <w:sz w:val="24"/>
          <w:szCs w:val="24"/>
        </w:rPr>
        <w:t xml:space="preserve"> della direttiva (UE) 2019/904, adottare misure volte a informare i consumatori e a incentivarli ad adottare un comportamento responsabile al fine di ridurre la dispersione dei rifiuti derivanti dai prodotti contemplati dalla direttiva, nonché adeguate misure finalizzate a ridurre la dispersione dei rifiuti derivanti dall'uso di palloncini, con esclusione di quelli per uso industriale o altri usi e applicazioni professionali non distribuiti ai consumatori;</w:t>
      </w:r>
    </w:p>
    <w:p w:rsidR="0074526D" w:rsidRPr="00683687" w:rsidRDefault="0074526D" w:rsidP="0074526D">
      <w:pPr>
        <w:jc w:val="both"/>
        <w:rPr>
          <w:rFonts w:asciiTheme="minorHAnsi" w:hAnsiTheme="minorHAnsi"/>
          <w:b/>
          <w:bCs/>
          <w:color w:val="000000" w:themeColor="text1"/>
          <w:sz w:val="24"/>
          <w:szCs w:val="24"/>
        </w:rPr>
      </w:pPr>
    </w:p>
    <w:p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d) introdurre, conformemente all'articolo </w:t>
      </w:r>
      <w:proofErr w:type="gramStart"/>
      <w:r w:rsidRPr="00683687">
        <w:rPr>
          <w:rFonts w:asciiTheme="minorHAnsi" w:hAnsiTheme="minorHAnsi"/>
          <w:b/>
          <w:bCs/>
          <w:color w:val="000000" w:themeColor="text1"/>
          <w:sz w:val="24"/>
          <w:szCs w:val="24"/>
        </w:rPr>
        <w:t>14</w:t>
      </w:r>
      <w:proofErr w:type="gramEnd"/>
      <w:r w:rsidRPr="00683687">
        <w:rPr>
          <w:rFonts w:asciiTheme="minorHAnsi" w:hAnsiTheme="minorHAnsi"/>
          <w:b/>
          <w:bCs/>
          <w:color w:val="000000" w:themeColor="text1"/>
          <w:sz w:val="24"/>
          <w:szCs w:val="24"/>
        </w:rPr>
        <w:t xml:space="preserve"> della direttiva (UE) 2019/904, una disciplina sanzionatoria effettiva, proporzionata e dissuasiva per le violazioni dei divieti e delle altre disposizioni di attuazione della medesima direttiva, devolvendo i proventi delle sanzioni agli enti di appartenenza dei soggetti che procedono all'accertamento e alla contestazione delle violazioni e </w:t>
      </w:r>
      <w:r w:rsidRPr="00683687">
        <w:rPr>
          <w:rFonts w:asciiTheme="minorHAnsi" w:hAnsiTheme="minorHAnsi"/>
          <w:b/>
          <w:bCs/>
          <w:color w:val="000000" w:themeColor="text1"/>
          <w:sz w:val="24"/>
          <w:szCs w:val="24"/>
        </w:rPr>
        <w:lastRenderedPageBreak/>
        <w:t xml:space="preserve">destinando detti proventi, all'interno del bilancio di tali enti, al potenziamento delle attività di controllo e di accertamento delle violazioni di cui alla presente lettera;   </w:t>
      </w:r>
    </w:p>
    <w:p w:rsidR="0074526D" w:rsidRPr="00683687" w:rsidRDefault="0074526D" w:rsidP="0074526D">
      <w:pPr>
        <w:jc w:val="both"/>
        <w:rPr>
          <w:rFonts w:asciiTheme="minorHAnsi" w:hAnsiTheme="minorHAnsi"/>
          <w:b/>
          <w:bCs/>
          <w:color w:val="000000" w:themeColor="text1"/>
          <w:sz w:val="24"/>
          <w:szCs w:val="24"/>
        </w:rPr>
      </w:pPr>
    </w:p>
    <w:p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e) abrogare l'articolo 226-quater del decreto legislativo 3 aprile 2006, n. 152, contestualmente al recepimento della direttiva (UE) 2019/904. </w:t>
      </w:r>
    </w:p>
    <w:p w:rsidR="0074526D" w:rsidRPr="00683687" w:rsidRDefault="0074526D" w:rsidP="0074526D">
      <w:pPr>
        <w:jc w:val="both"/>
        <w:rPr>
          <w:rFonts w:asciiTheme="minorHAnsi" w:hAnsiTheme="minorHAnsi"/>
          <w:b/>
          <w:bCs/>
          <w:color w:val="000000" w:themeColor="text1"/>
          <w:sz w:val="24"/>
          <w:szCs w:val="24"/>
        </w:rPr>
      </w:pPr>
    </w:p>
    <w:p w:rsidR="0074526D" w:rsidRPr="00683687" w:rsidRDefault="0074526D" w:rsidP="0074526D">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2. Agli eventuali oneri derivanti dal presente articolo si provvede ai sensi dell'articolo </w:t>
      </w:r>
      <w:proofErr w:type="gramStart"/>
      <w:r w:rsidRPr="00683687">
        <w:rPr>
          <w:rFonts w:asciiTheme="minorHAnsi" w:hAnsiTheme="minorHAnsi"/>
          <w:b/>
          <w:bCs/>
          <w:color w:val="000000" w:themeColor="text1"/>
          <w:sz w:val="24"/>
          <w:szCs w:val="24"/>
        </w:rPr>
        <w:t>1</w:t>
      </w:r>
      <w:proofErr w:type="gramEnd"/>
      <w:r w:rsidRPr="00683687">
        <w:rPr>
          <w:rFonts w:asciiTheme="minorHAnsi" w:hAnsiTheme="minorHAnsi"/>
          <w:b/>
          <w:bCs/>
          <w:color w:val="000000" w:themeColor="text1"/>
          <w:sz w:val="24"/>
          <w:szCs w:val="24"/>
        </w:rPr>
        <w:t xml:space="preserve">, comma 3 della presente legge. Qualora la dotazione del Fondo di cui all'articolo 41-bis della legge 234 del 2012 si rivelasse insufficiente, il decreto legislativo di cui al comma </w:t>
      </w:r>
      <w:proofErr w:type="gramStart"/>
      <w:r w:rsidRPr="00683687">
        <w:rPr>
          <w:rFonts w:asciiTheme="minorHAnsi" w:hAnsiTheme="minorHAnsi"/>
          <w:b/>
          <w:bCs/>
          <w:color w:val="000000" w:themeColor="text1"/>
          <w:sz w:val="24"/>
          <w:szCs w:val="24"/>
        </w:rPr>
        <w:t>1</w:t>
      </w:r>
      <w:proofErr w:type="gramEnd"/>
      <w:r w:rsidRPr="00683687">
        <w:rPr>
          <w:rFonts w:asciiTheme="minorHAnsi" w:hAnsiTheme="minorHAnsi"/>
          <w:b/>
          <w:bCs/>
          <w:color w:val="000000" w:themeColor="text1"/>
          <w:sz w:val="24"/>
          <w:szCs w:val="24"/>
        </w:rPr>
        <w:t xml:space="preserve"> è emanato solo successivamente all'entrata in vigore dei provvedimenti legislativi che stanziano le occorrenti risorse finanziarie a copertura dei relativi maggiori oneri, in conformità all'articolo 17, comma 2, della legge 31 dicembre 2009, n. 196.</w:t>
      </w:r>
      <w:r>
        <w:rPr>
          <w:rStyle w:val="Rimandonotaapidipagina"/>
          <w:rFonts w:asciiTheme="minorHAnsi" w:hAnsiTheme="minorHAnsi"/>
          <w:b/>
          <w:bCs/>
          <w:color w:val="000000" w:themeColor="text1"/>
          <w:sz w:val="24"/>
          <w:szCs w:val="24"/>
        </w:rPr>
        <w:footnoteReference w:id="102"/>
      </w:r>
    </w:p>
    <w:p w:rsidR="0074526D" w:rsidRDefault="0074526D"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15730E" w:rsidRPr="00683687" w:rsidRDefault="0015730E" w:rsidP="0015730E">
      <w:pPr>
        <w:jc w:val="center"/>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Art. 20-bis.</w:t>
      </w:r>
    </w:p>
    <w:p w:rsidR="0015730E" w:rsidRPr="00683687" w:rsidRDefault="0015730E" w:rsidP="0015730E">
      <w:pPr>
        <w:jc w:val="center"/>
        <w:rPr>
          <w:rFonts w:asciiTheme="minorHAnsi" w:hAnsiTheme="minorHAnsi"/>
          <w:b/>
          <w:bCs/>
          <w:color w:val="000000" w:themeColor="text1"/>
          <w:sz w:val="24"/>
          <w:szCs w:val="24"/>
        </w:rPr>
      </w:pPr>
      <w:proofErr w:type="gramStart"/>
      <w:r w:rsidRPr="00683687">
        <w:rPr>
          <w:rFonts w:asciiTheme="minorHAnsi" w:hAnsiTheme="minorHAnsi"/>
          <w:b/>
          <w:bCs/>
          <w:color w:val="000000" w:themeColor="text1"/>
          <w:sz w:val="24"/>
          <w:szCs w:val="24"/>
        </w:rPr>
        <w:t>(Principi</w:t>
      </w:r>
      <w:proofErr w:type="gramEnd"/>
      <w:r w:rsidRPr="00683687">
        <w:rPr>
          <w:rFonts w:asciiTheme="minorHAnsi" w:hAnsiTheme="minorHAnsi"/>
          <w:b/>
          <w:bCs/>
          <w:color w:val="000000" w:themeColor="text1"/>
          <w:sz w:val="24"/>
          <w:szCs w:val="24"/>
        </w:rPr>
        <w:t xml:space="preserve"> e criteri direttivi per l'adeguamento della normativa nazionale alle disposizioni del regolamento (UE) 2019/2088 del Parlamento europeo e del Consiglio del 27 novembre 2019 relativo all'informativa sulla sostenibilità nel settore dei servizi finanziari (Testo rilevante ai fini del SEE))</w:t>
      </w:r>
    </w:p>
    <w:p w:rsidR="0015730E" w:rsidRPr="00683687" w:rsidRDefault="0015730E" w:rsidP="0015730E">
      <w:pPr>
        <w:jc w:val="both"/>
        <w:rPr>
          <w:rFonts w:asciiTheme="minorHAnsi" w:hAnsiTheme="minorHAnsi"/>
          <w:b/>
          <w:bCs/>
          <w:color w:val="000000" w:themeColor="text1"/>
          <w:sz w:val="24"/>
          <w:szCs w:val="24"/>
        </w:rPr>
      </w:pPr>
    </w:p>
    <w:p w:rsidR="0015730E" w:rsidRPr="00683687" w:rsidRDefault="0015730E" w:rsidP="0015730E">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1. Il Governo </w:t>
      </w:r>
      <w:proofErr w:type="gramStart"/>
      <w:r w:rsidRPr="00683687">
        <w:rPr>
          <w:rFonts w:asciiTheme="minorHAnsi" w:hAnsiTheme="minorHAnsi"/>
          <w:b/>
          <w:bCs/>
          <w:color w:val="000000" w:themeColor="text1"/>
          <w:sz w:val="24"/>
          <w:szCs w:val="24"/>
        </w:rPr>
        <w:t>adotta</w:t>
      </w:r>
      <w:proofErr w:type="gramEnd"/>
      <w:r w:rsidRPr="00683687">
        <w:rPr>
          <w:rFonts w:asciiTheme="minorHAnsi" w:hAnsiTheme="minorHAnsi"/>
          <w:b/>
          <w:bCs/>
          <w:color w:val="000000" w:themeColor="text1"/>
          <w:sz w:val="24"/>
          <w:szCs w:val="24"/>
        </w:rPr>
        <w:t>, entro diciotto mesi dalla data di entrata in vigore della presente disposizione, uno o più decreti legislativi per l'adeguamento della normativa nazionale al regolamento (UE) 2019/2088 del Parlamento europeo e del Consiglio del 27 novembre 2019 relativo all'informativa sulla sostenibilità nel settore dei servizi finanziari.</w:t>
      </w:r>
    </w:p>
    <w:p w:rsidR="0015730E" w:rsidRPr="00683687" w:rsidRDefault="0015730E" w:rsidP="0015730E">
      <w:pPr>
        <w:jc w:val="both"/>
        <w:rPr>
          <w:rFonts w:asciiTheme="minorHAnsi" w:hAnsiTheme="minorHAnsi"/>
          <w:b/>
          <w:bCs/>
          <w:color w:val="000000" w:themeColor="text1"/>
          <w:sz w:val="24"/>
          <w:szCs w:val="24"/>
        </w:rPr>
      </w:pPr>
    </w:p>
    <w:p w:rsidR="0015730E" w:rsidRPr="00683687" w:rsidRDefault="0015730E" w:rsidP="0015730E">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2. Nell'esercizio della delega di cui al comma </w:t>
      </w:r>
      <w:proofErr w:type="gramStart"/>
      <w:r w:rsidRPr="00683687">
        <w:rPr>
          <w:rFonts w:asciiTheme="minorHAnsi" w:hAnsiTheme="minorHAnsi"/>
          <w:b/>
          <w:bCs/>
          <w:color w:val="000000" w:themeColor="text1"/>
          <w:sz w:val="24"/>
          <w:szCs w:val="24"/>
        </w:rPr>
        <w:t>1</w:t>
      </w:r>
      <w:proofErr w:type="gramEnd"/>
      <w:r w:rsidRPr="00683687">
        <w:rPr>
          <w:rFonts w:asciiTheme="minorHAnsi" w:hAnsiTheme="minorHAnsi"/>
          <w:b/>
          <w:bCs/>
          <w:color w:val="000000" w:themeColor="text1"/>
          <w:sz w:val="24"/>
          <w:szCs w:val="24"/>
        </w:rPr>
        <w:t>, il Governo osserva i principi e criteri direttivi generali di cui all'articolo 32 della legge n. 234 del 2012.</w:t>
      </w:r>
    </w:p>
    <w:p w:rsidR="0015730E" w:rsidRPr="00683687" w:rsidRDefault="0015730E" w:rsidP="0015730E">
      <w:pPr>
        <w:jc w:val="both"/>
        <w:rPr>
          <w:rFonts w:asciiTheme="minorHAnsi" w:hAnsiTheme="minorHAnsi"/>
          <w:b/>
          <w:bCs/>
          <w:color w:val="000000" w:themeColor="text1"/>
          <w:sz w:val="24"/>
          <w:szCs w:val="24"/>
        </w:rPr>
      </w:pPr>
    </w:p>
    <w:p w:rsidR="0015730E" w:rsidRPr="00683687" w:rsidRDefault="0015730E" w:rsidP="0015730E">
      <w:pPr>
        <w:jc w:val="both"/>
        <w:rPr>
          <w:rFonts w:asciiTheme="minorHAnsi" w:hAnsiTheme="minorHAnsi"/>
          <w:b/>
          <w:bCs/>
          <w:color w:val="000000" w:themeColor="text1"/>
          <w:sz w:val="24"/>
          <w:szCs w:val="24"/>
        </w:rPr>
      </w:pPr>
      <w:r w:rsidRPr="00683687">
        <w:rPr>
          <w:rFonts w:asciiTheme="minorHAnsi" w:hAnsiTheme="minorHAnsi"/>
          <w:b/>
          <w:bCs/>
          <w:color w:val="000000" w:themeColor="text1"/>
          <w:sz w:val="24"/>
          <w:szCs w:val="24"/>
        </w:rPr>
        <w:t xml:space="preserve">        3. Dall'attuazione del presente articolo non </w:t>
      </w:r>
      <w:proofErr w:type="gramStart"/>
      <w:r w:rsidRPr="00683687">
        <w:rPr>
          <w:rFonts w:asciiTheme="minorHAnsi" w:hAnsiTheme="minorHAnsi"/>
          <w:b/>
          <w:bCs/>
          <w:color w:val="000000" w:themeColor="text1"/>
          <w:sz w:val="24"/>
          <w:szCs w:val="24"/>
        </w:rPr>
        <w:t>devono</w:t>
      </w:r>
      <w:proofErr w:type="gramEnd"/>
      <w:r w:rsidRPr="00683687">
        <w:rPr>
          <w:rFonts w:asciiTheme="minorHAnsi" w:hAnsiTheme="minorHAnsi"/>
          <w:b/>
          <w:bCs/>
          <w:color w:val="000000" w:themeColor="text1"/>
          <w:sz w:val="24"/>
          <w:szCs w:val="24"/>
        </w:rPr>
        <w:t xml:space="preserve"> derivare nuovi o maggiori oneri a carico della finanza pubblica. Le amministrazioni interessate provvedono all'adempimento dei compiti derivanti dall'esercizio della delega </w:t>
      </w:r>
      <w:proofErr w:type="gramStart"/>
      <w:r w:rsidRPr="00683687">
        <w:rPr>
          <w:rFonts w:asciiTheme="minorHAnsi" w:hAnsiTheme="minorHAnsi"/>
          <w:b/>
          <w:bCs/>
          <w:color w:val="000000" w:themeColor="text1"/>
          <w:sz w:val="24"/>
          <w:szCs w:val="24"/>
        </w:rPr>
        <w:t>di</w:t>
      </w:r>
      <w:proofErr w:type="gramEnd"/>
      <w:r w:rsidRPr="00683687">
        <w:rPr>
          <w:rFonts w:asciiTheme="minorHAnsi" w:hAnsiTheme="minorHAnsi"/>
          <w:b/>
          <w:bCs/>
          <w:color w:val="000000" w:themeColor="text1"/>
          <w:sz w:val="24"/>
          <w:szCs w:val="24"/>
        </w:rPr>
        <w:t xml:space="preserve"> cui al presente articolo con le risorse umane, strumentali e finanziarie disponibili a legislazione vigente.</w:t>
      </w:r>
      <w:r>
        <w:rPr>
          <w:rStyle w:val="Rimandonotaapidipagina"/>
          <w:rFonts w:asciiTheme="minorHAnsi" w:hAnsiTheme="minorHAnsi"/>
          <w:b/>
          <w:bCs/>
          <w:color w:val="000000" w:themeColor="text1"/>
          <w:sz w:val="24"/>
          <w:szCs w:val="24"/>
        </w:rPr>
        <w:footnoteReference w:id="103"/>
      </w:r>
    </w:p>
    <w:p w:rsidR="0015730E" w:rsidRPr="002C1B13" w:rsidRDefault="0015730E"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00CEE" w:rsidRPr="00200CEE" w:rsidRDefault="00200CEE" w:rsidP="00200CEE">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Art. 20-bis.</w:t>
      </w:r>
    </w:p>
    <w:p w:rsidR="00200CEE" w:rsidRPr="00200CEE" w:rsidRDefault="00200CEE" w:rsidP="00200CEE">
      <w:pPr>
        <w:shd w:val="clear" w:color="auto" w:fill="FFFFFF"/>
        <w:tabs>
          <w:tab w:val="left" w:pos="993"/>
        </w:tabs>
        <w:spacing w:after="120" w:line="240" w:lineRule="auto"/>
        <w:jc w:val="center"/>
        <w:rPr>
          <w:rFonts w:asciiTheme="minorHAnsi" w:eastAsia="Times New Roman" w:hAnsiTheme="minorHAnsi" w:cs="Times New Roman"/>
          <w:b/>
          <w:bCs/>
          <w:i/>
          <w:color w:val="000000" w:themeColor="text1"/>
          <w:sz w:val="24"/>
          <w:szCs w:val="24"/>
        </w:rPr>
      </w:pPr>
      <w:proofErr w:type="gramStart"/>
      <w:r w:rsidRPr="00200CEE">
        <w:rPr>
          <w:rFonts w:asciiTheme="minorHAnsi" w:eastAsia="Times New Roman" w:hAnsiTheme="minorHAnsi" w:cs="Times New Roman"/>
          <w:b/>
          <w:bCs/>
          <w:i/>
          <w:color w:val="000000" w:themeColor="text1"/>
          <w:sz w:val="24"/>
          <w:szCs w:val="24"/>
        </w:rPr>
        <w:t>(Princípi</w:t>
      </w:r>
      <w:proofErr w:type="gramEnd"/>
      <w:r w:rsidRPr="00200CEE">
        <w:rPr>
          <w:rFonts w:asciiTheme="minorHAnsi" w:eastAsia="Times New Roman" w:hAnsiTheme="minorHAnsi" w:cs="Times New Roman"/>
          <w:b/>
          <w:bCs/>
          <w:i/>
          <w:color w:val="000000" w:themeColor="text1"/>
          <w:sz w:val="24"/>
          <w:szCs w:val="24"/>
        </w:rPr>
        <w:t xml:space="preserve"> e criteri direttivi per l'attuazione della direttiva (UE) 2019/1153 del Parlamento europeo e del Consiglio, del 20 giugno 2019, che reca disposizioni per agevolare l'uso di informazioni finanziarie e di altro tipo a fini di prevenzione, accertamento, indagine o perseguimento di determinati reati, e che abroga la decisione 2000/642/GAI del Consiglio)</w:t>
      </w: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 xml:space="preserve">1. Il Governo </w:t>
      </w:r>
      <w:proofErr w:type="gramStart"/>
      <w:r w:rsidRPr="00200CEE">
        <w:rPr>
          <w:rFonts w:asciiTheme="minorHAnsi" w:eastAsia="Times New Roman" w:hAnsiTheme="minorHAnsi" w:cs="Times New Roman"/>
          <w:b/>
          <w:bCs/>
          <w:color w:val="000000" w:themeColor="text1"/>
          <w:sz w:val="24"/>
          <w:szCs w:val="24"/>
        </w:rPr>
        <w:t>è</w:t>
      </w:r>
      <w:proofErr w:type="gramEnd"/>
      <w:r w:rsidRPr="00200CEE">
        <w:rPr>
          <w:rFonts w:asciiTheme="minorHAnsi" w:eastAsia="Times New Roman" w:hAnsiTheme="minorHAnsi" w:cs="Times New Roman"/>
          <w:b/>
          <w:bCs/>
          <w:color w:val="000000" w:themeColor="text1"/>
          <w:sz w:val="24"/>
          <w:szCs w:val="24"/>
        </w:rPr>
        <w:t xml:space="preserve"> delegato ad adottare, secondo le procedure di cui all'articolo 1, comma 1, e previo parere del Garante per la protezione dei dati personali, uno o più decreti legislativi al fine di dare attuazione alla direttiva (UE) 2019/1153 del Parlamento europeo e del Consiglio, del 20 giugno 2019, che reca disposizioni per agevolare l'uso di informazioni finanziarie e di altro tipo a fini di prevenzione, accertamento, indagine o perseguimento di determinati reati, e che abroga la decisione 2000/642/GAI del Consiglio.</w:t>
      </w: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 xml:space="preserve">2. Nell'esercizio della delega di cui al comma </w:t>
      </w:r>
      <w:proofErr w:type="gramStart"/>
      <w:r w:rsidRPr="00200CEE">
        <w:rPr>
          <w:rFonts w:asciiTheme="minorHAnsi" w:eastAsia="Times New Roman" w:hAnsiTheme="minorHAnsi" w:cs="Times New Roman"/>
          <w:b/>
          <w:bCs/>
          <w:color w:val="000000" w:themeColor="text1"/>
          <w:sz w:val="24"/>
          <w:szCs w:val="24"/>
        </w:rPr>
        <w:t>1</w:t>
      </w:r>
      <w:proofErr w:type="gramEnd"/>
      <w:r w:rsidRPr="00200CEE">
        <w:rPr>
          <w:rFonts w:asciiTheme="minorHAnsi" w:eastAsia="Times New Roman" w:hAnsiTheme="minorHAnsi" w:cs="Times New Roman"/>
          <w:b/>
          <w:bCs/>
          <w:color w:val="000000" w:themeColor="text1"/>
          <w:sz w:val="24"/>
          <w:szCs w:val="24"/>
        </w:rPr>
        <w:t>, il Governo è tenuto a seguire, oltre ai princípi e criteri direttivi generali di cui all'articolo 32 della legge 24 dicembre 2012, n. 234, anche i seguenti princípi e criteri direttivi specifici:</w:t>
      </w: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a) assicurare il rispetto del vigente assetto istituzionale e di competenze stabilito dall'ordinamento nazionale, al fine di tenere conto della natura, dello status organizzativo, dei compiti e delle prerogative delle autorità e degli organismi interessati, ivi compresi i meccanismi esistenti per proteggere il sistema finanziario dal riciclaggio e dal finanziamento del terrorismo;</w:t>
      </w: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 xml:space="preserve">b) stabilire che l'accesso e la consultazione delle informazioni sui conti bancari, di cui all'articolo </w:t>
      </w:r>
      <w:proofErr w:type="gramStart"/>
      <w:r w:rsidRPr="00200CEE">
        <w:rPr>
          <w:rFonts w:asciiTheme="minorHAnsi" w:eastAsia="Times New Roman" w:hAnsiTheme="minorHAnsi" w:cs="Times New Roman"/>
          <w:b/>
          <w:bCs/>
          <w:color w:val="000000" w:themeColor="text1"/>
          <w:sz w:val="24"/>
          <w:szCs w:val="24"/>
        </w:rPr>
        <w:t>4</w:t>
      </w:r>
      <w:proofErr w:type="gramEnd"/>
      <w:r w:rsidRPr="00200CEE">
        <w:rPr>
          <w:rFonts w:asciiTheme="minorHAnsi" w:eastAsia="Times New Roman" w:hAnsiTheme="minorHAnsi" w:cs="Times New Roman"/>
          <w:b/>
          <w:bCs/>
          <w:color w:val="000000" w:themeColor="text1"/>
          <w:sz w:val="24"/>
          <w:szCs w:val="24"/>
        </w:rPr>
        <w:t xml:space="preserve"> della direttiva (UE) 2019/1153, e le richieste di informazioni finanziarie e di analisi finanziarie, di cui all'articolo 7 della medesima direttiva, siano previsti quando tali informazioni e analisi finanziarie siano necessarie per lo svolgimento di un procedimento penale o nell'ambito di un procedimento per </w:t>
      </w:r>
      <w:r w:rsidRPr="00200CEE">
        <w:rPr>
          <w:rFonts w:asciiTheme="minorHAnsi" w:eastAsia="Times New Roman" w:hAnsiTheme="minorHAnsi" w:cs="Times New Roman"/>
          <w:b/>
          <w:bCs/>
          <w:color w:val="000000" w:themeColor="text1"/>
          <w:sz w:val="24"/>
          <w:szCs w:val="24"/>
        </w:rPr>
        <w:lastRenderedPageBreak/>
        <w:t>l'applicazione delle misure di prevenzione patrimoniali di cui al Titolo II del Libro I del decreto legislativo 6 settembre 2011, n. 159, designando, a tal fine e in ossequio al principio di cui alla lettera a):</w:t>
      </w: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 xml:space="preserve">1) quale autorità di cui all'articolo </w:t>
      </w:r>
      <w:proofErr w:type="gramStart"/>
      <w:r w:rsidRPr="00200CEE">
        <w:rPr>
          <w:rFonts w:asciiTheme="minorHAnsi" w:eastAsia="Times New Roman" w:hAnsiTheme="minorHAnsi" w:cs="Times New Roman"/>
          <w:b/>
          <w:bCs/>
          <w:color w:val="000000" w:themeColor="text1"/>
          <w:sz w:val="24"/>
          <w:szCs w:val="24"/>
        </w:rPr>
        <w:t>3</w:t>
      </w:r>
      <w:proofErr w:type="gramEnd"/>
      <w:r w:rsidRPr="00200CEE">
        <w:rPr>
          <w:rFonts w:asciiTheme="minorHAnsi" w:eastAsia="Times New Roman" w:hAnsiTheme="minorHAnsi" w:cs="Times New Roman"/>
          <w:b/>
          <w:bCs/>
          <w:color w:val="000000" w:themeColor="text1"/>
          <w:sz w:val="24"/>
          <w:szCs w:val="24"/>
        </w:rPr>
        <w:t>, paragrafo 1, della direttiva (UE) 2019/1153, l'Ufficio nazionale per il recupero dei beni (ARO), istituito presso il Ministero dell'interno, e i soggetti di cui all'articolo 4, comma 2, lettere a) e c), del decreto del Ministro del tesoro, del bilancio e della programmazione economica 4 agosto 2000, n. 269;</w:t>
      </w: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 xml:space="preserve">2) le autorità di cui all'articolo </w:t>
      </w:r>
      <w:proofErr w:type="gramStart"/>
      <w:r w:rsidRPr="00200CEE">
        <w:rPr>
          <w:rFonts w:asciiTheme="minorHAnsi" w:eastAsia="Times New Roman" w:hAnsiTheme="minorHAnsi" w:cs="Times New Roman"/>
          <w:b/>
          <w:bCs/>
          <w:color w:val="000000" w:themeColor="text1"/>
          <w:sz w:val="24"/>
          <w:szCs w:val="24"/>
        </w:rPr>
        <w:t>3</w:t>
      </w:r>
      <w:proofErr w:type="gramEnd"/>
      <w:r w:rsidRPr="00200CEE">
        <w:rPr>
          <w:rFonts w:asciiTheme="minorHAnsi" w:eastAsia="Times New Roman" w:hAnsiTheme="minorHAnsi" w:cs="Times New Roman"/>
          <w:b/>
          <w:bCs/>
          <w:color w:val="000000" w:themeColor="text1"/>
          <w:sz w:val="24"/>
          <w:szCs w:val="24"/>
        </w:rPr>
        <w:t>, paragrafo 2, della direttiva (UE) 2019/1153, tra gli organismi di cui all'articolo 9 del decreto legislativo 21 novembre 2007, n. 231;</w:t>
      </w: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 xml:space="preserve">c) in attuazione di quanto previsto dall'articolo </w:t>
      </w:r>
      <w:proofErr w:type="gramStart"/>
      <w:r w:rsidRPr="00200CEE">
        <w:rPr>
          <w:rFonts w:asciiTheme="minorHAnsi" w:eastAsia="Times New Roman" w:hAnsiTheme="minorHAnsi" w:cs="Times New Roman"/>
          <w:b/>
          <w:bCs/>
          <w:color w:val="000000" w:themeColor="text1"/>
          <w:sz w:val="24"/>
          <w:szCs w:val="24"/>
        </w:rPr>
        <w:t>12</w:t>
      </w:r>
      <w:proofErr w:type="gramEnd"/>
      <w:r w:rsidRPr="00200CEE">
        <w:rPr>
          <w:rFonts w:asciiTheme="minorHAnsi" w:eastAsia="Times New Roman" w:hAnsiTheme="minorHAnsi" w:cs="Times New Roman"/>
          <w:b/>
          <w:bCs/>
          <w:color w:val="000000" w:themeColor="text1"/>
          <w:sz w:val="24"/>
          <w:szCs w:val="24"/>
        </w:rPr>
        <w:t>, comma 8, del decreto legislativo 21 novembre 2007, n. 231, agevolare la cooperazione tra le forze di polizia di cui all'articolo 16, primo comma, della legge 1° aprile 1981, n. 121, secondo modalità definite d'intesa tra le medesime Forze di polizia.</w:t>
      </w: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00CEE">
        <w:rPr>
          <w:rFonts w:asciiTheme="minorHAnsi" w:eastAsia="Times New Roman" w:hAnsiTheme="minorHAnsi" w:cs="Times New Roman"/>
          <w:b/>
          <w:bCs/>
          <w:color w:val="000000" w:themeColor="text1"/>
          <w:sz w:val="24"/>
          <w:szCs w:val="24"/>
        </w:rPr>
        <w:t xml:space="preserve">3. Dall'attuazione delle disposizioni del presente articolo non </w:t>
      </w:r>
      <w:proofErr w:type="gramStart"/>
      <w:r w:rsidRPr="00200CEE">
        <w:rPr>
          <w:rFonts w:asciiTheme="minorHAnsi" w:eastAsia="Times New Roman" w:hAnsiTheme="minorHAnsi" w:cs="Times New Roman"/>
          <w:b/>
          <w:bCs/>
          <w:color w:val="000000" w:themeColor="text1"/>
          <w:sz w:val="24"/>
          <w:szCs w:val="24"/>
        </w:rPr>
        <w:t>derivano</w:t>
      </w:r>
      <w:proofErr w:type="gramEnd"/>
      <w:r w:rsidRPr="00200CEE">
        <w:rPr>
          <w:rFonts w:asciiTheme="minorHAnsi" w:eastAsia="Times New Roman" w:hAnsiTheme="minorHAnsi" w:cs="Times New Roman"/>
          <w:b/>
          <w:bCs/>
          <w:color w:val="000000" w:themeColor="text1"/>
          <w:sz w:val="24"/>
          <w:szCs w:val="24"/>
        </w:rPr>
        <w:t xml:space="preserve"> nuovi o maggiori oneri a carico della finanza pubblica.</w:t>
      </w:r>
      <w:r>
        <w:rPr>
          <w:rStyle w:val="Rimandonotaapidipagina"/>
          <w:rFonts w:asciiTheme="minorHAnsi" w:eastAsia="Times New Roman" w:hAnsiTheme="minorHAnsi" w:cs="Times New Roman"/>
          <w:b/>
          <w:bCs/>
          <w:color w:val="000000" w:themeColor="text1"/>
          <w:sz w:val="24"/>
          <w:szCs w:val="24"/>
        </w:rPr>
        <w:footnoteReference w:id="104"/>
      </w:r>
    </w:p>
    <w:p w:rsidR="00200CEE" w:rsidRPr="00200CEE" w:rsidRDefault="00200CEE" w:rsidP="00200CE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Allegato 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(articolo </w:t>
      </w:r>
      <w:proofErr w:type="gramStart"/>
      <w:r w:rsidRPr="002C1B13">
        <w:rPr>
          <w:rFonts w:asciiTheme="minorHAnsi" w:eastAsia="Times New Roman" w:hAnsiTheme="minorHAnsi" w:cs="Times New Roman"/>
          <w:bCs/>
          <w:color w:val="000000" w:themeColor="text1"/>
          <w:sz w:val="24"/>
          <w:szCs w:val="24"/>
        </w:rPr>
        <w:t>1</w:t>
      </w:r>
      <w:proofErr w:type="gramEnd"/>
      <w:r w:rsidRPr="002C1B13">
        <w:rPr>
          <w:rFonts w:asciiTheme="minorHAnsi" w:eastAsia="Times New Roman" w:hAnsiTheme="minorHAnsi" w:cs="Times New Roman"/>
          <w:bCs/>
          <w:color w:val="000000" w:themeColor="text1"/>
          <w:sz w:val="24"/>
          <w:szCs w:val="24"/>
        </w:rPr>
        <w:t>, comma 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 direttiva (UE) 2018/1673 del Parlamento europeo e del Consiglio, del 23 ottobre 2018, sulla lotta al riciclaggio mediante il diritto penale (termine di recepimento: 3 dicembre 2020);</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 direttiva (UE) 2018/1808 del Parlamento europeo e del Consiglio, del 14 novembre 2018, recante modifica della direttiva 2010/13/UE, relativa al coordinamento di determinate disposizioni legislative, regolamentari e amministrative degli Stati membri concernenti la fornitura di servizi di media audiovisivi (direttiva sui </w:t>
      </w:r>
      <w:proofErr w:type="gramStart"/>
      <w:r w:rsidRPr="002C1B13">
        <w:rPr>
          <w:rFonts w:asciiTheme="minorHAnsi" w:eastAsia="Times New Roman" w:hAnsiTheme="minorHAnsi" w:cs="Times New Roman"/>
          <w:bCs/>
          <w:color w:val="000000" w:themeColor="text1"/>
          <w:sz w:val="24"/>
          <w:szCs w:val="24"/>
        </w:rPr>
        <w:t>servizi</w:t>
      </w:r>
      <w:proofErr w:type="gramEnd"/>
      <w:r w:rsidRPr="002C1B13">
        <w:rPr>
          <w:rFonts w:asciiTheme="minorHAnsi" w:eastAsia="Times New Roman" w:hAnsiTheme="minorHAnsi" w:cs="Times New Roman"/>
          <w:bCs/>
          <w:color w:val="000000" w:themeColor="text1"/>
          <w:sz w:val="24"/>
          <w:szCs w:val="24"/>
        </w:rPr>
        <w:t xml:space="preserve"> di media audiovisivi), in considerazione dell'evoluzione delle realtà del mercato (termine di recepimento: 19 settembre 2020);</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3) direttiva (UE) 2018/1910 del Consiglio, del 4 dicembre 2018, che modifica la direttiva 2006/112/CE per quanto concerne l'armonizzazione e la semplificazione di determinate norme nel sistema d'imposta sul valore aggiunto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imposizione degli scambi tra Stati membri (termine di recepimento: 31 dicembre 2019);</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4) direttiva (UE) 2018/1972 del Parlamento europeo e del Consiglio, dell'11 dicembre 2018, che istituisce il codice europeo delle comunicazioni elettroniche (rifusione) (Testo rilevante ai fini del SEE) (termine di recepimento: 21 dicembre 2020);</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5) direttiva (UE) 2018/2001 del Parlamento europeo e del Consiglio, dell'11 dicembre 2018, sulla </w:t>
      </w:r>
      <w:proofErr w:type="gramStart"/>
      <w:r w:rsidRPr="002C1B13">
        <w:rPr>
          <w:rFonts w:asciiTheme="minorHAnsi" w:eastAsia="Times New Roman" w:hAnsiTheme="minorHAnsi" w:cs="Times New Roman"/>
          <w:bCs/>
          <w:color w:val="000000" w:themeColor="text1"/>
          <w:sz w:val="24"/>
          <w:szCs w:val="24"/>
        </w:rPr>
        <w:t>promozione</w:t>
      </w:r>
      <w:proofErr w:type="gramEnd"/>
      <w:r w:rsidRPr="002C1B13">
        <w:rPr>
          <w:rFonts w:asciiTheme="minorHAnsi" w:eastAsia="Times New Roman" w:hAnsiTheme="minorHAnsi" w:cs="Times New Roman"/>
          <w:bCs/>
          <w:color w:val="000000" w:themeColor="text1"/>
          <w:sz w:val="24"/>
          <w:szCs w:val="24"/>
        </w:rPr>
        <w:t xml:space="preserve"> dell'uso dell'energia da fonti rinnovabili (rifusione) (Testo rilevante ai fini del SEE) (termine di recepimento: 30 giugno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6) direttiva (UE) 2019/1 del Parlamento europeo e del Consiglio, dell'11 dicembre 2018, che conferisce alle autorità garanti della concorrenza degli Stati membri poteri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applicazione più efficace e che assicura il corretto funzionamento del mercato interno (Testo rilevante ai fini del SEE) (termine di recepimento: 4 febbraio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CB401B">
        <w:rPr>
          <w:rFonts w:asciiTheme="minorHAnsi" w:eastAsia="Times New Roman" w:hAnsiTheme="minorHAnsi" w:cs="Times New Roman"/>
          <w:bCs/>
          <w:strike/>
          <w:color w:val="000000" w:themeColor="text1"/>
          <w:sz w:val="24"/>
          <w:szCs w:val="24"/>
          <w:highlight w:val="yellow"/>
        </w:rPr>
        <w:t xml:space="preserve">7) direttiva (UE) 2019/475 del Consiglio, del 18 febbraio 2019, recante modifica delle direttive 2006/112/CE e 2008/118/CE per quanto riguarda l'inclusione del comune italiano di Campione d'Italia e delle acque italiane del Lago </w:t>
      </w:r>
      <w:proofErr w:type="gramStart"/>
      <w:r w:rsidRPr="00CB401B">
        <w:rPr>
          <w:rFonts w:asciiTheme="minorHAnsi" w:eastAsia="Times New Roman" w:hAnsiTheme="minorHAnsi" w:cs="Times New Roman"/>
          <w:bCs/>
          <w:strike/>
          <w:color w:val="000000" w:themeColor="text1"/>
          <w:sz w:val="24"/>
          <w:szCs w:val="24"/>
          <w:highlight w:val="yellow"/>
        </w:rPr>
        <w:t>di</w:t>
      </w:r>
      <w:proofErr w:type="gramEnd"/>
      <w:r w:rsidRPr="00CB401B">
        <w:rPr>
          <w:rFonts w:asciiTheme="minorHAnsi" w:eastAsia="Times New Roman" w:hAnsiTheme="minorHAnsi" w:cs="Times New Roman"/>
          <w:bCs/>
          <w:strike/>
          <w:color w:val="000000" w:themeColor="text1"/>
          <w:sz w:val="24"/>
          <w:szCs w:val="24"/>
          <w:highlight w:val="yellow"/>
        </w:rPr>
        <w:t xml:space="preserve"> Lugano nel territorio doganale dell'Unione e nell'ambito di applicazione territoriale della direttiva 2008/118/CE (termine di recepimento: 31 dicembre 2019)</w:t>
      </w:r>
      <w:r w:rsidRPr="002C1B13">
        <w:rPr>
          <w:rFonts w:asciiTheme="minorHAnsi" w:eastAsia="Times New Roman" w:hAnsiTheme="minorHAnsi" w:cs="Times New Roman"/>
          <w:bCs/>
          <w:color w:val="000000" w:themeColor="text1"/>
          <w:sz w:val="24"/>
          <w:szCs w:val="24"/>
        </w:rPr>
        <w:t>;</w:t>
      </w:r>
      <w:r w:rsidR="00CB401B">
        <w:rPr>
          <w:rStyle w:val="Rimandonotaapidipagina"/>
          <w:rFonts w:asciiTheme="minorHAnsi" w:eastAsia="Times New Roman" w:hAnsiTheme="minorHAnsi" w:cs="Times New Roman"/>
          <w:bCs/>
          <w:color w:val="000000" w:themeColor="text1"/>
          <w:sz w:val="24"/>
          <w:szCs w:val="24"/>
        </w:rPr>
        <w:footnoteReference w:id="105"/>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8) direttiva (UE) 2019/520 del Parlamento europeo e del Consiglio, del 19 marzo 2019, concernente l'interoperabilità dei sistemi di telepedaggio stradale e intesa ad agevolare lo scambio transfrontaliero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informazioni sul mancato pagamento dei pedaggi stradali nell'Unione (rifusione) (Testo rilevante ai fini del SEE) (termine di recepimento: 19 ottobre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9) direttiva (UE) 2019/633 del Parlamento europeo e del Consiglio, del 17 aprile 2019, in materia di pratiche commerciali sleali nei rapporti tra imprese nella filiera agricola e alimentare (termine di recepimento: 1° maggio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10) direttiva (UE) 2019/713 del Parlamento europeo e del Consiglio, del 17 aprile 2019, relativa alla lotta contro le frodi e le falsificazioni di mezzi di pagamento diversi dai contanti e che sostituisce la decisione quadro 2001/413/GAI del Consiglio (termine di recepimento: 31 maggio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11) direttiva (UE) 2019/770 del Parlamento europeo e del Consiglio, del 20 maggio 2019, </w:t>
      </w:r>
      <w:proofErr w:type="gramStart"/>
      <w:r w:rsidRPr="002C1B13">
        <w:rPr>
          <w:rFonts w:asciiTheme="minorHAnsi" w:eastAsia="Times New Roman" w:hAnsiTheme="minorHAnsi" w:cs="Times New Roman"/>
          <w:bCs/>
          <w:color w:val="000000" w:themeColor="text1"/>
          <w:sz w:val="24"/>
          <w:szCs w:val="24"/>
        </w:rPr>
        <w:t>relativa a determinati aspetti</w:t>
      </w:r>
      <w:proofErr w:type="gramEnd"/>
      <w:r w:rsidRPr="002C1B13">
        <w:rPr>
          <w:rFonts w:asciiTheme="minorHAnsi" w:eastAsia="Times New Roman" w:hAnsiTheme="minorHAnsi" w:cs="Times New Roman"/>
          <w:bCs/>
          <w:color w:val="000000" w:themeColor="text1"/>
          <w:sz w:val="24"/>
          <w:szCs w:val="24"/>
        </w:rPr>
        <w:t xml:space="preserve"> dei contratti di fornitura di contenuto digitale e di servizi digitali (Testo rilevante ai fini del SEE) (termine di recepimento: 1° luglio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12) direttiva (UE) 2019/771 del Parlamento europeo e del Consiglio, del 20 maggio 2019, </w:t>
      </w:r>
      <w:proofErr w:type="gramStart"/>
      <w:r w:rsidRPr="002C1B13">
        <w:rPr>
          <w:rFonts w:asciiTheme="minorHAnsi" w:eastAsia="Times New Roman" w:hAnsiTheme="minorHAnsi" w:cs="Times New Roman"/>
          <w:bCs/>
          <w:color w:val="000000" w:themeColor="text1"/>
          <w:sz w:val="24"/>
          <w:szCs w:val="24"/>
        </w:rPr>
        <w:t>relativa a determinati aspetti</w:t>
      </w:r>
      <w:proofErr w:type="gramEnd"/>
      <w:r w:rsidRPr="002C1B13">
        <w:rPr>
          <w:rFonts w:asciiTheme="minorHAnsi" w:eastAsia="Times New Roman" w:hAnsiTheme="minorHAnsi" w:cs="Times New Roman"/>
          <w:bCs/>
          <w:color w:val="000000" w:themeColor="text1"/>
          <w:sz w:val="24"/>
          <w:szCs w:val="24"/>
        </w:rPr>
        <w:t xml:space="preserve"> dei contratti di vendita di beni, che modifica il regolamento (UE) 2017/2394 e la direttiva 2009/22/CE, e che abroga la direttiva 1999/44/CE (Testo rilevante ai fini del SEE) (termine di recepimento: 1° luglio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13) direttiva (UE) 2019/789 del Parlamento europeo e del Consiglio, del 17 aprile 2019, che stabilisce norme </w:t>
      </w:r>
      <w:proofErr w:type="gramStart"/>
      <w:r w:rsidRPr="002C1B13">
        <w:rPr>
          <w:rFonts w:asciiTheme="minorHAnsi" w:eastAsia="Times New Roman" w:hAnsiTheme="minorHAnsi" w:cs="Times New Roman"/>
          <w:bCs/>
          <w:color w:val="000000" w:themeColor="text1"/>
          <w:sz w:val="24"/>
          <w:szCs w:val="24"/>
        </w:rPr>
        <w:t>relative all'</w:t>
      </w:r>
      <w:proofErr w:type="gramEnd"/>
      <w:r w:rsidRPr="002C1B13">
        <w:rPr>
          <w:rFonts w:asciiTheme="minorHAnsi" w:eastAsia="Times New Roman" w:hAnsiTheme="minorHAnsi" w:cs="Times New Roman"/>
          <w:bCs/>
          <w:color w:val="000000" w:themeColor="text1"/>
          <w:sz w:val="24"/>
          <w:szCs w:val="24"/>
        </w:rPr>
        <w:t>esercizio del diritto d'autore e dei diritti connessi applicabili a talune trasmissioni online degli organismi di diffusione radiotelevisiva e ritrasmissioni di programmi televisivi e radiofonici e che modifica la direttiva 93/83/CEE del Consiglio (Testo rilevante ai fini del SEE) (termine di recepimento: 7 giugno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 xml:space="preserve">14) direttiva (UE) 2019/790 del Parlamento europeo e del Consiglio, del 17 aprile 2019, sul diritto d'autore e sui </w:t>
      </w:r>
      <w:proofErr w:type="gramStart"/>
      <w:r w:rsidRPr="002C1B13">
        <w:rPr>
          <w:rFonts w:asciiTheme="minorHAnsi" w:eastAsia="Times New Roman" w:hAnsiTheme="minorHAnsi" w:cs="Times New Roman"/>
          <w:bCs/>
          <w:color w:val="000000" w:themeColor="text1"/>
          <w:sz w:val="24"/>
          <w:szCs w:val="24"/>
        </w:rPr>
        <w:t>diritti</w:t>
      </w:r>
      <w:proofErr w:type="gramEnd"/>
      <w:r w:rsidRPr="002C1B13">
        <w:rPr>
          <w:rFonts w:asciiTheme="minorHAnsi" w:eastAsia="Times New Roman" w:hAnsiTheme="minorHAnsi" w:cs="Times New Roman"/>
          <w:bCs/>
          <w:color w:val="000000" w:themeColor="text1"/>
          <w:sz w:val="24"/>
          <w:szCs w:val="24"/>
        </w:rPr>
        <w:t xml:space="preserve"> connessi nel mercato unico digitale e che modifica le direttive 96/9/CE e 2001/29/CE (Testo rilevante ai fini del SEE) (termine di recepimento: 7 giugno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15) direttiva (UE) 2019/878 del Parlamento europeo e del Consiglio, del 20 maggio 2019, che modifica la direttiva 2013/36/UE per quanto riguarda le entità esentate, le società di partecipazione finanziaria, le </w:t>
      </w:r>
      <w:proofErr w:type="gramStart"/>
      <w:r w:rsidRPr="002C1B13">
        <w:rPr>
          <w:rFonts w:asciiTheme="minorHAnsi" w:eastAsia="Times New Roman" w:hAnsiTheme="minorHAnsi" w:cs="Times New Roman"/>
          <w:bCs/>
          <w:color w:val="000000" w:themeColor="text1"/>
          <w:sz w:val="24"/>
          <w:szCs w:val="24"/>
        </w:rPr>
        <w:t>società</w:t>
      </w:r>
      <w:proofErr w:type="gramEnd"/>
      <w:r w:rsidRPr="002C1B13">
        <w:rPr>
          <w:rFonts w:asciiTheme="minorHAnsi" w:eastAsia="Times New Roman" w:hAnsiTheme="minorHAnsi" w:cs="Times New Roman"/>
          <w:bCs/>
          <w:color w:val="000000" w:themeColor="text1"/>
          <w:sz w:val="24"/>
          <w:szCs w:val="24"/>
        </w:rPr>
        <w:t xml:space="preserve"> di partecipazione finanziaria mista, la remunerazione, le misure e i poteri di vigilanza e le misure di conservazione del capitale (Testo rilevante ai fini del SEE) (termine di recepimento: 28 dicembre 2020);</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16) direttiva (UE) 2019/879 del Parlamento europeo e del Consiglio, del 20 maggio 2019, che modifica la direttiva 2014/59/UE per quanto riguarda la capacità di assorbimento di perdite e di ricapitalizzazione degli enti creditizi e delle imprese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investimento e la direttiva 98/26/CE (termine di recepimento: 28 dicembre 2020);</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17) direttiva (UE) 2019/882 del Parlamento europeo e del Consiglio, del 17 aprile 2019, sui requisiti di accessibilità dei prodotti e dei servizi (Testo rilevante ai fini del SEE) (termine di recepimento: 28 giugno 2022);</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18) direttiva (UE) 2019/883 del Parlamento europeo e del Consiglio, del 17 aprile 2019, relativa agli impianti portuali di raccolta per il conferimento dei rifiuti </w:t>
      </w:r>
      <w:proofErr w:type="gramStart"/>
      <w:r w:rsidRPr="002C1B13">
        <w:rPr>
          <w:rFonts w:asciiTheme="minorHAnsi" w:eastAsia="Times New Roman" w:hAnsiTheme="minorHAnsi" w:cs="Times New Roman"/>
          <w:bCs/>
          <w:color w:val="000000" w:themeColor="text1"/>
          <w:sz w:val="24"/>
          <w:szCs w:val="24"/>
        </w:rPr>
        <w:t>delle</w:t>
      </w:r>
      <w:proofErr w:type="gramEnd"/>
      <w:r w:rsidRPr="002C1B13">
        <w:rPr>
          <w:rFonts w:asciiTheme="minorHAnsi" w:eastAsia="Times New Roman" w:hAnsiTheme="minorHAnsi" w:cs="Times New Roman"/>
          <w:bCs/>
          <w:color w:val="000000" w:themeColor="text1"/>
          <w:sz w:val="24"/>
          <w:szCs w:val="24"/>
        </w:rPr>
        <w:t xml:space="preserve"> navi, che modifica la direttiva 2010/65/UE e abroga la direttiva 2000/59/CE (Testo rilevante ai fini del SEE) (termine di recepimento: 28 giugno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19) direttiva (UE) 2019/884 del Parlamento europeo e del Consiglio, del 17 aprile 2019, che modifica la decisione quadro 2009/315/GAI del Consiglio per quanto riguarda lo scambio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informazioni sui cittadini di paesi terzi e il sistema europeo di informazione sui casellari giudiziali (ECRIS), e che sostituisce la decisione 2009/316/GAI del Consiglio (termine di recepimento: 28 giugno 2022);</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20) direttiva (UE) 2019/904 del Parlamento europeo e del Consiglio, del 5 giugno 2019, sulla riduzione dell'incidenza di determinati prodotti </w:t>
      </w:r>
      <w:proofErr w:type="gramStart"/>
      <w:r w:rsidRPr="002C1B13">
        <w:rPr>
          <w:rFonts w:asciiTheme="minorHAnsi" w:eastAsia="Times New Roman" w:hAnsiTheme="minorHAnsi" w:cs="Times New Roman"/>
          <w:bCs/>
          <w:color w:val="000000" w:themeColor="text1"/>
          <w:sz w:val="24"/>
          <w:szCs w:val="24"/>
        </w:rPr>
        <w:t>di</w:t>
      </w:r>
      <w:proofErr w:type="gramEnd"/>
      <w:r w:rsidRPr="002C1B13">
        <w:rPr>
          <w:rFonts w:asciiTheme="minorHAnsi" w:eastAsia="Times New Roman" w:hAnsiTheme="minorHAnsi" w:cs="Times New Roman"/>
          <w:bCs/>
          <w:color w:val="000000" w:themeColor="text1"/>
          <w:sz w:val="24"/>
          <w:szCs w:val="24"/>
        </w:rPr>
        <w:t xml:space="preserve"> plastica sull'ambiente (Testo rilevante ai fini del SEE) (termine di recepimento: 3 luglio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21) direttiva (UE) 2019/944 del Parlamento europeo e del Consiglio, del 5 giugno 2019, </w:t>
      </w:r>
      <w:proofErr w:type="gramStart"/>
      <w:r w:rsidRPr="002C1B13">
        <w:rPr>
          <w:rFonts w:asciiTheme="minorHAnsi" w:eastAsia="Times New Roman" w:hAnsiTheme="minorHAnsi" w:cs="Times New Roman"/>
          <w:bCs/>
          <w:color w:val="000000" w:themeColor="text1"/>
          <w:sz w:val="24"/>
          <w:szCs w:val="24"/>
        </w:rPr>
        <w:t>relativa a norme comuni</w:t>
      </w:r>
      <w:proofErr w:type="gramEnd"/>
      <w:r w:rsidRPr="002C1B13">
        <w:rPr>
          <w:rFonts w:asciiTheme="minorHAnsi" w:eastAsia="Times New Roman" w:hAnsiTheme="minorHAnsi" w:cs="Times New Roman"/>
          <w:bCs/>
          <w:color w:val="000000" w:themeColor="text1"/>
          <w:sz w:val="24"/>
          <w:szCs w:val="24"/>
        </w:rPr>
        <w:t xml:space="preserve"> per il mercato interno dell'energia elettrica e che modifica la direttiva 2012/27/UE (rifusione) (Testo rilevante ai fini del SEE) (termine di recepimento: 25 ottobre 2020 per l'articolo 70, punto 4), e 31 dicembre 2020 per il resto della direttiva);</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22) direttiva (UE) 2019/1023 del Parlamento europeo e del Consiglio, del 20 giugno 2019, riguardante i quadri di ristrutturazione preventiva, l'esdebitazione e le interdizioni, e le misure volte ad aumentare l'efficacia delle procedure di ristrutturazione, insolvenza ed esdebitazione, e che modifica la direttiva (UE) 2017/1132 (</w:t>
      </w:r>
      <w:proofErr w:type="gramStart"/>
      <w:r w:rsidRPr="002C1B13">
        <w:rPr>
          <w:rFonts w:asciiTheme="minorHAnsi" w:eastAsia="Times New Roman" w:hAnsiTheme="minorHAnsi" w:cs="Times New Roman"/>
          <w:bCs/>
          <w:color w:val="000000" w:themeColor="text1"/>
          <w:sz w:val="24"/>
          <w:szCs w:val="24"/>
        </w:rPr>
        <w:t>direttiva</w:t>
      </w:r>
      <w:proofErr w:type="gramEnd"/>
      <w:r w:rsidRPr="002C1B13">
        <w:rPr>
          <w:rFonts w:asciiTheme="minorHAnsi" w:eastAsia="Times New Roman" w:hAnsiTheme="minorHAnsi" w:cs="Times New Roman"/>
          <w:bCs/>
          <w:color w:val="000000" w:themeColor="text1"/>
          <w:sz w:val="24"/>
          <w:szCs w:val="24"/>
        </w:rPr>
        <w:t xml:space="preserve"> sulla ristrutturazione e sull'insolvenza) (Testo rilevante ai fini del SEE) (termine di recepimento: 17 luglio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lastRenderedPageBreak/>
        <w:t>23) direttiva (UE) 2019/1024 del Parlamento europeo e del Consiglio, del 20 giugno 2019, relativa all'apertura dei dati e al riutilizzo dell'informazione del settore pubblico (rifusione) (termine di recepimento: 17 luglio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24) direttiva (UE) 2019/1151 del Parlamento europeo e del Consiglio, del 20 giugno 2019, recante modifica della direttiva (UE) 2017/1132 per quanto concerne l'uso di strumenti e processi digitali nel diritto societario (Testo rilevante ai fini del SEE) (termine di recepimento: 1° agosto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25) direttiva (UE) 2019/1152 del Parlamento europeo e del Consiglio, del 20 giugno 2019, </w:t>
      </w:r>
      <w:proofErr w:type="gramStart"/>
      <w:r w:rsidRPr="002C1B13">
        <w:rPr>
          <w:rFonts w:asciiTheme="minorHAnsi" w:eastAsia="Times New Roman" w:hAnsiTheme="minorHAnsi" w:cs="Times New Roman"/>
          <w:bCs/>
          <w:color w:val="000000" w:themeColor="text1"/>
          <w:sz w:val="24"/>
          <w:szCs w:val="24"/>
        </w:rPr>
        <w:t>relativa a condizioni di lavoro trasparenti e prevedibili</w:t>
      </w:r>
      <w:proofErr w:type="gramEnd"/>
      <w:r w:rsidRPr="002C1B13">
        <w:rPr>
          <w:rFonts w:asciiTheme="minorHAnsi" w:eastAsia="Times New Roman" w:hAnsiTheme="minorHAnsi" w:cs="Times New Roman"/>
          <w:bCs/>
          <w:color w:val="000000" w:themeColor="text1"/>
          <w:sz w:val="24"/>
          <w:szCs w:val="24"/>
        </w:rPr>
        <w:t xml:space="preserve"> nell'Unione europea (termine di recepimento: 1° agosto 2022);</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26) direttiva (UE) 2019/1153 del Parlamento europeo e del Consiglio, del 20 giugno 2019, che reca disposizioni per agevolare l'uso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informazioni finanziarie e di altro tipo a fini di prevenzione, accertamento, indagine o perseguimento di determinati reati, e che abroga la decisione 2000/642/GAI del Consiglio (termine di recepimento: 1° agosto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27) direttiva (UE) 2019/1158 del Parlamento europeo e del Consiglio, del 20 giugno 2019, relativa all'equilibrio tra attività professionale e vita familiare per i genitori e i prestatori di assistenza e che abroga la direttiva 2010/18/UE del Consiglio (termine di recepimento: 2 agosto 2022);</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28) direttiva (UE) 2019/1159 del Parlamento europeo e del Consiglio, del 20 giugno 2019, recante modifica della direttiva 2008/106/CE concernente i requisiti minimi di formazione per la gente di mare e che abroga la direttiva 2005/45/CE riguardante il reciproco riconoscimento dei certificati rilasciati dagli Stati membri alla gente di mare (Testo rilevante ai fini del SEE) (termine di recepimento: 2 agosto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29) direttiva (UE) 2019/1160 del Parlamento europeo e del Consiglio, del 20 giugno 2019, che modifica le direttive 2009/65/CE e 2011/61/UE per quanto riguarda la distribuzione transfrontaliera degli organismi </w:t>
      </w:r>
      <w:proofErr w:type="gramStart"/>
      <w:r w:rsidRPr="002C1B13">
        <w:rPr>
          <w:rFonts w:asciiTheme="minorHAnsi" w:eastAsia="Times New Roman" w:hAnsiTheme="minorHAnsi" w:cs="Times New Roman"/>
          <w:bCs/>
          <w:color w:val="000000" w:themeColor="text1"/>
          <w:sz w:val="24"/>
          <w:szCs w:val="24"/>
        </w:rPr>
        <w:t xml:space="preserve">di </w:t>
      </w:r>
      <w:proofErr w:type="gramEnd"/>
      <w:r w:rsidRPr="002C1B13">
        <w:rPr>
          <w:rFonts w:asciiTheme="minorHAnsi" w:eastAsia="Times New Roman" w:hAnsiTheme="minorHAnsi" w:cs="Times New Roman"/>
          <w:bCs/>
          <w:color w:val="000000" w:themeColor="text1"/>
          <w:sz w:val="24"/>
          <w:szCs w:val="24"/>
        </w:rPr>
        <w:t>investimento collettivo (Testo rilevante ai fini del SEE) (termine di recepimento: 2 agosto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30) direttiva (UE) 2019/1161 del Parlamento europeo e del Consiglio, del 20 giugno 2019, che modifica la direttiva 2009/33/CE </w:t>
      </w:r>
      <w:proofErr w:type="gramStart"/>
      <w:r w:rsidRPr="002C1B13">
        <w:rPr>
          <w:rFonts w:asciiTheme="minorHAnsi" w:eastAsia="Times New Roman" w:hAnsiTheme="minorHAnsi" w:cs="Times New Roman"/>
          <w:bCs/>
          <w:color w:val="000000" w:themeColor="text1"/>
          <w:sz w:val="24"/>
          <w:szCs w:val="24"/>
        </w:rPr>
        <w:t>relativa alla</w:t>
      </w:r>
      <w:proofErr w:type="gramEnd"/>
      <w:r w:rsidRPr="002C1B13">
        <w:rPr>
          <w:rFonts w:asciiTheme="minorHAnsi" w:eastAsia="Times New Roman" w:hAnsiTheme="minorHAnsi" w:cs="Times New Roman"/>
          <w:bCs/>
          <w:color w:val="000000" w:themeColor="text1"/>
          <w:sz w:val="24"/>
          <w:szCs w:val="24"/>
        </w:rPr>
        <w:t xml:space="preserve"> promozione di veicoli puliti e a basso consumo energetico nel trasporto su strada (Testo rilevante ai fini del SEE) (termine di recepimento: 2 agosto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31) direttiva (UE) 2019/1936 del Parlamento europeo e del Consiglio, del 23 ottobre 2019, che modifica la direttiva 2008/96/CE sulla gestione della sicurezza delle infrastrutture stradali (termine di recepimento: 17 dicembre 2021);</w:t>
      </w:r>
    </w:p>
    <w:p w:rsidR="002C1B13" w:rsidRPr="002C1B13"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32) direttiva (UE) 2019/1937 del Parlamento europeo e del Consiglio, del 23 ottobre 2019, riguardante la protezione delle persone che segnalano violazioni del diritto dell'Unione (termine di recepimento: 17 dicembre 2021);</w:t>
      </w:r>
    </w:p>
    <w:p w:rsidR="00E874C7" w:rsidRDefault="002C1B13" w:rsidP="002C1B13">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 xml:space="preserve">33) direttiva (UE) 2019/1995 del Consiglio, del 21 novembre 2019, che modifica la direttiva 2006/112/CE del Consiglio del 28 novembre 2006 per quanto riguarda le disposizioni </w:t>
      </w:r>
      <w:proofErr w:type="gramStart"/>
      <w:r w:rsidRPr="002C1B13">
        <w:rPr>
          <w:rFonts w:asciiTheme="minorHAnsi" w:eastAsia="Times New Roman" w:hAnsiTheme="minorHAnsi" w:cs="Times New Roman"/>
          <w:bCs/>
          <w:color w:val="000000" w:themeColor="text1"/>
          <w:sz w:val="24"/>
          <w:szCs w:val="24"/>
        </w:rPr>
        <w:t>relative alle</w:t>
      </w:r>
      <w:proofErr w:type="gramEnd"/>
      <w:r w:rsidRPr="002C1B13">
        <w:rPr>
          <w:rFonts w:asciiTheme="minorHAnsi" w:eastAsia="Times New Roman" w:hAnsiTheme="minorHAnsi" w:cs="Times New Roman"/>
          <w:bCs/>
          <w:color w:val="000000" w:themeColor="text1"/>
          <w:sz w:val="24"/>
          <w:szCs w:val="24"/>
        </w:rPr>
        <w:t xml:space="preserve"> </w:t>
      </w:r>
      <w:r w:rsidRPr="002C1B13">
        <w:rPr>
          <w:rFonts w:asciiTheme="minorHAnsi" w:eastAsia="Times New Roman" w:hAnsiTheme="minorHAnsi" w:cs="Times New Roman"/>
          <w:bCs/>
          <w:color w:val="000000" w:themeColor="text1"/>
          <w:sz w:val="24"/>
          <w:szCs w:val="24"/>
        </w:rPr>
        <w:lastRenderedPageBreak/>
        <w:t>vendite a distanza di beni e a talune cessioni nazionali di beni (termine di r</w:t>
      </w:r>
      <w:r w:rsidR="00CB401B">
        <w:rPr>
          <w:rFonts w:asciiTheme="minorHAnsi" w:eastAsia="Times New Roman" w:hAnsiTheme="minorHAnsi" w:cs="Times New Roman"/>
          <w:bCs/>
          <w:color w:val="000000" w:themeColor="text1"/>
          <w:sz w:val="24"/>
          <w:szCs w:val="24"/>
        </w:rPr>
        <w:t>ecepimento: 31 dicembre 2020);</w:t>
      </w:r>
    </w:p>
    <w:p w:rsidR="00CB401B" w:rsidRP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401B">
        <w:rPr>
          <w:rFonts w:asciiTheme="minorHAnsi" w:eastAsia="Times New Roman" w:hAnsiTheme="minorHAnsi" w:cs="Times New Roman"/>
          <w:b/>
          <w:bCs/>
          <w:color w:val="000000" w:themeColor="text1"/>
          <w:sz w:val="24"/>
          <w:szCs w:val="24"/>
        </w:rPr>
        <w:t xml:space="preserve">33-bis) direttiva (UE) 2019/2034 del Parlamento europeo e del Consiglio, del 27 novembre 2019, relativa alla vigilanza prudenziale sulle imprese </w:t>
      </w:r>
      <w:proofErr w:type="gramStart"/>
      <w:r w:rsidRPr="00CB401B">
        <w:rPr>
          <w:rFonts w:asciiTheme="minorHAnsi" w:eastAsia="Times New Roman" w:hAnsiTheme="minorHAnsi" w:cs="Times New Roman"/>
          <w:b/>
          <w:bCs/>
          <w:color w:val="000000" w:themeColor="text1"/>
          <w:sz w:val="24"/>
          <w:szCs w:val="24"/>
        </w:rPr>
        <w:t xml:space="preserve">di </w:t>
      </w:r>
      <w:proofErr w:type="gramEnd"/>
      <w:r w:rsidRPr="00CB401B">
        <w:rPr>
          <w:rFonts w:asciiTheme="minorHAnsi" w:eastAsia="Times New Roman" w:hAnsiTheme="minorHAnsi" w:cs="Times New Roman"/>
          <w:b/>
          <w:bCs/>
          <w:color w:val="000000" w:themeColor="text1"/>
          <w:sz w:val="24"/>
          <w:szCs w:val="24"/>
        </w:rPr>
        <w:t>investimento e recante modifica delle direttive 2002/87/CE, 2009/65/CE, 2011/61/UE, 2013/36/UE, 2014/59/UE e 2014/65/UE (termine di recepimento: 26 marzo 2020 e 26 giugno 2021);</w:t>
      </w:r>
    </w:p>
    <w:p w:rsid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CB401B">
        <w:rPr>
          <w:rFonts w:asciiTheme="minorHAnsi" w:eastAsia="Times New Roman" w:hAnsiTheme="minorHAnsi" w:cs="Times New Roman"/>
          <w:b/>
          <w:bCs/>
          <w:color w:val="000000" w:themeColor="text1"/>
          <w:sz w:val="24"/>
          <w:szCs w:val="24"/>
        </w:rPr>
        <w:t xml:space="preserve">33-ter) direttiva (UE) 2019/2162 del Parlamento europeo e del Consiglio </w:t>
      </w:r>
      <w:proofErr w:type="gramStart"/>
      <w:r w:rsidRPr="00CB401B">
        <w:rPr>
          <w:rFonts w:asciiTheme="minorHAnsi" w:eastAsia="Times New Roman" w:hAnsiTheme="minorHAnsi" w:cs="Times New Roman"/>
          <w:b/>
          <w:bCs/>
          <w:color w:val="000000" w:themeColor="text1"/>
          <w:sz w:val="24"/>
          <w:szCs w:val="24"/>
        </w:rPr>
        <w:t>del 27 novembre 2019 relativa</w:t>
      </w:r>
      <w:proofErr w:type="gramEnd"/>
      <w:r w:rsidRPr="00CB401B">
        <w:rPr>
          <w:rFonts w:asciiTheme="minorHAnsi" w:eastAsia="Times New Roman" w:hAnsiTheme="minorHAnsi" w:cs="Times New Roman"/>
          <w:b/>
          <w:bCs/>
          <w:color w:val="000000" w:themeColor="text1"/>
          <w:sz w:val="24"/>
          <w:szCs w:val="24"/>
        </w:rPr>
        <w:t xml:space="preserve"> all'emissione di obbligazioni garantite e alla vigilanza pubblica delle obbligazioni garantite e che modifica la direttiva 2009/65/CE e la direttiva 2014/59/UE (termine di recepimento: 8 luglio 2021)</w:t>
      </w:r>
      <w:r>
        <w:rPr>
          <w:rStyle w:val="Rimandonotaapidipagina"/>
          <w:rFonts w:asciiTheme="minorHAnsi" w:eastAsia="Times New Roman" w:hAnsiTheme="minorHAnsi" w:cs="Times New Roman"/>
          <w:b/>
          <w:bCs/>
          <w:color w:val="000000" w:themeColor="text1"/>
          <w:sz w:val="24"/>
          <w:szCs w:val="24"/>
        </w:rPr>
        <w:footnoteReference w:id="106"/>
      </w:r>
      <w:r w:rsidRPr="00CB401B">
        <w:rPr>
          <w:rFonts w:asciiTheme="minorHAnsi" w:eastAsia="Times New Roman" w:hAnsiTheme="minorHAnsi" w:cs="Times New Roman"/>
          <w:bCs/>
          <w:color w:val="000000" w:themeColor="text1"/>
          <w:sz w:val="24"/>
          <w:szCs w:val="24"/>
        </w:rPr>
        <w:t>;</w:t>
      </w:r>
    </w:p>
    <w:p w:rsidR="00CB401B" w:rsidRP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401B">
        <w:rPr>
          <w:rFonts w:asciiTheme="minorHAnsi" w:eastAsia="Times New Roman" w:hAnsiTheme="minorHAnsi" w:cs="Times New Roman"/>
          <w:b/>
          <w:bCs/>
          <w:color w:val="000000" w:themeColor="text1"/>
          <w:sz w:val="24"/>
          <w:szCs w:val="24"/>
        </w:rPr>
        <w:t>33-bis) direttiva (UE) 2020/262 del Consiglio, del 19 dicembre 2019, che stabilisce il regime generale delle accise (rifusione) (termine di recepimento: 31 dicembre 2021</w:t>
      </w:r>
      <w:proofErr w:type="gramStart"/>
      <w:r w:rsidRPr="00CB401B">
        <w:rPr>
          <w:rFonts w:asciiTheme="minorHAnsi" w:eastAsia="Times New Roman" w:hAnsiTheme="minorHAnsi" w:cs="Times New Roman"/>
          <w:b/>
          <w:bCs/>
          <w:color w:val="000000" w:themeColor="text1"/>
          <w:sz w:val="24"/>
          <w:szCs w:val="24"/>
        </w:rPr>
        <w:t>)</w:t>
      </w:r>
      <w:proofErr w:type="gramEnd"/>
      <w:r w:rsidRPr="00CB401B">
        <w:rPr>
          <w:rFonts w:asciiTheme="minorHAnsi" w:eastAsia="Times New Roman" w:hAnsiTheme="minorHAnsi" w:cs="Times New Roman"/>
          <w:b/>
          <w:bCs/>
          <w:color w:val="000000" w:themeColor="text1"/>
          <w:sz w:val="24"/>
          <w:szCs w:val="24"/>
        </w:rPr>
        <w:t>;</w:t>
      </w:r>
    </w:p>
    <w:p w:rsidR="00CB401B" w:rsidRP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401B">
        <w:rPr>
          <w:rFonts w:asciiTheme="minorHAnsi" w:eastAsia="Times New Roman" w:hAnsiTheme="minorHAnsi" w:cs="Times New Roman"/>
          <w:b/>
          <w:bCs/>
          <w:color w:val="000000" w:themeColor="text1"/>
          <w:sz w:val="24"/>
          <w:szCs w:val="24"/>
        </w:rPr>
        <w:t xml:space="preserve">33-ter) direttiva (UE) 2019/2235 del Consiglio, del 16 dicembre 2019, recante modifica della direttiva 2006/112/CE </w:t>
      </w:r>
      <w:proofErr w:type="gramStart"/>
      <w:r w:rsidRPr="00CB401B">
        <w:rPr>
          <w:rFonts w:asciiTheme="minorHAnsi" w:eastAsia="Times New Roman" w:hAnsiTheme="minorHAnsi" w:cs="Times New Roman"/>
          <w:b/>
          <w:bCs/>
          <w:color w:val="000000" w:themeColor="text1"/>
          <w:sz w:val="24"/>
          <w:szCs w:val="24"/>
        </w:rPr>
        <w:t>relativa al</w:t>
      </w:r>
      <w:proofErr w:type="gramEnd"/>
      <w:r w:rsidRPr="00CB401B">
        <w:rPr>
          <w:rFonts w:asciiTheme="minorHAnsi" w:eastAsia="Times New Roman" w:hAnsiTheme="minorHAnsi" w:cs="Times New Roman"/>
          <w:b/>
          <w:bCs/>
          <w:color w:val="000000" w:themeColor="text1"/>
          <w:sz w:val="24"/>
          <w:szCs w:val="24"/>
        </w:rPr>
        <w:t xml:space="preserve"> sistema comune d'imposta sul valore aggiunto e della direttiva 2008/118/CE relativa al regime generale delle accise per quanto riguarda gli sforzi di difesa nell'ambito dell'Unione (termine di recepimento: 30 giugno 2022);</w:t>
      </w:r>
    </w:p>
    <w:p w:rsidR="00CB401B" w:rsidRP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401B">
        <w:rPr>
          <w:rFonts w:asciiTheme="minorHAnsi" w:eastAsia="Times New Roman" w:hAnsiTheme="minorHAnsi" w:cs="Times New Roman"/>
          <w:b/>
          <w:bCs/>
          <w:color w:val="000000" w:themeColor="text1"/>
          <w:sz w:val="24"/>
          <w:szCs w:val="24"/>
        </w:rPr>
        <w:t>33-quater) direttiva (UE) 2020/284 del Consiglio, del 18 febbraio 2020, che modifica la direttiva 2006/112/CE per quanto riguarda l'introduzione di taluni obblighi per i prestatori di servizi di pagamento (termine di recepimento: 31 dicembre 2023</w:t>
      </w:r>
      <w:proofErr w:type="gramStart"/>
      <w:r w:rsidRPr="00CB401B">
        <w:rPr>
          <w:rFonts w:asciiTheme="minorHAnsi" w:eastAsia="Times New Roman" w:hAnsiTheme="minorHAnsi" w:cs="Times New Roman"/>
          <w:b/>
          <w:bCs/>
          <w:color w:val="000000" w:themeColor="text1"/>
          <w:sz w:val="24"/>
          <w:szCs w:val="24"/>
        </w:rPr>
        <w:t>)</w:t>
      </w:r>
      <w:proofErr w:type="gramEnd"/>
      <w:r w:rsidRPr="00CB401B">
        <w:rPr>
          <w:rFonts w:asciiTheme="minorHAnsi" w:eastAsia="Times New Roman" w:hAnsiTheme="minorHAnsi" w:cs="Times New Roman"/>
          <w:b/>
          <w:bCs/>
          <w:color w:val="000000" w:themeColor="text1"/>
          <w:sz w:val="24"/>
          <w:szCs w:val="24"/>
        </w:rPr>
        <w:t>;</w:t>
      </w:r>
    </w:p>
    <w:p w:rsidR="00CB401B" w:rsidRPr="00CB401B" w:rsidRDefault="00CB401B" w:rsidP="00CB401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401B">
        <w:rPr>
          <w:rFonts w:asciiTheme="minorHAnsi" w:eastAsia="Times New Roman" w:hAnsiTheme="minorHAnsi" w:cs="Times New Roman"/>
          <w:b/>
          <w:bCs/>
          <w:color w:val="000000" w:themeColor="text1"/>
          <w:sz w:val="24"/>
          <w:szCs w:val="24"/>
        </w:rPr>
        <w:t xml:space="preserve">33-quinquies) direttiva (UE) 2020/285 del Consiglio, del 18 febbraio 2020, che modifica la direttiva 2006/112/CE </w:t>
      </w:r>
      <w:proofErr w:type="gramStart"/>
      <w:r w:rsidRPr="00CB401B">
        <w:rPr>
          <w:rFonts w:asciiTheme="minorHAnsi" w:eastAsia="Times New Roman" w:hAnsiTheme="minorHAnsi" w:cs="Times New Roman"/>
          <w:b/>
          <w:bCs/>
          <w:color w:val="000000" w:themeColor="text1"/>
          <w:sz w:val="24"/>
          <w:szCs w:val="24"/>
        </w:rPr>
        <w:t>relativa al</w:t>
      </w:r>
      <w:proofErr w:type="gramEnd"/>
      <w:r w:rsidRPr="00CB401B">
        <w:rPr>
          <w:rFonts w:asciiTheme="minorHAnsi" w:eastAsia="Times New Roman" w:hAnsiTheme="minorHAnsi" w:cs="Times New Roman"/>
          <w:b/>
          <w:bCs/>
          <w:color w:val="000000" w:themeColor="text1"/>
          <w:sz w:val="24"/>
          <w:szCs w:val="24"/>
        </w:rPr>
        <w:t xml:space="preserve"> sistema comune d'imposta sul valore aggiunto per quanto riguarda il regime speciale per le piccole imprese e il regolamento (UE) n. 904/2010 per quanto riguarda la cooperazione amministrativa e lo scambio di informazioni allo scopo di verificare la corretta applicazione del regime speciale per le piccole imprese (termine di recepimento: 31 dicembre 2024).</w:t>
      </w:r>
      <w:r>
        <w:rPr>
          <w:rStyle w:val="Rimandonotaapidipagina"/>
          <w:rFonts w:asciiTheme="minorHAnsi" w:eastAsia="Times New Roman" w:hAnsiTheme="minorHAnsi" w:cs="Times New Roman"/>
          <w:b/>
          <w:bCs/>
          <w:color w:val="000000" w:themeColor="text1"/>
          <w:sz w:val="24"/>
          <w:szCs w:val="24"/>
        </w:rPr>
        <w:footnoteReference w:id="107"/>
      </w:r>
    </w:p>
    <w:p w:rsidR="00E874C7" w:rsidRPr="00793CC1" w:rsidRDefault="00E874C7" w:rsidP="00E874C7">
      <w:pPr>
        <w:shd w:val="clear" w:color="auto" w:fill="FFFFFF"/>
        <w:spacing w:before="100" w:beforeAutospacing="1" w:after="100" w:afterAutospacing="1" w:line="240" w:lineRule="auto"/>
        <w:jc w:val="center"/>
        <w:rPr>
          <w:rFonts w:asciiTheme="minorHAnsi" w:eastAsia="Times New Roman" w:hAnsiTheme="minorHAnsi" w:cs="Times New Roman"/>
          <w:bCs/>
          <w:color w:val="000000" w:themeColor="text1"/>
          <w:sz w:val="24"/>
          <w:szCs w:val="24"/>
        </w:rPr>
      </w:pPr>
    </w:p>
    <w:sectPr w:rsidR="00E874C7" w:rsidRPr="00793CC1" w:rsidSect="00C973FC">
      <w:headerReference w:type="even" r:id="rId9"/>
      <w:headerReference w:type="default" r:id="rId10"/>
      <w:footerReference w:type="even" r:id="rId11"/>
      <w:footerReference w:type="default" r:id="rId12"/>
      <w:headerReference w:type="first" r:id="rId13"/>
      <w:footerReference w:type="first" r:id="rId14"/>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0CF" w:rsidRDefault="00D330CF">
      <w:pPr>
        <w:spacing w:after="0" w:line="240" w:lineRule="auto"/>
      </w:pPr>
      <w:r>
        <w:separator/>
      </w:r>
    </w:p>
  </w:endnote>
  <w:endnote w:type="continuationSeparator" w:id="0">
    <w:p w:rsidR="00D330CF" w:rsidRDefault="00D3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altName w:val="Consolas"/>
    <w:charset w:val="00"/>
    <w:family w:val="swiss"/>
    <w:pitch w:val="variable"/>
    <w:sig w:usb0="A00002EF" w:usb1="4000207B"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26" w:rsidRPr="004D0F93" w:rsidRDefault="00050426"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BA2952">
      <w:rPr>
        <w:rFonts w:asciiTheme="majorHAnsi" w:hAnsiTheme="majorHAnsi"/>
        <w:noProof/>
        <w:color w:val="595959" w:themeColor="text1" w:themeTint="A6"/>
        <w:sz w:val="18"/>
        <w:szCs w:val="18"/>
      </w:rPr>
      <w:t>2</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BA2952">
      <w:fldChar w:fldCharType="begin"/>
    </w:r>
    <w:r w:rsidR="00BA2952">
      <w:instrText>NUMPAGES  \* Arabic  \* MERGEFORMAT</w:instrText>
    </w:r>
    <w:r w:rsidR="00BA2952">
      <w:fldChar w:fldCharType="separate"/>
    </w:r>
    <w:r w:rsidR="00BA2952" w:rsidRPr="00BA2952">
      <w:rPr>
        <w:rFonts w:asciiTheme="majorHAnsi" w:hAnsiTheme="majorHAnsi"/>
        <w:noProof/>
        <w:color w:val="595959" w:themeColor="text1" w:themeTint="A6"/>
        <w:sz w:val="18"/>
        <w:szCs w:val="18"/>
      </w:rPr>
      <w:t>57</w:t>
    </w:r>
    <w:r w:rsidR="00BA2952">
      <w:rPr>
        <w:rFonts w:asciiTheme="majorHAnsi" w:hAnsiTheme="majorHAnsi"/>
        <w:noProof/>
        <w:color w:val="595959" w:themeColor="text1" w:themeTint="A6"/>
        <w:sz w:val="18"/>
        <w:szCs w:val="18"/>
      </w:rPr>
      <w:fldChar w:fldCharType="end"/>
    </w:r>
  </w:p>
  <w:p w:rsidR="00050426" w:rsidRDefault="00050426">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26" w:rsidRDefault="00050426" w:rsidP="004532C6">
    <w:pPr>
      <w:pStyle w:val="Pidipagina"/>
      <w:tabs>
        <w:tab w:val="clear" w:pos="9638"/>
        <w:tab w:val="right" w:pos="10034"/>
      </w:tabs>
      <w:rPr>
        <w:rFonts w:asciiTheme="majorHAnsi" w:hAnsiTheme="majorHAnsi"/>
        <w:sz w:val="18"/>
        <w:szCs w:val="18"/>
      </w:rPr>
    </w:pPr>
  </w:p>
  <w:p w:rsidR="00050426" w:rsidRPr="005F27F8" w:rsidRDefault="00050426" w:rsidP="004532C6">
    <w:pPr>
      <w:pStyle w:val="Pidipagina"/>
      <w:tabs>
        <w:tab w:val="clear" w:pos="9638"/>
        <w:tab w:val="right" w:pos="10034"/>
      </w:tabs>
      <w:rPr>
        <w:rFonts w:asciiTheme="majorHAnsi" w:hAnsiTheme="majorHAnsi"/>
        <w:color w:val="595959" w:themeColor="text1" w:themeTint="A6"/>
        <w:sz w:val="18"/>
        <w:szCs w:val="18"/>
      </w:rPr>
    </w:pPr>
  </w:p>
  <w:p w:rsidR="00050426" w:rsidRPr="005F27F8" w:rsidRDefault="00050426"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BA2952">
      <w:rPr>
        <w:rFonts w:asciiTheme="majorHAnsi" w:hAnsiTheme="majorHAnsi"/>
        <w:noProof/>
        <w:color w:val="595959" w:themeColor="text1" w:themeTint="A6"/>
        <w:sz w:val="18"/>
        <w:szCs w:val="18"/>
      </w:rPr>
      <w:t>57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BA2952">
      <w:fldChar w:fldCharType="begin"/>
    </w:r>
    <w:r w:rsidR="00BA2952">
      <w:instrText>NUMPAGES  \* Arabic  \* MERGEFORMAT</w:instrText>
    </w:r>
    <w:r w:rsidR="00BA2952">
      <w:fldChar w:fldCharType="separate"/>
    </w:r>
    <w:r w:rsidR="00BA2952" w:rsidRPr="00BA2952">
      <w:rPr>
        <w:rFonts w:asciiTheme="majorHAnsi" w:hAnsiTheme="majorHAnsi"/>
        <w:noProof/>
        <w:color w:val="595959" w:themeColor="text1" w:themeTint="A6"/>
        <w:sz w:val="18"/>
        <w:szCs w:val="18"/>
      </w:rPr>
      <w:t>57</w:t>
    </w:r>
    <w:r w:rsidR="00BA2952">
      <w:rPr>
        <w:rFonts w:asciiTheme="majorHAnsi" w:hAnsiTheme="majorHAnsi"/>
        <w:noProof/>
        <w:color w:val="595959" w:themeColor="text1" w:themeTint="A6"/>
        <w:sz w:val="18"/>
        <w:szCs w:val="18"/>
      </w:rPr>
      <w:fldChar w:fldCharType="end"/>
    </w:r>
  </w:p>
  <w:p w:rsidR="00050426" w:rsidRPr="002739D4" w:rsidRDefault="00050426" w:rsidP="002739D4">
    <w:pPr>
      <w:pStyle w:val="Pidipagina"/>
      <w:spacing w:line="360" w:lineRule="auto"/>
      <w:rPr>
        <w:sz w:val="14"/>
        <w:szCs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26" w:rsidRPr="002739D4" w:rsidRDefault="00050426" w:rsidP="00B5230B">
    <w:pPr>
      <w:pStyle w:val="Pidipagina"/>
      <w:spacing w:line="360" w:lineRule="auto"/>
      <w:rPr>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0CF" w:rsidRDefault="00D330CF">
      <w:pPr>
        <w:spacing w:after="0" w:line="240" w:lineRule="auto"/>
      </w:pPr>
      <w:r>
        <w:separator/>
      </w:r>
    </w:p>
  </w:footnote>
  <w:footnote w:type="continuationSeparator" w:id="0">
    <w:p w:rsidR="00D330CF" w:rsidRDefault="00D330CF">
      <w:pPr>
        <w:spacing w:after="0" w:line="240" w:lineRule="auto"/>
      </w:pPr>
      <w:r>
        <w:continuationSeparator/>
      </w:r>
    </w:p>
  </w:footnote>
  <w:footnote w:id="1">
    <w:p w:rsidR="00050426" w:rsidRDefault="00050426">
      <w:pPr>
        <w:pStyle w:val="Testonotaapidipagina"/>
      </w:pPr>
      <w:r>
        <w:rPr>
          <w:rStyle w:val="Rimandonotaapidipagina"/>
        </w:rPr>
        <w:footnoteRef/>
      </w:r>
      <w:r>
        <w:t xml:space="preserve"> 1.1 Il Relatore</w:t>
      </w:r>
    </w:p>
  </w:footnote>
  <w:footnote w:id="2">
    <w:p w:rsidR="00050426" w:rsidRPr="00DE0D2C" w:rsidRDefault="00050426" w:rsidP="00F454A2">
      <w:pPr>
        <w:jc w:val="both"/>
        <w:rPr>
          <w:color w:val="000000" w:themeColor="text1"/>
        </w:rPr>
      </w:pPr>
      <w:r>
        <w:rPr>
          <w:rStyle w:val="Rimandonotaapidipagina"/>
        </w:rPr>
        <w:footnoteRef/>
      </w:r>
      <w:r>
        <w:t xml:space="preserve"> </w:t>
      </w:r>
      <w:r w:rsidRPr="00DE0D2C">
        <w:rPr>
          <w:color w:val="000000" w:themeColor="text1"/>
        </w:rPr>
        <w:t>3.5 (testo 2) Ferrari, Fedeli, Nannicini; 3.6 (</w:t>
      </w:r>
      <w:proofErr w:type="gramStart"/>
      <w:r w:rsidRPr="00DE0D2C">
        <w:rPr>
          <w:color w:val="000000" w:themeColor="text1"/>
        </w:rPr>
        <w:t>testo</w:t>
      </w:r>
      <w:proofErr w:type="gramEnd"/>
      <w:r w:rsidRPr="00DE0D2C">
        <w:rPr>
          <w:color w:val="000000" w:themeColor="text1"/>
        </w:rPr>
        <w:t xml:space="preserve"> 2) Giannuzzi</w:t>
      </w:r>
    </w:p>
    <w:p w:rsidR="00050426" w:rsidRDefault="00050426">
      <w:pPr>
        <w:pStyle w:val="Testonotaapidipagina"/>
      </w:pPr>
    </w:p>
  </w:footnote>
  <w:footnote w:id="3">
    <w:p w:rsidR="00050426" w:rsidRDefault="00050426">
      <w:pPr>
        <w:pStyle w:val="Testonotaapidipagina"/>
      </w:pPr>
      <w:r>
        <w:rPr>
          <w:rStyle w:val="Rimandonotaapidipagina"/>
        </w:rPr>
        <w:footnoteRef/>
      </w:r>
      <w:r>
        <w:t xml:space="preserve"> 3.9 Giannuzzi</w:t>
      </w:r>
    </w:p>
  </w:footnote>
  <w:footnote w:id="4">
    <w:p w:rsidR="00050426" w:rsidRDefault="00050426">
      <w:pPr>
        <w:pStyle w:val="Testonotaapidipagina"/>
      </w:pPr>
      <w:r>
        <w:rPr>
          <w:rStyle w:val="Rimandonotaapidipagina"/>
        </w:rPr>
        <w:footnoteRef/>
      </w:r>
      <w:r>
        <w:t xml:space="preserve"> 3.17 Ginetti, Cucca</w:t>
      </w:r>
    </w:p>
  </w:footnote>
  <w:footnote w:id="5">
    <w:p w:rsidR="00050426" w:rsidRDefault="00050426">
      <w:pPr>
        <w:pStyle w:val="Testonotaapidipagina"/>
      </w:pPr>
      <w:r>
        <w:rPr>
          <w:rStyle w:val="Rimandonotaapidipagina"/>
        </w:rPr>
        <w:footnoteRef/>
      </w:r>
      <w:r>
        <w:t xml:space="preserve"> 3.10 Giammanco, Masini</w:t>
      </w:r>
    </w:p>
  </w:footnote>
  <w:footnote w:id="6">
    <w:p w:rsidR="00050426" w:rsidRPr="00DE0D2C" w:rsidRDefault="00050426" w:rsidP="007F1549">
      <w:pPr>
        <w:jc w:val="both"/>
        <w:rPr>
          <w:color w:val="000000" w:themeColor="text1"/>
        </w:rPr>
      </w:pPr>
      <w:r>
        <w:rPr>
          <w:rStyle w:val="Rimandonotaapidipagina"/>
        </w:rPr>
        <w:footnoteRef/>
      </w:r>
      <w:r>
        <w:t xml:space="preserve"> </w:t>
      </w:r>
      <w:r w:rsidRPr="00DE0D2C">
        <w:rPr>
          <w:color w:val="000000" w:themeColor="text1"/>
        </w:rPr>
        <w:t>3.11 (testo 2) Ferrari, Biti, Taricco, Fedeli, Nannicini</w:t>
      </w:r>
    </w:p>
    <w:p w:rsidR="00050426" w:rsidRDefault="00050426">
      <w:pPr>
        <w:pStyle w:val="Testonotaapidipagina"/>
      </w:pPr>
    </w:p>
  </w:footnote>
  <w:footnote w:id="7">
    <w:p w:rsidR="00050426" w:rsidRDefault="00050426">
      <w:pPr>
        <w:pStyle w:val="Testonotaapidipagina"/>
      </w:pPr>
      <w:r>
        <w:rPr>
          <w:rStyle w:val="Rimandonotaapidipagina"/>
        </w:rPr>
        <w:footnoteRef/>
      </w:r>
      <w:r>
        <w:t xml:space="preserve"> 3.16 Il Relatore</w:t>
      </w:r>
    </w:p>
  </w:footnote>
  <w:footnote w:id="8">
    <w:p w:rsidR="00050426" w:rsidRPr="0057002A" w:rsidRDefault="00050426" w:rsidP="008D18BC">
      <w:pPr>
        <w:jc w:val="both"/>
        <w:rPr>
          <w:color w:val="000000" w:themeColor="text1"/>
        </w:rPr>
      </w:pPr>
      <w:r>
        <w:rPr>
          <w:rStyle w:val="Rimandonotaapidipagina"/>
        </w:rPr>
        <w:footnoteRef/>
      </w:r>
      <w:r>
        <w:t xml:space="preserve"> </w:t>
      </w:r>
      <w:r w:rsidRPr="0057002A">
        <w:rPr>
          <w:color w:val="000000" w:themeColor="text1"/>
        </w:rPr>
        <w:t>4.3 (testo 2) Fedeli, Manca, Nannicini</w:t>
      </w:r>
    </w:p>
    <w:p w:rsidR="00050426" w:rsidRDefault="00050426">
      <w:pPr>
        <w:pStyle w:val="Testonotaapidipagina"/>
      </w:pPr>
    </w:p>
  </w:footnote>
  <w:footnote w:id="9">
    <w:p w:rsidR="00050426" w:rsidRPr="0057002A" w:rsidRDefault="00050426" w:rsidP="000F5ED8">
      <w:pPr>
        <w:jc w:val="both"/>
        <w:rPr>
          <w:color w:val="000000" w:themeColor="text1"/>
        </w:rPr>
      </w:pPr>
      <w:r>
        <w:rPr>
          <w:rStyle w:val="Rimandonotaapidipagina"/>
        </w:rPr>
        <w:footnoteRef/>
      </w:r>
      <w:r>
        <w:t xml:space="preserve"> </w:t>
      </w:r>
      <w:r w:rsidRPr="0057002A">
        <w:rPr>
          <w:color w:val="000000" w:themeColor="text1"/>
        </w:rPr>
        <w:t>4.12 (testo 2) Ricciardi, Botto, Gaudiano, Giannuzzi, Licheri, Lorefice; 4.13 Ferrari, Fedeli, Nannicini</w:t>
      </w:r>
    </w:p>
    <w:p w:rsidR="00050426" w:rsidRDefault="00050426">
      <w:pPr>
        <w:pStyle w:val="Testonotaapidipagina"/>
      </w:pPr>
    </w:p>
  </w:footnote>
  <w:footnote w:id="10">
    <w:p w:rsidR="00050426" w:rsidRDefault="00050426">
      <w:pPr>
        <w:pStyle w:val="Testonotaapidipagina"/>
      </w:pPr>
      <w:r>
        <w:rPr>
          <w:rStyle w:val="Rimandonotaapidipagina"/>
        </w:rPr>
        <w:footnoteRef/>
      </w:r>
      <w:r>
        <w:t xml:space="preserve"> 4.47 </w:t>
      </w:r>
      <w:r w:rsidRPr="00EE3B84">
        <w:t>Ginetti, Faraone, Cucca</w:t>
      </w:r>
    </w:p>
  </w:footnote>
  <w:footnote w:id="11">
    <w:p w:rsidR="00050426" w:rsidRDefault="00050426">
      <w:pPr>
        <w:pStyle w:val="Testonotaapidipagina"/>
      </w:pPr>
      <w:r>
        <w:rPr>
          <w:rStyle w:val="Rimandonotaapidipagina"/>
        </w:rPr>
        <w:footnoteRef/>
      </w:r>
      <w:r>
        <w:t xml:space="preserve"> 4.19 </w:t>
      </w:r>
      <w:r w:rsidRPr="00EE3B84">
        <w:t>Ricciardi, Lorefice, Gaudiano, Giannuzzi, Licheri, Naturale, Evangelista, Candiani, Simone Bossi, Casolati</w:t>
      </w:r>
    </w:p>
  </w:footnote>
  <w:footnote w:id="12">
    <w:p w:rsidR="00050426" w:rsidRPr="00D80B94" w:rsidRDefault="00050426" w:rsidP="00EF702D">
      <w:pPr>
        <w:jc w:val="both"/>
        <w:rPr>
          <w:color w:val="000000" w:themeColor="text1"/>
        </w:rPr>
      </w:pPr>
      <w:r>
        <w:rPr>
          <w:rStyle w:val="Rimandonotaapidipagina"/>
        </w:rPr>
        <w:footnoteRef/>
      </w:r>
      <w:r>
        <w:t xml:space="preserve"> </w:t>
      </w:r>
      <w:r w:rsidRPr="00D80B94">
        <w:rPr>
          <w:color w:val="000000" w:themeColor="text1"/>
        </w:rPr>
        <w:t>4.22 (testo 2) Gaudiano, Botto, Giannuzzi, Licheri, Lorefice, Ricciardi</w:t>
      </w:r>
    </w:p>
    <w:p w:rsidR="00050426" w:rsidRDefault="00050426">
      <w:pPr>
        <w:pStyle w:val="Testonotaapidipagina"/>
      </w:pPr>
    </w:p>
  </w:footnote>
  <w:footnote w:id="13">
    <w:p w:rsidR="00050426" w:rsidRDefault="00050426" w:rsidP="00EE3B84">
      <w:pPr>
        <w:pStyle w:val="Testonotaapidipagina"/>
      </w:pPr>
      <w:r>
        <w:rPr>
          <w:rStyle w:val="Rimandonotaapidipagina"/>
        </w:rPr>
        <w:footnoteRef/>
      </w:r>
      <w:r>
        <w:t xml:space="preserve"> 4.37 (testo 2) Fedeli, Manca, Astorre; 4.38 </w:t>
      </w:r>
      <w:r w:rsidRPr="00EE3B84">
        <w:t>Lorefice, Giannuzzi, Candiani, Simone Bossi</w:t>
      </w:r>
    </w:p>
    <w:p w:rsidR="00050426" w:rsidRDefault="00050426" w:rsidP="00EE3B84">
      <w:pPr>
        <w:pStyle w:val="Testonotaapidipagina"/>
      </w:pPr>
    </w:p>
  </w:footnote>
  <w:footnote w:id="14">
    <w:p w:rsidR="00050426" w:rsidRPr="00C81E3B" w:rsidRDefault="00050426" w:rsidP="009A377A">
      <w:pPr>
        <w:jc w:val="both"/>
        <w:rPr>
          <w:color w:val="000000" w:themeColor="text1"/>
        </w:rPr>
      </w:pPr>
      <w:r>
        <w:rPr>
          <w:rStyle w:val="Rimandonotaapidipagina"/>
        </w:rPr>
        <w:footnoteRef/>
      </w:r>
      <w:r>
        <w:t xml:space="preserve"> </w:t>
      </w:r>
      <w:r w:rsidRPr="00C81E3B">
        <w:rPr>
          <w:color w:val="000000" w:themeColor="text1"/>
        </w:rPr>
        <w:t>5.4 (testo 3) Girotto, Anastasi, Botto, Gaudiano, Giannuzzi, Licheri, Lorefice, Ricciardi</w:t>
      </w:r>
    </w:p>
    <w:p w:rsidR="00050426" w:rsidRDefault="00050426">
      <w:pPr>
        <w:pStyle w:val="Testonotaapidipagina"/>
      </w:pPr>
    </w:p>
  </w:footnote>
  <w:footnote w:id="15">
    <w:p w:rsidR="00050426" w:rsidRDefault="00050426">
      <w:pPr>
        <w:pStyle w:val="Testonotaapidipagina"/>
      </w:pPr>
      <w:r>
        <w:rPr>
          <w:rStyle w:val="Rimandonotaapidipagina"/>
        </w:rPr>
        <w:footnoteRef/>
      </w:r>
      <w:r>
        <w:t xml:space="preserve"> </w:t>
      </w:r>
      <w:r w:rsidRPr="00C81E3B">
        <w:rPr>
          <w:color w:val="000000" w:themeColor="text1"/>
        </w:rPr>
        <w:t>5.101 Ginetti, Cucca</w:t>
      </w:r>
    </w:p>
  </w:footnote>
  <w:footnote w:id="16">
    <w:p w:rsidR="00050426" w:rsidRPr="00377B72" w:rsidRDefault="00050426" w:rsidP="00DF787F">
      <w:pPr>
        <w:jc w:val="both"/>
        <w:rPr>
          <w:color w:val="000000" w:themeColor="text1"/>
        </w:rPr>
      </w:pPr>
      <w:r>
        <w:rPr>
          <w:rStyle w:val="Rimandonotaapidipagina"/>
        </w:rPr>
        <w:footnoteRef/>
      </w:r>
      <w:r>
        <w:t xml:space="preserve"> </w:t>
      </w:r>
      <w:r w:rsidRPr="00377B72">
        <w:rPr>
          <w:color w:val="000000" w:themeColor="text1"/>
        </w:rPr>
        <w:t>5.10 Fedeli, Manca, Nannicini</w:t>
      </w:r>
    </w:p>
    <w:p w:rsidR="00050426" w:rsidRDefault="00050426">
      <w:pPr>
        <w:pStyle w:val="Testonotaapidipagina"/>
      </w:pPr>
    </w:p>
  </w:footnote>
  <w:footnote w:id="17">
    <w:p w:rsidR="00050426" w:rsidRPr="00C81E3B" w:rsidRDefault="00050426" w:rsidP="009A377A">
      <w:pPr>
        <w:jc w:val="both"/>
        <w:rPr>
          <w:color w:val="000000" w:themeColor="text1"/>
        </w:rPr>
      </w:pPr>
      <w:r>
        <w:rPr>
          <w:rStyle w:val="Rimandonotaapidipagina"/>
        </w:rPr>
        <w:footnoteRef/>
      </w:r>
      <w:r>
        <w:t xml:space="preserve"> </w:t>
      </w:r>
      <w:bookmarkStart w:id="1" w:name="_Hlk50028001"/>
      <w:r w:rsidRPr="00C81E3B">
        <w:rPr>
          <w:color w:val="000000" w:themeColor="text1"/>
        </w:rPr>
        <w:t>5.4 (testo 3) Girotto, Anastasi, Botto, Gaudiano, Giannuzzi, Licheri, Lorefice, Ricciardi</w:t>
      </w:r>
    </w:p>
    <w:bookmarkEnd w:id="1"/>
    <w:p w:rsidR="00050426" w:rsidRDefault="00050426">
      <w:pPr>
        <w:pStyle w:val="Testonotaapidipagina"/>
      </w:pPr>
    </w:p>
  </w:footnote>
  <w:footnote w:id="18">
    <w:p w:rsidR="00050426" w:rsidRPr="00377B72" w:rsidRDefault="00050426" w:rsidP="00DF787F">
      <w:pPr>
        <w:jc w:val="both"/>
        <w:rPr>
          <w:color w:val="000000" w:themeColor="text1"/>
        </w:rPr>
      </w:pPr>
      <w:r>
        <w:rPr>
          <w:rStyle w:val="Rimandonotaapidipagina"/>
        </w:rPr>
        <w:footnoteRef/>
      </w:r>
      <w:r>
        <w:t xml:space="preserve"> </w:t>
      </w:r>
      <w:r w:rsidRPr="00377B72">
        <w:rPr>
          <w:color w:val="000000" w:themeColor="text1"/>
        </w:rPr>
        <w:t>5.11 La Mura, Moronese, Floridia, Quarto, Botto, Gaudiano, Giannuzzi, Licheri, Lorefice, Ricciardi</w:t>
      </w:r>
    </w:p>
    <w:p w:rsidR="00050426" w:rsidRDefault="00050426">
      <w:pPr>
        <w:pStyle w:val="Testonotaapidipagina"/>
      </w:pPr>
    </w:p>
  </w:footnote>
  <w:footnote w:id="19">
    <w:p w:rsidR="00050426" w:rsidRPr="00377B72" w:rsidRDefault="00050426" w:rsidP="00755C76">
      <w:pPr>
        <w:jc w:val="both"/>
        <w:rPr>
          <w:color w:val="000000" w:themeColor="text1"/>
        </w:rPr>
      </w:pPr>
      <w:r>
        <w:rPr>
          <w:rStyle w:val="Rimandonotaapidipagina"/>
        </w:rPr>
        <w:footnoteRef/>
      </w:r>
      <w:r>
        <w:t xml:space="preserve"> </w:t>
      </w:r>
      <w:r w:rsidRPr="00377B72">
        <w:rPr>
          <w:color w:val="000000" w:themeColor="text1"/>
        </w:rPr>
        <w:t>5.12 Gallone, Papatheu, Berutti, Alfredo Messina, Masini</w:t>
      </w:r>
    </w:p>
    <w:p w:rsidR="00050426" w:rsidRDefault="00050426">
      <w:pPr>
        <w:pStyle w:val="Testonotaapidipagina"/>
      </w:pPr>
    </w:p>
  </w:footnote>
  <w:footnote w:id="20">
    <w:p w:rsidR="00050426" w:rsidRPr="00377B72" w:rsidRDefault="00050426" w:rsidP="00662854">
      <w:pPr>
        <w:jc w:val="both"/>
        <w:rPr>
          <w:color w:val="000000" w:themeColor="text1"/>
        </w:rPr>
      </w:pPr>
      <w:r>
        <w:rPr>
          <w:rStyle w:val="Rimandonotaapidipagina"/>
        </w:rPr>
        <w:footnoteRef/>
      </w:r>
      <w:r>
        <w:t xml:space="preserve"> </w:t>
      </w:r>
      <w:r w:rsidRPr="00377B72">
        <w:rPr>
          <w:color w:val="000000" w:themeColor="text1"/>
        </w:rPr>
        <w:t>5.102 Ginetti, Cucca</w:t>
      </w:r>
    </w:p>
    <w:p w:rsidR="00050426" w:rsidRDefault="00050426">
      <w:pPr>
        <w:pStyle w:val="Testonotaapidipagina"/>
      </w:pPr>
    </w:p>
  </w:footnote>
  <w:footnote w:id="21">
    <w:p w:rsidR="00050426" w:rsidRPr="00341A03" w:rsidRDefault="00050426" w:rsidP="005F22B0">
      <w:pPr>
        <w:jc w:val="both"/>
        <w:rPr>
          <w:rFonts w:asciiTheme="minorHAnsi" w:hAnsiTheme="minorHAnsi"/>
          <w:color w:val="000000" w:themeColor="text1"/>
        </w:rPr>
      </w:pPr>
      <w:r>
        <w:rPr>
          <w:rStyle w:val="Rimandonotaapidipagina"/>
        </w:rPr>
        <w:footnoteRef/>
      </w:r>
      <w:r>
        <w:t xml:space="preserve"> </w:t>
      </w:r>
      <w:r w:rsidRPr="00341A03">
        <w:rPr>
          <w:rFonts w:asciiTheme="minorHAnsi" w:hAnsiTheme="minorHAnsi"/>
          <w:color w:val="000000" w:themeColor="text1"/>
        </w:rPr>
        <w:t>5.100 (testo 3)</w:t>
      </w:r>
      <w:r w:rsidRPr="00341A03">
        <w:rPr>
          <w:color w:val="000000" w:themeColor="text1"/>
        </w:rPr>
        <w:t xml:space="preserve"> </w:t>
      </w:r>
      <w:r w:rsidRPr="00341A03">
        <w:rPr>
          <w:rFonts w:asciiTheme="minorHAnsi" w:hAnsiTheme="minorHAnsi"/>
          <w:color w:val="000000" w:themeColor="text1"/>
        </w:rPr>
        <w:t>Ginetti, Cucca</w:t>
      </w:r>
    </w:p>
    <w:p w:rsidR="00050426" w:rsidRDefault="00050426">
      <w:pPr>
        <w:pStyle w:val="Testonotaapidipagina"/>
      </w:pPr>
    </w:p>
  </w:footnote>
  <w:footnote w:id="22">
    <w:p w:rsidR="00050426" w:rsidRPr="00377B72" w:rsidRDefault="00050426" w:rsidP="00662854">
      <w:pPr>
        <w:jc w:val="both"/>
        <w:rPr>
          <w:color w:val="000000" w:themeColor="text1"/>
        </w:rPr>
      </w:pPr>
      <w:r>
        <w:rPr>
          <w:rStyle w:val="Rimandonotaapidipagina"/>
        </w:rPr>
        <w:footnoteRef/>
      </w:r>
      <w:r>
        <w:t xml:space="preserve"> </w:t>
      </w:r>
      <w:r w:rsidRPr="00377B72">
        <w:rPr>
          <w:color w:val="000000" w:themeColor="text1"/>
        </w:rPr>
        <w:t>5.17 Arrigoni, Briziarelli, Candiani, Simone Bossi, Casolati, Tosato</w:t>
      </w:r>
    </w:p>
    <w:p w:rsidR="00050426" w:rsidRDefault="00050426">
      <w:pPr>
        <w:pStyle w:val="Testonotaapidipagina"/>
      </w:pPr>
    </w:p>
  </w:footnote>
  <w:footnote w:id="23">
    <w:p w:rsidR="00050426" w:rsidRPr="00377B72" w:rsidRDefault="00050426" w:rsidP="00AB2325">
      <w:pPr>
        <w:jc w:val="both"/>
        <w:rPr>
          <w:color w:val="000000" w:themeColor="text1"/>
        </w:rPr>
      </w:pPr>
      <w:r>
        <w:rPr>
          <w:rStyle w:val="Rimandonotaapidipagina"/>
        </w:rPr>
        <w:footnoteRef/>
      </w:r>
      <w:r>
        <w:t xml:space="preserve"> </w:t>
      </w:r>
      <w:r w:rsidRPr="00377B72">
        <w:rPr>
          <w:color w:val="000000" w:themeColor="text1"/>
        </w:rPr>
        <w:t>5.19 IL RELATORE</w:t>
      </w:r>
      <w:r>
        <w:rPr>
          <w:color w:val="000000" w:themeColor="text1"/>
        </w:rPr>
        <w:t xml:space="preserve">; </w:t>
      </w:r>
      <w:r w:rsidRPr="00377B72">
        <w:rPr>
          <w:color w:val="000000" w:themeColor="text1"/>
        </w:rPr>
        <w:t>5.20 Arrigoni, Briziarelli, Candiani, Simone Bossi, Casolati, Tosato</w:t>
      </w:r>
    </w:p>
    <w:p w:rsidR="00050426" w:rsidRDefault="00050426">
      <w:pPr>
        <w:pStyle w:val="Testonotaapidipagina"/>
      </w:pPr>
    </w:p>
  </w:footnote>
  <w:footnote w:id="24">
    <w:p w:rsidR="00050426" w:rsidRPr="002115F2" w:rsidRDefault="00050426" w:rsidP="005C55A6">
      <w:pPr>
        <w:jc w:val="both"/>
        <w:rPr>
          <w:color w:val="000000" w:themeColor="text1"/>
        </w:rPr>
      </w:pPr>
      <w:r>
        <w:rPr>
          <w:rStyle w:val="Rimandonotaapidipagina"/>
        </w:rPr>
        <w:footnoteRef/>
      </w:r>
      <w:r>
        <w:t xml:space="preserve"> </w:t>
      </w:r>
      <w:r w:rsidRPr="002115F2">
        <w:rPr>
          <w:color w:val="000000" w:themeColor="text1"/>
        </w:rPr>
        <w:t>5.25 Fedeli, Manca, Nannicini</w:t>
      </w:r>
    </w:p>
    <w:p w:rsidR="00050426" w:rsidRDefault="00050426">
      <w:pPr>
        <w:pStyle w:val="Testonotaapidipagina"/>
      </w:pPr>
    </w:p>
  </w:footnote>
  <w:footnote w:id="25">
    <w:p w:rsidR="00050426" w:rsidRPr="00341A03" w:rsidRDefault="00050426" w:rsidP="00A726C2">
      <w:pPr>
        <w:jc w:val="both"/>
        <w:rPr>
          <w:rFonts w:asciiTheme="minorHAnsi" w:hAnsiTheme="minorHAnsi"/>
          <w:color w:val="000000" w:themeColor="text1"/>
        </w:rPr>
      </w:pPr>
      <w:r>
        <w:rPr>
          <w:rStyle w:val="Rimandonotaapidipagina"/>
        </w:rPr>
        <w:footnoteRef/>
      </w:r>
      <w:r>
        <w:t xml:space="preserve"> </w:t>
      </w:r>
      <w:r w:rsidRPr="00341A03">
        <w:rPr>
          <w:rFonts w:asciiTheme="minorHAnsi" w:hAnsiTheme="minorHAnsi"/>
          <w:color w:val="000000" w:themeColor="text1"/>
        </w:rPr>
        <w:t>5.24 (testo 3)</w:t>
      </w:r>
      <w:r w:rsidRPr="00341A03">
        <w:rPr>
          <w:color w:val="000000" w:themeColor="text1"/>
        </w:rPr>
        <w:t xml:space="preserve"> </w:t>
      </w:r>
      <w:r w:rsidRPr="00341A03">
        <w:rPr>
          <w:rFonts w:asciiTheme="minorHAnsi" w:hAnsiTheme="minorHAnsi"/>
          <w:color w:val="000000" w:themeColor="text1"/>
        </w:rPr>
        <w:t>Girotto, Anastasi, Botto, Gaudiano, Giannuzzi, Licheri, Lorefice, Ricciardi</w:t>
      </w:r>
    </w:p>
    <w:p w:rsidR="00050426" w:rsidRDefault="00050426">
      <w:pPr>
        <w:pStyle w:val="Testonotaapidipagina"/>
      </w:pPr>
    </w:p>
  </w:footnote>
  <w:footnote w:id="26">
    <w:p w:rsidR="00050426" w:rsidRPr="00052EF6" w:rsidRDefault="00050426" w:rsidP="00BF2293">
      <w:pPr>
        <w:jc w:val="both"/>
        <w:rPr>
          <w:rFonts w:asciiTheme="minorHAnsi" w:hAnsiTheme="minorHAnsi"/>
          <w:color w:val="000000" w:themeColor="text1"/>
        </w:rPr>
      </w:pPr>
      <w:r>
        <w:rPr>
          <w:rStyle w:val="Rimandonotaapidipagina"/>
        </w:rPr>
        <w:footnoteRef/>
      </w:r>
      <w:r>
        <w:t xml:space="preserve"> </w:t>
      </w:r>
      <w:r w:rsidRPr="00052EF6">
        <w:rPr>
          <w:rFonts w:asciiTheme="minorHAnsi" w:hAnsiTheme="minorHAnsi"/>
          <w:color w:val="000000" w:themeColor="text1"/>
        </w:rPr>
        <w:t>5.28 (testo 2)</w:t>
      </w:r>
      <w:r w:rsidRPr="00052EF6">
        <w:rPr>
          <w:color w:val="000000" w:themeColor="text1"/>
        </w:rPr>
        <w:t xml:space="preserve"> </w:t>
      </w:r>
      <w:r w:rsidRPr="00052EF6">
        <w:rPr>
          <w:rFonts w:asciiTheme="minorHAnsi" w:hAnsiTheme="minorHAnsi"/>
          <w:color w:val="000000" w:themeColor="text1"/>
        </w:rPr>
        <w:t>Arrigoni, Briziarelli, Candiani, Simone Bossi, Casolati, Tosato</w:t>
      </w:r>
    </w:p>
    <w:p w:rsidR="00050426" w:rsidRDefault="00050426">
      <w:pPr>
        <w:pStyle w:val="Testonotaapidipagina"/>
      </w:pPr>
    </w:p>
  </w:footnote>
  <w:footnote w:id="27">
    <w:p w:rsidR="00050426" w:rsidRPr="00255D85" w:rsidRDefault="00050426" w:rsidP="005C55A6">
      <w:pPr>
        <w:jc w:val="both"/>
        <w:rPr>
          <w:color w:val="000000" w:themeColor="text1"/>
        </w:rPr>
      </w:pPr>
      <w:r>
        <w:rPr>
          <w:rStyle w:val="Rimandonotaapidipagina"/>
        </w:rPr>
        <w:footnoteRef/>
      </w:r>
      <w:r>
        <w:t xml:space="preserve"> </w:t>
      </w:r>
      <w:r w:rsidRPr="00255D85">
        <w:rPr>
          <w:color w:val="000000" w:themeColor="text1"/>
        </w:rPr>
        <w:t>5.30 Arrigoni, Briziarelli, Candiani, Simone Bossi, Casolati, Tosato</w:t>
      </w:r>
    </w:p>
    <w:p w:rsidR="00050426" w:rsidRDefault="00050426">
      <w:pPr>
        <w:pStyle w:val="Testonotaapidipagina"/>
      </w:pPr>
    </w:p>
  </w:footnote>
  <w:footnote w:id="28">
    <w:p w:rsidR="00050426" w:rsidRPr="00341A03" w:rsidRDefault="00050426" w:rsidP="005928D0">
      <w:pPr>
        <w:jc w:val="both"/>
        <w:rPr>
          <w:rFonts w:asciiTheme="minorHAnsi" w:hAnsiTheme="minorHAnsi"/>
          <w:color w:val="000000" w:themeColor="text1"/>
        </w:rPr>
      </w:pPr>
      <w:r>
        <w:rPr>
          <w:rStyle w:val="Rimandonotaapidipagina"/>
        </w:rPr>
        <w:footnoteRef/>
      </w:r>
      <w:r>
        <w:t xml:space="preserve"> </w:t>
      </w:r>
      <w:bookmarkStart w:id="2" w:name="_Hlk50022215"/>
      <w:r w:rsidRPr="00341A03">
        <w:rPr>
          <w:rFonts w:asciiTheme="minorHAnsi" w:hAnsiTheme="minorHAnsi"/>
          <w:color w:val="000000" w:themeColor="text1"/>
        </w:rPr>
        <w:t>5.24 (testo 3)</w:t>
      </w:r>
      <w:r w:rsidRPr="00341A03">
        <w:rPr>
          <w:color w:val="000000" w:themeColor="text1"/>
        </w:rPr>
        <w:t xml:space="preserve"> </w:t>
      </w:r>
      <w:r w:rsidRPr="00341A03">
        <w:rPr>
          <w:rFonts w:asciiTheme="minorHAnsi" w:hAnsiTheme="minorHAnsi"/>
          <w:color w:val="000000" w:themeColor="text1"/>
        </w:rPr>
        <w:t>Girotto, Anastasi, Botto, Gaudiano, Giannuzzi, Licheri, Lorefice, Ricciardi</w:t>
      </w:r>
    </w:p>
    <w:bookmarkEnd w:id="2"/>
    <w:p w:rsidR="00050426" w:rsidRDefault="00050426">
      <w:pPr>
        <w:pStyle w:val="Testonotaapidipagina"/>
      </w:pPr>
    </w:p>
  </w:footnote>
  <w:footnote w:id="29">
    <w:p w:rsidR="00050426" w:rsidRPr="00255D85" w:rsidRDefault="00050426" w:rsidP="00F462C5">
      <w:pPr>
        <w:jc w:val="both"/>
        <w:rPr>
          <w:color w:val="000000" w:themeColor="text1"/>
        </w:rPr>
      </w:pPr>
      <w:r>
        <w:rPr>
          <w:rStyle w:val="Rimandonotaapidipagina"/>
        </w:rPr>
        <w:footnoteRef/>
      </w:r>
      <w:r>
        <w:t xml:space="preserve"> </w:t>
      </w:r>
      <w:r w:rsidRPr="00255D85">
        <w:rPr>
          <w:color w:val="000000" w:themeColor="text1"/>
        </w:rPr>
        <w:t>5.33 Arrigoni, Briziarelli, Candiani, Simone Bossi, Casolati, Tosato</w:t>
      </w:r>
    </w:p>
    <w:p w:rsidR="00050426" w:rsidRDefault="00050426">
      <w:pPr>
        <w:pStyle w:val="Testonotaapidipagina"/>
      </w:pPr>
    </w:p>
  </w:footnote>
  <w:footnote w:id="30">
    <w:p w:rsidR="00050426" w:rsidRPr="00C81E3B" w:rsidRDefault="00050426" w:rsidP="00DF6986">
      <w:pPr>
        <w:jc w:val="both"/>
        <w:rPr>
          <w:color w:val="000000" w:themeColor="text1"/>
        </w:rPr>
      </w:pPr>
      <w:r>
        <w:rPr>
          <w:rStyle w:val="Rimandonotaapidipagina"/>
        </w:rPr>
        <w:footnoteRef/>
      </w:r>
      <w:r>
        <w:t xml:space="preserve"> </w:t>
      </w:r>
      <w:r w:rsidRPr="00C81E3B">
        <w:rPr>
          <w:color w:val="000000" w:themeColor="text1"/>
        </w:rPr>
        <w:t>5.106 (testo 2) Ginetti, Cucca</w:t>
      </w:r>
    </w:p>
    <w:p w:rsidR="00050426" w:rsidRDefault="00050426">
      <w:pPr>
        <w:pStyle w:val="Testonotaapidipagina"/>
      </w:pPr>
    </w:p>
  </w:footnote>
  <w:footnote w:id="31">
    <w:p w:rsidR="00050426" w:rsidRPr="00255D85" w:rsidRDefault="00050426" w:rsidP="00F462C5">
      <w:pPr>
        <w:jc w:val="both"/>
        <w:rPr>
          <w:color w:val="000000" w:themeColor="text1"/>
        </w:rPr>
      </w:pPr>
      <w:r>
        <w:rPr>
          <w:rStyle w:val="Rimandonotaapidipagina"/>
        </w:rPr>
        <w:footnoteRef/>
      </w:r>
      <w:r>
        <w:t xml:space="preserve"> </w:t>
      </w:r>
      <w:r w:rsidRPr="00255D85">
        <w:rPr>
          <w:color w:val="000000" w:themeColor="text1"/>
        </w:rPr>
        <w:t>5.40 Lorefice, Girotto, Giannuzzi, Botto, Gaudiano, Licheri, Ricciardi</w:t>
      </w:r>
    </w:p>
    <w:p w:rsidR="00050426" w:rsidRDefault="00050426">
      <w:pPr>
        <w:pStyle w:val="Testonotaapidipagina"/>
      </w:pPr>
    </w:p>
  </w:footnote>
  <w:footnote w:id="32">
    <w:p w:rsidR="00050426" w:rsidRPr="00052EF6" w:rsidRDefault="00050426" w:rsidP="00BF2293">
      <w:pPr>
        <w:jc w:val="both"/>
        <w:rPr>
          <w:rFonts w:asciiTheme="minorHAnsi" w:hAnsiTheme="minorHAnsi"/>
          <w:color w:val="000000" w:themeColor="text1"/>
        </w:rPr>
      </w:pPr>
      <w:r>
        <w:rPr>
          <w:rStyle w:val="Rimandonotaapidipagina"/>
        </w:rPr>
        <w:footnoteRef/>
      </w:r>
      <w:r>
        <w:t xml:space="preserve"> </w:t>
      </w:r>
      <w:r w:rsidRPr="00052EF6">
        <w:rPr>
          <w:rFonts w:asciiTheme="minorHAnsi" w:hAnsiTheme="minorHAnsi"/>
          <w:color w:val="000000" w:themeColor="text1"/>
        </w:rPr>
        <w:t>5.48 (testo 2)</w:t>
      </w:r>
      <w:r w:rsidRPr="00052EF6">
        <w:rPr>
          <w:color w:val="000000" w:themeColor="text1"/>
        </w:rPr>
        <w:t xml:space="preserve"> </w:t>
      </w:r>
      <w:r w:rsidRPr="00052EF6">
        <w:rPr>
          <w:rFonts w:asciiTheme="minorHAnsi" w:hAnsiTheme="minorHAnsi"/>
          <w:color w:val="000000" w:themeColor="text1"/>
        </w:rPr>
        <w:t>Fedeli, Manca, Nannicini</w:t>
      </w:r>
    </w:p>
    <w:p w:rsidR="00050426" w:rsidRDefault="00050426">
      <w:pPr>
        <w:pStyle w:val="Testonotaapidipagina"/>
      </w:pPr>
    </w:p>
  </w:footnote>
  <w:footnote w:id="33">
    <w:p w:rsidR="00050426" w:rsidRPr="00255D85" w:rsidRDefault="00050426" w:rsidP="00050426">
      <w:pPr>
        <w:jc w:val="both"/>
        <w:rPr>
          <w:color w:val="000000" w:themeColor="text1"/>
        </w:rPr>
      </w:pPr>
      <w:r>
        <w:rPr>
          <w:rStyle w:val="Rimandonotaapidipagina"/>
        </w:rPr>
        <w:footnoteRef/>
      </w:r>
      <w:r>
        <w:t xml:space="preserve"> </w:t>
      </w:r>
      <w:r w:rsidRPr="00255D85">
        <w:rPr>
          <w:color w:val="000000" w:themeColor="text1"/>
        </w:rPr>
        <w:t>5.43 La Mura, Moronese, Floridia, Botto, Gaudiano, Giannuzzi, Licheri, Lorefice, Ricciardi</w:t>
      </w:r>
    </w:p>
    <w:p w:rsidR="00050426" w:rsidRDefault="00050426">
      <w:pPr>
        <w:pStyle w:val="Testonotaapidipagina"/>
      </w:pPr>
    </w:p>
  </w:footnote>
  <w:footnote w:id="34">
    <w:p w:rsidR="00050426" w:rsidRPr="00052EF6" w:rsidRDefault="00050426" w:rsidP="00BF2293">
      <w:pPr>
        <w:jc w:val="both"/>
        <w:rPr>
          <w:rFonts w:asciiTheme="minorHAnsi" w:hAnsiTheme="minorHAnsi"/>
          <w:color w:val="000000" w:themeColor="text1"/>
        </w:rPr>
      </w:pPr>
      <w:r>
        <w:rPr>
          <w:rStyle w:val="Rimandonotaapidipagina"/>
        </w:rPr>
        <w:footnoteRef/>
      </w:r>
      <w:r>
        <w:t xml:space="preserve"> </w:t>
      </w:r>
      <w:r w:rsidRPr="00052EF6">
        <w:rPr>
          <w:rFonts w:asciiTheme="minorHAnsi" w:hAnsiTheme="minorHAnsi"/>
          <w:color w:val="000000" w:themeColor="text1"/>
        </w:rPr>
        <w:t>5.108 (testo 2)</w:t>
      </w:r>
      <w:r w:rsidRPr="00052EF6">
        <w:rPr>
          <w:color w:val="000000" w:themeColor="text1"/>
        </w:rPr>
        <w:t xml:space="preserve"> </w:t>
      </w:r>
      <w:r w:rsidRPr="00052EF6">
        <w:rPr>
          <w:rFonts w:asciiTheme="minorHAnsi" w:hAnsiTheme="minorHAnsi"/>
          <w:color w:val="000000" w:themeColor="text1"/>
        </w:rPr>
        <w:t>Ginetti, Cucca</w:t>
      </w:r>
    </w:p>
    <w:p w:rsidR="00050426" w:rsidRDefault="00050426">
      <w:pPr>
        <w:pStyle w:val="Testonotaapidipagina"/>
      </w:pPr>
    </w:p>
  </w:footnote>
  <w:footnote w:id="35">
    <w:p w:rsidR="00050426" w:rsidRPr="00255D85" w:rsidRDefault="00050426" w:rsidP="00050426">
      <w:pPr>
        <w:jc w:val="both"/>
        <w:rPr>
          <w:color w:val="000000" w:themeColor="text1"/>
        </w:rPr>
      </w:pPr>
      <w:r>
        <w:rPr>
          <w:rStyle w:val="Rimandonotaapidipagina"/>
        </w:rPr>
        <w:footnoteRef/>
      </w:r>
      <w:r>
        <w:t xml:space="preserve"> </w:t>
      </w:r>
      <w:r w:rsidRPr="00255D85">
        <w:rPr>
          <w:color w:val="000000" w:themeColor="text1"/>
        </w:rPr>
        <w:t>5.52 (testo 2) Lorefice, Girotto, Giannuzzi, Botto, Gaudiano, Licheri, Ricciardi</w:t>
      </w:r>
    </w:p>
    <w:p w:rsidR="00050426" w:rsidRDefault="00050426">
      <w:pPr>
        <w:pStyle w:val="Testonotaapidipagina"/>
      </w:pPr>
    </w:p>
  </w:footnote>
  <w:footnote w:id="36">
    <w:p w:rsidR="00B935CC" w:rsidRPr="00C805EF" w:rsidRDefault="00B935CC" w:rsidP="00B935CC">
      <w:pPr>
        <w:jc w:val="both"/>
        <w:rPr>
          <w:color w:val="000000" w:themeColor="text1"/>
        </w:rPr>
      </w:pPr>
      <w:r>
        <w:rPr>
          <w:rStyle w:val="Rimandonotaapidipagina"/>
        </w:rPr>
        <w:footnoteRef/>
      </w:r>
      <w:r>
        <w:t xml:space="preserve"> </w:t>
      </w:r>
      <w:r w:rsidRPr="00C805EF">
        <w:rPr>
          <w:color w:val="000000" w:themeColor="text1"/>
        </w:rPr>
        <w:t>5.53 (testo 2) Quarto, Mantero, L'Abbate, La Mura, Moronese, Floridia, Botto, Gaudiano, Giannuzzi, Licheri, Lorefice, Ricciardi</w:t>
      </w:r>
    </w:p>
    <w:p w:rsidR="00B935CC" w:rsidRDefault="00B935CC">
      <w:pPr>
        <w:pStyle w:val="Testonotaapidipagina"/>
      </w:pPr>
    </w:p>
  </w:footnote>
  <w:footnote w:id="37">
    <w:p w:rsidR="00B935CC" w:rsidRPr="00C805EF" w:rsidRDefault="00B935CC" w:rsidP="00B935CC">
      <w:pPr>
        <w:jc w:val="both"/>
        <w:rPr>
          <w:color w:val="000000" w:themeColor="text1"/>
        </w:rPr>
      </w:pPr>
      <w:r>
        <w:rPr>
          <w:rStyle w:val="Rimandonotaapidipagina"/>
        </w:rPr>
        <w:footnoteRef/>
      </w:r>
      <w:r>
        <w:t xml:space="preserve"> </w:t>
      </w:r>
      <w:r w:rsidRPr="00C805EF">
        <w:rPr>
          <w:color w:val="000000" w:themeColor="text1"/>
        </w:rPr>
        <w:t>5.9 (testo 2) Ferrari, Biti, Taricco, Fedeli, Nannicini</w:t>
      </w:r>
    </w:p>
    <w:p w:rsidR="00B935CC" w:rsidRDefault="00B935CC">
      <w:pPr>
        <w:pStyle w:val="Testonotaapidipagina"/>
      </w:pPr>
    </w:p>
  </w:footnote>
  <w:footnote w:id="38">
    <w:p w:rsidR="00B935CC" w:rsidRPr="00C805EF" w:rsidRDefault="00B935CC" w:rsidP="00B935CC">
      <w:pPr>
        <w:jc w:val="both"/>
        <w:rPr>
          <w:color w:val="000000" w:themeColor="text1"/>
        </w:rPr>
      </w:pPr>
      <w:r>
        <w:rPr>
          <w:rStyle w:val="Rimandonotaapidipagina"/>
        </w:rPr>
        <w:footnoteRef/>
      </w:r>
      <w:r>
        <w:t xml:space="preserve"> </w:t>
      </w:r>
      <w:r w:rsidRPr="00C805EF">
        <w:rPr>
          <w:color w:val="000000" w:themeColor="text1"/>
        </w:rPr>
        <w:t>5.110 Ginetti, Cucca</w:t>
      </w:r>
    </w:p>
    <w:p w:rsidR="00B935CC" w:rsidRDefault="00B935CC">
      <w:pPr>
        <w:pStyle w:val="Testonotaapidipagina"/>
      </w:pPr>
    </w:p>
  </w:footnote>
  <w:footnote w:id="39">
    <w:p w:rsidR="0056677D" w:rsidRPr="005E5DC0" w:rsidRDefault="0056677D" w:rsidP="0056677D">
      <w:pPr>
        <w:jc w:val="both"/>
        <w:rPr>
          <w:color w:val="000000" w:themeColor="text1"/>
        </w:rPr>
      </w:pPr>
      <w:r>
        <w:rPr>
          <w:rStyle w:val="Rimandonotaapidipagina"/>
        </w:rPr>
        <w:footnoteRef/>
      </w:r>
      <w:r>
        <w:t xml:space="preserve"> </w:t>
      </w:r>
      <w:r w:rsidRPr="005E5DC0">
        <w:rPr>
          <w:color w:val="000000" w:themeColor="text1"/>
        </w:rPr>
        <w:t>5.58 (testo 2) Girotto, Anastasi, Botto, Gaudiano, Giannuzzi, Licheri, Lorefice, Ricciardi</w:t>
      </w:r>
    </w:p>
    <w:p w:rsidR="0056677D" w:rsidRDefault="0056677D">
      <w:pPr>
        <w:pStyle w:val="Testonotaapidipagina"/>
      </w:pPr>
    </w:p>
  </w:footnote>
  <w:footnote w:id="40">
    <w:p w:rsidR="0056677D" w:rsidRPr="005E5DC0" w:rsidRDefault="0056677D" w:rsidP="0056677D">
      <w:pPr>
        <w:jc w:val="both"/>
        <w:rPr>
          <w:color w:val="000000" w:themeColor="text1"/>
        </w:rPr>
      </w:pPr>
      <w:r>
        <w:rPr>
          <w:rStyle w:val="Rimandonotaapidipagina"/>
        </w:rPr>
        <w:footnoteRef/>
      </w:r>
      <w:r>
        <w:t xml:space="preserve"> </w:t>
      </w:r>
      <w:r w:rsidRPr="005E5DC0">
        <w:rPr>
          <w:color w:val="000000" w:themeColor="text1"/>
        </w:rPr>
        <w:t>5.63 Lorefice, Girotto, Giannuzzi, Botto, Gaudiano, Licheri, Ricciardi</w:t>
      </w:r>
    </w:p>
    <w:p w:rsidR="0056677D" w:rsidRDefault="0056677D">
      <w:pPr>
        <w:pStyle w:val="Testonotaapidipagina"/>
      </w:pPr>
    </w:p>
  </w:footnote>
  <w:footnote w:id="41">
    <w:p w:rsidR="00DC0921" w:rsidRPr="005E5DC0" w:rsidRDefault="00DC0921" w:rsidP="00DC0921">
      <w:pPr>
        <w:jc w:val="both"/>
        <w:rPr>
          <w:color w:val="000000" w:themeColor="text1"/>
        </w:rPr>
      </w:pPr>
      <w:r>
        <w:rPr>
          <w:rStyle w:val="Rimandonotaapidipagina"/>
        </w:rPr>
        <w:footnoteRef/>
      </w:r>
      <w:r>
        <w:t xml:space="preserve"> </w:t>
      </w:r>
      <w:r w:rsidRPr="005E5DC0">
        <w:rPr>
          <w:color w:val="000000" w:themeColor="text1"/>
        </w:rPr>
        <w:t>5.64 (testo 2) La Mura, Moronese, Floridia, Botto, Gaudiano, Giannuzzi, Licheri, Lorefice, Ricciardi</w:t>
      </w:r>
    </w:p>
    <w:p w:rsidR="00DC0921" w:rsidRDefault="00DC0921">
      <w:pPr>
        <w:pStyle w:val="Testonotaapidipagina"/>
      </w:pPr>
    </w:p>
  </w:footnote>
  <w:footnote w:id="42">
    <w:p w:rsidR="007C6467" w:rsidRPr="005E5DC0" w:rsidRDefault="007C6467" w:rsidP="007C6467">
      <w:pPr>
        <w:jc w:val="both"/>
        <w:rPr>
          <w:color w:val="000000" w:themeColor="text1"/>
        </w:rPr>
      </w:pPr>
      <w:r>
        <w:rPr>
          <w:rStyle w:val="Rimandonotaapidipagina"/>
        </w:rPr>
        <w:footnoteRef/>
      </w:r>
      <w:r>
        <w:t xml:space="preserve"> </w:t>
      </w:r>
      <w:r w:rsidRPr="005E5DC0">
        <w:rPr>
          <w:color w:val="000000" w:themeColor="text1"/>
        </w:rPr>
        <w:t>5.65 (testo 2) Fedeli, Manca, Nannicini</w:t>
      </w:r>
    </w:p>
    <w:p w:rsidR="007C6467" w:rsidRDefault="007C6467">
      <w:pPr>
        <w:pStyle w:val="Testonotaapidipagina"/>
      </w:pPr>
    </w:p>
  </w:footnote>
  <w:footnote w:id="43">
    <w:p w:rsidR="00050426" w:rsidRPr="00341A03" w:rsidRDefault="00050426" w:rsidP="000554CC">
      <w:pPr>
        <w:jc w:val="both"/>
        <w:rPr>
          <w:rFonts w:asciiTheme="minorHAnsi" w:hAnsiTheme="minorHAnsi"/>
          <w:color w:val="000000" w:themeColor="text1"/>
        </w:rPr>
      </w:pPr>
      <w:r>
        <w:rPr>
          <w:rStyle w:val="Rimandonotaapidipagina"/>
        </w:rPr>
        <w:footnoteRef/>
      </w:r>
      <w:r>
        <w:t xml:space="preserve"> </w:t>
      </w:r>
      <w:bookmarkStart w:id="3" w:name="_Hlk50022006"/>
      <w:r w:rsidRPr="00341A03">
        <w:rPr>
          <w:rFonts w:asciiTheme="minorHAnsi" w:hAnsiTheme="minorHAnsi"/>
          <w:color w:val="000000" w:themeColor="text1"/>
        </w:rPr>
        <w:t>5.100 (testo 3)</w:t>
      </w:r>
      <w:r w:rsidRPr="00341A03">
        <w:rPr>
          <w:color w:val="000000" w:themeColor="text1"/>
        </w:rPr>
        <w:t xml:space="preserve"> </w:t>
      </w:r>
      <w:r w:rsidRPr="00341A03">
        <w:rPr>
          <w:rFonts w:asciiTheme="minorHAnsi" w:hAnsiTheme="minorHAnsi"/>
          <w:color w:val="000000" w:themeColor="text1"/>
        </w:rPr>
        <w:t>Ginetti, Cucca</w:t>
      </w:r>
    </w:p>
    <w:bookmarkEnd w:id="3"/>
    <w:p w:rsidR="00050426" w:rsidRDefault="00050426">
      <w:pPr>
        <w:pStyle w:val="Testonotaapidipagina"/>
      </w:pPr>
    </w:p>
  </w:footnote>
  <w:footnote w:id="44">
    <w:p w:rsidR="00050426" w:rsidRPr="00683687" w:rsidRDefault="00050426" w:rsidP="009D2A31">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5.89 (testo 3)</w:t>
      </w:r>
      <w:r w:rsidRPr="00683687">
        <w:rPr>
          <w:color w:val="000000" w:themeColor="text1"/>
        </w:rPr>
        <w:t xml:space="preserve"> </w:t>
      </w:r>
      <w:r w:rsidRPr="00683687">
        <w:rPr>
          <w:rFonts w:asciiTheme="minorHAnsi" w:hAnsiTheme="minorHAnsi"/>
          <w:color w:val="000000" w:themeColor="text1"/>
        </w:rPr>
        <w:t>Angrisani, Botto, Gaudiano, Giannuzzi, Licheri, Lorefice, Ricciardi</w:t>
      </w:r>
    </w:p>
    <w:p w:rsidR="00050426" w:rsidRDefault="00050426">
      <w:pPr>
        <w:pStyle w:val="Testonotaapidipagina"/>
      </w:pPr>
    </w:p>
  </w:footnote>
  <w:footnote w:id="45">
    <w:p w:rsidR="00050426" w:rsidRPr="00683687" w:rsidRDefault="00050426" w:rsidP="007F755E">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5.96 (testo 3)</w:t>
      </w:r>
      <w:r w:rsidRPr="00683687">
        <w:rPr>
          <w:color w:val="000000" w:themeColor="text1"/>
        </w:rPr>
        <w:t xml:space="preserve"> </w:t>
      </w:r>
      <w:r w:rsidRPr="00683687">
        <w:rPr>
          <w:rFonts w:asciiTheme="minorHAnsi" w:hAnsiTheme="minorHAnsi"/>
          <w:color w:val="000000" w:themeColor="text1"/>
        </w:rPr>
        <w:t>Lorefice, Girotto, Giannuzzi, Botto, Gaudiano, Licheri, Ricciardi</w:t>
      </w:r>
    </w:p>
    <w:p w:rsidR="00050426" w:rsidRDefault="00050426">
      <w:pPr>
        <w:pStyle w:val="Testonotaapidipagina"/>
      </w:pPr>
    </w:p>
  </w:footnote>
  <w:footnote w:id="46">
    <w:p w:rsidR="00050426" w:rsidRPr="00683687" w:rsidRDefault="00050426" w:rsidP="008826E5">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5.91 (testo 3)</w:t>
      </w:r>
      <w:r w:rsidRPr="00683687">
        <w:rPr>
          <w:color w:val="000000" w:themeColor="text1"/>
        </w:rPr>
        <w:t xml:space="preserve"> </w:t>
      </w:r>
      <w:r w:rsidRPr="00683687">
        <w:rPr>
          <w:rFonts w:asciiTheme="minorHAnsi" w:hAnsiTheme="minorHAnsi"/>
          <w:color w:val="000000" w:themeColor="text1"/>
        </w:rPr>
        <w:t>Collina, Fedeli, Nannicini</w:t>
      </w:r>
    </w:p>
    <w:p w:rsidR="00050426" w:rsidRDefault="00050426">
      <w:pPr>
        <w:pStyle w:val="Testonotaapidipagina"/>
      </w:pPr>
    </w:p>
  </w:footnote>
  <w:footnote w:id="47">
    <w:p w:rsidR="00050426" w:rsidRPr="006725C6" w:rsidRDefault="00050426" w:rsidP="00DF6986">
      <w:pPr>
        <w:jc w:val="both"/>
        <w:rPr>
          <w:color w:val="000000" w:themeColor="text1"/>
        </w:rPr>
      </w:pPr>
      <w:r>
        <w:rPr>
          <w:rStyle w:val="Rimandonotaapidipagina"/>
        </w:rPr>
        <w:footnoteRef/>
      </w:r>
      <w:r>
        <w:t xml:space="preserve"> </w:t>
      </w:r>
      <w:r w:rsidRPr="006725C6">
        <w:rPr>
          <w:color w:val="000000" w:themeColor="text1"/>
        </w:rPr>
        <w:t>5.72 (testo 4) Ferrazzi, Manca, Fedeli, Botto, Gaudiano, Giannuzzi, Licheri, Lorefice, Ricciardi, Toninelli, Gallone, Papatheu, Berutti, Alfredo Messina, Masini</w:t>
      </w:r>
    </w:p>
    <w:p w:rsidR="00050426" w:rsidRDefault="00050426">
      <w:pPr>
        <w:pStyle w:val="Testonotaapidipagina"/>
      </w:pPr>
    </w:p>
  </w:footnote>
  <w:footnote w:id="48">
    <w:p w:rsidR="00790DC5" w:rsidRPr="00FC07A5" w:rsidRDefault="00790DC5" w:rsidP="00790DC5">
      <w:pPr>
        <w:jc w:val="both"/>
        <w:rPr>
          <w:color w:val="000000" w:themeColor="text1"/>
        </w:rPr>
      </w:pPr>
      <w:r>
        <w:rPr>
          <w:rStyle w:val="Rimandonotaapidipagina"/>
        </w:rPr>
        <w:footnoteRef/>
      </w:r>
      <w:r>
        <w:t xml:space="preserve"> </w:t>
      </w:r>
      <w:r w:rsidRPr="00FC07A5">
        <w:rPr>
          <w:color w:val="000000" w:themeColor="text1"/>
        </w:rPr>
        <w:t>5.73 Fedeli, Manca, Nannicini</w:t>
      </w:r>
    </w:p>
    <w:p w:rsidR="00790DC5" w:rsidRDefault="00790DC5">
      <w:pPr>
        <w:pStyle w:val="Testonotaapidipagina"/>
      </w:pPr>
    </w:p>
  </w:footnote>
  <w:footnote w:id="49">
    <w:p w:rsidR="001420B8" w:rsidRPr="00FC07A5" w:rsidRDefault="001420B8" w:rsidP="001420B8">
      <w:pPr>
        <w:jc w:val="both"/>
        <w:rPr>
          <w:color w:val="000000" w:themeColor="text1"/>
        </w:rPr>
      </w:pPr>
      <w:r>
        <w:rPr>
          <w:rStyle w:val="Rimandonotaapidipagina"/>
        </w:rPr>
        <w:footnoteRef/>
      </w:r>
      <w:r>
        <w:t xml:space="preserve"> </w:t>
      </w:r>
      <w:r w:rsidRPr="00FC07A5">
        <w:rPr>
          <w:color w:val="000000" w:themeColor="text1"/>
        </w:rPr>
        <w:t>5.88 Durnwalder, Steger, Unterberger, Laniece</w:t>
      </w:r>
    </w:p>
    <w:p w:rsidR="001420B8" w:rsidRDefault="001420B8">
      <w:pPr>
        <w:pStyle w:val="Testonotaapidipagina"/>
      </w:pPr>
    </w:p>
  </w:footnote>
  <w:footnote w:id="50">
    <w:p w:rsidR="00050426" w:rsidRDefault="00050426">
      <w:pPr>
        <w:pStyle w:val="Testonotaapidipagina"/>
      </w:pPr>
      <w:r>
        <w:rPr>
          <w:rStyle w:val="Rimandonotaapidipagina"/>
        </w:rPr>
        <w:footnoteRef/>
      </w:r>
      <w:r>
        <w:rPr>
          <w:rStyle w:val="Rimandonotaapidipagina"/>
        </w:rPr>
        <w:footnoteRef/>
      </w:r>
      <w:r>
        <w:t xml:space="preserve"> 7.1 </w:t>
      </w:r>
      <w:r w:rsidRPr="00D335B0">
        <w:t>Taricco, Fedeli, Astorre</w:t>
      </w:r>
    </w:p>
  </w:footnote>
  <w:footnote w:id="51">
    <w:p w:rsidR="00050426" w:rsidRDefault="00050426">
      <w:pPr>
        <w:pStyle w:val="Testonotaapidipagina"/>
      </w:pPr>
      <w:r>
        <w:rPr>
          <w:rStyle w:val="Rimandonotaapidipagina"/>
        </w:rPr>
        <w:footnoteRef/>
      </w:r>
      <w:r>
        <w:t xml:space="preserve"> 7.2 Il Relatore</w:t>
      </w:r>
    </w:p>
  </w:footnote>
  <w:footnote w:id="52">
    <w:p w:rsidR="00050426" w:rsidRDefault="00050426">
      <w:pPr>
        <w:pStyle w:val="Testonotaapidipagina"/>
      </w:pPr>
      <w:r>
        <w:rPr>
          <w:rStyle w:val="Rimandonotaapidipagina"/>
        </w:rPr>
        <w:footnoteRef/>
      </w:r>
      <w:r>
        <w:t xml:space="preserve"> 7.6 </w:t>
      </w:r>
      <w:r w:rsidRPr="00D335B0">
        <w:t>Bergesio, Centinaio, Vallardi, Sbrana, Simone Bossi, Candiani, Tosato, Casolati</w:t>
      </w:r>
    </w:p>
  </w:footnote>
  <w:footnote w:id="53">
    <w:p w:rsidR="00050426" w:rsidRDefault="00050426">
      <w:pPr>
        <w:pStyle w:val="Testonotaapidipagina"/>
      </w:pPr>
      <w:r>
        <w:rPr>
          <w:rStyle w:val="Rimandonotaapidipagina"/>
        </w:rPr>
        <w:footnoteRef/>
      </w:r>
      <w:r>
        <w:t xml:space="preserve"> 7.7 </w:t>
      </w:r>
      <w:r w:rsidRPr="00B54B25">
        <w:t>La Pietra, Fazzolari, Simone Bossi</w:t>
      </w:r>
    </w:p>
  </w:footnote>
  <w:footnote w:id="54">
    <w:p w:rsidR="00050426" w:rsidRDefault="00050426">
      <w:pPr>
        <w:pStyle w:val="Testonotaapidipagina"/>
      </w:pPr>
      <w:r>
        <w:rPr>
          <w:rStyle w:val="Rimandonotaapidipagina"/>
        </w:rPr>
        <w:footnoteRef/>
      </w:r>
      <w:r>
        <w:t xml:space="preserve"> 7.8 </w:t>
      </w:r>
      <w:r w:rsidRPr="00B54B25">
        <w:t>Taricco, Biti, Manca, Fedeli, Astorre</w:t>
      </w:r>
    </w:p>
  </w:footnote>
  <w:footnote w:id="55">
    <w:p w:rsidR="00050426" w:rsidRDefault="00050426" w:rsidP="00B54B25">
      <w:pPr>
        <w:pStyle w:val="Testonotaapidipagina"/>
      </w:pPr>
      <w:r>
        <w:rPr>
          <w:rStyle w:val="Rimandonotaapidipagina"/>
        </w:rPr>
        <w:footnoteRef/>
      </w:r>
      <w:r>
        <w:t xml:space="preserve"> 7.9 Taricco, Biti, Manca, Fedeli, Astorre</w:t>
      </w:r>
    </w:p>
  </w:footnote>
  <w:footnote w:id="56">
    <w:p w:rsidR="009A4340" w:rsidRPr="00FC07A5" w:rsidRDefault="009A4340" w:rsidP="009A4340">
      <w:pPr>
        <w:jc w:val="both"/>
        <w:rPr>
          <w:color w:val="000000" w:themeColor="text1"/>
        </w:rPr>
      </w:pPr>
      <w:r>
        <w:rPr>
          <w:rStyle w:val="Rimandonotaapidipagina"/>
        </w:rPr>
        <w:footnoteRef/>
      </w:r>
      <w:r>
        <w:t xml:space="preserve"> </w:t>
      </w:r>
      <w:r w:rsidRPr="00FC07A5">
        <w:rPr>
          <w:color w:val="000000" w:themeColor="text1"/>
        </w:rPr>
        <w:t>7.14 (testo 3) Lorefice, Giannuzzi, Taricco, Botto, Gaudiano, Licheri, Ricciardi</w:t>
      </w:r>
    </w:p>
    <w:p w:rsidR="009A4340" w:rsidRDefault="009A4340">
      <w:pPr>
        <w:pStyle w:val="Testonotaapidipagina"/>
      </w:pPr>
    </w:p>
  </w:footnote>
  <w:footnote w:id="57">
    <w:p w:rsidR="00050426" w:rsidRDefault="00050426">
      <w:pPr>
        <w:pStyle w:val="Testonotaapidipagina"/>
      </w:pPr>
      <w:r>
        <w:rPr>
          <w:rStyle w:val="Rimandonotaapidipagina"/>
        </w:rPr>
        <w:footnoteRef/>
      </w:r>
      <w:r>
        <w:t xml:space="preserve"> 7.15 </w:t>
      </w:r>
      <w:r w:rsidRPr="00B54B25">
        <w:t>Collina, Fedeli, Astorre</w:t>
      </w:r>
    </w:p>
  </w:footnote>
  <w:footnote w:id="58">
    <w:p w:rsidR="00050426" w:rsidRDefault="00050426">
      <w:pPr>
        <w:pStyle w:val="Testonotaapidipagina"/>
      </w:pPr>
      <w:r>
        <w:rPr>
          <w:rStyle w:val="Rimandonotaapidipagina"/>
        </w:rPr>
        <w:footnoteRef/>
      </w:r>
      <w:r>
        <w:t xml:space="preserve"> 7.16 </w:t>
      </w:r>
      <w:r w:rsidRPr="00B54B25">
        <w:t>Giammanco, Masini</w:t>
      </w:r>
      <w:r>
        <w:t xml:space="preserve">; 7.17 </w:t>
      </w:r>
      <w:r w:rsidRPr="00B54B25">
        <w:t>Candiani, Simone Bossi, Casolati, Tosato</w:t>
      </w:r>
    </w:p>
  </w:footnote>
  <w:footnote w:id="59">
    <w:p w:rsidR="009A4340" w:rsidRPr="00FC07A5" w:rsidRDefault="009A4340" w:rsidP="009A4340">
      <w:pPr>
        <w:jc w:val="both"/>
        <w:rPr>
          <w:color w:val="000000" w:themeColor="text1"/>
        </w:rPr>
      </w:pPr>
      <w:r>
        <w:rPr>
          <w:rStyle w:val="Rimandonotaapidipagina"/>
        </w:rPr>
        <w:footnoteRef/>
      </w:r>
      <w:r>
        <w:t xml:space="preserve"> </w:t>
      </w:r>
      <w:bookmarkStart w:id="4" w:name="_Hlk50032685"/>
      <w:r w:rsidRPr="00FC07A5">
        <w:rPr>
          <w:color w:val="000000" w:themeColor="text1"/>
        </w:rPr>
        <w:t>7.14 (testo 3) Lorefice, Giannuzzi, Taricco, Botto, Gaudiano, Licheri, Ricciardi</w:t>
      </w:r>
    </w:p>
    <w:bookmarkEnd w:id="4"/>
    <w:p w:rsidR="009A4340" w:rsidRDefault="009A4340">
      <w:pPr>
        <w:pStyle w:val="Testonotaapidipagina"/>
      </w:pPr>
    </w:p>
  </w:footnote>
  <w:footnote w:id="60">
    <w:p w:rsidR="00050426" w:rsidRDefault="00050426">
      <w:pPr>
        <w:pStyle w:val="Testonotaapidipagina"/>
      </w:pPr>
      <w:r>
        <w:rPr>
          <w:rStyle w:val="Rimandonotaapidipagina"/>
        </w:rPr>
        <w:footnoteRef/>
      </w:r>
      <w:r>
        <w:t xml:space="preserve"> 7.1 </w:t>
      </w:r>
      <w:r w:rsidRPr="00D335B0">
        <w:t>Taricco, Fedeli, Astorre</w:t>
      </w:r>
    </w:p>
  </w:footnote>
  <w:footnote w:id="61">
    <w:p w:rsidR="00050426" w:rsidRDefault="00050426">
      <w:pPr>
        <w:pStyle w:val="Testonotaapidipagina"/>
      </w:pPr>
      <w:r>
        <w:rPr>
          <w:rStyle w:val="Rimandonotaapidipagina"/>
        </w:rPr>
        <w:footnoteRef/>
      </w:r>
      <w:r>
        <w:t xml:space="preserve"> 7.30 </w:t>
      </w:r>
      <w:r w:rsidRPr="00B54B25">
        <w:t>Centinaio, Bergesio, Vallardi, Sbrana, Simone Bossi, Candiani, Tosato, Casolati, Fazzolari</w:t>
      </w:r>
    </w:p>
  </w:footnote>
  <w:footnote w:id="62">
    <w:p w:rsidR="0005597D" w:rsidRPr="00FC07A5" w:rsidRDefault="0005597D" w:rsidP="0005597D">
      <w:pPr>
        <w:jc w:val="both"/>
        <w:rPr>
          <w:color w:val="000000" w:themeColor="text1"/>
        </w:rPr>
      </w:pPr>
      <w:r>
        <w:rPr>
          <w:rStyle w:val="Rimandonotaapidipagina"/>
        </w:rPr>
        <w:footnoteRef/>
      </w:r>
      <w:r>
        <w:t xml:space="preserve"> </w:t>
      </w:r>
      <w:r w:rsidRPr="00FC07A5">
        <w:rPr>
          <w:color w:val="000000" w:themeColor="text1"/>
        </w:rPr>
        <w:t>7.14 (testo 3) Lorefice, Giannuzzi, Taricco, Botto, Gaudiano, Licheri, Ricciardi</w:t>
      </w:r>
    </w:p>
    <w:p w:rsidR="0005597D" w:rsidRDefault="0005597D">
      <w:pPr>
        <w:pStyle w:val="Testonotaapidipagina"/>
      </w:pPr>
    </w:p>
  </w:footnote>
  <w:footnote w:id="63">
    <w:p w:rsidR="00050426" w:rsidRDefault="00050426">
      <w:pPr>
        <w:pStyle w:val="Testonotaapidipagina"/>
      </w:pPr>
      <w:r>
        <w:rPr>
          <w:rStyle w:val="Rimandonotaapidipagina"/>
        </w:rPr>
        <w:footnoteRef/>
      </w:r>
      <w:r>
        <w:t xml:space="preserve"> 7.37 </w:t>
      </w:r>
      <w:r w:rsidRPr="00B54B25">
        <w:t>La Pietra, Fazzolari, Simone Bossi, Candiani</w:t>
      </w:r>
    </w:p>
  </w:footnote>
  <w:footnote w:id="64">
    <w:p w:rsidR="00050426" w:rsidRDefault="00050426">
      <w:pPr>
        <w:pStyle w:val="Testonotaapidipagina"/>
      </w:pPr>
      <w:r>
        <w:rPr>
          <w:rStyle w:val="Rimandonotaapidipagina"/>
        </w:rPr>
        <w:footnoteRef/>
      </w:r>
      <w:r>
        <w:t xml:space="preserve"> 7.39 </w:t>
      </w:r>
      <w:r w:rsidRPr="00B54B25">
        <w:t>La Pietra, Fazzolari, Simone Bossi, Giammanco</w:t>
      </w:r>
    </w:p>
  </w:footnote>
  <w:footnote w:id="65">
    <w:p w:rsidR="0005597D" w:rsidRDefault="0005597D">
      <w:pPr>
        <w:pStyle w:val="Testonotaapidipagina"/>
      </w:pPr>
      <w:r>
        <w:rPr>
          <w:rStyle w:val="Rimandonotaapidipagina"/>
        </w:rPr>
        <w:footnoteRef/>
      </w:r>
      <w:r>
        <w:t xml:space="preserve"> </w:t>
      </w:r>
      <w:r w:rsidRPr="00FC07A5">
        <w:rPr>
          <w:color w:val="000000" w:themeColor="text1"/>
        </w:rPr>
        <w:t>7.14 (testo 3) Lorefice, Giannuzzi, Taricco, Botto, Gaudiano, Licheri, Ricciardi</w:t>
      </w:r>
    </w:p>
  </w:footnote>
  <w:footnote w:id="66">
    <w:p w:rsidR="00050426" w:rsidRDefault="00050426">
      <w:pPr>
        <w:pStyle w:val="Testonotaapidipagina"/>
      </w:pPr>
      <w:r>
        <w:rPr>
          <w:rStyle w:val="Rimandonotaapidipagina"/>
        </w:rPr>
        <w:footnoteRef/>
      </w:r>
      <w:r>
        <w:t xml:space="preserve"> 8.2 </w:t>
      </w:r>
      <w:r w:rsidRPr="00B54B25">
        <w:t>Ferrari, Fedeli, Astorre</w:t>
      </w:r>
    </w:p>
  </w:footnote>
  <w:footnote w:id="67">
    <w:p w:rsidR="00050426" w:rsidRDefault="00050426">
      <w:pPr>
        <w:pStyle w:val="Testonotaapidipagina"/>
      </w:pPr>
      <w:r>
        <w:rPr>
          <w:rStyle w:val="Rimandonotaapidipagina"/>
        </w:rPr>
        <w:footnoteRef/>
      </w:r>
      <w:r>
        <w:t xml:space="preserve"> 11.2 </w:t>
      </w:r>
      <w:r w:rsidRPr="005711BE">
        <w:t>D'Alfonso, Fedeli, Candiani, Astorre</w:t>
      </w:r>
    </w:p>
  </w:footnote>
  <w:footnote w:id="68">
    <w:p w:rsidR="00050426" w:rsidRDefault="00050426">
      <w:pPr>
        <w:pStyle w:val="Testonotaapidipagina"/>
      </w:pPr>
      <w:r>
        <w:rPr>
          <w:rStyle w:val="Rimandonotaapidipagina"/>
        </w:rPr>
        <w:footnoteRef/>
      </w:r>
      <w:r>
        <w:t xml:space="preserve"> 11.2 </w:t>
      </w:r>
      <w:r w:rsidRPr="005711BE">
        <w:t>D'Alfonso, Fedeli, Candiani, Astorre</w:t>
      </w:r>
    </w:p>
  </w:footnote>
  <w:footnote w:id="69">
    <w:p w:rsidR="00050426" w:rsidRDefault="00050426">
      <w:pPr>
        <w:pStyle w:val="Testonotaapidipagina"/>
      </w:pPr>
      <w:r>
        <w:rPr>
          <w:rStyle w:val="Rimandonotaapidipagina"/>
        </w:rPr>
        <w:footnoteRef/>
      </w:r>
      <w:r>
        <w:t xml:space="preserve"> 12.6 Il Relatore; 12.7 </w:t>
      </w:r>
      <w:r w:rsidRPr="005711BE">
        <w:t>Arrigoni, Briziarelli, Candiani, Simone Bossi, Casolati, Tosato</w:t>
      </w:r>
    </w:p>
  </w:footnote>
  <w:footnote w:id="70">
    <w:p w:rsidR="00050426" w:rsidRDefault="00050426">
      <w:pPr>
        <w:pStyle w:val="Testonotaapidipagina"/>
      </w:pPr>
      <w:r>
        <w:rPr>
          <w:rStyle w:val="Rimandonotaapidipagina"/>
        </w:rPr>
        <w:footnoteRef/>
      </w:r>
      <w:r>
        <w:t xml:space="preserve"> 12.8 </w:t>
      </w:r>
      <w:proofErr w:type="gramStart"/>
      <w:r w:rsidRPr="00695884">
        <w:t>Rampi</w:t>
      </w:r>
      <w:proofErr w:type="gramEnd"/>
      <w:r w:rsidRPr="00695884">
        <w:t>, Manca, Fedeli, Astorre</w:t>
      </w:r>
    </w:p>
  </w:footnote>
  <w:footnote w:id="71">
    <w:p w:rsidR="00050426" w:rsidRDefault="00050426" w:rsidP="00695884">
      <w:pPr>
        <w:pStyle w:val="Testonotaapidipagina"/>
      </w:pPr>
      <w:r>
        <w:rPr>
          <w:rStyle w:val="Rimandonotaapidipagina"/>
        </w:rPr>
        <w:footnoteRef/>
      </w:r>
      <w:r>
        <w:t xml:space="preserve"> 12.9 Arrigoni, Briziarelli, Simone Bossi, Candiani, Casolati, Tosato</w:t>
      </w:r>
    </w:p>
  </w:footnote>
  <w:footnote w:id="72">
    <w:p w:rsidR="00050426" w:rsidRDefault="00050426">
      <w:pPr>
        <w:pStyle w:val="Testonotaapidipagina"/>
      </w:pPr>
      <w:r>
        <w:rPr>
          <w:rStyle w:val="Rimandonotaapidipagina"/>
        </w:rPr>
        <w:footnoteRef/>
      </w:r>
      <w:r>
        <w:t xml:space="preserve"> 12.11 </w:t>
      </w:r>
      <w:proofErr w:type="gramStart"/>
      <w:r w:rsidRPr="00622F5A">
        <w:t>Rampi</w:t>
      </w:r>
      <w:proofErr w:type="gramEnd"/>
      <w:r w:rsidRPr="00622F5A">
        <w:t>, Manca, Fedeli, Casolati, Astorre</w:t>
      </w:r>
    </w:p>
  </w:footnote>
  <w:footnote w:id="73">
    <w:p w:rsidR="00050426" w:rsidRDefault="00050426">
      <w:pPr>
        <w:pStyle w:val="Testonotaapidipagina"/>
      </w:pPr>
      <w:r>
        <w:rPr>
          <w:rStyle w:val="Rimandonotaapidipagina"/>
        </w:rPr>
        <w:footnoteRef/>
      </w:r>
      <w:r>
        <w:t xml:space="preserve"> 12.10 </w:t>
      </w:r>
      <w:r w:rsidRPr="00695884">
        <w:t>Arrigoni, Briziarelli, Candiani, Simone Bossi, Casolati, Tosato</w:t>
      </w:r>
    </w:p>
  </w:footnote>
  <w:footnote w:id="74">
    <w:p w:rsidR="00050426" w:rsidRPr="00341A03" w:rsidRDefault="00050426" w:rsidP="00A52E1C">
      <w:pPr>
        <w:jc w:val="both"/>
        <w:rPr>
          <w:rFonts w:asciiTheme="minorHAnsi" w:hAnsiTheme="minorHAnsi"/>
          <w:color w:val="000000" w:themeColor="text1"/>
        </w:rPr>
      </w:pPr>
      <w:r>
        <w:rPr>
          <w:rStyle w:val="Rimandonotaapidipagina"/>
        </w:rPr>
        <w:footnoteRef/>
      </w:r>
      <w:r>
        <w:t xml:space="preserve"> </w:t>
      </w:r>
      <w:r w:rsidRPr="00341A03">
        <w:rPr>
          <w:rFonts w:asciiTheme="minorHAnsi" w:hAnsiTheme="minorHAnsi"/>
          <w:color w:val="000000" w:themeColor="text1"/>
        </w:rPr>
        <w:t>5.24 (testo 3)</w:t>
      </w:r>
      <w:r w:rsidRPr="00341A03">
        <w:rPr>
          <w:color w:val="000000" w:themeColor="text1"/>
        </w:rPr>
        <w:t xml:space="preserve"> </w:t>
      </w:r>
      <w:r w:rsidRPr="00341A03">
        <w:rPr>
          <w:rFonts w:asciiTheme="minorHAnsi" w:hAnsiTheme="minorHAnsi"/>
          <w:color w:val="000000" w:themeColor="text1"/>
        </w:rPr>
        <w:t>Girotto, Anastasi, Botto, Gaudiano, Giannuzzi, Licheri, Lorefice, Ricciardi</w:t>
      </w:r>
    </w:p>
    <w:p w:rsidR="00050426" w:rsidRDefault="00050426">
      <w:pPr>
        <w:pStyle w:val="Testonotaapidipagina"/>
      </w:pPr>
    </w:p>
  </w:footnote>
  <w:footnote w:id="75">
    <w:p w:rsidR="00050426" w:rsidRPr="00341A03" w:rsidRDefault="00050426" w:rsidP="00E56DC1">
      <w:pPr>
        <w:jc w:val="both"/>
        <w:rPr>
          <w:rFonts w:asciiTheme="minorHAnsi" w:hAnsiTheme="minorHAnsi"/>
          <w:color w:val="000000" w:themeColor="text1"/>
        </w:rPr>
      </w:pPr>
      <w:r>
        <w:rPr>
          <w:rStyle w:val="Rimandonotaapidipagina"/>
        </w:rPr>
        <w:footnoteRef/>
      </w:r>
      <w:r>
        <w:t xml:space="preserve"> </w:t>
      </w:r>
      <w:r w:rsidRPr="00341A03">
        <w:rPr>
          <w:rFonts w:asciiTheme="minorHAnsi" w:hAnsiTheme="minorHAnsi"/>
          <w:color w:val="000000" w:themeColor="text1"/>
        </w:rPr>
        <w:t>5.24 (testo 3)</w:t>
      </w:r>
      <w:r w:rsidRPr="00341A03">
        <w:rPr>
          <w:color w:val="000000" w:themeColor="text1"/>
        </w:rPr>
        <w:t xml:space="preserve"> </w:t>
      </w:r>
      <w:r w:rsidRPr="00341A03">
        <w:rPr>
          <w:rFonts w:asciiTheme="minorHAnsi" w:hAnsiTheme="minorHAnsi"/>
          <w:color w:val="000000" w:themeColor="text1"/>
        </w:rPr>
        <w:t>Girotto, Anastasi, Botto, Gaudiano, Giannuzzi, Licheri, Lorefice, Ricciardi</w:t>
      </w:r>
    </w:p>
    <w:p w:rsidR="00050426" w:rsidRDefault="00050426">
      <w:pPr>
        <w:pStyle w:val="Testonotaapidipagina"/>
      </w:pPr>
    </w:p>
  </w:footnote>
  <w:footnote w:id="76">
    <w:p w:rsidR="00050426" w:rsidRDefault="00050426">
      <w:pPr>
        <w:pStyle w:val="Testonotaapidipagina"/>
      </w:pPr>
      <w:r>
        <w:rPr>
          <w:rStyle w:val="Rimandonotaapidipagina"/>
        </w:rPr>
        <w:footnoteRef/>
      </w:r>
      <w:r>
        <w:t xml:space="preserve"> 12.13 </w:t>
      </w:r>
      <w:r w:rsidRPr="00622F5A">
        <w:t>Fedeli, Manca, Casolati, Astorre</w:t>
      </w:r>
    </w:p>
  </w:footnote>
  <w:footnote w:id="77">
    <w:p w:rsidR="00050426" w:rsidRDefault="00050426">
      <w:pPr>
        <w:pStyle w:val="Testonotaapidipagina"/>
      </w:pPr>
      <w:r>
        <w:rPr>
          <w:rStyle w:val="Rimandonotaapidipagina"/>
        </w:rPr>
        <w:footnoteRef/>
      </w:r>
      <w:r>
        <w:t xml:space="preserve"> 12.14 </w:t>
      </w:r>
      <w:r w:rsidRPr="00622F5A">
        <w:t>Manca, Fedeli, Astorre</w:t>
      </w:r>
    </w:p>
  </w:footnote>
  <w:footnote w:id="78">
    <w:p w:rsidR="00050426" w:rsidRDefault="00050426">
      <w:pPr>
        <w:pStyle w:val="Testonotaapidipagina"/>
      </w:pPr>
      <w:r>
        <w:rPr>
          <w:rStyle w:val="Rimandonotaapidipagina"/>
        </w:rPr>
        <w:footnoteRef/>
      </w:r>
      <w:r>
        <w:t xml:space="preserve"> 12.20 </w:t>
      </w:r>
      <w:r w:rsidRPr="00622F5A">
        <w:t>Candiani, Simone Bossi, Casolati, Tosato</w:t>
      </w:r>
    </w:p>
  </w:footnote>
  <w:footnote w:id="79">
    <w:p w:rsidR="00050426" w:rsidRDefault="00050426">
      <w:pPr>
        <w:pStyle w:val="Testonotaapidipagina"/>
      </w:pPr>
      <w:r>
        <w:rPr>
          <w:rStyle w:val="Rimandonotaapidipagina"/>
        </w:rPr>
        <w:footnoteRef/>
      </w:r>
      <w:r>
        <w:t xml:space="preserve"> 12.21 </w:t>
      </w:r>
      <w:r w:rsidRPr="00622F5A">
        <w:t>Durnwalder, Steger, Unterberger, Laniece</w:t>
      </w:r>
    </w:p>
  </w:footnote>
  <w:footnote w:id="80">
    <w:p w:rsidR="00050426" w:rsidRPr="00683687" w:rsidRDefault="00050426" w:rsidP="0050083B">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14.8 (testo 4)</w:t>
      </w:r>
      <w:r w:rsidRPr="00683687">
        <w:rPr>
          <w:color w:val="000000" w:themeColor="text1"/>
        </w:rPr>
        <w:t xml:space="preserve"> </w:t>
      </w:r>
      <w:r w:rsidRPr="00683687">
        <w:rPr>
          <w:rFonts w:asciiTheme="minorHAnsi" w:hAnsiTheme="minorHAnsi"/>
          <w:color w:val="000000" w:themeColor="text1"/>
        </w:rPr>
        <w:t>Simone Bossi, Candiani, Casolati, Tosato</w:t>
      </w:r>
    </w:p>
    <w:p w:rsidR="00050426" w:rsidRDefault="00050426">
      <w:pPr>
        <w:pStyle w:val="Testonotaapidipagina"/>
      </w:pPr>
    </w:p>
  </w:footnote>
  <w:footnote w:id="81">
    <w:p w:rsidR="00050426" w:rsidRDefault="00050426">
      <w:pPr>
        <w:pStyle w:val="Testonotaapidipagina"/>
      </w:pPr>
      <w:r>
        <w:rPr>
          <w:rStyle w:val="Rimandonotaapidipagina"/>
        </w:rPr>
        <w:footnoteRef/>
      </w:r>
      <w:r>
        <w:t xml:space="preserve"> 14.9 </w:t>
      </w:r>
      <w:r w:rsidRPr="00622F5A">
        <w:t>Lorefice, Giannuzzi, Botto, Gaudiano, Licheri, Ricciardi, Toninelli</w:t>
      </w:r>
    </w:p>
  </w:footnote>
  <w:footnote w:id="82">
    <w:p w:rsidR="00050426" w:rsidRDefault="00050426">
      <w:pPr>
        <w:pStyle w:val="Testonotaapidipagina"/>
      </w:pPr>
      <w:r>
        <w:rPr>
          <w:rStyle w:val="Rimandonotaapidipagina"/>
        </w:rPr>
        <w:footnoteRef/>
      </w:r>
      <w:r>
        <w:t xml:space="preserve"> 14.15 (testo 2) </w:t>
      </w:r>
      <w:r w:rsidRPr="00622F5A">
        <w:t>Rizzotti, Masini</w:t>
      </w:r>
    </w:p>
  </w:footnote>
  <w:footnote w:id="83">
    <w:p w:rsidR="00050426" w:rsidRDefault="00050426" w:rsidP="00622F5A">
      <w:pPr>
        <w:pStyle w:val="Testonotaapidipagina"/>
      </w:pPr>
      <w:r>
        <w:rPr>
          <w:rStyle w:val="Rimandonotaapidipagina"/>
        </w:rPr>
        <w:footnoteRef/>
      </w:r>
      <w:r>
        <w:t xml:space="preserve"> 14.17 Giammanco, De Petris, Masini</w:t>
      </w:r>
    </w:p>
  </w:footnote>
  <w:footnote w:id="84">
    <w:p w:rsidR="00050426" w:rsidRDefault="00050426">
      <w:pPr>
        <w:pStyle w:val="Testonotaapidipagina"/>
      </w:pPr>
      <w:r>
        <w:rPr>
          <w:rStyle w:val="Rimandonotaapidipagina"/>
        </w:rPr>
        <w:footnoteRef/>
      </w:r>
      <w:r>
        <w:t xml:space="preserve"> 14.19 </w:t>
      </w:r>
      <w:r w:rsidRPr="008F0156">
        <w:t>Giammanco, De Petris, Masini</w:t>
      </w:r>
    </w:p>
  </w:footnote>
  <w:footnote w:id="85">
    <w:p w:rsidR="00050426" w:rsidRDefault="00050426">
      <w:pPr>
        <w:pStyle w:val="Testonotaapidipagina"/>
      </w:pPr>
      <w:r>
        <w:rPr>
          <w:rStyle w:val="Rimandonotaapidipagina"/>
        </w:rPr>
        <w:footnoteRef/>
      </w:r>
      <w:r>
        <w:t xml:space="preserve"> 14.18 </w:t>
      </w:r>
      <w:r w:rsidRPr="00622F5A">
        <w:t>Taricco, Biti, Fedeli, Nannicini</w:t>
      </w:r>
    </w:p>
  </w:footnote>
  <w:footnote w:id="86">
    <w:p w:rsidR="00050426" w:rsidRDefault="00050426">
      <w:pPr>
        <w:pStyle w:val="Testonotaapidipagina"/>
      </w:pPr>
      <w:r>
        <w:rPr>
          <w:rStyle w:val="Rimandonotaapidipagina"/>
        </w:rPr>
        <w:footnoteRef/>
      </w:r>
      <w:r>
        <w:t xml:space="preserve"> 15.1 Il Relatore</w:t>
      </w:r>
    </w:p>
  </w:footnote>
  <w:footnote w:id="87">
    <w:p w:rsidR="00050426" w:rsidRDefault="00050426">
      <w:pPr>
        <w:pStyle w:val="Testonotaapidipagina"/>
      </w:pPr>
      <w:r>
        <w:rPr>
          <w:rStyle w:val="Rimandonotaapidipagina"/>
        </w:rPr>
        <w:footnoteRef/>
      </w:r>
      <w:r>
        <w:t xml:space="preserve"> 15.1 Il Relatore</w:t>
      </w:r>
    </w:p>
  </w:footnote>
  <w:footnote w:id="88">
    <w:p w:rsidR="00050426" w:rsidRDefault="00050426">
      <w:pPr>
        <w:pStyle w:val="Testonotaapidipagina"/>
      </w:pPr>
      <w:r>
        <w:rPr>
          <w:rStyle w:val="Rimandonotaapidipagina"/>
        </w:rPr>
        <w:footnoteRef/>
      </w:r>
      <w:r>
        <w:t xml:space="preserve"> 15.1 Il Relatore</w:t>
      </w:r>
    </w:p>
  </w:footnote>
  <w:footnote w:id="89">
    <w:p w:rsidR="00050426" w:rsidRDefault="00050426">
      <w:pPr>
        <w:pStyle w:val="Testonotaapidipagina"/>
      </w:pPr>
      <w:r>
        <w:rPr>
          <w:rStyle w:val="Rimandonotaapidipagina"/>
        </w:rPr>
        <w:footnoteRef/>
      </w:r>
      <w:r>
        <w:t xml:space="preserve"> 15,4 Il Relatore</w:t>
      </w:r>
    </w:p>
  </w:footnote>
  <w:footnote w:id="90">
    <w:p w:rsidR="00050426" w:rsidRDefault="00050426">
      <w:pPr>
        <w:pStyle w:val="Testonotaapidipagina"/>
      </w:pPr>
      <w:r>
        <w:rPr>
          <w:rStyle w:val="Rimandonotaapidipagina"/>
        </w:rPr>
        <w:footnoteRef/>
      </w:r>
      <w:r>
        <w:t xml:space="preserve"> 15.6 Il Relatore</w:t>
      </w:r>
    </w:p>
  </w:footnote>
  <w:footnote w:id="91">
    <w:p w:rsidR="00050426" w:rsidRDefault="00050426">
      <w:pPr>
        <w:pStyle w:val="Testonotaapidipagina"/>
      </w:pPr>
      <w:r>
        <w:rPr>
          <w:rStyle w:val="Rimandonotaapidipagina"/>
        </w:rPr>
        <w:footnoteRef/>
      </w:r>
      <w:r>
        <w:t xml:space="preserve"> 15.9 (testo 2) </w:t>
      </w:r>
      <w:r w:rsidRPr="00EC58EB">
        <w:t>Angrisani, Lorefice, Botto, Gaudiano, Giannuzzi, Licheri, Ricciardi, Toninelli</w:t>
      </w:r>
      <w:r>
        <w:t xml:space="preserve">; 15.10 (testo 2) </w:t>
      </w:r>
      <w:r w:rsidRPr="00EC58EB">
        <w:t>Collina, Fedeli, Nannicini</w:t>
      </w:r>
      <w:r>
        <w:t xml:space="preserve">; 15.8 </w:t>
      </w:r>
      <w:r w:rsidRPr="00EC58EB">
        <w:t>Giammanco, Masini</w:t>
      </w:r>
    </w:p>
  </w:footnote>
  <w:footnote w:id="92">
    <w:p w:rsidR="00050426" w:rsidRDefault="00050426">
      <w:pPr>
        <w:pStyle w:val="Testonotaapidipagina"/>
      </w:pPr>
      <w:r>
        <w:rPr>
          <w:rStyle w:val="Rimandonotaapidipagina"/>
        </w:rPr>
        <w:footnoteRef/>
      </w:r>
      <w:r>
        <w:t xml:space="preserve"> 17.1 (testo 2) </w:t>
      </w:r>
      <w:r w:rsidRPr="00200CEE">
        <w:t>D'Alfonso, Manca, Fedeli, Nannicini</w:t>
      </w:r>
    </w:p>
  </w:footnote>
  <w:footnote w:id="93">
    <w:p w:rsidR="00050426" w:rsidRDefault="00050426">
      <w:pPr>
        <w:pStyle w:val="Testonotaapidipagina"/>
      </w:pPr>
      <w:r>
        <w:rPr>
          <w:rStyle w:val="Rimandonotaapidipagina"/>
        </w:rPr>
        <w:footnoteRef/>
      </w:r>
      <w:r>
        <w:t xml:space="preserve"> 19.1 </w:t>
      </w:r>
      <w:r w:rsidRPr="00200CEE">
        <w:t>Girotto, Anastasi, Lorefice, Botto, Gaudiano, Giannuzzi, Licheri, Ricciardi, Toninelli</w:t>
      </w:r>
    </w:p>
  </w:footnote>
  <w:footnote w:id="94">
    <w:p w:rsidR="00050426" w:rsidRDefault="00050426">
      <w:pPr>
        <w:pStyle w:val="Testonotaapidipagina"/>
      </w:pPr>
      <w:r>
        <w:rPr>
          <w:rStyle w:val="Rimandonotaapidipagina"/>
        </w:rPr>
        <w:footnoteRef/>
      </w:r>
      <w:r>
        <w:t xml:space="preserve"> 19.2 </w:t>
      </w:r>
      <w:r w:rsidRPr="00200CEE">
        <w:t>Fedeli, Manca, Nannicini</w:t>
      </w:r>
    </w:p>
  </w:footnote>
  <w:footnote w:id="95">
    <w:p w:rsidR="00050426" w:rsidRDefault="00050426">
      <w:pPr>
        <w:pStyle w:val="Testonotaapidipagina"/>
      </w:pPr>
      <w:r>
        <w:rPr>
          <w:rStyle w:val="Rimandonotaapidipagina"/>
        </w:rPr>
        <w:footnoteRef/>
      </w:r>
      <w:r>
        <w:t xml:space="preserve"> 19.3 </w:t>
      </w:r>
      <w:r w:rsidRPr="00200CEE">
        <w:t>Fedeli, Manca, Nannicini</w:t>
      </w:r>
    </w:p>
  </w:footnote>
  <w:footnote w:id="96">
    <w:p w:rsidR="00050426" w:rsidRDefault="00050426">
      <w:pPr>
        <w:pStyle w:val="Testonotaapidipagina"/>
      </w:pPr>
      <w:r>
        <w:rPr>
          <w:rStyle w:val="Rimandonotaapidipagina"/>
        </w:rPr>
        <w:footnoteRef/>
      </w:r>
      <w:r>
        <w:t xml:space="preserve"> 20.2 </w:t>
      </w:r>
      <w:r w:rsidRPr="00200CEE">
        <w:t>D'Alfonso, Fedeli, Nannicini</w:t>
      </w:r>
    </w:p>
  </w:footnote>
  <w:footnote w:id="97">
    <w:p w:rsidR="00A410E7" w:rsidRPr="00FC07A5" w:rsidRDefault="00A410E7" w:rsidP="00A410E7">
      <w:pPr>
        <w:jc w:val="both"/>
        <w:rPr>
          <w:color w:val="000000" w:themeColor="text1"/>
        </w:rPr>
      </w:pPr>
      <w:r>
        <w:rPr>
          <w:rStyle w:val="Rimandonotaapidipagina"/>
        </w:rPr>
        <w:footnoteRef/>
      </w:r>
      <w:r>
        <w:t xml:space="preserve"> </w:t>
      </w:r>
      <w:r w:rsidRPr="00FC07A5">
        <w:rPr>
          <w:color w:val="000000" w:themeColor="text1"/>
        </w:rPr>
        <w:t>20.0.8 (testo 2) Lorefice, Giannuzzi, Botto, Gaudiano, Licheri, Ricciardi</w:t>
      </w:r>
    </w:p>
    <w:p w:rsidR="00A410E7" w:rsidRDefault="00A410E7">
      <w:pPr>
        <w:pStyle w:val="Testonotaapidipagina"/>
      </w:pPr>
    </w:p>
  </w:footnote>
  <w:footnote w:id="98">
    <w:p w:rsidR="007B65DD" w:rsidRPr="000D1215" w:rsidRDefault="007B65DD" w:rsidP="007B65DD">
      <w:pPr>
        <w:jc w:val="both"/>
        <w:rPr>
          <w:color w:val="000000" w:themeColor="text1"/>
        </w:rPr>
      </w:pPr>
      <w:r>
        <w:rPr>
          <w:rStyle w:val="Rimandonotaapidipagina"/>
        </w:rPr>
        <w:footnoteRef/>
      </w:r>
      <w:r>
        <w:t xml:space="preserve"> </w:t>
      </w:r>
      <w:r w:rsidRPr="000D1215">
        <w:rPr>
          <w:color w:val="000000" w:themeColor="text1"/>
        </w:rPr>
        <w:t>20.0.36 D'Alfonso, Fedeli, Pittella, Candiani</w:t>
      </w:r>
    </w:p>
    <w:p w:rsidR="007B65DD" w:rsidRDefault="007B65DD">
      <w:pPr>
        <w:pStyle w:val="Testonotaapidipagina"/>
      </w:pPr>
    </w:p>
  </w:footnote>
  <w:footnote w:id="99">
    <w:p w:rsidR="00081CED" w:rsidRPr="000D1215" w:rsidRDefault="00081CED" w:rsidP="00081CED">
      <w:pPr>
        <w:jc w:val="both"/>
        <w:rPr>
          <w:color w:val="000000" w:themeColor="text1"/>
        </w:rPr>
      </w:pPr>
      <w:r>
        <w:rPr>
          <w:rStyle w:val="Rimandonotaapidipagina"/>
        </w:rPr>
        <w:footnoteRef/>
      </w:r>
      <w:r>
        <w:t xml:space="preserve"> </w:t>
      </w:r>
      <w:r w:rsidRPr="000D1215">
        <w:rPr>
          <w:color w:val="000000" w:themeColor="text1"/>
        </w:rPr>
        <w:t>20.0.37 (testo 3) D'Alfonso, Fedeli, Pittella</w:t>
      </w:r>
    </w:p>
    <w:p w:rsidR="00081CED" w:rsidRDefault="00081CED">
      <w:pPr>
        <w:pStyle w:val="Testonotaapidipagina"/>
      </w:pPr>
    </w:p>
  </w:footnote>
  <w:footnote w:id="100">
    <w:p w:rsidR="0001790C" w:rsidRDefault="0001790C">
      <w:pPr>
        <w:pStyle w:val="Testonotaapidipagina"/>
      </w:pPr>
      <w:r>
        <w:rPr>
          <w:rStyle w:val="Rimandonotaapidipagina"/>
        </w:rPr>
        <w:footnoteRef/>
      </w:r>
      <w:r>
        <w:t xml:space="preserve"> </w:t>
      </w:r>
      <w:r w:rsidRPr="00665678">
        <w:rPr>
          <w:color w:val="000000" w:themeColor="text1"/>
        </w:rPr>
        <w:t>20.0.47 (testo 3) D'Alfonso, Fedeli, Pittella</w:t>
      </w:r>
    </w:p>
  </w:footnote>
  <w:footnote w:id="101">
    <w:p w:rsidR="0001790C" w:rsidRPr="008A028B" w:rsidRDefault="0001790C" w:rsidP="0001790C">
      <w:pPr>
        <w:jc w:val="both"/>
        <w:rPr>
          <w:color w:val="000000" w:themeColor="text1"/>
        </w:rPr>
      </w:pPr>
      <w:r>
        <w:rPr>
          <w:rStyle w:val="Rimandonotaapidipagina"/>
        </w:rPr>
        <w:footnoteRef/>
      </w:r>
      <w:r>
        <w:t xml:space="preserve"> </w:t>
      </w:r>
      <w:r w:rsidRPr="008A028B">
        <w:rPr>
          <w:color w:val="000000" w:themeColor="text1"/>
        </w:rPr>
        <w:t>20.0.48 Angrisani, Botto, Gaudiano, Giannuzzi, Licheri, Lorefice, Ricciardi</w:t>
      </w:r>
      <w:r>
        <w:rPr>
          <w:color w:val="000000" w:themeColor="text1"/>
        </w:rPr>
        <w:t xml:space="preserve">; </w:t>
      </w:r>
      <w:r w:rsidRPr="008A028B">
        <w:rPr>
          <w:color w:val="000000" w:themeColor="text1"/>
        </w:rPr>
        <w:t>20.0.49 Santangelo, Botto, Gaudiano, Giannuzzi, Licheri, Lorefice, Ricciardi</w:t>
      </w:r>
    </w:p>
    <w:p w:rsidR="0001790C" w:rsidRDefault="0001790C">
      <w:pPr>
        <w:pStyle w:val="Testonotaapidipagina"/>
      </w:pPr>
    </w:p>
  </w:footnote>
  <w:footnote w:id="102">
    <w:p w:rsidR="00050426" w:rsidRPr="00683687" w:rsidRDefault="00050426" w:rsidP="0074526D">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20.0.12 (testo 5)</w:t>
      </w:r>
      <w:r w:rsidRPr="00683687">
        <w:rPr>
          <w:color w:val="000000" w:themeColor="text1"/>
        </w:rPr>
        <w:t xml:space="preserve"> </w:t>
      </w:r>
      <w:r w:rsidRPr="00683687">
        <w:rPr>
          <w:rFonts w:asciiTheme="minorHAnsi" w:hAnsiTheme="minorHAnsi"/>
          <w:color w:val="000000" w:themeColor="text1"/>
        </w:rPr>
        <w:t>Ferrazzi, Fedeli, Floridia, L'Abbate, Lorefice, Ricciardi</w:t>
      </w:r>
    </w:p>
    <w:p w:rsidR="00050426" w:rsidRDefault="00050426">
      <w:pPr>
        <w:pStyle w:val="Testonotaapidipagina"/>
      </w:pPr>
    </w:p>
  </w:footnote>
  <w:footnote w:id="103">
    <w:p w:rsidR="00050426" w:rsidRPr="00683687" w:rsidRDefault="00050426" w:rsidP="0015730E">
      <w:pPr>
        <w:jc w:val="both"/>
        <w:rPr>
          <w:rFonts w:asciiTheme="minorHAnsi" w:hAnsiTheme="minorHAnsi"/>
          <w:color w:val="000000" w:themeColor="text1"/>
        </w:rPr>
      </w:pPr>
      <w:r>
        <w:rPr>
          <w:rStyle w:val="Rimandonotaapidipagina"/>
        </w:rPr>
        <w:footnoteRef/>
      </w:r>
      <w:r>
        <w:t xml:space="preserve"> </w:t>
      </w:r>
      <w:r w:rsidRPr="00683687">
        <w:rPr>
          <w:rFonts w:asciiTheme="minorHAnsi" w:hAnsiTheme="minorHAnsi"/>
          <w:color w:val="000000" w:themeColor="text1"/>
        </w:rPr>
        <w:t>20.0.25 (testo 2)</w:t>
      </w:r>
      <w:r w:rsidRPr="00683687">
        <w:rPr>
          <w:color w:val="000000" w:themeColor="text1"/>
        </w:rPr>
        <w:t xml:space="preserve"> </w:t>
      </w:r>
      <w:r w:rsidRPr="00683687">
        <w:rPr>
          <w:rFonts w:asciiTheme="minorHAnsi" w:hAnsiTheme="minorHAnsi"/>
          <w:color w:val="000000" w:themeColor="text1"/>
        </w:rPr>
        <w:t>D'Alfonso, Fedeli, Pittella</w:t>
      </w:r>
    </w:p>
    <w:p w:rsidR="00050426" w:rsidRDefault="00050426">
      <w:pPr>
        <w:pStyle w:val="Testonotaapidipagina"/>
      </w:pPr>
    </w:p>
  </w:footnote>
  <w:footnote w:id="104">
    <w:p w:rsidR="00050426" w:rsidRDefault="00050426">
      <w:pPr>
        <w:pStyle w:val="Testonotaapidipagina"/>
      </w:pPr>
      <w:r>
        <w:rPr>
          <w:rStyle w:val="Rimandonotaapidipagina"/>
        </w:rPr>
        <w:footnoteRef/>
      </w:r>
      <w:r>
        <w:t xml:space="preserve"> 20.0.2 (testo 2) </w:t>
      </w:r>
      <w:r w:rsidRPr="00200CEE">
        <w:t>Lorefice, Giannuzzi, Giammanco, Candiani, Botto, Gaudiano, Licheri, Ricciardi, Toninelli, Masini</w:t>
      </w:r>
    </w:p>
  </w:footnote>
  <w:footnote w:id="105">
    <w:p w:rsidR="00050426" w:rsidRDefault="00050426">
      <w:pPr>
        <w:pStyle w:val="Testonotaapidipagina"/>
      </w:pPr>
      <w:r>
        <w:rPr>
          <w:rStyle w:val="Rimandonotaapidipagina"/>
        </w:rPr>
        <w:footnoteRef/>
      </w:r>
      <w:r>
        <w:t xml:space="preserve"> 1.2 Il Relatore</w:t>
      </w:r>
    </w:p>
  </w:footnote>
  <w:footnote w:id="106">
    <w:p w:rsidR="00050426" w:rsidRDefault="00050426">
      <w:pPr>
        <w:pStyle w:val="Testonotaapidipagina"/>
      </w:pPr>
      <w:r>
        <w:rPr>
          <w:rStyle w:val="Rimandonotaapidipagina"/>
        </w:rPr>
        <w:footnoteRef/>
      </w:r>
      <w:r>
        <w:t xml:space="preserve"> 1.3 D’Alfonso, Manca, Fedeli</w:t>
      </w:r>
    </w:p>
  </w:footnote>
  <w:footnote w:id="107">
    <w:p w:rsidR="00050426" w:rsidRDefault="00050426">
      <w:pPr>
        <w:pStyle w:val="Testonotaapidipagina"/>
      </w:pPr>
      <w:r>
        <w:rPr>
          <w:rStyle w:val="Rimandonotaapidipagina"/>
        </w:rPr>
        <w:footnoteRef/>
      </w:r>
      <w:r>
        <w:t xml:space="preserve"> 1.4 D’Alfonso, Manca, Fedeli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26" w:rsidRDefault="00050426" w:rsidP="00473B76">
    <w:pPr>
      <w:pStyle w:val="Intestazione"/>
      <w:tabs>
        <w:tab w:val="clear" w:pos="4819"/>
        <w:tab w:val="clear" w:pos="9638"/>
        <w:tab w:val="left" w:pos="811"/>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26" w:rsidRPr="00A82891" w:rsidRDefault="00050426" w:rsidP="007C573D">
    <w:pPr>
      <w:spacing w:after="0" w:line="240" w:lineRule="aut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26" w:rsidRDefault="00050426" w:rsidP="00E257C8">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mirrorMargins/>
  <w:proofState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4F"/>
    <w:rsid w:val="00000B16"/>
    <w:rsid w:val="0000283B"/>
    <w:rsid w:val="0000392B"/>
    <w:rsid w:val="00007452"/>
    <w:rsid w:val="00011639"/>
    <w:rsid w:val="00012BB5"/>
    <w:rsid w:val="0001354D"/>
    <w:rsid w:val="0001412B"/>
    <w:rsid w:val="00014F29"/>
    <w:rsid w:val="0001565E"/>
    <w:rsid w:val="00016031"/>
    <w:rsid w:val="0001790C"/>
    <w:rsid w:val="00020E62"/>
    <w:rsid w:val="00026241"/>
    <w:rsid w:val="00030D03"/>
    <w:rsid w:val="000312C3"/>
    <w:rsid w:val="000331CC"/>
    <w:rsid w:val="000334E1"/>
    <w:rsid w:val="00037EE5"/>
    <w:rsid w:val="00040E4A"/>
    <w:rsid w:val="0004270D"/>
    <w:rsid w:val="00042E03"/>
    <w:rsid w:val="000436F3"/>
    <w:rsid w:val="0004407E"/>
    <w:rsid w:val="00050426"/>
    <w:rsid w:val="00051A57"/>
    <w:rsid w:val="000525CC"/>
    <w:rsid w:val="0005286F"/>
    <w:rsid w:val="000548FD"/>
    <w:rsid w:val="000554CC"/>
    <w:rsid w:val="0005597D"/>
    <w:rsid w:val="00055E6C"/>
    <w:rsid w:val="00061FCA"/>
    <w:rsid w:val="00062B9B"/>
    <w:rsid w:val="00065D85"/>
    <w:rsid w:val="00072C1B"/>
    <w:rsid w:val="00081CED"/>
    <w:rsid w:val="0009180C"/>
    <w:rsid w:val="00095FE5"/>
    <w:rsid w:val="000A078D"/>
    <w:rsid w:val="000A0A41"/>
    <w:rsid w:val="000A4D3D"/>
    <w:rsid w:val="000B4E72"/>
    <w:rsid w:val="000B5D07"/>
    <w:rsid w:val="000C3A15"/>
    <w:rsid w:val="000C45FD"/>
    <w:rsid w:val="000C5070"/>
    <w:rsid w:val="000C50F1"/>
    <w:rsid w:val="000C61B5"/>
    <w:rsid w:val="000D6B51"/>
    <w:rsid w:val="000D78D2"/>
    <w:rsid w:val="000E2A19"/>
    <w:rsid w:val="000E58CB"/>
    <w:rsid w:val="000F53CD"/>
    <w:rsid w:val="000F5D28"/>
    <w:rsid w:val="000F5ED8"/>
    <w:rsid w:val="000F7413"/>
    <w:rsid w:val="000F7F93"/>
    <w:rsid w:val="00103DF8"/>
    <w:rsid w:val="00105332"/>
    <w:rsid w:val="0011107C"/>
    <w:rsid w:val="00112F2F"/>
    <w:rsid w:val="00113CFE"/>
    <w:rsid w:val="00113F64"/>
    <w:rsid w:val="001160F9"/>
    <w:rsid w:val="0012190D"/>
    <w:rsid w:val="00125203"/>
    <w:rsid w:val="00125CBA"/>
    <w:rsid w:val="00126E8F"/>
    <w:rsid w:val="0013117C"/>
    <w:rsid w:val="0013176B"/>
    <w:rsid w:val="00133E8D"/>
    <w:rsid w:val="001340A7"/>
    <w:rsid w:val="00134C90"/>
    <w:rsid w:val="00137B3F"/>
    <w:rsid w:val="001406E9"/>
    <w:rsid w:val="001413DF"/>
    <w:rsid w:val="00141485"/>
    <w:rsid w:val="001420B8"/>
    <w:rsid w:val="001533B3"/>
    <w:rsid w:val="0015538C"/>
    <w:rsid w:val="0015730E"/>
    <w:rsid w:val="00163604"/>
    <w:rsid w:val="001636BB"/>
    <w:rsid w:val="00164786"/>
    <w:rsid w:val="00165484"/>
    <w:rsid w:val="00166CB1"/>
    <w:rsid w:val="0017004E"/>
    <w:rsid w:val="00175EC9"/>
    <w:rsid w:val="0017723D"/>
    <w:rsid w:val="00182895"/>
    <w:rsid w:val="00183B02"/>
    <w:rsid w:val="00185E53"/>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46E2"/>
    <w:rsid w:val="001E773C"/>
    <w:rsid w:val="001F378B"/>
    <w:rsid w:val="001F5EA4"/>
    <w:rsid w:val="001F6D3A"/>
    <w:rsid w:val="001F75AD"/>
    <w:rsid w:val="00200CEE"/>
    <w:rsid w:val="0020198A"/>
    <w:rsid w:val="00201A99"/>
    <w:rsid w:val="00201DD5"/>
    <w:rsid w:val="0020737D"/>
    <w:rsid w:val="0021022B"/>
    <w:rsid w:val="00213445"/>
    <w:rsid w:val="00215E69"/>
    <w:rsid w:val="00216079"/>
    <w:rsid w:val="00220748"/>
    <w:rsid w:val="0022078B"/>
    <w:rsid w:val="002240C5"/>
    <w:rsid w:val="002273FB"/>
    <w:rsid w:val="00227FEC"/>
    <w:rsid w:val="00234096"/>
    <w:rsid w:val="00236326"/>
    <w:rsid w:val="0024185D"/>
    <w:rsid w:val="0024213A"/>
    <w:rsid w:val="00245260"/>
    <w:rsid w:val="00246D60"/>
    <w:rsid w:val="00251FEF"/>
    <w:rsid w:val="002565F2"/>
    <w:rsid w:val="00257BDB"/>
    <w:rsid w:val="002620AF"/>
    <w:rsid w:val="00262F41"/>
    <w:rsid w:val="00264750"/>
    <w:rsid w:val="002739D4"/>
    <w:rsid w:val="00276E23"/>
    <w:rsid w:val="0028362B"/>
    <w:rsid w:val="00283714"/>
    <w:rsid w:val="00283BD7"/>
    <w:rsid w:val="002846E6"/>
    <w:rsid w:val="002857B8"/>
    <w:rsid w:val="0029104D"/>
    <w:rsid w:val="00294ADF"/>
    <w:rsid w:val="0029625E"/>
    <w:rsid w:val="002971FC"/>
    <w:rsid w:val="002A02BE"/>
    <w:rsid w:val="002A0A24"/>
    <w:rsid w:val="002B44C9"/>
    <w:rsid w:val="002B4832"/>
    <w:rsid w:val="002B4AB3"/>
    <w:rsid w:val="002C1B13"/>
    <w:rsid w:val="002C7E0D"/>
    <w:rsid w:val="002D243B"/>
    <w:rsid w:val="002D68BA"/>
    <w:rsid w:val="002D6ED1"/>
    <w:rsid w:val="002D7712"/>
    <w:rsid w:val="002D7720"/>
    <w:rsid w:val="002F07F7"/>
    <w:rsid w:val="002F18B4"/>
    <w:rsid w:val="002F1EE7"/>
    <w:rsid w:val="002F2BAA"/>
    <w:rsid w:val="002F779C"/>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4A97"/>
    <w:rsid w:val="00367574"/>
    <w:rsid w:val="0037282C"/>
    <w:rsid w:val="00375658"/>
    <w:rsid w:val="00376984"/>
    <w:rsid w:val="00377D10"/>
    <w:rsid w:val="003905DB"/>
    <w:rsid w:val="0039147F"/>
    <w:rsid w:val="00395798"/>
    <w:rsid w:val="003A2813"/>
    <w:rsid w:val="003A7318"/>
    <w:rsid w:val="003B1F9C"/>
    <w:rsid w:val="003B55CF"/>
    <w:rsid w:val="003B618F"/>
    <w:rsid w:val="003C13CE"/>
    <w:rsid w:val="003C2822"/>
    <w:rsid w:val="003D1E5D"/>
    <w:rsid w:val="003D2A0B"/>
    <w:rsid w:val="003D492A"/>
    <w:rsid w:val="003D602D"/>
    <w:rsid w:val="003D6F56"/>
    <w:rsid w:val="003E19B6"/>
    <w:rsid w:val="003E6C3F"/>
    <w:rsid w:val="003F2553"/>
    <w:rsid w:val="003F3306"/>
    <w:rsid w:val="003F3E64"/>
    <w:rsid w:val="003F43DE"/>
    <w:rsid w:val="003F51F8"/>
    <w:rsid w:val="003F699C"/>
    <w:rsid w:val="004019F7"/>
    <w:rsid w:val="004033D2"/>
    <w:rsid w:val="004035C7"/>
    <w:rsid w:val="004041F4"/>
    <w:rsid w:val="00410BE0"/>
    <w:rsid w:val="00410C42"/>
    <w:rsid w:val="004123DB"/>
    <w:rsid w:val="0041357C"/>
    <w:rsid w:val="004165E3"/>
    <w:rsid w:val="00420460"/>
    <w:rsid w:val="004226BC"/>
    <w:rsid w:val="00422E52"/>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2AE5"/>
    <w:rsid w:val="00465F1C"/>
    <w:rsid w:val="00473B76"/>
    <w:rsid w:val="004764A8"/>
    <w:rsid w:val="0048054C"/>
    <w:rsid w:val="00481C8C"/>
    <w:rsid w:val="004832BA"/>
    <w:rsid w:val="0048371F"/>
    <w:rsid w:val="004850A2"/>
    <w:rsid w:val="00485D5D"/>
    <w:rsid w:val="00487615"/>
    <w:rsid w:val="00496E31"/>
    <w:rsid w:val="00497358"/>
    <w:rsid w:val="00497BC7"/>
    <w:rsid w:val="004A4EDA"/>
    <w:rsid w:val="004A5847"/>
    <w:rsid w:val="004B288A"/>
    <w:rsid w:val="004B4327"/>
    <w:rsid w:val="004C16CF"/>
    <w:rsid w:val="004C7110"/>
    <w:rsid w:val="004C7ECF"/>
    <w:rsid w:val="004D04A9"/>
    <w:rsid w:val="004D07BE"/>
    <w:rsid w:val="004D0F93"/>
    <w:rsid w:val="004D533E"/>
    <w:rsid w:val="004D588C"/>
    <w:rsid w:val="004D72A3"/>
    <w:rsid w:val="004D7FDD"/>
    <w:rsid w:val="004E4696"/>
    <w:rsid w:val="004E56A0"/>
    <w:rsid w:val="004E6060"/>
    <w:rsid w:val="004F0EE3"/>
    <w:rsid w:val="004F227F"/>
    <w:rsid w:val="004F3B9F"/>
    <w:rsid w:val="004F4075"/>
    <w:rsid w:val="004F5448"/>
    <w:rsid w:val="0050083B"/>
    <w:rsid w:val="0050205B"/>
    <w:rsid w:val="005028B7"/>
    <w:rsid w:val="00510FB9"/>
    <w:rsid w:val="005127BF"/>
    <w:rsid w:val="005155CB"/>
    <w:rsid w:val="00516E7D"/>
    <w:rsid w:val="005171AF"/>
    <w:rsid w:val="0052054E"/>
    <w:rsid w:val="00522252"/>
    <w:rsid w:val="00523A2C"/>
    <w:rsid w:val="00525326"/>
    <w:rsid w:val="00533418"/>
    <w:rsid w:val="005334F4"/>
    <w:rsid w:val="005345AF"/>
    <w:rsid w:val="00535DE3"/>
    <w:rsid w:val="0053600A"/>
    <w:rsid w:val="00536959"/>
    <w:rsid w:val="00537EE1"/>
    <w:rsid w:val="00541DE4"/>
    <w:rsid w:val="00541E41"/>
    <w:rsid w:val="005455B5"/>
    <w:rsid w:val="00553F54"/>
    <w:rsid w:val="00557F8F"/>
    <w:rsid w:val="00564A0B"/>
    <w:rsid w:val="0056677D"/>
    <w:rsid w:val="005705AA"/>
    <w:rsid w:val="0057099F"/>
    <w:rsid w:val="005711BE"/>
    <w:rsid w:val="00571386"/>
    <w:rsid w:val="00572BE9"/>
    <w:rsid w:val="00572E04"/>
    <w:rsid w:val="0058489B"/>
    <w:rsid w:val="00590380"/>
    <w:rsid w:val="00592362"/>
    <w:rsid w:val="005926F7"/>
    <w:rsid w:val="005928D0"/>
    <w:rsid w:val="005934CD"/>
    <w:rsid w:val="00594BB4"/>
    <w:rsid w:val="005A0F9A"/>
    <w:rsid w:val="005A7736"/>
    <w:rsid w:val="005B18A9"/>
    <w:rsid w:val="005B3648"/>
    <w:rsid w:val="005B4354"/>
    <w:rsid w:val="005B4FD5"/>
    <w:rsid w:val="005C16F5"/>
    <w:rsid w:val="005C55A6"/>
    <w:rsid w:val="005C7C10"/>
    <w:rsid w:val="005D483F"/>
    <w:rsid w:val="005D50F5"/>
    <w:rsid w:val="005D520C"/>
    <w:rsid w:val="005D53A6"/>
    <w:rsid w:val="005E0892"/>
    <w:rsid w:val="005E472D"/>
    <w:rsid w:val="005E72C2"/>
    <w:rsid w:val="005F1255"/>
    <w:rsid w:val="005F1A2D"/>
    <w:rsid w:val="005F22B0"/>
    <w:rsid w:val="005F27F8"/>
    <w:rsid w:val="005F4267"/>
    <w:rsid w:val="005F741C"/>
    <w:rsid w:val="006054DE"/>
    <w:rsid w:val="00606053"/>
    <w:rsid w:val="0061002C"/>
    <w:rsid w:val="006173DE"/>
    <w:rsid w:val="0062159B"/>
    <w:rsid w:val="00622F5A"/>
    <w:rsid w:val="00623045"/>
    <w:rsid w:val="00623577"/>
    <w:rsid w:val="0062528E"/>
    <w:rsid w:val="006361BB"/>
    <w:rsid w:val="00636700"/>
    <w:rsid w:val="00640BDC"/>
    <w:rsid w:val="00643A2C"/>
    <w:rsid w:val="00644AD8"/>
    <w:rsid w:val="006508D0"/>
    <w:rsid w:val="006518C5"/>
    <w:rsid w:val="00652AF5"/>
    <w:rsid w:val="00653758"/>
    <w:rsid w:val="00653A9F"/>
    <w:rsid w:val="0065552E"/>
    <w:rsid w:val="0065699F"/>
    <w:rsid w:val="00656B6D"/>
    <w:rsid w:val="0066178A"/>
    <w:rsid w:val="00662854"/>
    <w:rsid w:val="00666366"/>
    <w:rsid w:val="00671FC2"/>
    <w:rsid w:val="00677E92"/>
    <w:rsid w:val="00682580"/>
    <w:rsid w:val="006839D6"/>
    <w:rsid w:val="00690660"/>
    <w:rsid w:val="0069179E"/>
    <w:rsid w:val="00693D52"/>
    <w:rsid w:val="00695884"/>
    <w:rsid w:val="0069655C"/>
    <w:rsid w:val="006973EE"/>
    <w:rsid w:val="006A1DE0"/>
    <w:rsid w:val="006A579B"/>
    <w:rsid w:val="006A5C67"/>
    <w:rsid w:val="006A7CC3"/>
    <w:rsid w:val="006B110D"/>
    <w:rsid w:val="006B30B2"/>
    <w:rsid w:val="006B616A"/>
    <w:rsid w:val="006C4125"/>
    <w:rsid w:val="006C4C74"/>
    <w:rsid w:val="006D1C75"/>
    <w:rsid w:val="006D6DD1"/>
    <w:rsid w:val="006E2B63"/>
    <w:rsid w:val="006E302B"/>
    <w:rsid w:val="006E4F7A"/>
    <w:rsid w:val="006E522F"/>
    <w:rsid w:val="006E6FFB"/>
    <w:rsid w:val="006F1E43"/>
    <w:rsid w:val="006F37CC"/>
    <w:rsid w:val="006F455D"/>
    <w:rsid w:val="006F5E11"/>
    <w:rsid w:val="006F6F3C"/>
    <w:rsid w:val="00700E36"/>
    <w:rsid w:val="00703482"/>
    <w:rsid w:val="00704B03"/>
    <w:rsid w:val="007053B8"/>
    <w:rsid w:val="0070663F"/>
    <w:rsid w:val="007156B5"/>
    <w:rsid w:val="007207DA"/>
    <w:rsid w:val="0072446D"/>
    <w:rsid w:val="007329D0"/>
    <w:rsid w:val="00734D39"/>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3AF0"/>
    <w:rsid w:val="00784015"/>
    <w:rsid w:val="00786639"/>
    <w:rsid w:val="00787EEB"/>
    <w:rsid w:val="00790DC5"/>
    <w:rsid w:val="00791340"/>
    <w:rsid w:val="00792ADB"/>
    <w:rsid w:val="00793B10"/>
    <w:rsid w:val="00793CC1"/>
    <w:rsid w:val="0079622F"/>
    <w:rsid w:val="007A1606"/>
    <w:rsid w:val="007A35B6"/>
    <w:rsid w:val="007A66FC"/>
    <w:rsid w:val="007B112D"/>
    <w:rsid w:val="007B16C8"/>
    <w:rsid w:val="007B1DB6"/>
    <w:rsid w:val="007B2AF0"/>
    <w:rsid w:val="007B3A12"/>
    <w:rsid w:val="007B5023"/>
    <w:rsid w:val="007B5275"/>
    <w:rsid w:val="007B65DD"/>
    <w:rsid w:val="007C3B1E"/>
    <w:rsid w:val="007C436B"/>
    <w:rsid w:val="007C573D"/>
    <w:rsid w:val="007C5D86"/>
    <w:rsid w:val="007C6467"/>
    <w:rsid w:val="007C70BC"/>
    <w:rsid w:val="007D14FF"/>
    <w:rsid w:val="007D36E1"/>
    <w:rsid w:val="007D6828"/>
    <w:rsid w:val="007D7409"/>
    <w:rsid w:val="007E050F"/>
    <w:rsid w:val="007E1E10"/>
    <w:rsid w:val="007E4D43"/>
    <w:rsid w:val="007E4F90"/>
    <w:rsid w:val="007E5AE3"/>
    <w:rsid w:val="007E5FDD"/>
    <w:rsid w:val="007F03D7"/>
    <w:rsid w:val="007F1389"/>
    <w:rsid w:val="007F1549"/>
    <w:rsid w:val="007F2DFA"/>
    <w:rsid w:val="007F34E5"/>
    <w:rsid w:val="007F4B1D"/>
    <w:rsid w:val="007F50A8"/>
    <w:rsid w:val="007F6AB0"/>
    <w:rsid w:val="007F755E"/>
    <w:rsid w:val="00800796"/>
    <w:rsid w:val="00800D74"/>
    <w:rsid w:val="008018CC"/>
    <w:rsid w:val="0080396B"/>
    <w:rsid w:val="00804187"/>
    <w:rsid w:val="0081046E"/>
    <w:rsid w:val="00814947"/>
    <w:rsid w:val="00814BD1"/>
    <w:rsid w:val="00816A2D"/>
    <w:rsid w:val="00821E66"/>
    <w:rsid w:val="00822FD9"/>
    <w:rsid w:val="008246C0"/>
    <w:rsid w:val="00830635"/>
    <w:rsid w:val="00841A50"/>
    <w:rsid w:val="0084772D"/>
    <w:rsid w:val="00854469"/>
    <w:rsid w:val="0086411D"/>
    <w:rsid w:val="00873812"/>
    <w:rsid w:val="0088040D"/>
    <w:rsid w:val="00881817"/>
    <w:rsid w:val="008819A9"/>
    <w:rsid w:val="008826E5"/>
    <w:rsid w:val="00882933"/>
    <w:rsid w:val="008857CB"/>
    <w:rsid w:val="00885EE4"/>
    <w:rsid w:val="0089166C"/>
    <w:rsid w:val="00891EE5"/>
    <w:rsid w:val="00892983"/>
    <w:rsid w:val="0089371A"/>
    <w:rsid w:val="00897768"/>
    <w:rsid w:val="008A08A2"/>
    <w:rsid w:val="008A15BB"/>
    <w:rsid w:val="008A7373"/>
    <w:rsid w:val="008B2177"/>
    <w:rsid w:val="008B2FFB"/>
    <w:rsid w:val="008B4FC2"/>
    <w:rsid w:val="008C18C2"/>
    <w:rsid w:val="008C1950"/>
    <w:rsid w:val="008C4C14"/>
    <w:rsid w:val="008C6A11"/>
    <w:rsid w:val="008D0E7A"/>
    <w:rsid w:val="008D18BC"/>
    <w:rsid w:val="008D24AE"/>
    <w:rsid w:val="008D3ABD"/>
    <w:rsid w:val="008D5A12"/>
    <w:rsid w:val="008E2800"/>
    <w:rsid w:val="008E3353"/>
    <w:rsid w:val="008E3C4F"/>
    <w:rsid w:val="008E6485"/>
    <w:rsid w:val="008F0156"/>
    <w:rsid w:val="008F1B4E"/>
    <w:rsid w:val="008F586D"/>
    <w:rsid w:val="008F7901"/>
    <w:rsid w:val="00900942"/>
    <w:rsid w:val="00902675"/>
    <w:rsid w:val="00903114"/>
    <w:rsid w:val="00906464"/>
    <w:rsid w:val="00906668"/>
    <w:rsid w:val="00906D72"/>
    <w:rsid w:val="009154FE"/>
    <w:rsid w:val="0092229A"/>
    <w:rsid w:val="00924849"/>
    <w:rsid w:val="00930666"/>
    <w:rsid w:val="00931222"/>
    <w:rsid w:val="0093508D"/>
    <w:rsid w:val="009369D2"/>
    <w:rsid w:val="00936FBB"/>
    <w:rsid w:val="00937028"/>
    <w:rsid w:val="009413E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7105"/>
    <w:rsid w:val="009837D1"/>
    <w:rsid w:val="009868D8"/>
    <w:rsid w:val="0099337D"/>
    <w:rsid w:val="00993538"/>
    <w:rsid w:val="00994F45"/>
    <w:rsid w:val="009953B3"/>
    <w:rsid w:val="009962ED"/>
    <w:rsid w:val="009968B3"/>
    <w:rsid w:val="009A377A"/>
    <w:rsid w:val="009A4340"/>
    <w:rsid w:val="009A74B2"/>
    <w:rsid w:val="009B23A9"/>
    <w:rsid w:val="009B53F9"/>
    <w:rsid w:val="009C53EF"/>
    <w:rsid w:val="009C570D"/>
    <w:rsid w:val="009D2A31"/>
    <w:rsid w:val="009E014F"/>
    <w:rsid w:val="009F006D"/>
    <w:rsid w:val="009F11A4"/>
    <w:rsid w:val="009F160C"/>
    <w:rsid w:val="009F26AF"/>
    <w:rsid w:val="009F3802"/>
    <w:rsid w:val="009F3C67"/>
    <w:rsid w:val="009F54CA"/>
    <w:rsid w:val="009F6350"/>
    <w:rsid w:val="00A00765"/>
    <w:rsid w:val="00A03B51"/>
    <w:rsid w:val="00A07323"/>
    <w:rsid w:val="00A07672"/>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3B43"/>
    <w:rsid w:val="00A44CD5"/>
    <w:rsid w:val="00A5014D"/>
    <w:rsid w:val="00A504CE"/>
    <w:rsid w:val="00A5211E"/>
    <w:rsid w:val="00A52E1C"/>
    <w:rsid w:val="00A54685"/>
    <w:rsid w:val="00A55601"/>
    <w:rsid w:val="00A55A78"/>
    <w:rsid w:val="00A61AF7"/>
    <w:rsid w:val="00A626DF"/>
    <w:rsid w:val="00A6378C"/>
    <w:rsid w:val="00A705D9"/>
    <w:rsid w:val="00A726C2"/>
    <w:rsid w:val="00A75719"/>
    <w:rsid w:val="00A7707F"/>
    <w:rsid w:val="00A808EB"/>
    <w:rsid w:val="00A82891"/>
    <w:rsid w:val="00A8481E"/>
    <w:rsid w:val="00A854AD"/>
    <w:rsid w:val="00A918F9"/>
    <w:rsid w:val="00A91E21"/>
    <w:rsid w:val="00A92EF0"/>
    <w:rsid w:val="00AA11AD"/>
    <w:rsid w:val="00AA120E"/>
    <w:rsid w:val="00AA127C"/>
    <w:rsid w:val="00AA5107"/>
    <w:rsid w:val="00AA706F"/>
    <w:rsid w:val="00AB2325"/>
    <w:rsid w:val="00AB6F71"/>
    <w:rsid w:val="00AC3A3B"/>
    <w:rsid w:val="00AD1B0C"/>
    <w:rsid w:val="00AD4292"/>
    <w:rsid w:val="00AD5AFD"/>
    <w:rsid w:val="00AE708D"/>
    <w:rsid w:val="00AF590A"/>
    <w:rsid w:val="00B0286F"/>
    <w:rsid w:val="00B04A5E"/>
    <w:rsid w:val="00B0631B"/>
    <w:rsid w:val="00B07423"/>
    <w:rsid w:val="00B13F9F"/>
    <w:rsid w:val="00B14E53"/>
    <w:rsid w:val="00B159D2"/>
    <w:rsid w:val="00B16393"/>
    <w:rsid w:val="00B20235"/>
    <w:rsid w:val="00B2344F"/>
    <w:rsid w:val="00B23C5F"/>
    <w:rsid w:val="00B2603D"/>
    <w:rsid w:val="00B26435"/>
    <w:rsid w:val="00B26C50"/>
    <w:rsid w:val="00B32CFF"/>
    <w:rsid w:val="00B32F3D"/>
    <w:rsid w:val="00B42702"/>
    <w:rsid w:val="00B42FCB"/>
    <w:rsid w:val="00B44950"/>
    <w:rsid w:val="00B4529F"/>
    <w:rsid w:val="00B45315"/>
    <w:rsid w:val="00B51638"/>
    <w:rsid w:val="00B520D6"/>
    <w:rsid w:val="00B5230B"/>
    <w:rsid w:val="00B52F6C"/>
    <w:rsid w:val="00B54B25"/>
    <w:rsid w:val="00B56801"/>
    <w:rsid w:val="00B56886"/>
    <w:rsid w:val="00B61054"/>
    <w:rsid w:val="00B62016"/>
    <w:rsid w:val="00B6344D"/>
    <w:rsid w:val="00B645F5"/>
    <w:rsid w:val="00B67116"/>
    <w:rsid w:val="00B67C39"/>
    <w:rsid w:val="00B71A33"/>
    <w:rsid w:val="00B76C9A"/>
    <w:rsid w:val="00B778D4"/>
    <w:rsid w:val="00B80E82"/>
    <w:rsid w:val="00B82448"/>
    <w:rsid w:val="00B82DA5"/>
    <w:rsid w:val="00B935CC"/>
    <w:rsid w:val="00B93B12"/>
    <w:rsid w:val="00B97B64"/>
    <w:rsid w:val="00BA2952"/>
    <w:rsid w:val="00BA3423"/>
    <w:rsid w:val="00BA3669"/>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42FB"/>
    <w:rsid w:val="00BE50CB"/>
    <w:rsid w:val="00BE5171"/>
    <w:rsid w:val="00BE5A1B"/>
    <w:rsid w:val="00BE5EE1"/>
    <w:rsid w:val="00BE6A6C"/>
    <w:rsid w:val="00BF2293"/>
    <w:rsid w:val="00C025B8"/>
    <w:rsid w:val="00C02901"/>
    <w:rsid w:val="00C051A0"/>
    <w:rsid w:val="00C0623F"/>
    <w:rsid w:val="00C06430"/>
    <w:rsid w:val="00C11BA4"/>
    <w:rsid w:val="00C14E8D"/>
    <w:rsid w:val="00C2005D"/>
    <w:rsid w:val="00C20DE6"/>
    <w:rsid w:val="00C2564D"/>
    <w:rsid w:val="00C31801"/>
    <w:rsid w:val="00C32577"/>
    <w:rsid w:val="00C4624D"/>
    <w:rsid w:val="00C500B3"/>
    <w:rsid w:val="00C5098D"/>
    <w:rsid w:val="00C50D23"/>
    <w:rsid w:val="00C50F7C"/>
    <w:rsid w:val="00C51C68"/>
    <w:rsid w:val="00C5243A"/>
    <w:rsid w:val="00C553DF"/>
    <w:rsid w:val="00C71E1B"/>
    <w:rsid w:val="00C730AC"/>
    <w:rsid w:val="00C76E5E"/>
    <w:rsid w:val="00C82114"/>
    <w:rsid w:val="00C86438"/>
    <w:rsid w:val="00C86C0D"/>
    <w:rsid w:val="00C87005"/>
    <w:rsid w:val="00C8754B"/>
    <w:rsid w:val="00C908BC"/>
    <w:rsid w:val="00C91B38"/>
    <w:rsid w:val="00C91B6A"/>
    <w:rsid w:val="00C9381B"/>
    <w:rsid w:val="00C973FC"/>
    <w:rsid w:val="00CA3C06"/>
    <w:rsid w:val="00CA6FB6"/>
    <w:rsid w:val="00CA7386"/>
    <w:rsid w:val="00CB0296"/>
    <w:rsid w:val="00CB2D1D"/>
    <w:rsid w:val="00CB3CA1"/>
    <w:rsid w:val="00CB401B"/>
    <w:rsid w:val="00CB5E62"/>
    <w:rsid w:val="00CB5F02"/>
    <w:rsid w:val="00CC3DC5"/>
    <w:rsid w:val="00CD386D"/>
    <w:rsid w:val="00CE0751"/>
    <w:rsid w:val="00CE0C9A"/>
    <w:rsid w:val="00CE264D"/>
    <w:rsid w:val="00CE692C"/>
    <w:rsid w:val="00CE7AE2"/>
    <w:rsid w:val="00CF5AF0"/>
    <w:rsid w:val="00CF5ED7"/>
    <w:rsid w:val="00CF781C"/>
    <w:rsid w:val="00CF78B9"/>
    <w:rsid w:val="00D015AC"/>
    <w:rsid w:val="00D025C8"/>
    <w:rsid w:val="00D039E3"/>
    <w:rsid w:val="00D03F5F"/>
    <w:rsid w:val="00D05683"/>
    <w:rsid w:val="00D13684"/>
    <w:rsid w:val="00D13A58"/>
    <w:rsid w:val="00D16843"/>
    <w:rsid w:val="00D17D4D"/>
    <w:rsid w:val="00D22E40"/>
    <w:rsid w:val="00D26D33"/>
    <w:rsid w:val="00D2768C"/>
    <w:rsid w:val="00D27808"/>
    <w:rsid w:val="00D3222E"/>
    <w:rsid w:val="00D3239E"/>
    <w:rsid w:val="00D330CF"/>
    <w:rsid w:val="00D335B0"/>
    <w:rsid w:val="00D33922"/>
    <w:rsid w:val="00D346FB"/>
    <w:rsid w:val="00D34A99"/>
    <w:rsid w:val="00D35B55"/>
    <w:rsid w:val="00D41C2F"/>
    <w:rsid w:val="00D43152"/>
    <w:rsid w:val="00D455DA"/>
    <w:rsid w:val="00D52D9C"/>
    <w:rsid w:val="00D55161"/>
    <w:rsid w:val="00D62F5B"/>
    <w:rsid w:val="00D6531E"/>
    <w:rsid w:val="00D66E90"/>
    <w:rsid w:val="00D6709B"/>
    <w:rsid w:val="00D727AF"/>
    <w:rsid w:val="00D76A6D"/>
    <w:rsid w:val="00D80B36"/>
    <w:rsid w:val="00D83DA1"/>
    <w:rsid w:val="00D854D2"/>
    <w:rsid w:val="00D90935"/>
    <w:rsid w:val="00D90D1C"/>
    <w:rsid w:val="00D946FA"/>
    <w:rsid w:val="00DA1D50"/>
    <w:rsid w:val="00DB2AA9"/>
    <w:rsid w:val="00DB5538"/>
    <w:rsid w:val="00DC03D0"/>
    <w:rsid w:val="00DC0921"/>
    <w:rsid w:val="00DC19C1"/>
    <w:rsid w:val="00DC3B6D"/>
    <w:rsid w:val="00DC77AE"/>
    <w:rsid w:val="00DD1A90"/>
    <w:rsid w:val="00DD243B"/>
    <w:rsid w:val="00DD5954"/>
    <w:rsid w:val="00DD7918"/>
    <w:rsid w:val="00DE0168"/>
    <w:rsid w:val="00DE23E5"/>
    <w:rsid w:val="00DE294B"/>
    <w:rsid w:val="00DE371A"/>
    <w:rsid w:val="00DE41E7"/>
    <w:rsid w:val="00DE54E2"/>
    <w:rsid w:val="00DE709C"/>
    <w:rsid w:val="00DF1B53"/>
    <w:rsid w:val="00DF1D3E"/>
    <w:rsid w:val="00DF3B3B"/>
    <w:rsid w:val="00DF4C64"/>
    <w:rsid w:val="00DF61F7"/>
    <w:rsid w:val="00DF6578"/>
    <w:rsid w:val="00DF6986"/>
    <w:rsid w:val="00DF7694"/>
    <w:rsid w:val="00DF787F"/>
    <w:rsid w:val="00E00823"/>
    <w:rsid w:val="00E0084A"/>
    <w:rsid w:val="00E10939"/>
    <w:rsid w:val="00E10B48"/>
    <w:rsid w:val="00E10F35"/>
    <w:rsid w:val="00E119AB"/>
    <w:rsid w:val="00E12D33"/>
    <w:rsid w:val="00E12DC7"/>
    <w:rsid w:val="00E149B5"/>
    <w:rsid w:val="00E15C6E"/>
    <w:rsid w:val="00E20887"/>
    <w:rsid w:val="00E24809"/>
    <w:rsid w:val="00E257C8"/>
    <w:rsid w:val="00E34094"/>
    <w:rsid w:val="00E37BEC"/>
    <w:rsid w:val="00E447A6"/>
    <w:rsid w:val="00E44F44"/>
    <w:rsid w:val="00E477A5"/>
    <w:rsid w:val="00E52027"/>
    <w:rsid w:val="00E52913"/>
    <w:rsid w:val="00E56837"/>
    <w:rsid w:val="00E56DC1"/>
    <w:rsid w:val="00E60703"/>
    <w:rsid w:val="00E76893"/>
    <w:rsid w:val="00E7709B"/>
    <w:rsid w:val="00E810E2"/>
    <w:rsid w:val="00E8364C"/>
    <w:rsid w:val="00E87237"/>
    <w:rsid w:val="00E874C7"/>
    <w:rsid w:val="00E94B93"/>
    <w:rsid w:val="00EA0661"/>
    <w:rsid w:val="00EA221E"/>
    <w:rsid w:val="00EA41FC"/>
    <w:rsid w:val="00EA7EA2"/>
    <w:rsid w:val="00EB45F6"/>
    <w:rsid w:val="00EB6C23"/>
    <w:rsid w:val="00EC0CF6"/>
    <w:rsid w:val="00EC1DCD"/>
    <w:rsid w:val="00EC58C7"/>
    <w:rsid w:val="00EC58EB"/>
    <w:rsid w:val="00ED0087"/>
    <w:rsid w:val="00ED2781"/>
    <w:rsid w:val="00ED3475"/>
    <w:rsid w:val="00EE1DD8"/>
    <w:rsid w:val="00EE3B84"/>
    <w:rsid w:val="00EE4D49"/>
    <w:rsid w:val="00EE5B75"/>
    <w:rsid w:val="00EE5D4B"/>
    <w:rsid w:val="00EE65BC"/>
    <w:rsid w:val="00EE7D35"/>
    <w:rsid w:val="00EF0D42"/>
    <w:rsid w:val="00EF1F89"/>
    <w:rsid w:val="00EF3D6D"/>
    <w:rsid w:val="00EF5680"/>
    <w:rsid w:val="00EF702D"/>
    <w:rsid w:val="00EF7DC4"/>
    <w:rsid w:val="00EF7E38"/>
    <w:rsid w:val="00F00276"/>
    <w:rsid w:val="00F009FD"/>
    <w:rsid w:val="00F00B1C"/>
    <w:rsid w:val="00F02DE5"/>
    <w:rsid w:val="00F05A11"/>
    <w:rsid w:val="00F11629"/>
    <w:rsid w:val="00F11632"/>
    <w:rsid w:val="00F13D70"/>
    <w:rsid w:val="00F21119"/>
    <w:rsid w:val="00F238A8"/>
    <w:rsid w:val="00F25B8E"/>
    <w:rsid w:val="00F25BDF"/>
    <w:rsid w:val="00F305F6"/>
    <w:rsid w:val="00F30C03"/>
    <w:rsid w:val="00F347CD"/>
    <w:rsid w:val="00F41ECE"/>
    <w:rsid w:val="00F41FA0"/>
    <w:rsid w:val="00F42C0E"/>
    <w:rsid w:val="00F43227"/>
    <w:rsid w:val="00F454A2"/>
    <w:rsid w:val="00F462C5"/>
    <w:rsid w:val="00F46BB9"/>
    <w:rsid w:val="00F4765F"/>
    <w:rsid w:val="00F51528"/>
    <w:rsid w:val="00F5379F"/>
    <w:rsid w:val="00F574FB"/>
    <w:rsid w:val="00F61292"/>
    <w:rsid w:val="00F627C9"/>
    <w:rsid w:val="00F64885"/>
    <w:rsid w:val="00F65A63"/>
    <w:rsid w:val="00F66284"/>
    <w:rsid w:val="00F6661B"/>
    <w:rsid w:val="00F679DD"/>
    <w:rsid w:val="00F70338"/>
    <w:rsid w:val="00F70679"/>
    <w:rsid w:val="00F74A55"/>
    <w:rsid w:val="00F758B5"/>
    <w:rsid w:val="00F75ED6"/>
    <w:rsid w:val="00F774D5"/>
    <w:rsid w:val="00F77BB8"/>
    <w:rsid w:val="00F8139A"/>
    <w:rsid w:val="00F8188D"/>
    <w:rsid w:val="00F8514A"/>
    <w:rsid w:val="00F8557B"/>
    <w:rsid w:val="00F86181"/>
    <w:rsid w:val="00F863AD"/>
    <w:rsid w:val="00F873D5"/>
    <w:rsid w:val="00F916C7"/>
    <w:rsid w:val="00F932CC"/>
    <w:rsid w:val="00F93539"/>
    <w:rsid w:val="00F96968"/>
    <w:rsid w:val="00FA0928"/>
    <w:rsid w:val="00FA0BE3"/>
    <w:rsid w:val="00FA1C9C"/>
    <w:rsid w:val="00FA41CA"/>
    <w:rsid w:val="00FA77CE"/>
    <w:rsid w:val="00FB097F"/>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F0EE3"/>
  </w:style>
  <w:style w:type="character" w:styleId="Collegamentoipertestuale">
    <w:name w:val="Hyperlink"/>
    <w:basedOn w:val="Caratterepredefinitoparagrafo"/>
    <w:uiPriority w:val="99"/>
    <w:unhideWhenUsed/>
    <w:rsid w:val="00364A97"/>
    <w:rPr>
      <w:color w:val="0563C1" w:themeColor="hyperlink"/>
      <w:u w:val="single"/>
    </w:rPr>
  </w:style>
  <w:style w:type="character" w:styleId="Collegamentovisitato">
    <w:name w:val="FollowedHyperlink"/>
    <w:basedOn w:val="Caratterepredefinitoparagrafo"/>
    <w:uiPriority w:val="99"/>
    <w:semiHidden/>
    <w:unhideWhenUsed/>
    <w:rsid w:val="00364A97"/>
    <w:rPr>
      <w:color w:val="954F72" w:themeColor="followedHyperlink"/>
      <w:u w:val="single"/>
    </w:rPr>
  </w:style>
  <w:style w:type="character" w:styleId="Numeropagina">
    <w:name w:val="page number"/>
    <w:basedOn w:val="Caratterepredefinitoparagrafo"/>
    <w:uiPriority w:val="99"/>
    <w:semiHidden/>
    <w:unhideWhenUsed/>
    <w:rsid w:val="0069179E"/>
  </w:style>
  <w:style w:type="character" w:styleId="Enfasigrassetto">
    <w:name w:val="Strong"/>
    <w:basedOn w:val="Carattere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attere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attere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atterepredefinitoparagrafo"/>
    <w:rsid w:val="005934CD"/>
  </w:style>
  <w:style w:type="character" w:customStyle="1" w:styleId="numeropagina0">
    <w:name w:val="numeropagina"/>
    <w:basedOn w:val="Caratterepredefinitoparagrafo"/>
    <w:rsid w:val="00F64885"/>
  </w:style>
  <w:style w:type="character" w:styleId="AcronimoHTML">
    <w:name w:val="HTML Acronym"/>
    <w:basedOn w:val="Caratterepredefinitoparagrafo"/>
    <w:uiPriority w:val="99"/>
    <w:semiHidden/>
    <w:unhideWhenUsed/>
    <w:rsid w:val="00EE5B75"/>
  </w:style>
  <w:style w:type="paragraph" w:styleId="Testonotaapidipagina">
    <w:name w:val="footnote text"/>
    <w:basedOn w:val="Normale"/>
    <w:link w:val="TestonotaapidipaginaCarattere"/>
    <w:uiPriority w:val="99"/>
    <w:unhideWhenUsed/>
    <w:rsid w:val="00CE0751"/>
    <w:pPr>
      <w:spacing w:after="0" w:line="240" w:lineRule="auto"/>
    </w:pPr>
  </w:style>
  <w:style w:type="character" w:customStyle="1" w:styleId="TestonotaapidipaginaCarattere">
    <w:name w:val="Testo nota a piè di pagina Carattere"/>
    <w:basedOn w:val="Caratterepredefinitoparagrafo"/>
    <w:link w:val="Testonotaapidipagina"/>
    <w:uiPriority w:val="99"/>
    <w:rsid w:val="00CE0751"/>
    <w:rPr>
      <w:rFonts w:ascii="Calibri" w:hAnsi="Calibri"/>
    </w:rPr>
  </w:style>
  <w:style w:type="character" w:styleId="Rimandonotaapidipagina">
    <w:name w:val="footnote reference"/>
    <w:basedOn w:val="Carattere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atterepredefinitoparagrafo"/>
    <w:link w:val="Titolo1"/>
    <w:uiPriority w:val="9"/>
    <w:rsid w:val="00EE4D49"/>
    <w:rPr>
      <w:rFonts w:ascii="Calibri" w:hAnsi="Calibri"/>
      <w:b/>
      <w:sz w:val="48"/>
      <w:szCs w:val="48"/>
    </w:rPr>
  </w:style>
  <w:style w:type="character" w:customStyle="1" w:styleId="Titolo2Carattere">
    <w:name w:val="Titolo 2 Carattere"/>
    <w:basedOn w:val="Caratterepredefinitoparagrafo"/>
    <w:link w:val="Titolo2"/>
    <w:uiPriority w:val="9"/>
    <w:rsid w:val="00EE4D49"/>
    <w:rPr>
      <w:rFonts w:ascii="Calibri" w:hAnsi="Calibri"/>
      <w:b/>
      <w:sz w:val="36"/>
      <w:szCs w:val="36"/>
    </w:rPr>
  </w:style>
  <w:style w:type="character" w:customStyle="1" w:styleId="Titolo3Carattere">
    <w:name w:val="Titolo 3 Carattere"/>
    <w:basedOn w:val="Caratterepredefinitoparagrafo"/>
    <w:link w:val="Titolo3"/>
    <w:uiPriority w:val="9"/>
    <w:rsid w:val="00EE4D49"/>
    <w:rPr>
      <w:rFonts w:ascii="Calibri" w:hAnsi="Calibri"/>
      <w:b/>
      <w:sz w:val="28"/>
      <w:szCs w:val="28"/>
    </w:rPr>
  </w:style>
  <w:style w:type="character" w:customStyle="1" w:styleId="Titolo4Carattere">
    <w:name w:val="Titolo 4 Carattere"/>
    <w:basedOn w:val="Caratterepredefinitoparagrafo"/>
    <w:link w:val="Titolo4"/>
    <w:uiPriority w:val="9"/>
    <w:rsid w:val="00EE4D49"/>
    <w:rPr>
      <w:rFonts w:ascii="Calibri" w:hAnsi="Calibri"/>
      <w:b/>
      <w:sz w:val="24"/>
      <w:szCs w:val="24"/>
    </w:rPr>
  </w:style>
  <w:style w:type="character" w:customStyle="1" w:styleId="Titolo5Carattere">
    <w:name w:val="Titolo 5 Carattere"/>
    <w:basedOn w:val="Caratterepredefinitoparagrafo"/>
    <w:link w:val="Titolo5"/>
    <w:uiPriority w:val="9"/>
    <w:rsid w:val="00EE4D49"/>
    <w:rPr>
      <w:rFonts w:ascii="Calibri" w:hAnsi="Calibri"/>
      <w:b/>
      <w:sz w:val="22"/>
      <w:szCs w:val="22"/>
    </w:rPr>
  </w:style>
  <w:style w:type="character" w:customStyle="1" w:styleId="Titolo6Carattere">
    <w:name w:val="Titolo 6 Carattere"/>
    <w:basedOn w:val="Caratterepredefinitoparagrafo"/>
    <w:link w:val="Titolo6"/>
    <w:uiPriority w:val="9"/>
    <w:rsid w:val="00EE4D49"/>
    <w:rPr>
      <w:rFonts w:ascii="Calibri" w:hAnsi="Calibri"/>
      <w:b/>
    </w:rPr>
  </w:style>
  <w:style w:type="character" w:customStyle="1" w:styleId="Titolo7Carattere">
    <w:name w:val="Titolo 7 Carattere"/>
    <w:basedOn w:val="Carattere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attere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attere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atterepredefinitoparagrafo"/>
    <w:link w:val="Titolo"/>
    <w:uiPriority w:val="10"/>
    <w:rsid w:val="00EE4D49"/>
    <w:rPr>
      <w:rFonts w:ascii="Calibri" w:hAnsi="Calibri"/>
      <w:b/>
      <w:sz w:val="72"/>
      <w:szCs w:val="72"/>
    </w:rPr>
  </w:style>
  <w:style w:type="character" w:customStyle="1" w:styleId="SottotitoloCarattere">
    <w:name w:val="Sottotitolo Carattere"/>
    <w:basedOn w:val="Carattere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attere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attere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attere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attere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attere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attere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attere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atterepredefinitoparagrafo"/>
    <w:uiPriority w:val="30"/>
    <w:rsid w:val="00EE4D49"/>
    <w:rPr>
      <w:rFonts w:ascii="Calibri" w:hAnsi="Calibri"/>
      <w:i/>
      <w:iCs/>
      <w:color w:val="5B9BD5" w:themeColor="accent1"/>
    </w:rPr>
  </w:style>
  <w:style w:type="character" w:styleId="Enfasidelicata">
    <w:name w:val="Subtle Emphasis"/>
    <w:basedOn w:val="Caratterepredefinitoparagrafo"/>
    <w:uiPriority w:val="19"/>
    <w:qFormat/>
    <w:rsid w:val="00EE4D49"/>
    <w:rPr>
      <w:i/>
      <w:iCs/>
      <w:color w:val="404040" w:themeColor="text1" w:themeTint="BF"/>
    </w:rPr>
  </w:style>
  <w:style w:type="character" w:styleId="Enfasiintensa">
    <w:name w:val="Intense Emphasis"/>
    <w:basedOn w:val="Caratterepredefinitoparagrafo"/>
    <w:uiPriority w:val="21"/>
    <w:qFormat/>
    <w:rsid w:val="00EE4D49"/>
    <w:rPr>
      <w:i/>
      <w:iCs/>
      <w:color w:val="5B9BD5" w:themeColor="accent1"/>
    </w:rPr>
  </w:style>
  <w:style w:type="character" w:styleId="Riferimentodelicato">
    <w:name w:val="Subtle Reference"/>
    <w:basedOn w:val="Caratterepredefinitoparagrafo"/>
    <w:uiPriority w:val="31"/>
    <w:qFormat/>
    <w:rsid w:val="00EE4D49"/>
    <w:rPr>
      <w:smallCaps/>
      <w:color w:val="5A5A5A" w:themeColor="text1" w:themeTint="A5"/>
    </w:rPr>
  </w:style>
  <w:style w:type="character" w:styleId="Riferimentointenso">
    <w:name w:val="Intense Reference"/>
    <w:basedOn w:val="Caratterepredefinitoparagrafo"/>
    <w:uiPriority w:val="32"/>
    <w:qFormat/>
    <w:rsid w:val="00EE4D49"/>
    <w:rPr>
      <w:b/>
      <w:bCs/>
      <w:smallCaps/>
      <w:color w:val="5B9BD5" w:themeColor="accent1"/>
      <w:spacing w:val="5"/>
    </w:rPr>
  </w:style>
  <w:style w:type="character" w:styleId="Titolodellibro">
    <w:name w:val="Book Title"/>
    <w:basedOn w:val="Carattere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atterepredefinitoparagrafo"/>
    <w:link w:val="Testonotadichiusura"/>
    <w:uiPriority w:val="99"/>
    <w:semiHidden/>
    <w:rsid w:val="00656B6D"/>
    <w:rPr>
      <w:rFonts w:ascii="Calibri" w:hAnsi="Calibri"/>
    </w:rPr>
  </w:style>
  <w:style w:type="character" w:styleId="Rimandonotadichiusura">
    <w:name w:val="endnote reference"/>
    <w:basedOn w:val="Caratterepredefinitoparagrafo"/>
    <w:uiPriority w:val="99"/>
    <w:semiHidden/>
    <w:unhideWhenUsed/>
    <w:rsid w:val="00656B6D"/>
    <w:rPr>
      <w:vertAlign w:val="superscript"/>
    </w:rPr>
  </w:style>
  <w:style w:type="paragraph" w:styleId="Corpodeltesto">
    <w:name w:val="Body Text"/>
    <w:basedOn w:val="Normale"/>
    <w:link w:val="Corpodel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deltestoCarattere">
    <w:name w:val="Corpo del testo Carattere"/>
    <w:basedOn w:val="Caratterepredefinitoparagrafo"/>
    <w:link w:val="Corpodel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attere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F0EE3"/>
  </w:style>
  <w:style w:type="character" w:styleId="Collegamentoipertestuale">
    <w:name w:val="Hyperlink"/>
    <w:basedOn w:val="Caratterepredefinitoparagrafo"/>
    <w:uiPriority w:val="99"/>
    <w:unhideWhenUsed/>
    <w:rsid w:val="00364A97"/>
    <w:rPr>
      <w:color w:val="0563C1" w:themeColor="hyperlink"/>
      <w:u w:val="single"/>
    </w:rPr>
  </w:style>
  <w:style w:type="character" w:styleId="Collegamentovisitato">
    <w:name w:val="FollowedHyperlink"/>
    <w:basedOn w:val="Caratterepredefinitoparagrafo"/>
    <w:uiPriority w:val="99"/>
    <w:semiHidden/>
    <w:unhideWhenUsed/>
    <w:rsid w:val="00364A97"/>
    <w:rPr>
      <w:color w:val="954F72" w:themeColor="followedHyperlink"/>
      <w:u w:val="single"/>
    </w:rPr>
  </w:style>
  <w:style w:type="character" w:styleId="Numeropagina">
    <w:name w:val="page number"/>
    <w:basedOn w:val="Caratterepredefinitoparagrafo"/>
    <w:uiPriority w:val="99"/>
    <w:semiHidden/>
    <w:unhideWhenUsed/>
    <w:rsid w:val="0069179E"/>
  </w:style>
  <w:style w:type="character" w:styleId="Enfasigrassetto">
    <w:name w:val="Strong"/>
    <w:basedOn w:val="Carattere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attere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attere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attere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atterepredefinitoparagrafo"/>
    <w:rsid w:val="005934CD"/>
  </w:style>
  <w:style w:type="character" w:customStyle="1" w:styleId="numeropagina0">
    <w:name w:val="numeropagina"/>
    <w:basedOn w:val="Caratterepredefinitoparagrafo"/>
    <w:rsid w:val="00F64885"/>
  </w:style>
  <w:style w:type="character" w:styleId="AcronimoHTML">
    <w:name w:val="HTML Acronym"/>
    <w:basedOn w:val="Caratterepredefinitoparagrafo"/>
    <w:uiPriority w:val="99"/>
    <w:semiHidden/>
    <w:unhideWhenUsed/>
    <w:rsid w:val="00EE5B75"/>
  </w:style>
  <w:style w:type="paragraph" w:styleId="Testonotaapidipagina">
    <w:name w:val="footnote text"/>
    <w:basedOn w:val="Normale"/>
    <w:link w:val="TestonotaapidipaginaCarattere"/>
    <w:uiPriority w:val="99"/>
    <w:unhideWhenUsed/>
    <w:rsid w:val="00CE0751"/>
    <w:pPr>
      <w:spacing w:after="0" w:line="240" w:lineRule="auto"/>
    </w:pPr>
  </w:style>
  <w:style w:type="character" w:customStyle="1" w:styleId="TestonotaapidipaginaCarattere">
    <w:name w:val="Testo nota a piè di pagina Carattere"/>
    <w:basedOn w:val="Caratterepredefinitoparagrafo"/>
    <w:link w:val="Testonotaapidipagina"/>
    <w:uiPriority w:val="99"/>
    <w:rsid w:val="00CE0751"/>
    <w:rPr>
      <w:rFonts w:ascii="Calibri" w:hAnsi="Calibri"/>
    </w:rPr>
  </w:style>
  <w:style w:type="character" w:styleId="Rimandonotaapidipagina">
    <w:name w:val="footnote reference"/>
    <w:basedOn w:val="Carattere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atterepredefinitoparagrafo"/>
    <w:link w:val="Titolo1"/>
    <w:uiPriority w:val="9"/>
    <w:rsid w:val="00EE4D49"/>
    <w:rPr>
      <w:rFonts w:ascii="Calibri" w:hAnsi="Calibri"/>
      <w:b/>
      <w:sz w:val="48"/>
      <w:szCs w:val="48"/>
    </w:rPr>
  </w:style>
  <w:style w:type="character" w:customStyle="1" w:styleId="Titolo2Carattere">
    <w:name w:val="Titolo 2 Carattere"/>
    <w:basedOn w:val="Caratterepredefinitoparagrafo"/>
    <w:link w:val="Titolo2"/>
    <w:uiPriority w:val="9"/>
    <w:rsid w:val="00EE4D49"/>
    <w:rPr>
      <w:rFonts w:ascii="Calibri" w:hAnsi="Calibri"/>
      <w:b/>
      <w:sz w:val="36"/>
      <w:szCs w:val="36"/>
    </w:rPr>
  </w:style>
  <w:style w:type="character" w:customStyle="1" w:styleId="Titolo3Carattere">
    <w:name w:val="Titolo 3 Carattere"/>
    <w:basedOn w:val="Caratterepredefinitoparagrafo"/>
    <w:link w:val="Titolo3"/>
    <w:uiPriority w:val="9"/>
    <w:rsid w:val="00EE4D49"/>
    <w:rPr>
      <w:rFonts w:ascii="Calibri" w:hAnsi="Calibri"/>
      <w:b/>
      <w:sz w:val="28"/>
      <w:szCs w:val="28"/>
    </w:rPr>
  </w:style>
  <w:style w:type="character" w:customStyle="1" w:styleId="Titolo4Carattere">
    <w:name w:val="Titolo 4 Carattere"/>
    <w:basedOn w:val="Caratterepredefinitoparagrafo"/>
    <w:link w:val="Titolo4"/>
    <w:uiPriority w:val="9"/>
    <w:rsid w:val="00EE4D49"/>
    <w:rPr>
      <w:rFonts w:ascii="Calibri" w:hAnsi="Calibri"/>
      <w:b/>
      <w:sz w:val="24"/>
      <w:szCs w:val="24"/>
    </w:rPr>
  </w:style>
  <w:style w:type="character" w:customStyle="1" w:styleId="Titolo5Carattere">
    <w:name w:val="Titolo 5 Carattere"/>
    <w:basedOn w:val="Caratterepredefinitoparagrafo"/>
    <w:link w:val="Titolo5"/>
    <w:uiPriority w:val="9"/>
    <w:rsid w:val="00EE4D49"/>
    <w:rPr>
      <w:rFonts w:ascii="Calibri" w:hAnsi="Calibri"/>
      <w:b/>
      <w:sz w:val="22"/>
      <w:szCs w:val="22"/>
    </w:rPr>
  </w:style>
  <w:style w:type="character" w:customStyle="1" w:styleId="Titolo6Carattere">
    <w:name w:val="Titolo 6 Carattere"/>
    <w:basedOn w:val="Caratterepredefinitoparagrafo"/>
    <w:link w:val="Titolo6"/>
    <w:uiPriority w:val="9"/>
    <w:rsid w:val="00EE4D49"/>
    <w:rPr>
      <w:rFonts w:ascii="Calibri" w:hAnsi="Calibri"/>
      <w:b/>
    </w:rPr>
  </w:style>
  <w:style w:type="character" w:customStyle="1" w:styleId="Titolo7Carattere">
    <w:name w:val="Titolo 7 Carattere"/>
    <w:basedOn w:val="Carattere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attere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attere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atterepredefinitoparagrafo"/>
    <w:link w:val="Titolo"/>
    <w:uiPriority w:val="10"/>
    <w:rsid w:val="00EE4D49"/>
    <w:rPr>
      <w:rFonts w:ascii="Calibri" w:hAnsi="Calibri"/>
      <w:b/>
      <w:sz w:val="72"/>
      <w:szCs w:val="72"/>
    </w:rPr>
  </w:style>
  <w:style w:type="character" w:customStyle="1" w:styleId="SottotitoloCarattere">
    <w:name w:val="Sottotitolo Carattere"/>
    <w:basedOn w:val="Carattere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attere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attere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attere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attere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attere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attere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attere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atterepredefinitoparagrafo"/>
    <w:uiPriority w:val="30"/>
    <w:rsid w:val="00EE4D49"/>
    <w:rPr>
      <w:rFonts w:ascii="Calibri" w:hAnsi="Calibri"/>
      <w:i/>
      <w:iCs/>
      <w:color w:val="5B9BD5" w:themeColor="accent1"/>
    </w:rPr>
  </w:style>
  <w:style w:type="character" w:styleId="Enfasidelicata">
    <w:name w:val="Subtle Emphasis"/>
    <w:basedOn w:val="Caratterepredefinitoparagrafo"/>
    <w:uiPriority w:val="19"/>
    <w:qFormat/>
    <w:rsid w:val="00EE4D49"/>
    <w:rPr>
      <w:i/>
      <w:iCs/>
      <w:color w:val="404040" w:themeColor="text1" w:themeTint="BF"/>
    </w:rPr>
  </w:style>
  <w:style w:type="character" w:styleId="Enfasiintensa">
    <w:name w:val="Intense Emphasis"/>
    <w:basedOn w:val="Caratterepredefinitoparagrafo"/>
    <w:uiPriority w:val="21"/>
    <w:qFormat/>
    <w:rsid w:val="00EE4D49"/>
    <w:rPr>
      <w:i/>
      <w:iCs/>
      <w:color w:val="5B9BD5" w:themeColor="accent1"/>
    </w:rPr>
  </w:style>
  <w:style w:type="character" w:styleId="Riferimentodelicato">
    <w:name w:val="Subtle Reference"/>
    <w:basedOn w:val="Caratterepredefinitoparagrafo"/>
    <w:uiPriority w:val="31"/>
    <w:qFormat/>
    <w:rsid w:val="00EE4D49"/>
    <w:rPr>
      <w:smallCaps/>
      <w:color w:val="5A5A5A" w:themeColor="text1" w:themeTint="A5"/>
    </w:rPr>
  </w:style>
  <w:style w:type="character" w:styleId="Riferimentointenso">
    <w:name w:val="Intense Reference"/>
    <w:basedOn w:val="Caratterepredefinitoparagrafo"/>
    <w:uiPriority w:val="32"/>
    <w:qFormat/>
    <w:rsid w:val="00EE4D49"/>
    <w:rPr>
      <w:b/>
      <w:bCs/>
      <w:smallCaps/>
      <w:color w:val="5B9BD5" w:themeColor="accent1"/>
      <w:spacing w:val="5"/>
    </w:rPr>
  </w:style>
  <w:style w:type="character" w:styleId="Titolodellibro">
    <w:name w:val="Book Title"/>
    <w:basedOn w:val="Carattere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atterepredefinitoparagrafo"/>
    <w:link w:val="Testonotadichiusura"/>
    <w:uiPriority w:val="99"/>
    <w:semiHidden/>
    <w:rsid w:val="00656B6D"/>
    <w:rPr>
      <w:rFonts w:ascii="Calibri" w:hAnsi="Calibri"/>
    </w:rPr>
  </w:style>
  <w:style w:type="character" w:styleId="Rimandonotadichiusura">
    <w:name w:val="endnote reference"/>
    <w:basedOn w:val="Caratterepredefinitoparagrafo"/>
    <w:uiPriority w:val="99"/>
    <w:semiHidden/>
    <w:unhideWhenUsed/>
    <w:rsid w:val="00656B6D"/>
    <w:rPr>
      <w:vertAlign w:val="superscript"/>
    </w:rPr>
  </w:style>
  <w:style w:type="paragraph" w:styleId="Corpodeltesto">
    <w:name w:val="Body Text"/>
    <w:basedOn w:val="Normale"/>
    <w:link w:val="Corpodel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deltestoCarattere">
    <w:name w:val="Corpo del testo Carattere"/>
    <w:basedOn w:val="Caratterepredefinitoparagrafo"/>
    <w:link w:val="Corpodel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attere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DB8E3-E2C2-084D-AEFE-66B10B3C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20643</Words>
  <Characters>117667</Characters>
  <Application>Microsoft Macintosh Word</Application>
  <DocSecurity>0</DocSecurity>
  <Lines>980</Lines>
  <Paragraphs>276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aaabbb aaabbb</cp:lastModifiedBy>
  <cp:revision>2</cp:revision>
  <cp:lastPrinted>2019-01-08T11:23:00Z</cp:lastPrinted>
  <dcterms:created xsi:type="dcterms:W3CDTF">2020-09-03T12:33:00Z</dcterms:created>
  <dcterms:modified xsi:type="dcterms:W3CDTF">2020-09-03T12:33:00Z</dcterms:modified>
</cp:coreProperties>
</file>