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07D5C" w14:textId="77777777" w:rsidR="00F46BB9" w:rsidRPr="00793CC1" w:rsidRDefault="00F46BB9" w:rsidP="00793CC1">
      <w:pPr>
        <w:tabs>
          <w:tab w:val="left" w:pos="993"/>
        </w:tabs>
        <w:spacing w:after="140"/>
        <w:rPr>
          <w:rFonts w:asciiTheme="minorHAnsi" w:hAnsiTheme="minorHAnsi"/>
          <w:sz w:val="24"/>
          <w:szCs w:val="24"/>
        </w:rPr>
      </w:pPr>
    </w:p>
    <w:p w14:paraId="54C62463" w14:textId="77777777" w:rsidR="00F6661B" w:rsidRPr="00793CC1" w:rsidRDefault="007A3ECE"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w:t>
      </w:r>
      <w:r w:rsidR="002C1B13">
        <w:rPr>
          <w:rFonts w:asciiTheme="minorHAnsi" w:hAnsiTheme="minorHAnsi"/>
          <w:b/>
          <w:color w:val="1D4387"/>
          <w:sz w:val="24"/>
          <w:szCs w:val="24"/>
        </w:rPr>
        <w:t xml:space="preserve">. </w:t>
      </w:r>
      <w:r w:rsidR="000F2249">
        <w:rPr>
          <w:rFonts w:asciiTheme="minorHAnsi" w:hAnsiTheme="minorHAnsi"/>
          <w:b/>
          <w:color w:val="1D4387"/>
          <w:sz w:val="24"/>
          <w:szCs w:val="24"/>
        </w:rPr>
        <w:t>31</w:t>
      </w:r>
      <w:r w:rsidR="00906B80">
        <w:rPr>
          <w:rFonts w:asciiTheme="minorHAnsi" w:hAnsiTheme="minorHAnsi"/>
          <w:b/>
          <w:color w:val="1D4387"/>
          <w:sz w:val="24"/>
          <w:szCs w:val="24"/>
        </w:rPr>
        <w:t>46</w:t>
      </w:r>
    </w:p>
    <w:p w14:paraId="506ECE71"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B1C1C1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6E7B6A" w14:textId="03FB8AE6" w:rsidR="00EC6F13" w:rsidRDefault="007A3ECE"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roofErr w:type="gramStart"/>
      <w:r>
        <w:rPr>
          <w:rFonts w:asciiTheme="minorHAnsi" w:eastAsia="Times New Roman" w:hAnsiTheme="minorHAnsi" w:cs="Times New Roman"/>
          <w:b/>
          <w:bCs/>
          <w:color w:val="000000" w:themeColor="text1"/>
          <w:sz w:val="24"/>
          <w:szCs w:val="24"/>
          <w:u w:val="single"/>
        </w:rPr>
        <w:t>C.</w:t>
      </w:r>
      <w:r w:rsidR="00EC6F13">
        <w:rPr>
          <w:rFonts w:asciiTheme="minorHAnsi" w:eastAsia="Times New Roman" w:hAnsiTheme="minorHAnsi" w:cs="Times New Roman"/>
          <w:b/>
          <w:bCs/>
          <w:color w:val="000000" w:themeColor="text1"/>
          <w:sz w:val="24"/>
          <w:szCs w:val="24"/>
          <w:u w:val="single"/>
        </w:rPr>
        <w:t>31</w:t>
      </w:r>
      <w:r w:rsidR="004610BB">
        <w:rPr>
          <w:rFonts w:asciiTheme="minorHAnsi" w:eastAsia="Times New Roman" w:hAnsiTheme="minorHAnsi" w:cs="Times New Roman"/>
          <w:b/>
          <w:bCs/>
          <w:color w:val="000000" w:themeColor="text1"/>
          <w:sz w:val="24"/>
          <w:szCs w:val="24"/>
          <w:u w:val="single"/>
        </w:rPr>
        <w:t>46</w:t>
      </w:r>
      <w:r w:rsidR="00D41117">
        <w:rPr>
          <w:rFonts w:asciiTheme="minorHAnsi" w:eastAsia="Times New Roman" w:hAnsiTheme="minorHAnsi" w:cs="Times New Roman"/>
          <w:b/>
          <w:bCs/>
          <w:color w:val="000000" w:themeColor="text1"/>
          <w:sz w:val="24"/>
          <w:szCs w:val="24"/>
          <w:u w:val="single"/>
        </w:rPr>
        <w:t xml:space="preserve">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proofErr w:type="gramEnd"/>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B864EF">
        <w:rPr>
          <w:rFonts w:asciiTheme="minorHAnsi" w:eastAsia="Times New Roman" w:hAnsiTheme="minorHAnsi" w:cs="Times New Roman"/>
          <w:bCs/>
          <w:i/>
          <w:color w:val="000000" w:themeColor="text1"/>
          <w:sz w:val="24"/>
          <w:szCs w:val="24"/>
        </w:rPr>
        <w:t>seduta del</w:t>
      </w:r>
      <w:r w:rsidR="00906B80">
        <w:rPr>
          <w:rFonts w:asciiTheme="minorHAnsi" w:eastAsia="Times New Roman" w:hAnsiTheme="minorHAnsi" w:cs="Times New Roman"/>
          <w:bCs/>
          <w:i/>
          <w:color w:val="000000" w:themeColor="text1"/>
          <w:sz w:val="24"/>
          <w:szCs w:val="24"/>
        </w:rPr>
        <w:t xml:space="preserve"> </w:t>
      </w:r>
      <w:r w:rsidR="00E12229">
        <w:rPr>
          <w:rFonts w:asciiTheme="minorHAnsi" w:eastAsia="Times New Roman" w:hAnsiTheme="minorHAnsi" w:cs="Times New Roman"/>
          <w:bCs/>
          <w:i/>
          <w:color w:val="000000" w:themeColor="text1"/>
          <w:sz w:val="24"/>
          <w:szCs w:val="24"/>
        </w:rPr>
        <w:t>1</w:t>
      </w:r>
      <w:r w:rsidR="003012C8">
        <w:rPr>
          <w:rFonts w:asciiTheme="minorHAnsi" w:eastAsia="Times New Roman" w:hAnsiTheme="minorHAnsi" w:cs="Times New Roman"/>
          <w:bCs/>
          <w:i/>
          <w:color w:val="000000" w:themeColor="text1"/>
          <w:sz w:val="24"/>
          <w:szCs w:val="24"/>
        </w:rPr>
        <w:t>6</w:t>
      </w:r>
      <w:r w:rsidR="00906B80">
        <w:rPr>
          <w:rFonts w:asciiTheme="minorHAnsi" w:eastAsia="Times New Roman" w:hAnsiTheme="minorHAnsi" w:cs="Times New Roman"/>
          <w:bCs/>
          <w:i/>
          <w:color w:val="000000" w:themeColor="text1"/>
          <w:sz w:val="24"/>
          <w:szCs w:val="24"/>
        </w:rPr>
        <w:t xml:space="preserve"> luglio 2021, le C</w:t>
      </w:r>
      <w:r w:rsidR="00906B80" w:rsidRPr="00906B80">
        <w:rPr>
          <w:rFonts w:asciiTheme="minorHAnsi" w:eastAsia="Times New Roman" w:hAnsiTheme="minorHAnsi" w:cs="Times New Roman"/>
          <w:bCs/>
          <w:i/>
          <w:color w:val="000000" w:themeColor="text1"/>
          <w:sz w:val="24"/>
          <w:szCs w:val="24"/>
        </w:rPr>
        <w:t xml:space="preserve">ommissioni riunite 1ª (Affari costituzionali) e 8ª (Ambiente, territorio e lavori pubblici) </w:t>
      </w:r>
      <w:r w:rsidR="00906B80">
        <w:rPr>
          <w:rFonts w:asciiTheme="minorHAnsi" w:eastAsia="Times New Roman" w:hAnsiTheme="minorHAnsi" w:cs="Times New Roman"/>
          <w:bCs/>
          <w:i/>
          <w:color w:val="000000" w:themeColor="text1"/>
          <w:sz w:val="24"/>
          <w:szCs w:val="24"/>
        </w:rPr>
        <w:t xml:space="preserve">riunite </w:t>
      </w:r>
      <w:r w:rsidR="00906B80" w:rsidRPr="00906B80">
        <w:rPr>
          <w:rFonts w:asciiTheme="minorHAnsi" w:eastAsia="Times New Roman" w:hAnsiTheme="minorHAnsi" w:cs="Times New Roman"/>
          <w:bCs/>
          <w:i/>
          <w:color w:val="000000" w:themeColor="text1"/>
          <w:sz w:val="24"/>
          <w:szCs w:val="24"/>
        </w:rPr>
        <w:t>in sede referente</w:t>
      </w:r>
      <w:r w:rsidR="004162E1">
        <w:rPr>
          <w:rFonts w:asciiTheme="minorHAnsi" w:eastAsia="Times New Roman" w:hAnsiTheme="minorHAnsi" w:cs="Times New Roman"/>
          <w:bCs/>
          <w:i/>
          <w:color w:val="000000" w:themeColor="text1"/>
          <w:sz w:val="24"/>
          <w:szCs w:val="24"/>
        </w:rPr>
        <w:t>,</w:t>
      </w:r>
      <w:r w:rsidR="00906B80">
        <w:rPr>
          <w:rFonts w:asciiTheme="minorHAnsi" w:eastAsia="Times New Roman" w:hAnsiTheme="minorHAnsi" w:cs="Times New Roman"/>
          <w:bCs/>
          <w:i/>
          <w:color w:val="000000" w:themeColor="text1"/>
          <w:sz w:val="24"/>
          <w:szCs w:val="24"/>
        </w:rPr>
        <w:t xml:space="preserve"> hanno approvato alcuni emendamenti al testo del decreto-legge.</w:t>
      </w:r>
    </w:p>
    <w:p w14:paraId="39818247" w14:textId="7DE6CE52" w:rsidR="00EC6F13" w:rsidRPr="000D3441" w:rsidRDefault="00B864EF"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6A2914" w:rsidRPr="000D3441">
        <w:rPr>
          <w:rFonts w:asciiTheme="minorHAnsi" w:eastAsia="Times New Roman" w:hAnsiTheme="minorHAnsi" w:cs="Times New Roman"/>
          <w:bCs/>
          <w:i/>
          <w:color w:val="000000" w:themeColor="text1"/>
          <w:sz w:val="24"/>
          <w:szCs w:val="24"/>
        </w:rPr>
        <w:t xml:space="preserve"> l’articolato del </w:t>
      </w:r>
      <w:proofErr w:type="spellStart"/>
      <w:r w:rsidR="00415E3A">
        <w:rPr>
          <w:rFonts w:asciiTheme="minorHAnsi" w:eastAsia="Times New Roman" w:hAnsiTheme="minorHAnsi" w:cs="Times New Roman"/>
          <w:bCs/>
          <w:i/>
          <w:color w:val="000000" w:themeColor="text1"/>
          <w:sz w:val="24"/>
          <w:szCs w:val="24"/>
        </w:rPr>
        <w:t>ddl</w:t>
      </w:r>
      <w:proofErr w:type="spellEnd"/>
      <w:r w:rsidR="00415E3A">
        <w:rPr>
          <w:rFonts w:asciiTheme="minorHAnsi" w:eastAsia="Times New Roman" w:hAnsiTheme="minorHAnsi" w:cs="Times New Roman"/>
          <w:bCs/>
          <w:i/>
          <w:color w:val="000000" w:themeColor="text1"/>
          <w:sz w:val="24"/>
          <w:szCs w:val="24"/>
        </w:rPr>
        <w:t xml:space="preserve"> e del </w:t>
      </w:r>
      <w:proofErr w:type="spellStart"/>
      <w:r w:rsidR="00906B80">
        <w:rPr>
          <w:rFonts w:asciiTheme="minorHAnsi" w:eastAsia="Times New Roman" w:hAnsiTheme="minorHAnsi" w:cs="Times New Roman"/>
          <w:bCs/>
          <w:i/>
          <w:color w:val="000000" w:themeColor="text1"/>
          <w:sz w:val="24"/>
          <w:szCs w:val="24"/>
        </w:rPr>
        <w:t>decrerto</w:t>
      </w:r>
      <w:proofErr w:type="spellEnd"/>
      <w:r w:rsidR="00906B80">
        <w:rPr>
          <w:rFonts w:asciiTheme="minorHAnsi" w:eastAsia="Times New Roman" w:hAnsiTheme="minorHAnsi" w:cs="Times New Roman"/>
          <w:bCs/>
          <w:i/>
          <w:color w:val="000000" w:themeColor="text1"/>
          <w:sz w:val="24"/>
          <w:szCs w:val="24"/>
        </w:rPr>
        <w:t>-legge</w:t>
      </w:r>
      <w:r w:rsidR="00CF781C" w:rsidRPr="000D3441">
        <w:rPr>
          <w:rFonts w:asciiTheme="minorHAnsi" w:eastAsia="Times New Roman" w:hAnsiTheme="minorHAnsi" w:cs="Times New Roman"/>
          <w:bCs/>
          <w:i/>
          <w:color w:val="000000" w:themeColor="text1"/>
          <w:sz w:val="24"/>
          <w:szCs w:val="24"/>
        </w:rPr>
        <w:t xml:space="preserve"> con in evidenza</w:t>
      </w:r>
      <w:r w:rsidR="007F57C7">
        <w:rPr>
          <w:rFonts w:asciiTheme="minorHAnsi" w:eastAsia="Times New Roman" w:hAnsiTheme="minorHAnsi" w:cs="Times New Roman"/>
          <w:bCs/>
          <w:i/>
          <w:color w:val="000000" w:themeColor="text1"/>
          <w:sz w:val="24"/>
          <w:szCs w:val="24"/>
        </w:rPr>
        <w:t xml:space="preserve"> tutte</w:t>
      </w:r>
      <w:r w:rsidR="00CF781C" w:rsidRPr="000D3441">
        <w:rPr>
          <w:rFonts w:asciiTheme="minorHAnsi" w:eastAsia="Times New Roman" w:hAnsiTheme="minorHAnsi" w:cs="Times New Roman"/>
          <w:bCs/>
          <w:i/>
          <w:color w:val="000000" w:themeColor="text1"/>
          <w:sz w:val="24"/>
          <w:szCs w:val="24"/>
        </w:rPr>
        <w:t xml:space="preserve"> le modifiche apportate</w:t>
      </w:r>
      <w:r w:rsidR="00EC6F13" w:rsidRPr="000D3441">
        <w:rPr>
          <w:rFonts w:asciiTheme="minorHAnsi" w:eastAsia="Times New Roman" w:hAnsiTheme="minorHAnsi" w:cs="Times New Roman"/>
          <w:bCs/>
          <w:i/>
          <w:color w:val="000000" w:themeColor="text1"/>
          <w:sz w:val="24"/>
          <w:szCs w:val="24"/>
        </w:rPr>
        <w:t xml:space="preserve"> dall</w:t>
      </w:r>
      <w:r w:rsidR="00415E3A">
        <w:rPr>
          <w:rFonts w:asciiTheme="minorHAnsi" w:eastAsia="Times New Roman" w:hAnsiTheme="minorHAnsi" w:cs="Times New Roman"/>
          <w:bCs/>
          <w:i/>
          <w:color w:val="000000" w:themeColor="text1"/>
          <w:sz w:val="24"/>
          <w:szCs w:val="24"/>
        </w:rPr>
        <w:t>e</w:t>
      </w:r>
      <w:r w:rsidR="00EC6F13" w:rsidRPr="000D3441">
        <w:rPr>
          <w:rFonts w:asciiTheme="minorHAnsi" w:eastAsia="Times New Roman" w:hAnsiTheme="minorHAnsi" w:cs="Times New Roman"/>
          <w:bCs/>
          <w:i/>
          <w:color w:val="000000" w:themeColor="text1"/>
          <w:sz w:val="24"/>
          <w:szCs w:val="24"/>
        </w:rPr>
        <w:t xml:space="preserve"> Commission</w:t>
      </w:r>
      <w:r w:rsidR="00415E3A">
        <w:rPr>
          <w:rFonts w:asciiTheme="minorHAnsi" w:eastAsia="Times New Roman" w:hAnsiTheme="minorHAnsi" w:cs="Times New Roman"/>
          <w:bCs/>
          <w:i/>
          <w:color w:val="000000" w:themeColor="text1"/>
          <w:sz w:val="24"/>
          <w:szCs w:val="24"/>
        </w:rPr>
        <w:t>i riunite</w:t>
      </w:r>
      <w:r w:rsidR="00906B80">
        <w:rPr>
          <w:rFonts w:asciiTheme="minorHAnsi" w:eastAsia="Times New Roman" w:hAnsiTheme="minorHAnsi" w:cs="Times New Roman"/>
          <w:bCs/>
          <w:i/>
          <w:color w:val="000000" w:themeColor="text1"/>
          <w:sz w:val="24"/>
          <w:szCs w:val="24"/>
        </w:rPr>
        <w:t xml:space="preserve"> </w:t>
      </w:r>
    </w:p>
    <w:p w14:paraId="644C2724" w14:textId="77777777" w:rsidR="00B864EF" w:rsidRDefault="00B864EF" w:rsidP="00B864EF">
      <w:pPr>
        <w:pBdr>
          <w:top w:val="single" w:sz="4" w:space="1" w:color="auto"/>
          <w:left w:val="single" w:sz="4" w:space="4" w:color="auto"/>
          <w:bottom w:val="single" w:sz="4" w:space="1" w:color="auto"/>
          <w:right w:val="single" w:sz="4" w:space="4" w:color="auto"/>
        </w:pBdr>
        <w:shd w:val="clear" w:color="auto" w:fill="FFFFFF"/>
        <w:spacing w:after="120"/>
        <w:jc w:val="both"/>
        <w:rPr>
          <w:color w:val="000000"/>
          <w:sz w:val="24"/>
          <w:szCs w:val="24"/>
        </w:rPr>
      </w:pPr>
      <w:r>
        <w:rPr>
          <w:color w:val="000000"/>
          <w:sz w:val="24"/>
          <w:szCs w:val="24"/>
        </w:rPr>
        <w:t xml:space="preserve">Le modifiche introdotte dagli emendamenti approvati si riportano in carattere </w:t>
      </w:r>
      <w:r>
        <w:rPr>
          <w:b/>
          <w:bCs/>
          <w:color w:val="000000"/>
          <w:sz w:val="24"/>
          <w:szCs w:val="24"/>
        </w:rPr>
        <w:t>grassetto</w:t>
      </w:r>
      <w:r>
        <w:rPr>
          <w:color w:val="000000"/>
          <w:sz w:val="24"/>
          <w:szCs w:val="24"/>
        </w:rPr>
        <w:t>, mentre le soppressioni (sostituzioni comprese) si riportano</w:t>
      </w:r>
      <w:r>
        <w:rPr>
          <w:b/>
          <w:bCs/>
          <w:color w:val="000000"/>
          <w:sz w:val="24"/>
          <w:szCs w:val="24"/>
        </w:rPr>
        <w:t xml:space="preserve"> </w:t>
      </w:r>
      <w:r>
        <w:rPr>
          <w:strike/>
          <w:color w:val="000000"/>
          <w:sz w:val="24"/>
          <w:szCs w:val="24"/>
          <w:shd w:val="clear" w:color="auto" w:fill="FFFB01"/>
        </w:rPr>
        <w:t>evidenziate</w:t>
      </w:r>
      <w:r>
        <w:rPr>
          <w:b/>
          <w:bCs/>
          <w:color w:val="000000"/>
          <w:sz w:val="24"/>
          <w:szCs w:val="24"/>
        </w:rPr>
        <w:t xml:space="preserve">. </w:t>
      </w:r>
      <w:r>
        <w:rPr>
          <w:color w:val="000000"/>
          <w:sz w:val="24"/>
          <w:szCs w:val="24"/>
        </w:rPr>
        <w:t>Eventuali subemendamenti approvati si evidenziano facendo uso del colore</w:t>
      </w:r>
      <w:r>
        <w:rPr>
          <w:b/>
          <w:bCs/>
          <w:color w:val="000000"/>
          <w:sz w:val="24"/>
          <w:szCs w:val="24"/>
        </w:rPr>
        <w:t xml:space="preserve"> </w:t>
      </w:r>
      <w:r>
        <w:rPr>
          <w:b/>
          <w:bCs/>
          <w:color w:val="000000"/>
          <w:sz w:val="24"/>
          <w:szCs w:val="24"/>
          <w:shd w:val="clear" w:color="auto" w:fill="FF2500"/>
        </w:rPr>
        <w:t>rosso</w:t>
      </w:r>
      <w:r>
        <w:rPr>
          <w:b/>
          <w:bCs/>
          <w:color w:val="000000"/>
          <w:sz w:val="24"/>
          <w:szCs w:val="24"/>
        </w:rPr>
        <w:t xml:space="preserve">. </w:t>
      </w:r>
      <w:r>
        <w:rPr>
          <w:color w:val="000000"/>
          <w:sz w:val="24"/>
          <w:szCs w:val="24"/>
        </w:rPr>
        <w:t>A piè di pagina si riportano i riferimenti della proposta di modifica approvata.</w:t>
      </w:r>
    </w:p>
    <w:p w14:paraId="386F9F6E" w14:textId="77777777" w:rsidR="00EC6F13" w:rsidRPr="000D3441" w:rsidRDefault="00EC6F13"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D441D4C"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DISEGNO DI LEGGE</w:t>
      </w:r>
    </w:p>
    <w:p w14:paraId="2924BA63"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10F3046"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w:t>
      </w:r>
    </w:p>
    <w:p w14:paraId="3EBBABC5"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0B98334"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convertito in legge il decreto-legge 31 maggio 2021, n. 77, recante governance del Piano nazionale di ripresa e resilienza e prime misure di rafforzamento delle strutture amministrative e di accelerazione e snellimento delle procedure.</w:t>
      </w:r>
    </w:p>
    <w:p w14:paraId="27EB30A4" w14:textId="77777777" w:rsidR="008E13AB"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B5D9C0"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1-bis. Al fine di monitorare l'efficace attuazione dei progetti previsti dal Piano nazionale di ripresa e resilienza (PNRR) e il rispetto dei termini entro i quali i progetti medesimi devono essere completati sulla base del calendario concordato con le istituzioni europee, il Governo fornisce alle Commissioni parlamentari competenti le informazioni e i documenti utili per esercitare il controllo sull'attuazione del PNRR e del Piano nazionale per gli investimenti complementari al PNRR di cui al decreto-legge 6 maggio 2021, n. 59, convertito, con modificazioni, dalla legge 1° luglio 2021, n. 101.</w:t>
      </w:r>
    </w:p>
    <w:p w14:paraId="4F6F49E1"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  1-ter. Il Governo fornisce altresì alle Commissioni parlamentari competenti i dati, gli atti, le informazioni e i documenti necessari allo svolgimento dei loro compiti, anche al fine di prevenire, di rilevare e di correggere eventuali criticità relative all'attuazione del PNRR.</w:t>
      </w:r>
    </w:p>
    <w:p w14:paraId="7B72203D"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lastRenderedPageBreak/>
        <w:t>  1-quater. Il Governo trasmette, inoltre, alle Commissioni parlamentari competenti i documenti, riguardanti le materie di competenza delle medesime, inviati agli organi dell'Unione europea relativamente all'attuazione del PNRR.</w:t>
      </w:r>
    </w:p>
    <w:p w14:paraId="644BCCC1"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  1-quinquies. Sulla base delle informazioni ricevute e dell'attività istruttoria svolta, anche in forma congiunta, con le modalità definite dalle intese di cui al comma 1-septies, le Commissioni parlamentari competenti:</w:t>
      </w:r>
    </w:p>
    <w:p w14:paraId="4AFAE70C" w14:textId="77777777" w:rsidR="008E13AB" w:rsidRPr="00FF4353" w:rsidRDefault="008E13AB" w:rsidP="008E13AB">
      <w:pPr>
        <w:jc w:val="both"/>
        <w:rPr>
          <w:rFonts w:asciiTheme="minorHAnsi" w:hAnsiTheme="minorHAnsi"/>
          <w:b/>
          <w:bCs/>
          <w:color w:val="000000" w:themeColor="text1"/>
          <w:sz w:val="24"/>
          <w:szCs w:val="24"/>
        </w:rPr>
      </w:pPr>
    </w:p>
    <w:p w14:paraId="167E9685"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   a) monitorano lo stato di realizzazione del PNRR e i progressi compiuti nella sua attuazione, anche con riferimento alle singole misure, con particolare attenzione al rispetto e al raggiungimento degli obiettivi inerenti alle priorità trasversali del medesimo Piano, quali il clima, il digitale, la riduzione dei divari territoriali, la parità di genere e i giovani;</w:t>
      </w:r>
    </w:p>
    <w:p w14:paraId="11613A05" w14:textId="77777777" w:rsidR="008E13AB" w:rsidRPr="00FF4353" w:rsidRDefault="008E13AB" w:rsidP="008E13AB">
      <w:pPr>
        <w:jc w:val="both"/>
        <w:rPr>
          <w:rFonts w:asciiTheme="minorHAnsi" w:hAnsiTheme="minorHAnsi"/>
          <w:b/>
          <w:bCs/>
          <w:color w:val="000000" w:themeColor="text1"/>
          <w:sz w:val="24"/>
          <w:szCs w:val="24"/>
        </w:rPr>
      </w:pPr>
    </w:p>
    <w:p w14:paraId="59FB9327"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   b) formulano osservazioni ed esprimono valutazioni utili ai fini della migliore attuazione del PNRR nei tempi previsti.</w:t>
      </w:r>
    </w:p>
    <w:p w14:paraId="234927FF" w14:textId="77777777" w:rsidR="008E13AB" w:rsidRPr="00FF4353" w:rsidRDefault="008E13AB" w:rsidP="008E13AB">
      <w:pPr>
        <w:jc w:val="both"/>
        <w:rPr>
          <w:rFonts w:asciiTheme="minorHAnsi" w:hAnsiTheme="minorHAnsi"/>
          <w:b/>
          <w:bCs/>
          <w:color w:val="000000" w:themeColor="text1"/>
          <w:sz w:val="24"/>
          <w:szCs w:val="24"/>
        </w:rPr>
      </w:pPr>
    </w:p>
    <w:p w14:paraId="48901988"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  1-sexies. Le Camere possono stipulare con il Ministero dell'economia e delle finanze una convenzione per disciplinare le modalità di fruizione dei dati di monitoraggio rilevati dal Sistema informativo unitario «</w:t>
      </w:r>
      <w:proofErr w:type="spellStart"/>
      <w:r w:rsidRPr="00FF4353">
        <w:rPr>
          <w:rFonts w:asciiTheme="minorHAnsi" w:hAnsiTheme="minorHAnsi"/>
          <w:b/>
          <w:bCs/>
          <w:color w:val="000000" w:themeColor="text1"/>
          <w:sz w:val="24"/>
          <w:szCs w:val="24"/>
        </w:rPr>
        <w:t>ReGiS</w:t>
      </w:r>
      <w:proofErr w:type="spellEnd"/>
      <w:r w:rsidRPr="00FF4353">
        <w:rPr>
          <w:rFonts w:asciiTheme="minorHAnsi" w:hAnsiTheme="minorHAnsi"/>
          <w:b/>
          <w:bCs/>
          <w:color w:val="000000" w:themeColor="text1"/>
          <w:sz w:val="24"/>
          <w:szCs w:val="24"/>
        </w:rPr>
        <w:t>».</w:t>
      </w:r>
    </w:p>
    <w:p w14:paraId="5B306393" w14:textId="77777777" w:rsidR="008E13AB" w:rsidRPr="00FF4353" w:rsidRDefault="008E13AB" w:rsidP="008E13AB">
      <w:pPr>
        <w:jc w:val="both"/>
        <w:rPr>
          <w:rFonts w:asciiTheme="minorHAnsi" w:hAnsiTheme="minorHAnsi"/>
          <w:b/>
          <w:bCs/>
          <w:color w:val="000000" w:themeColor="text1"/>
          <w:sz w:val="24"/>
          <w:szCs w:val="24"/>
        </w:rPr>
      </w:pPr>
      <w:r w:rsidRPr="00FF4353">
        <w:rPr>
          <w:rFonts w:asciiTheme="minorHAnsi" w:hAnsiTheme="minorHAnsi"/>
          <w:b/>
          <w:bCs/>
          <w:color w:val="000000" w:themeColor="text1"/>
          <w:sz w:val="24"/>
          <w:szCs w:val="24"/>
        </w:rPr>
        <w:t>  1-septies. I Presidenti della Camera dei deputati e del Senato della Repubblica, al fine di favorire lo svolgimento congiunto dell'attività istruttoria utile al controllo parlamentare e di potenziare la capacità di approfondimento dei profili tecnici della contabilità e della finanza pubblica da parte delle Commissioni parlamentari competenti, adottano intese volte a promuovere le attività delle Camere, anche in forma congiunta, nonché l'integrazione delle attività svolte dalle rispettive strutture di supporto tecnico.</w:t>
      </w:r>
      <w:r>
        <w:rPr>
          <w:rStyle w:val="Rimandonotaapidipagina"/>
          <w:rFonts w:asciiTheme="minorHAnsi" w:hAnsiTheme="minorHAnsi"/>
          <w:b/>
          <w:bCs/>
          <w:color w:val="000000" w:themeColor="text1"/>
          <w:sz w:val="24"/>
          <w:szCs w:val="24"/>
        </w:rPr>
        <w:footnoteReference w:id="1"/>
      </w:r>
    </w:p>
    <w:p w14:paraId="6A68F131" w14:textId="77777777" w:rsidR="008E13AB" w:rsidRPr="00EF5B01"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9C921"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La presente legge entra in vigore il giorno successivo a quello della sua pubblicazione nella Gazzetta Ufficiale.</w:t>
      </w:r>
    </w:p>
    <w:p w14:paraId="47A5D925" w14:textId="77777777" w:rsidR="008E13AB" w:rsidRPr="00EF5B01" w:rsidRDefault="008E13AB"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883855" w14:textId="77777777" w:rsidR="00EF5B01" w:rsidRP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4E5F131" w14:textId="77777777" w:rsidR="000F2249"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Decreto-legge 31 maggio 2021, n. 77, pubblicato nella Gazzetta Ufficiale n. 129 del 31 maggio </w:t>
      </w:r>
      <w:proofErr w:type="gramStart"/>
      <w:r w:rsidRPr="00EF5B01">
        <w:rPr>
          <w:rFonts w:asciiTheme="minorHAnsi" w:eastAsia="Times New Roman" w:hAnsiTheme="minorHAnsi" w:cs="Times New Roman"/>
          <w:bCs/>
          <w:iCs/>
          <w:color w:val="000000" w:themeColor="text1"/>
          <w:sz w:val="24"/>
          <w:szCs w:val="24"/>
        </w:rPr>
        <w:t>2021.(</w:t>
      </w:r>
      <w:proofErr w:type="gramEnd"/>
      <w:r w:rsidRPr="00EF5B01">
        <w:rPr>
          <w:rFonts w:asciiTheme="minorHAnsi" w:eastAsia="Times New Roman" w:hAnsiTheme="minorHAnsi" w:cs="Times New Roman"/>
          <w:bCs/>
          <w:iCs/>
          <w:color w:val="000000" w:themeColor="text1"/>
          <w:sz w:val="24"/>
          <w:szCs w:val="24"/>
        </w:rPr>
        <w:t>*)</w:t>
      </w:r>
    </w:p>
    <w:p w14:paraId="4462B63F"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9F679B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Si veda anche l'Avviso di rettifica pubblicato nella Gazzetta Ufficiale n. 130 del 1° giugno 2021.</w:t>
      </w:r>
    </w:p>
    <w:p w14:paraId="1FA8FBE3"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0D3FE18"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C7B543" w14:textId="77777777" w:rsidR="00EF5B01" w:rsidRDefault="00EF5B01" w:rsidP="00EF5B0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B819D5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w:t>
      </w:r>
    </w:p>
    <w:p w14:paraId="767CD4F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GOVERNANCE PER IL PNRR</w:t>
      </w:r>
    </w:p>
    <w:p w14:paraId="2E02C57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B5E803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33695582"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COORDINAMENTO, GESTIONE, ATTUAZIONE, MONITORAGGIO E CONTROLLO DEL PNRR</w:t>
      </w:r>
    </w:p>
    <w:p w14:paraId="6B023769"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14B98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w:t>
      </w:r>
    </w:p>
    <w:p w14:paraId="691DFF4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(Princìpi, finalità e definizioni)</w:t>
      </w:r>
    </w:p>
    <w:p w14:paraId="3ED635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D26E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definisce il quadro normativo nazionale finalizzato a semplificare e agevolare la realizzazione dei traguardi e degli obiettivi stabiliti dal Piano Nazionale di Ripresa e Resilienza, di cui al regolamento (UE) 2021/241 del Parlamento europeo e del Consiglio del 12 febbraio 2021, dal Piano nazionale per gli investimenti complementari di cui al decreto-legge 6 maggio 2021, n. 59, nonché dal Piano Nazionale Integrato per l'Energia e il Clima 2030 di cui al Regolamento (UE) 2018/1999 del Parlamento europeo e del Consiglio dell'11 dicembre 2018.</w:t>
      </w:r>
    </w:p>
    <w:p w14:paraId="35DB33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 presente decreto e della sua attuazione assume preminente valore l'interesse nazionale alla sollecita e puntuale realizzazione degli interventi inclusi nei Piani indicati al comma 1, nel pieno rispetto degli standard e delle priorità dell'Unione europea in materia di clima e di ambiente.</w:t>
      </w:r>
    </w:p>
    <w:p w14:paraId="3542A2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Le disposizioni contenute nel presente decreto, in quanto direttamente attuative degli obblighi assunti in esecuzione del Regolamento (UE) 2021/241, sono adottate nell'esercizio della competenza legislativa esclusiva in materia di rapporti dello Stato con l'Unione europea di cui all'articolo 117, secondo comma, lettera a), della Costituzione e definiscono, ai sensi dell'art. 117, secondo comma, lettera m) della </w:t>
      </w:r>
      <w:r w:rsidRPr="00EF5B01">
        <w:rPr>
          <w:rFonts w:asciiTheme="minorHAnsi" w:eastAsia="Times New Roman" w:hAnsiTheme="minorHAnsi" w:cs="Times New Roman"/>
          <w:bCs/>
          <w:iCs/>
          <w:color w:val="000000" w:themeColor="text1"/>
          <w:sz w:val="24"/>
          <w:szCs w:val="24"/>
        </w:rPr>
        <w:lastRenderedPageBreak/>
        <w:t>Costituzione, livelli essenziali delle prestazioni concernenti i diritti civili e sociali che devono essere garantiti su tutto il territorio nazionale.</w:t>
      </w:r>
    </w:p>
    <w:p w14:paraId="586804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Ai fini del presente decreto si intende per:</w:t>
      </w:r>
    </w:p>
    <w:p w14:paraId="297E45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3C33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«Cabina di regia», organo con poteri di indirizzo politico, impulso e coordinamento generale sull'attuazione degli interventi del PNRR;</w:t>
      </w:r>
    </w:p>
    <w:p w14:paraId="5C91DC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D50E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«Fondo di Rotazione del Next Generation EU-Italia», il fondo di cui all'articolo 1, comma 1037 e seguenti della legge 30 dicembre 2020, n. 178;</w:t>
      </w:r>
    </w:p>
    <w:p w14:paraId="229DB4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1A30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«PNC», Piano nazionale per gli investimenti complementari al PNRR, di cui all'articolo 1 del decreto-legge 6 maggio 2021, n. 59, finalizzato ad integrare con risorse nazionali gli interventi del PNRR;</w:t>
      </w:r>
    </w:p>
    <w:p w14:paraId="62D30C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9AEF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«PNRR», il Piano nazionale di ripresa e resilienza presentato alla Commissione europea ai sensi dell'articolo 18 e seguenti del Regolamento (UE) 2021/241;</w:t>
      </w:r>
    </w:p>
    <w:p w14:paraId="33DEAA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37C6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«interventi del PNRR», gli investimenti e le riforme previste dal Piano Nazionale di Ripresa e Resilienza;</w:t>
      </w:r>
    </w:p>
    <w:p w14:paraId="76C152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99D4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«Regolamento (UE) 2021/241», regolamento del Parlamento europeo e del Consiglio del 12 febbraio 2021 che istituisce il dispositivo per la ripresa e la resilienza;</w:t>
      </w:r>
    </w:p>
    <w:p w14:paraId="357964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1CD8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«Segreteria tecnica», struttura costituita presso la Presidenza del Consiglio dei ministri per il supporto alle attività della Cabina di regia e del Tavolo permanente;</w:t>
      </w:r>
    </w:p>
    <w:p w14:paraId="26AB74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A255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«Semestre europeo», il processo definito all'articolo 2 bis del Regolamento (CE) n. 1466/97;</w:t>
      </w:r>
    </w:p>
    <w:p w14:paraId="60C295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FBBA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«Servizio centrale per il PNRR», struttura dirigenziale di livello generale istituita presso il Ministero dell'Economia e delle Finanze – Dipartimento della Ragioneria Generale dello Stato;</w:t>
      </w:r>
    </w:p>
    <w:p w14:paraId="0B1FD6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6C69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   l) «amministrazioni centrali titolari di interventi previsti nel PNRR», Ministeri e strutture della Presidenza del Consiglio dei ministri responsabili dell'attuazione delle riforme e degli investimenti previsti nel PNRR;</w:t>
      </w:r>
    </w:p>
    <w:p w14:paraId="5D1D78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95F1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«Sistema Nazionale di e-Procurement», il sistema di cui all'articolo 1, comma 1 del decreto legge 6 luglio 2012, n. 95, convertito con modificazioni dalla 7 agosto 2012, n. 135.</w:t>
      </w:r>
    </w:p>
    <w:p w14:paraId="696F52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B3B8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   n) «Sogei S.p.A.», la Società Generale d'Informatica S.p.A. di cui all' articolo 83, comma 15, del decreto-legge 25 giugno 2008, n. 112, convertito, con modificazioni, dalla legge 6 agosto 2008, n. 133, società in house del Ministero dell'Economia e delle Finanze;</w:t>
      </w:r>
    </w:p>
    <w:p w14:paraId="7FBA9A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C759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   o) «soggetti attuatori», soggetti pubblici o privati che provvedono alla realizzazione degli interventi previsti dal PNRR;</w:t>
      </w:r>
    </w:p>
    <w:p w14:paraId="5ED0CE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90FD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   p) «Tavolo permanente» il Tavolo permanente per il partenariato economico, sociale e territoriale, organo con funzioni consultive nelle materie e per le questioni connesse all'attuazione del PNRR;</w:t>
      </w:r>
    </w:p>
    <w:p w14:paraId="544878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4650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   q) «Unità di audit», struttura che svolge attività di controllo sull'attuazione del PNRR ai sensi del Regolamento (UE) 2021/241;</w:t>
      </w:r>
    </w:p>
    <w:p w14:paraId="5381B7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7A42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   r) «Unità di missione», l'Unità di missione di cui all'articolo 1, comma 1050 della Legge 30 dicembre 2020, n. 178, struttura che svolge funzioni di valutazione e monitoraggio degli interventi del PNRR;</w:t>
      </w:r>
    </w:p>
    <w:p w14:paraId="17538A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FF77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   s) «PNIEC», Piano nazionale integrato per l'energia e clima, predisposto in attuazione del Regolamento (UE) 2018/1999 del Parlamento europeo e del Consiglio, dell'11 dicembre 2018.</w:t>
      </w:r>
    </w:p>
    <w:p w14:paraId="359315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B7822E"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w:t>
      </w:r>
    </w:p>
    <w:p w14:paraId="290A077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(Cabina di regia)</w:t>
      </w:r>
    </w:p>
    <w:p w14:paraId="00CD11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181CD2" w14:textId="77777777" w:rsidR="003C2650" w:rsidRPr="00141F00" w:rsidRDefault="00EF5B01" w:rsidP="003C2650">
      <w:pPr>
        <w:jc w:val="both"/>
        <w:rPr>
          <w:rFonts w:asciiTheme="minorHAnsi" w:hAnsiTheme="minorHAnsi"/>
          <w:b/>
          <w:b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È istituita presso la Presidenza del Consiglio dei ministri la Cabina di regia per il Piano nazionale di ripresa e resilienza, presieduta dal Presidente del Consiglio dei ministri, alla quale partecipano i Ministri e i Sottosegretari di Stato alla Presidenza del Consiglio dei ministri competenti in ragione delle tematiche </w:t>
      </w:r>
      <w:r w:rsidRPr="00EF5B01">
        <w:rPr>
          <w:rFonts w:asciiTheme="minorHAnsi" w:eastAsia="Times New Roman" w:hAnsiTheme="minorHAnsi" w:cs="Times New Roman"/>
          <w:bCs/>
          <w:iCs/>
          <w:color w:val="000000" w:themeColor="text1"/>
          <w:sz w:val="24"/>
          <w:szCs w:val="24"/>
        </w:rPr>
        <w:lastRenderedPageBreak/>
        <w:t>affrontate in ciascuna seduta.</w:t>
      </w:r>
      <w:r w:rsidR="003C2650" w:rsidRPr="003C2650">
        <w:rPr>
          <w:rFonts w:asciiTheme="minorHAnsi" w:hAnsiTheme="minorHAnsi"/>
          <w:b/>
          <w:bCs/>
          <w:color w:val="000000" w:themeColor="text1"/>
          <w:sz w:val="24"/>
          <w:szCs w:val="24"/>
        </w:rPr>
        <w:t xml:space="preserve"> </w:t>
      </w:r>
      <w:r w:rsidR="003C2650" w:rsidRPr="00141F00">
        <w:rPr>
          <w:rFonts w:asciiTheme="minorHAnsi" w:hAnsiTheme="minorHAnsi"/>
          <w:b/>
          <w:bCs/>
          <w:color w:val="000000" w:themeColor="text1"/>
          <w:sz w:val="24"/>
          <w:szCs w:val="24"/>
        </w:rPr>
        <w:t>In relazione alle specifiche esigenze connesse alla necessità di assicurare la continuità dell'azione amministrativa, garantendo l'apporto delle professionalità adeguate al raggiungimento degli obiettivi riferiti al Piano di cui al presente comma, per il medesimo periodo in cui resta operativa la Cabina di regia di cui al primo periodo e comunque non oltre il 31 dicembre 2026, è sospesa l'applicazione di disposizioni che, con riguardo al personale che a qualunque titolo presta la propria attività lavorativa presso le amministrazioni di cui all'articolo 1, comma 2, del decreto legislativo 30 marzo 2001, n. 165, con esclusione del personale che ha raggiunto il limite di età per il collocamento a riposo dei dipendenti pubblici, titolari di interventi previsti nel PNRR, ovvero nel Piano nazionale per gli investimenti complementari di cui all'articolo 1 del decreto-legge 6 maggio 2021, n. 59, convertito, con modificazioni dalla legge 1° luglio 2021, n., 101, determinano il rientro del medesimo personale presso l'amministrazione statale di provenienza. Resta ferma la possibilità di revoca dell'incarico, o di non rinnovo dello stesso, ai sensi della vigente disciplina.</w:t>
      </w:r>
      <w:r w:rsidR="003C2650">
        <w:rPr>
          <w:rStyle w:val="Rimandonotaapidipagina"/>
          <w:rFonts w:asciiTheme="minorHAnsi" w:hAnsiTheme="minorHAnsi"/>
          <w:b/>
          <w:bCs/>
          <w:color w:val="000000" w:themeColor="text1"/>
          <w:sz w:val="24"/>
          <w:szCs w:val="24"/>
        </w:rPr>
        <w:footnoteReference w:id="2"/>
      </w:r>
    </w:p>
    <w:p w14:paraId="761696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A06AB4" w14:textId="77777777" w:rsidR="00EF5B01" w:rsidRPr="00EF5B01" w:rsidRDefault="00EF5B01" w:rsidP="003C2650">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La Cabina di regia esercita poteri di indirizzo, impulso e coordinamento generale sull'attuazione degli interventi del PNRR. </w:t>
      </w:r>
      <w:r w:rsidR="003C2650" w:rsidRPr="00141F00">
        <w:rPr>
          <w:rFonts w:asciiTheme="minorHAnsi" w:hAnsiTheme="minorHAnsi"/>
          <w:b/>
          <w:bCs/>
          <w:color w:val="000000" w:themeColor="text1"/>
          <w:sz w:val="24"/>
          <w:szCs w:val="24"/>
        </w:rPr>
        <w:t>Fermo restando quanto previsto dall'articolo 2 della legge 23 agosto 1988, n. 400,</w:t>
      </w:r>
      <w:r w:rsidR="003C2650">
        <w:rPr>
          <w:rStyle w:val="Rimandonotaapidipagina"/>
          <w:rFonts w:asciiTheme="minorHAnsi" w:hAnsiTheme="minorHAnsi"/>
          <w:b/>
          <w:bCs/>
          <w:color w:val="000000" w:themeColor="text1"/>
          <w:sz w:val="24"/>
          <w:szCs w:val="24"/>
        </w:rPr>
        <w:footnoteReference w:id="3"/>
      </w:r>
      <w:r w:rsidR="003C2650">
        <w:rPr>
          <w:rFonts w:asciiTheme="minorHAnsi" w:hAnsiTheme="minorHAnsi"/>
          <w:b/>
          <w:bCs/>
          <w:color w:val="000000" w:themeColor="text1"/>
          <w:sz w:val="24"/>
          <w:szCs w:val="24"/>
        </w:rPr>
        <w:t xml:space="preserve"> </w:t>
      </w:r>
      <w:r w:rsidR="003C2650">
        <w:rPr>
          <w:rFonts w:asciiTheme="minorHAnsi" w:hAnsiTheme="minorHAnsi"/>
          <w:color w:val="000000" w:themeColor="text1"/>
          <w:sz w:val="24"/>
          <w:szCs w:val="24"/>
        </w:rPr>
        <w:t>i</w:t>
      </w:r>
      <w:r w:rsidRPr="00EF5B01">
        <w:rPr>
          <w:rFonts w:asciiTheme="minorHAnsi" w:eastAsia="Times New Roman" w:hAnsiTheme="minorHAnsi" w:cs="Times New Roman"/>
          <w:bCs/>
          <w:iCs/>
          <w:color w:val="000000" w:themeColor="text1"/>
          <w:sz w:val="24"/>
          <w:szCs w:val="24"/>
        </w:rPr>
        <w:t>l Presidente del Consiglio dei ministri può delegare a un Ministro o a un Sottosegretario di Stato alla Presidenza del Consiglio dei ministri lo svolgimento di specifiche attività. La Cabina di regia in particolare:</w:t>
      </w:r>
    </w:p>
    <w:p w14:paraId="342A6A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3965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elabora indirizzi e linee guida per l'attuazione degli interventi del PNRR, anche con riferimento ai rapporti con i diversi livelli territoriali;</w:t>
      </w:r>
    </w:p>
    <w:p w14:paraId="6706D8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AFB6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effettua la ricognizione periodica e puntuale sullo stato di attuazione degli interventi, anche mediante la formulazione di indirizzi specifici sull'attività di monitoraggio e controllo svolta dal Servizio centrale per il PNRR, di cui all'articolo 6;</w:t>
      </w:r>
    </w:p>
    <w:p w14:paraId="4BFA30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175E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esamina, previa istruttoria della Segreteria tecnica di cui all'articolo 4, le tematiche e gli specifici profili di criticità segnalati dai Ministri competenti per materia e, con riferimento alle questioni di competenza regionale o locale dal Ministro per gli affari regionali e le autonomie e dalla Conferenza delle regioni e delle province autonome;</w:t>
      </w:r>
    </w:p>
    <w:p w14:paraId="138E76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5B82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effettua, anche avvalendosi dell'Ufficio per il programma di governo, il monitoraggio degli interventi che richiedono adempimenti normativi e segnala all'Unità per la razionalizzazione e il miglioramento della regolazione di cui all'articolo 5 l'eventuale necessità di interventi normativi idonei a garantire il rispetto dei tempi di attuazione;</w:t>
      </w:r>
    </w:p>
    <w:p w14:paraId="60B27D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959F9A" w14:textId="77777777" w:rsidR="00EF5B01" w:rsidRPr="00EF5B01" w:rsidRDefault="00EF5B01" w:rsidP="00577838">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trasmette alle Camere con cadenza semestrale, per il tramite del Ministro per i rapporti con il Parlamento, una relazione sullo stato di attuazione del PNRR, recante le informazioni di cui all'articolo 1, comma 1045, della legge 30 dicembre 2020, n. 178, nonché, anche su richiesta delle Commissioni parlamentari, ogni elemento utile a valutare lo stato di avanzamento degli interventi, il loro impatto e l'efficacia rispetto agli obiettivi perseguiti</w:t>
      </w:r>
      <w:r w:rsidR="00577838" w:rsidRPr="00294063">
        <w:rPr>
          <w:rFonts w:asciiTheme="minorHAnsi" w:hAnsiTheme="minorHAnsi"/>
          <w:b/>
          <w:bCs/>
          <w:color w:val="000000" w:themeColor="text1"/>
          <w:sz w:val="24"/>
          <w:szCs w:val="24"/>
        </w:rPr>
        <w:t>, con specifico riguardo alle politiche di sostegno per l'occupazione e per l'integrazione socio-economica dei giovani, alla parità di genere e alla partecipazione delle donne al mercato del lavoro</w:t>
      </w:r>
      <w:r w:rsidR="00577838">
        <w:rPr>
          <w:rStyle w:val="Rimandonotaapidipagina"/>
          <w:rFonts w:asciiTheme="minorHAnsi" w:hAnsiTheme="minorHAnsi"/>
          <w:b/>
          <w:bCs/>
          <w:color w:val="000000" w:themeColor="text1"/>
          <w:sz w:val="24"/>
          <w:szCs w:val="24"/>
        </w:rPr>
        <w:footnoteReference w:id="4"/>
      </w:r>
      <w:r w:rsidRPr="00EF5B01">
        <w:rPr>
          <w:rFonts w:asciiTheme="minorHAnsi" w:eastAsia="Times New Roman" w:hAnsiTheme="minorHAnsi" w:cs="Times New Roman"/>
          <w:bCs/>
          <w:iCs/>
          <w:color w:val="000000" w:themeColor="text1"/>
          <w:sz w:val="24"/>
          <w:szCs w:val="24"/>
        </w:rPr>
        <w:t>;</w:t>
      </w:r>
    </w:p>
    <w:p w14:paraId="19189A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F5C6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aggiorna periodicamente il Consiglio dei ministri sullo stato di avanzamento degli interventi del PNRR;</w:t>
      </w:r>
    </w:p>
    <w:p w14:paraId="72D523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CC9BE9" w14:textId="77777777" w:rsidR="00EF5B01" w:rsidRPr="00422F9D"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EF5B01">
        <w:rPr>
          <w:rFonts w:asciiTheme="minorHAnsi" w:eastAsia="Times New Roman" w:hAnsiTheme="minorHAnsi" w:cs="Times New Roman"/>
          <w:bCs/>
          <w:iCs/>
          <w:color w:val="000000" w:themeColor="text1"/>
          <w:sz w:val="24"/>
          <w:szCs w:val="24"/>
        </w:rPr>
        <w:t>   </w:t>
      </w:r>
      <w:r w:rsidRPr="00422F9D">
        <w:rPr>
          <w:rFonts w:asciiTheme="minorHAnsi" w:eastAsia="Times New Roman" w:hAnsiTheme="minorHAnsi" w:cs="Times New Roman"/>
          <w:bCs/>
          <w:iCs/>
          <w:strike/>
          <w:color w:val="000000" w:themeColor="text1"/>
          <w:sz w:val="24"/>
          <w:szCs w:val="24"/>
          <w:highlight w:val="yellow"/>
        </w:rPr>
        <w:t>g) trasmette, per il tramite del Ministro per gli affari regionali e le autonomie, la relazione periodica di cui alla lettera precedente alla Conferenza unificata, la quale è costantemente aggiornata dal Ministro per gli affari regionali e le autonomie circa lo stato di avanzamento degli interventi e le eventuali criticità attuative;</w:t>
      </w:r>
    </w:p>
    <w:p w14:paraId="45862B76" w14:textId="77777777" w:rsidR="00422F9D" w:rsidRPr="00294063" w:rsidRDefault="00422F9D" w:rsidP="00422F9D">
      <w:pPr>
        <w:jc w:val="both"/>
        <w:rPr>
          <w:rFonts w:asciiTheme="minorHAnsi" w:hAnsiTheme="minorHAnsi"/>
          <w:b/>
          <w:bCs/>
          <w:color w:val="000000" w:themeColor="text1"/>
          <w:sz w:val="24"/>
          <w:szCs w:val="24"/>
        </w:rPr>
      </w:pPr>
      <w:r w:rsidRPr="00294063">
        <w:rPr>
          <w:rFonts w:asciiTheme="minorHAnsi" w:hAnsiTheme="minorHAnsi"/>
          <w:b/>
          <w:bCs/>
          <w:color w:val="000000" w:themeColor="text1"/>
          <w:sz w:val="24"/>
          <w:szCs w:val="24"/>
        </w:rPr>
        <w:t xml:space="preserve">   g) trasmette, per il tramite, rispettivamente, del Ministro per gli affari regionali e le autonomie e della Segreteria tecnica di cui all'articolo 4 del presente decreto, la relazione periodica di cui alla lettera e) del presente comma alla Conferenza unificata di cui all'articolo 8 del decreto legislativo 28 agosto 1997, n. 281, e al Tavolo permanente di cui all'articolo 3 del presente decreto, i quali sono </w:t>
      </w:r>
      <w:r w:rsidRPr="00294063">
        <w:rPr>
          <w:rFonts w:asciiTheme="minorHAnsi" w:hAnsiTheme="minorHAnsi"/>
          <w:b/>
          <w:bCs/>
          <w:color w:val="000000" w:themeColor="text1"/>
          <w:sz w:val="24"/>
          <w:szCs w:val="24"/>
        </w:rPr>
        <w:lastRenderedPageBreak/>
        <w:t>costantemente aggiornati dagli stessi circa lo stato di avanzamento degli interventi e le eventuali criticità attuative;</w:t>
      </w:r>
      <w:r>
        <w:rPr>
          <w:rStyle w:val="Rimandonotaapidipagina"/>
          <w:rFonts w:asciiTheme="minorHAnsi" w:hAnsiTheme="minorHAnsi"/>
          <w:b/>
          <w:bCs/>
          <w:color w:val="000000" w:themeColor="text1"/>
          <w:sz w:val="24"/>
          <w:szCs w:val="24"/>
        </w:rPr>
        <w:footnoteReference w:id="5"/>
      </w:r>
    </w:p>
    <w:p w14:paraId="473E24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promuove il coordinamento tra i diversi livelli di governo e propone, ove ne ricorrano le condizioni, l'attivazione dei poteri sostitutivi di cui all'articolo 12;</w:t>
      </w:r>
    </w:p>
    <w:p w14:paraId="3607A2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327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assicura la cooperazione con il partenariato economico, sociale e territoriale mediante il Tavolo permanente di cui all'articolo 3;</w:t>
      </w:r>
    </w:p>
    <w:p w14:paraId="6E7AA1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8788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promuove attività di informazione e comunicazione coerente con l'articolo 34 del Regolamento (UE) 2021/241.</w:t>
      </w:r>
    </w:p>
    <w:p w14:paraId="778223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A2D212" w14:textId="77777777" w:rsidR="00EF5B01" w:rsidRPr="00EF5B01" w:rsidRDefault="00EF5B01" w:rsidP="00422F9D">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Alle sedute della Cabina di regia partecipano i Presidenti di Regioni e delle Province autonome di Trento e di Bolzano quando sono esaminate questioni di competenza di una singola regione o provincia autonoma, ovvero il Presidente della Conferenza delle regioni e delle province autonome, quando sono esaminate questioni che riguardano più regioni o province autonome</w:t>
      </w:r>
      <w:r w:rsidR="00422F9D" w:rsidRPr="00294063">
        <w:rPr>
          <w:rFonts w:asciiTheme="minorHAnsi" w:hAnsiTheme="minorHAnsi"/>
          <w:b/>
          <w:bCs/>
          <w:color w:val="000000" w:themeColor="text1"/>
          <w:sz w:val="24"/>
          <w:szCs w:val="24"/>
        </w:rPr>
        <w:t>, ovvero il Presidente dell'ANCI e il Presidente dell'UPI quando sono esaminate questioni di interesse locale</w:t>
      </w:r>
      <w:r w:rsidR="00422F9D">
        <w:rPr>
          <w:rStyle w:val="Rimandonotaapidipagina"/>
          <w:rFonts w:asciiTheme="minorHAnsi" w:hAnsiTheme="minorHAnsi"/>
          <w:b/>
          <w:bCs/>
          <w:color w:val="000000" w:themeColor="text1"/>
          <w:sz w:val="24"/>
          <w:szCs w:val="24"/>
        </w:rPr>
        <w:footnoteReference w:id="6"/>
      </w:r>
      <w:r w:rsidRPr="00EF5B01">
        <w:rPr>
          <w:rFonts w:asciiTheme="minorHAnsi" w:eastAsia="Times New Roman" w:hAnsiTheme="minorHAnsi" w:cs="Times New Roman"/>
          <w:bCs/>
          <w:iCs/>
          <w:color w:val="000000" w:themeColor="text1"/>
          <w:sz w:val="24"/>
          <w:szCs w:val="24"/>
        </w:rPr>
        <w:t>; in tali casi alla seduta partecipa sempre il Ministro per gli affari regionali e le autonomie, che può presiederla su delega del Presidente del Consiglio dei ministri. Alle sedute della Cabina di regia possono essere inoltre invitati, in dipendenza della tematica affrontata, i rappresentanti dei soggetti attuatori e dei rispettivi organismi associativi e i referenti o rappresentanti del partenariato economico e sociale.</w:t>
      </w:r>
    </w:p>
    <w:p w14:paraId="3F61DB7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Comitato interministeriale per la transizione digitale di cui all'articolo 8 del decreto 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e il Comitato interministeriale per la transizione ecologica di cui all'articolo 57-bis del decreto legislativo 3 aprile 2006, n. 152, svolgono, sull'attuazione degli interventi del PNRR, nelle materie di rispettiva competenza, le funzioni di indirizzo, impulso e coordinamento tecnico, tenendo informata la Cabina di regia che ha la facoltà di partecipare </w:t>
      </w:r>
      <w:r w:rsidRPr="00EF5B01">
        <w:rPr>
          <w:rFonts w:asciiTheme="minorHAnsi" w:eastAsia="Times New Roman" w:hAnsiTheme="minorHAnsi" w:cs="Times New Roman"/>
          <w:bCs/>
          <w:iCs/>
          <w:color w:val="000000" w:themeColor="text1"/>
          <w:sz w:val="24"/>
          <w:szCs w:val="24"/>
        </w:rPr>
        <w:lastRenderedPageBreak/>
        <w:t>attraverso un delegato. Le amministrazioni centrali titolari di interventi previsti nel PNRR possono sottoporre alla Cabina di regia l'esame delle questioni che non hanno trovato soluzione all'interno del Comitato interministeriale.</w:t>
      </w:r>
    </w:p>
    <w:p w14:paraId="17DDDA2F" w14:textId="4678209A" w:rsidR="003012C8" w:rsidRPr="003012C8" w:rsidRDefault="00EF5B01" w:rsidP="003012C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EF5B01">
        <w:rPr>
          <w:rFonts w:asciiTheme="minorHAnsi" w:eastAsia="Times New Roman" w:hAnsiTheme="minorHAnsi" w:cs="Times New Roman"/>
          <w:bCs/>
          <w:iCs/>
          <w:color w:val="000000" w:themeColor="text1"/>
          <w:sz w:val="24"/>
          <w:szCs w:val="24"/>
        </w:rPr>
        <w:t>  5. Negli ambiti in cui le funzioni statali di programmazione e attuazione degli investimenti previsti nel PNRR e nel Piano nazionale complementare al PNRR richiedano il coordinamento con l'esercizio delle competenze costituzionalmente attribuite alle regioni, alle province autonome di Trento e di Bolzano e agli enti locali, e al fine di assicurarne l'armonizzazione con gli indirizzi della Cabina di regia di cui al comma 2, del Comitato sulla transizione ecologica di cui all'art. 57-bis del decreto legislativo 3 aprile 2006, n. 152 e del Comitato interministeriale per transizione digitale di cui all'articolo 8, comma 2,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w:t>
      </w:r>
      <w:r w:rsidR="003012C8">
        <w:rPr>
          <w:rFonts w:asciiTheme="minorHAnsi" w:eastAsia="Times New Roman" w:hAnsiTheme="minorHAnsi" w:cs="Times New Roman"/>
          <w:bCs/>
          <w:iCs/>
          <w:color w:val="000000" w:themeColor="text1"/>
          <w:sz w:val="24"/>
          <w:szCs w:val="24"/>
        </w:rPr>
        <w:t xml:space="preserve"> </w:t>
      </w:r>
      <w:r w:rsidR="003012C8" w:rsidRPr="003012C8">
        <w:rPr>
          <w:rFonts w:asciiTheme="minorHAnsi" w:eastAsia="Times New Roman" w:hAnsiTheme="minorHAnsi" w:cs="Times New Roman"/>
          <w:b/>
          <w:iCs/>
          <w:color w:val="000000" w:themeColor="text1"/>
          <w:sz w:val="24"/>
          <w:szCs w:val="24"/>
        </w:rPr>
        <w:t>e con la programmazione 2021-2027 dei fondi strutturali e di investimento europei,</w:t>
      </w:r>
      <w:r w:rsidR="003012C8">
        <w:rPr>
          <w:rStyle w:val="Rimandonotaapidipagina"/>
          <w:rFonts w:asciiTheme="minorHAnsi" w:eastAsia="Times New Roman" w:hAnsiTheme="minorHAnsi" w:cs="Times New Roman"/>
          <w:b/>
          <w:iCs/>
          <w:color w:val="000000" w:themeColor="text1"/>
          <w:sz w:val="24"/>
          <w:szCs w:val="24"/>
        </w:rPr>
        <w:footnoteReference w:id="7"/>
      </w:r>
      <w:r w:rsidR="003012C8">
        <w:rPr>
          <w:rFonts w:asciiTheme="minorHAnsi" w:eastAsia="Times New Roman" w:hAnsiTheme="minorHAnsi" w:cs="Times New Roman"/>
          <w:b/>
          <w:i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 xml:space="preserve"> il Ministro per gli affari regionali e le autonomie partecipa alle sedute della Cabina di regia e dei Comitati predetti e, su impulso di questi, promuove le conseguenti iniziative anche in sede di Conferenza permanente per i rapporti tra lo Stato, le regioni e le province autonome di Trento e Bolzano nonché di Conferenza unificata. Nei casi di cui al primo periodo, quando si tratta di materie nelle quali le regioni e le province autonome va</w:t>
      </w:r>
      <w:r w:rsidR="003012C8" w:rsidRPr="003012C8">
        <w:t xml:space="preserve"> </w:t>
      </w:r>
      <w:r w:rsidR="003012C8" w:rsidRPr="003012C8">
        <w:rPr>
          <w:rFonts w:asciiTheme="minorHAnsi" w:eastAsia="Times New Roman" w:hAnsiTheme="minorHAnsi" w:cs="Times New Roman"/>
          <w:bCs/>
          <w:iCs/>
          <w:color w:val="000000" w:themeColor="text1"/>
          <w:sz w:val="24"/>
          <w:szCs w:val="24"/>
        </w:rPr>
        <w:t xml:space="preserve">Al comma 5, dopo le parole: legge 22 aprile 2021, n. 55, inserire le seguenti: </w:t>
      </w:r>
    </w:p>
    <w:p w14:paraId="200E15C0" w14:textId="77777777" w:rsidR="003012C8" w:rsidRPr="00EF5B01" w:rsidRDefault="003012C8"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FE9C99" w14:textId="0987A158"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All'articolo 57-bis, comma 7, del decreto legislativo 3 aprile 2006, n. 152 le parole «composto da un rappresentante della Presidenza del Consiglio dei ministri» sono sostituite dalle seguenti: «composto da due rappresentanti della Presidenza del Consiglio dei ministri, di cui uno nominato dal Ministro per gli affari regionali e le autonomie,».</w:t>
      </w:r>
    </w:p>
    <w:p w14:paraId="08B13A28" w14:textId="5DA482F2" w:rsidR="003012C8" w:rsidRPr="003012C8" w:rsidRDefault="003012C8" w:rsidP="003012C8">
      <w:pPr>
        <w:rPr>
          <w:b/>
          <w:bCs/>
          <w:color w:val="000000" w:themeColor="text1"/>
          <w:sz w:val="24"/>
          <w:szCs w:val="24"/>
        </w:rPr>
      </w:pPr>
      <w:r w:rsidRPr="00316160">
        <w:rPr>
          <w:sz w:val="24"/>
          <w:szCs w:val="24"/>
        </w:rPr>
        <w:t>  </w:t>
      </w:r>
      <w:r w:rsidRPr="003012C8">
        <w:rPr>
          <w:b/>
          <w:bCs/>
          <w:color w:val="000000" w:themeColor="text1"/>
          <w:sz w:val="24"/>
          <w:szCs w:val="24"/>
        </w:rPr>
        <w:t xml:space="preserve">6-bis. Il Presidente del Consiglio dei ministri può deferire singole questioni al Consiglio dei ministri perché stabilisca le direttive alle quali la Cabina di regia deve attenersi, nell'ambito delle norme vigenti. Le amministrazioni di cui al comma 1 dell'articolo 8 assicurano che, in sede di definizione delle procedure di attuazione degli interventi del PNRR, almeno il 40 per cento delle risorse allocabili territorialmente, anche attraverso bandi, indipendentemente dalla fonte finanziaria di provenienza, sia destinato alle regioni del Mezzogiorno, salve le specifiche allocazioni territoriali già previste nel PNRR. Il Dipartimento per le politiche di coesione della Presidenza del Consiglio dei ministri, attraverso i dati rilevati dal sistema di monitoraggio attivato dal Servizio centrale per il PNRR di cui all'articolo 6, verifica il rispetto del predetto obiettivo e, laddove necessario, sottopone gli eventuali </w:t>
      </w:r>
      <w:r w:rsidRPr="003012C8">
        <w:rPr>
          <w:b/>
          <w:bCs/>
          <w:color w:val="000000" w:themeColor="text1"/>
          <w:sz w:val="24"/>
          <w:szCs w:val="24"/>
        </w:rPr>
        <w:lastRenderedPageBreak/>
        <w:t>casi di scostamento alla Cabina di regia, che adotta le occorrenti misure correttive e propone eventuali misure compensative.</w:t>
      </w:r>
      <w:r>
        <w:rPr>
          <w:rStyle w:val="Rimandonotaapidipagina"/>
          <w:b/>
          <w:bCs/>
          <w:color w:val="000000" w:themeColor="text1"/>
          <w:sz w:val="24"/>
          <w:szCs w:val="24"/>
        </w:rPr>
        <w:footnoteReference w:id="8"/>
      </w:r>
    </w:p>
    <w:p w14:paraId="334567F0" w14:textId="77777777" w:rsidR="003012C8" w:rsidRPr="00EF5B01" w:rsidRDefault="003012C8"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CA81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CE8FFC"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w:t>
      </w:r>
    </w:p>
    <w:p w14:paraId="76766E7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(Tavolo permanente per il partenariato economico, sociale e territoriale)</w:t>
      </w:r>
    </w:p>
    <w:p w14:paraId="3877D2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C8A1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è istituito il Tavolo permanente per il partenariato economico, sociale e territoriale, composto da rappresentanti delle parti sociali, del Governo, delle Regioni, delle Province autonome di Trento e di Bolzano, degli Enti locali e dei rispettivi organismi associativi, delle categorie produttive e sociali, del sistema dell'università e della ricerca e della società civile. I componenti sono individuati secondo un criterio di maggiore rappresentatività e agli stessi non spettano compensi, gettoni di presenza, rimborsi di spese o altri emolumenti comunque denominati.</w:t>
      </w:r>
    </w:p>
    <w:p w14:paraId="16DD59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Tavolo permanente svolge funzioni consultive nelle materie e per le questioni connesse all'attuazione del PNRR. Il Tavolo permanente può segnalare collaborativamente alla Cabina di regia di cui all'articolo 2 e al Servizio centrale per il PNRR di cui all'articolo 6 ogni profilo ritenuto rilevante per la realizzazione del PNRR anche al fine di favorire il superamento di circostanze ostative e agevolare l'efficace e celere attuazione degli interventi.</w:t>
      </w:r>
    </w:p>
    <w:p w14:paraId="44C154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CA403E"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w:t>
      </w:r>
    </w:p>
    <w:p w14:paraId="350F635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(Segreteria tecnica presso la Presidenza del Consiglio dei ministri)</w:t>
      </w:r>
    </w:p>
    <w:p w14:paraId="2A61D7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8C38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Con decreto del Presidente del Consiglio dei ministri ai sensi dell'articolo 7, comma 4, del decreto legislativo 30 luglio 1999, n. 303 è costituita una struttura con funzioni di segreteria tecnica per il supporto alle attività della Cabina di regia e del Tavolo permanente, la cui durata temporanea è superiore a quella del Governo che la istituisce e si protrae fino al completamento del PNRR e comunque non oltre il 31 dicembre 2026. La Segreteria tecnica opera in raccordo con il Dipartimento per il coordinamento amministrativo, il Dipartimento per la programmazione e il coordinamento della politica economica e l'Ufficio per il programma di governo.</w:t>
      </w:r>
    </w:p>
    <w:p w14:paraId="4C5D76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Segreteria tecnica di cui al presente articolo:</w:t>
      </w:r>
    </w:p>
    <w:p w14:paraId="389AE2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EE82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supporta la Cabina di regia e il Tavolo permanente nell'esercizio delle rispettive funzioni;</w:t>
      </w:r>
    </w:p>
    <w:p w14:paraId="610DE3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D0A7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elabora periodici rapporti informativi alla Cabina di regia sulla base dell'analisi e degli esiti del monitoraggio sull'attuazione del PNRR comunicati dal Ministero dell'economia e delle finanze – Dipartimento della Ragioneria Generale dello Stato;</w:t>
      </w:r>
    </w:p>
    <w:p w14:paraId="1BA7C9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F35F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individua e segnala al Presidente del Consiglio dei ministri le azioni utili al superamento delle criticità segnalate dai Ministri competenti per materia;</w:t>
      </w:r>
    </w:p>
    <w:p w14:paraId="29A3BD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B3E3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acquisisce dal Servizio centrale per il PNRR di cui all'articolo 6, le informazioni e i dati di attuazione del PNRR a livello di ciascun progetto, ivi compresi quelli relativi al rispetto della tempistica programmata ed a eventuali criticità rilevate nella fase di attuazione degli interventi;</w:t>
      </w:r>
    </w:p>
    <w:p w14:paraId="55218F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8EC4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ove ne ricorrano le condizioni all'esito dell'istruttoria svolta, segnala al Presidente del Consiglio dei ministri i casi da valutare ai fini dell'eventuale esercizio dei poteri sostitutivi di cui all'articolo 12;</w:t>
      </w:r>
    </w:p>
    <w:p w14:paraId="171F41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0FBC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istruisce i procedimenti relativi all'adozione di decisioni finalizzate al superamento del dissenso di cui all'articolo 13 e all'articolo 44.</w:t>
      </w:r>
    </w:p>
    <w:p w14:paraId="67C27B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100D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le finalità di cui al presente articolo è autorizzata la spesa di euro 200.000 per l'anno 2021 e di euro 400.000 per ciascuno degli anni dal 2022 al 2026, aggiuntivi rispetto agli eventuali ulteriori stanziamenti che verranno definiti a valere sul bilancio autonomo della Presidenza del Consiglio dei Ministri, ai sensi dell'art. 7, comma 4, del decreto legislativo. 30 luglio 1999, n. 303. Ai relativi oneri si provvede ai sensi dell'articolo 16.</w:t>
      </w:r>
    </w:p>
    <w:p w14:paraId="21EDEC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86921C"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w:t>
      </w:r>
    </w:p>
    <w:p w14:paraId="28A003A8"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(Unità per la razionalizzazione e il miglioramento della regolazione e Ufficio per la semplificazione)</w:t>
      </w:r>
    </w:p>
    <w:p w14:paraId="1DB902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9FB5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la Presidenza del Consiglio dei ministri è istituita una struttura di missione denominata Unità per la razionalizzazione e il miglioramento della regolazione.</w:t>
      </w:r>
    </w:p>
    <w:p w14:paraId="52F03F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L'Unità, costituita nell'ambito del Dipartimento per gli affari giuridici e legislativi, ha durata temporanea superiore a quella del Governo che la istituisce e si protrae fino al completamento del PNRR e comunque non oltre il 31 dicembre 2026. All'Unità è assegnato un contingente di personale, nei limiti </w:t>
      </w:r>
      <w:r w:rsidRPr="00EF5B01">
        <w:rPr>
          <w:rFonts w:asciiTheme="minorHAnsi" w:eastAsia="Times New Roman" w:hAnsiTheme="minorHAnsi" w:cs="Times New Roman"/>
          <w:bCs/>
          <w:iCs/>
          <w:color w:val="000000" w:themeColor="text1"/>
          <w:sz w:val="24"/>
          <w:szCs w:val="24"/>
        </w:rPr>
        <w:lastRenderedPageBreak/>
        <w:t>delle risorse di cui al comma 4. L'Unità opera in raccordo con il gruppo di lavoro sull'analisi d'impatto della regolamentazione (AIR) del Nucleo, istituito presso la Presidenza del Consiglio dei ministri, ai sensi dell'articolo 1 della legge 17 maggio 1999, n. 144.</w:t>
      </w:r>
    </w:p>
    <w:p w14:paraId="65D35E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svolge i seguenti compiti:</w:t>
      </w:r>
    </w:p>
    <w:p w14:paraId="78E681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0AB8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individua, sulla base delle segnalazioni trasmesse dalla Cabina di regia di cui all'articolo 2, gli ostacoli all'attuazione corretta e tempestiva delle riforme e degli investimenti previsti nel PNRR derivanti dalle disposizioni normative e dalle rispettive misure attuative e propone rimedi;</w:t>
      </w:r>
    </w:p>
    <w:p w14:paraId="3C5C6A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6E37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coordina, anche sulla base delle verifiche d'impatto della regolamentazione di cui all'articolo 14 della legge 28 novembre 2005, n. 246, curate dalle amministrazioni, l'elaborazione di proposte per superare le disfunzioni derivanti dalla normativa vigente e dalle relative misure attuative, al fine garantire maggiore coerenza ed efficacia della normazione;</w:t>
      </w:r>
    </w:p>
    <w:p w14:paraId="5F612B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D4FC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cura l'elaborazione di un programma di azioni prioritarie ai fini della razionalizzazione e revisione normativa;</w:t>
      </w:r>
    </w:p>
    <w:p w14:paraId="5EE9F8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DDFF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promuove e potenzia iniziative di sperimentazione normativa, anche tramite relazioni istituzionali con analoghe strutture istituite in Paesi stranieri, europei ed extraeuropei, e tiene in adeguata considerazione le migliori pratiche di razionalizzazione e sperimentazione normativa a livello internazionale;</w:t>
      </w:r>
    </w:p>
    <w:p w14:paraId="6F9E2B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F9D0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riceve e considera ipotesi e proposte di razionalizzazione e sperimentazione normativa formulate da soggetti pubblici e privati.</w:t>
      </w:r>
    </w:p>
    <w:p w14:paraId="07C7AB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FFDD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le finalità di cui al presente articolo è autorizzata la spesa di euro 200.000 per l'anno 2021 e di euro 400.000 per ciascuno degli anni dal 2022 al 2026, aggiuntivi rispetto agli eventuali ulteriori stanziamenti che verranno definiti a valere sul bilancio autonomo della Presidenza del Consiglio dei ministri, ai sensi dell'art. 7, comma 4, del decreto legislativo 30 luglio 1999, n. 303. Ai relativi oneri si provvede ai sensi dell'articolo 16.</w:t>
      </w:r>
    </w:p>
    <w:p w14:paraId="1FEA21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L'Ufficio per la semplificazione del Dipartimento della funzione pubblica opera in raccordo con l'Unità di cui all'articolo 1, comma 22-bis, del decreto-legge 18 maggio 2006, n. 181, convertito, con modificazioni, dalla legge 17 luglio 2006, n. 233, nello svolgimento dei seguenti compiti:</w:t>
      </w:r>
    </w:p>
    <w:p w14:paraId="741CD1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A7DC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promozione e coordinamento delle attività di rafforzamento della capacità amministrativa nella gestione delle procedure complesse rilevanti ai fini del PNRR anche attraverso le task force di esperti multidisciplinari da allocare nel territorio previste dal PNRR;</w:t>
      </w:r>
    </w:p>
    <w:p w14:paraId="12C744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9B0D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promozione e coordinamento degli interventi di semplificazione e reingegnerizzazione delle procedure e della predisposizione del catalogo dei procedimenti semplificati e standardizzati previsti nel PNRR;</w:t>
      </w:r>
    </w:p>
    <w:p w14:paraId="3462F4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5DA5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misurazione e riduzione dei tempi e degli oneri a carico di cittadini e imprese;</w:t>
      </w:r>
    </w:p>
    <w:p w14:paraId="4A9A03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8E97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promozione di interventi normativi, organizzativi e tecnologici di semplificazione anche attraverso una Agenda per la semplificazione condivisa con le regioni, le Province autonome di Trento e Bolzano e gli enti locali;</w:t>
      </w:r>
    </w:p>
    <w:p w14:paraId="264566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8C40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pianificazione e verifica su base annuale degli interventi di semplificazione.</w:t>
      </w:r>
    </w:p>
    <w:p w14:paraId="5291DF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2BF2A1"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w:t>
      </w:r>
    </w:p>
    <w:p w14:paraId="4E07DB2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e rendicontazione del PNRR)</w:t>
      </w:r>
    </w:p>
    <w:p w14:paraId="1E708B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B660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il Ministero dell'economia e delle finanze – Dipartimento della Ragioneria generale dello Stato è istituito un ufficio centrale di livello dirigenziale generale, denominato Servizio centrale per il PNRR, con compiti di coordinamento operativo, monitoraggio, rendicontazione e controllo del PNRR, che rappresenta il punto di contatto nazionale per l'attuazione del PNRR ai sensi dell'articolo 22 del Regolamento (UE) 2021/241, conformandosi ai relativi obblighi di informazione, comunicazione e di pubblicità. Il Servizio centrale per il PNRR è inoltre responsabile della gestione del Fondo di Rotazione del Next Generation EU-Italia e dei connessi flussi finanziari, nonché della gestione del sistema di monitoraggio sull'attuazione delle riforme e degli investimenti del PNRR, assicurando il necessario supporto tecnico alle amministrazioni centrali titolari di interventi previsti nel PNRR di cui all'articolo 8. Il Servizio centrale per il PNRR si articola in sei uffici di livello dirigenziale non generale e, per l'esercizio dei propri compiti, può avvalersi del supporto di Società partecipate dallo Stato, come previsto all'articolo 9.</w:t>
      </w:r>
    </w:p>
    <w:p w14:paraId="159418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Nello svolgimento delle funzioni ad esso assegnate, il Servizio centrale per il PNRR si raccorda con l'Unità di missione e con gli Ispettorati competenti della Ragioneria generale dello Stato. Questi ultimi concorrono al presidio dei processi amministrativi e al monitoraggio anche finanziario degli interventi del PNRR per gli aspetti di relativa competenza. A tal fine, sono istituiti presso il Dipartimento della Ragioneria </w:t>
      </w:r>
      <w:r w:rsidRPr="00EF5B01">
        <w:rPr>
          <w:rFonts w:asciiTheme="minorHAnsi" w:eastAsia="Times New Roman" w:hAnsiTheme="minorHAnsi" w:cs="Times New Roman"/>
          <w:bCs/>
          <w:iCs/>
          <w:color w:val="000000" w:themeColor="text1"/>
          <w:sz w:val="24"/>
          <w:szCs w:val="24"/>
        </w:rPr>
        <w:lastRenderedPageBreak/>
        <w:t>Generale dello Stato cinque posizioni di funzione dirigenziale di livello non generale di consulenza, studio e ricerca per le esigenze degli Ispettorati competenti.</w:t>
      </w:r>
    </w:p>
    <w:p w14:paraId="6D7CE0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l'attuazione delle disposizioni di cui al presente articolo è autorizzata la spesa di euro 930.000 per l'anno 2021 e di euro 1.859.000 a decorrere dall'anno 2022. Ai relativi oneri si provvede ai sensi dell'articolo 16.</w:t>
      </w:r>
    </w:p>
    <w:p w14:paraId="6AB424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DD019C"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7.</w:t>
      </w:r>
    </w:p>
    <w:p w14:paraId="08936BAE"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(Controllo, audit, anticorruzione e trasparenza)</w:t>
      </w:r>
    </w:p>
    <w:p w14:paraId="1A96B9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673F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Presso il Dipartimento della Ragioneria generale dello Stato – Ispettorato generale per i Rapporti finanziari con l'Unione europea (IGRUE) è istituito un ufficio dirigenziale di livello non generale avente funzioni di audit del PNRR ai sensi dell'articolo 22 paragrafo 2, lettera c), punto ii), del Regolamento (UE) 2021/241. L'ufficio di cui al primo periodo opera in posizione di indipendenza funzionale rispetto alle strutture coinvolte nella gestione del PNRR e si avvale, nello svolgimento delle funzioni di controllo relative a linee di intervento realizzate a livello territoriale, dell'ausilio delle Ragionerie territoriali dello Stato.</w:t>
      </w:r>
    </w:p>
    <w:p w14:paraId="772C5ECC" w14:textId="04ABC54A" w:rsidR="00480879" w:rsidRDefault="00EF5B01" w:rsidP="00480879">
      <w:pPr>
        <w:jc w:val="both"/>
        <w:rPr>
          <w:b/>
          <w:bCs/>
          <w:color w:val="000000" w:themeColor="text1"/>
          <w:sz w:val="24"/>
          <w:szCs w:val="24"/>
        </w:rPr>
      </w:pPr>
      <w:r w:rsidRPr="00EF5B01">
        <w:rPr>
          <w:rFonts w:asciiTheme="minorHAnsi" w:eastAsia="Times New Roman" w:hAnsiTheme="minorHAnsi" w:cs="Times New Roman"/>
          <w:bCs/>
          <w:iCs/>
          <w:color w:val="000000" w:themeColor="text1"/>
          <w:sz w:val="24"/>
          <w:szCs w:val="24"/>
        </w:rPr>
        <w:t>  2. L'Unità di missione di cui all'articolo 1, comma 1050, della legge 30 dicembre 2020, n. 178 provvede, anche in collaborazione con le amministrazioni di cui all'articolo 8, alla predisposizione e attuazione del programma di valutazione in itinere ed ex post del PNRR, assicurando il rispetto degli articoli 19 e 20 del Regolamento (UE) 2021/241, nonché la coerenza dei relativi target e milestone. Concorre inoltre alla verifica della qualità e completezza dei dati di monitoraggio rilevati dal sistema di cui all'articolo 1, comma 1043, della legge 31 dicembre 2020, n. 178 e svolge attività di supporto ai fini della predisposizione dei rapporti e delle relazioni di attuazione e avanzamento del Piano.</w:t>
      </w:r>
      <w:r w:rsidR="00480879">
        <w:rPr>
          <w:rFonts w:asciiTheme="minorHAnsi" w:eastAsia="Times New Roman" w:hAnsiTheme="minorHAnsi" w:cs="Times New Roman"/>
          <w:bCs/>
          <w:iCs/>
          <w:color w:val="000000" w:themeColor="text1"/>
          <w:sz w:val="24"/>
          <w:szCs w:val="24"/>
        </w:rPr>
        <w:t xml:space="preserve"> </w:t>
      </w:r>
      <w:r w:rsidR="00480879" w:rsidRPr="00316160">
        <w:rPr>
          <w:b/>
          <w:bCs/>
          <w:color w:val="000000" w:themeColor="text1"/>
          <w:sz w:val="24"/>
          <w:szCs w:val="24"/>
        </w:rPr>
        <w:t xml:space="preserve">Al fine di avviare tempestivamente le procedure di monitoraggio degli interventi del PNRR nonché di esercitare la gestione e il coordinamento dello stesso, il Ministero dell'economia e delle finanze, per l'anno 2021, è autorizzato ad assumere con contratto di lavoro subordinato a tempo indeterminato, in aggiunta alle vigenti facoltà </w:t>
      </w:r>
      <w:proofErr w:type="spellStart"/>
      <w:r w:rsidR="00480879" w:rsidRPr="00316160">
        <w:rPr>
          <w:b/>
          <w:bCs/>
          <w:color w:val="000000" w:themeColor="text1"/>
          <w:sz w:val="24"/>
          <w:szCs w:val="24"/>
        </w:rPr>
        <w:t>assunzionali</w:t>
      </w:r>
      <w:proofErr w:type="spellEnd"/>
      <w:r w:rsidR="00480879" w:rsidRPr="00316160">
        <w:rPr>
          <w:b/>
          <w:bCs/>
          <w:color w:val="000000" w:themeColor="text1"/>
          <w:sz w:val="24"/>
          <w:szCs w:val="24"/>
        </w:rPr>
        <w:t xml:space="preserve">, nei limiti della vigente dotazione organica, un contingente di personale non dirigenziale di alta professionalità, da destinare ai Dipartimenti del tesoro e delle finanze del medesimo Ministero, pari a 50 unità, da inquadrare nell'Area III, posizione economica F3, del comparto Funzioni centrali. Il reclutamento del suddetto contingente di personale è effettuato senza il previo svolgimento </w:t>
      </w:r>
      <w:r w:rsidR="00480879" w:rsidRPr="00316160">
        <w:rPr>
          <w:b/>
          <w:bCs/>
          <w:color w:val="000000" w:themeColor="text1"/>
          <w:sz w:val="24"/>
          <w:szCs w:val="24"/>
        </w:rPr>
        <w:lastRenderedPageBreak/>
        <w:t>delle previste procedure di mobilità e mediante scorrimento delle vigenti graduatorie di concorsi pubblici.</w:t>
      </w:r>
      <w:r w:rsidR="00480879">
        <w:rPr>
          <w:rStyle w:val="Rimandonotaapidipagina"/>
          <w:b/>
          <w:bCs/>
          <w:color w:val="000000" w:themeColor="text1"/>
          <w:sz w:val="24"/>
          <w:szCs w:val="24"/>
        </w:rPr>
        <w:footnoteReference w:id="9"/>
      </w:r>
    </w:p>
    <w:p w14:paraId="4CBC5630" w14:textId="1909D164" w:rsidR="00480879" w:rsidRPr="00316160" w:rsidRDefault="00480879" w:rsidP="00480879">
      <w:pPr>
        <w:jc w:val="both"/>
        <w:rPr>
          <w:b/>
          <w:bCs/>
          <w:color w:val="000000" w:themeColor="text1"/>
          <w:sz w:val="24"/>
          <w:szCs w:val="24"/>
        </w:rPr>
      </w:pPr>
      <w:r>
        <w:rPr>
          <w:b/>
          <w:bCs/>
          <w:color w:val="000000" w:themeColor="text1"/>
          <w:sz w:val="24"/>
          <w:szCs w:val="24"/>
        </w:rPr>
        <w:t xml:space="preserve">    </w:t>
      </w:r>
      <w:r w:rsidRPr="00316160">
        <w:rPr>
          <w:b/>
          <w:bCs/>
          <w:color w:val="000000" w:themeColor="text1"/>
          <w:sz w:val="24"/>
          <w:szCs w:val="24"/>
        </w:rPr>
        <w:t>2-bis. All'ultimo periodo del comma 3 dell'articolo 3 del regolamento di cui al decreto del Presidente della Repubblica 3 luglio 2003, n. 227, le parole: «e per i Sottosegretari» sono soppresse</w:t>
      </w:r>
      <w:r>
        <w:rPr>
          <w:b/>
          <w:bCs/>
          <w:color w:val="000000" w:themeColor="text1"/>
          <w:sz w:val="24"/>
          <w:szCs w:val="24"/>
        </w:rPr>
        <w:t>.</w:t>
      </w:r>
      <w:r>
        <w:rPr>
          <w:rStyle w:val="Rimandonotaapidipagina"/>
          <w:b/>
          <w:bCs/>
          <w:color w:val="000000" w:themeColor="text1"/>
          <w:sz w:val="24"/>
          <w:szCs w:val="24"/>
        </w:rPr>
        <w:footnoteReference w:id="10"/>
      </w:r>
    </w:p>
    <w:p w14:paraId="571C8EC9" w14:textId="1E4FD09C"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L'Unità di missione si articola in due uffici dirigenziali di livello non generale. Essa provvede altresì a supportare le attività di valutazione delle politiche di spesa settoriali di competenza del Dipartimento della Ragioneria generale dello Stato e a valorizzare il patrimonio informativo relativo alle riforme e agli investimenti del PNRR anche attraverso lo sviluppo di iniziative di trasparenza e partecipazione indirizzate alle istituzioni e ai cittadini. Conseguentemente all'articolo 1, comma 1050, della Legge 30 dicembre 2020, n. 178, le parole «</w:t>
      </w:r>
      <w:r w:rsidRPr="00480879">
        <w:rPr>
          <w:rFonts w:asciiTheme="minorHAnsi" w:eastAsia="Times New Roman" w:hAnsiTheme="minorHAnsi" w:cs="Times New Roman"/>
          <w:bCs/>
          <w:iCs/>
          <w:strike/>
          <w:color w:val="000000" w:themeColor="text1"/>
          <w:sz w:val="24"/>
          <w:szCs w:val="24"/>
          <w:highlight w:val="yellow"/>
        </w:rPr>
        <w:t xml:space="preserve">di durata triennale rinnovabile una sola </w:t>
      </w:r>
      <w:proofErr w:type="gramStart"/>
      <w:r w:rsidRPr="00480879">
        <w:rPr>
          <w:rFonts w:asciiTheme="minorHAnsi" w:eastAsia="Times New Roman" w:hAnsiTheme="minorHAnsi" w:cs="Times New Roman"/>
          <w:bCs/>
          <w:iCs/>
          <w:strike/>
          <w:color w:val="000000" w:themeColor="text1"/>
          <w:sz w:val="24"/>
          <w:szCs w:val="24"/>
          <w:highlight w:val="yellow"/>
        </w:rPr>
        <w:t>volta</w:t>
      </w:r>
      <w:r w:rsidR="00480879">
        <w:rPr>
          <w:rFonts w:asciiTheme="minorHAnsi" w:eastAsia="Times New Roman" w:hAnsiTheme="minorHAnsi" w:cs="Times New Roman"/>
          <w:bCs/>
          <w:iCs/>
          <w:color w:val="000000" w:themeColor="text1"/>
          <w:sz w:val="24"/>
          <w:szCs w:val="24"/>
        </w:rPr>
        <w:t xml:space="preserve">  </w:t>
      </w:r>
      <w:r w:rsidR="00480879" w:rsidRPr="00316160">
        <w:rPr>
          <w:b/>
          <w:bCs/>
          <w:color w:val="000000" w:themeColor="text1"/>
          <w:sz w:val="24"/>
          <w:szCs w:val="24"/>
        </w:rPr>
        <w:t>,</w:t>
      </w:r>
      <w:proofErr w:type="gramEnd"/>
      <w:r w:rsidR="00480879" w:rsidRPr="00316160">
        <w:rPr>
          <w:b/>
          <w:bCs/>
          <w:color w:val="000000" w:themeColor="text1"/>
          <w:sz w:val="24"/>
          <w:szCs w:val="24"/>
        </w:rPr>
        <w:t xml:space="preserve"> di durata triennale rinnovabile una sola volta. Al fine di assicurare l'invarianza finanziaria, è reso indisponibile nell'ambito della dotazione organica del Ministero dell'economia e delle finanze un numero di posti di funzione dirigenziale di livello non generale equivalente sul piano finanziario</w:t>
      </w:r>
      <w:r w:rsidR="00480879" w:rsidRPr="00EF5B01">
        <w:rPr>
          <w:rFonts w:asciiTheme="minorHAnsi" w:eastAsia="Times New Roman" w:hAnsiTheme="minorHAnsi" w:cs="Times New Roman"/>
          <w:bCs/>
          <w:iCs/>
          <w:color w:val="000000" w:themeColor="text1"/>
          <w:sz w:val="24"/>
          <w:szCs w:val="24"/>
        </w:rPr>
        <w:t xml:space="preserve"> </w:t>
      </w:r>
      <w:r w:rsidR="00480879">
        <w:rPr>
          <w:rStyle w:val="Rimandonotaapidipagina"/>
          <w:rFonts w:asciiTheme="minorHAnsi" w:eastAsia="Times New Roman" w:hAnsiTheme="minorHAnsi" w:cs="Times New Roman"/>
          <w:bCs/>
          <w:iCs/>
          <w:color w:val="000000" w:themeColor="text1"/>
          <w:sz w:val="24"/>
          <w:szCs w:val="24"/>
        </w:rPr>
        <w:footnoteReference w:id="11"/>
      </w:r>
      <w:r w:rsidRPr="00EF5B01">
        <w:rPr>
          <w:rFonts w:asciiTheme="minorHAnsi" w:eastAsia="Times New Roman" w:hAnsiTheme="minorHAnsi" w:cs="Times New Roman"/>
          <w:bCs/>
          <w:iCs/>
          <w:color w:val="000000" w:themeColor="text1"/>
          <w:sz w:val="24"/>
          <w:szCs w:val="24"/>
        </w:rPr>
        <w:t>» sono soppresse.</w:t>
      </w:r>
    </w:p>
    <w:p w14:paraId="7D9E8903" w14:textId="0F0F9CCC" w:rsidR="00EF5B01" w:rsidRPr="00EF5B01" w:rsidRDefault="00EF5B01" w:rsidP="00480879">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Per le finalità dell'articolo 6 e del presente articolo, il Ministero dell'economia e delle finanze – Dipartimento della Ragioneria generale dello Stato è autorizzato a conferire n. 7 incarichi di livello dirigenziale non generale ai sensi dell'articolo 19, comma 6, del decreto legislativo 30 marzo 2001, n. 165, anche in deroga ai limiti ivi previsti, e a bandire apposite procedure concorsuali pubbliche e ad assumere, in deroga ai vigenti limiti </w:t>
      </w:r>
      <w:proofErr w:type="spellStart"/>
      <w:r w:rsidRPr="00EF5B01">
        <w:rPr>
          <w:rFonts w:asciiTheme="minorHAnsi" w:eastAsia="Times New Roman" w:hAnsiTheme="minorHAnsi" w:cs="Times New Roman"/>
          <w:bCs/>
          <w:iCs/>
          <w:color w:val="000000" w:themeColor="text1"/>
          <w:sz w:val="24"/>
          <w:szCs w:val="24"/>
        </w:rPr>
        <w:t>assunzionali</w:t>
      </w:r>
      <w:proofErr w:type="spellEnd"/>
      <w:r w:rsidRPr="00EF5B01">
        <w:rPr>
          <w:rFonts w:asciiTheme="minorHAnsi" w:eastAsia="Times New Roman" w:hAnsiTheme="minorHAnsi" w:cs="Times New Roman"/>
          <w:bCs/>
          <w:iCs/>
          <w:color w:val="000000" w:themeColor="text1"/>
          <w:sz w:val="24"/>
          <w:szCs w:val="24"/>
        </w:rPr>
        <w:t xml:space="preserve">, </w:t>
      </w:r>
      <w:r w:rsidR="00480879" w:rsidRPr="00480879">
        <w:rPr>
          <w:b/>
          <w:bCs/>
          <w:color w:val="000000" w:themeColor="text1"/>
          <w:sz w:val="24"/>
          <w:szCs w:val="24"/>
        </w:rPr>
        <w:t>o a ricorrere alle deroghe previste dall'articolo 1, comma 15 del decreto-legge 9 giugno 2021, n. 80, per</w:t>
      </w:r>
      <w:r w:rsidR="00480879">
        <w:rPr>
          <w:rStyle w:val="Rimandonotaapidipagina"/>
          <w:b/>
          <w:bCs/>
          <w:color w:val="000000" w:themeColor="text1"/>
          <w:sz w:val="24"/>
          <w:szCs w:val="24"/>
        </w:rPr>
        <w:footnoteReference w:id="12"/>
      </w:r>
      <w:r w:rsidR="00480879" w:rsidRPr="00480879">
        <w:rPr>
          <w:rFonts w:asciiTheme="minorHAnsi" w:eastAsia="Times New Roman" w:hAnsiTheme="minorHAnsi" w:cs="Times New Roman"/>
          <w:bCs/>
          <w:i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le restanti unità di livello dirigenziale non generale.</w:t>
      </w:r>
      <w:r w:rsidR="00480879">
        <w:rPr>
          <w:rFonts w:asciiTheme="minorHAnsi" w:eastAsia="Times New Roman" w:hAnsiTheme="minorHAnsi" w:cs="Times New Roman"/>
          <w:bCs/>
          <w:iCs/>
          <w:color w:val="000000" w:themeColor="text1"/>
          <w:sz w:val="24"/>
          <w:szCs w:val="24"/>
        </w:rPr>
        <w:t xml:space="preserve"> </w:t>
      </w:r>
      <w:r w:rsidR="00480879" w:rsidRPr="00316160">
        <w:rPr>
          <w:b/>
          <w:bCs/>
          <w:color w:val="000000" w:themeColor="text1"/>
          <w:sz w:val="24"/>
          <w:szCs w:val="24"/>
        </w:rPr>
        <w:t xml:space="preserve">Per le finalità di cui al presente articolo, presso il citato Dipartimento della Ragioneria generale dello Stato è istituita una posizione di funzione dirigenziale di livello generale di consulenza, studio e ricerca; il </w:t>
      </w:r>
      <w:r w:rsidR="00480879" w:rsidRPr="00316160">
        <w:rPr>
          <w:b/>
          <w:bCs/>
          <w:color w:val="000000" w:themeColor="text1"/>
          <w:sz w:val="24"/>
          <w:szCs w:val="24"/>
        </w:rPr>
        <w:lastRenderedPageBreak/>
        <w:t xml:space="preserve">Ministero dell'economia e delle finanze può avvalersi del supporto della società Studiare Sviluppo </w:t>
      </w:r>
      <w:proofErr w:type="spellStart"/>
      <w:r w:rsidR="00480879" w:rsidRPr="00316160">
        <w:rPr>
          <w:b/>
          <w:bCs/>
          <w:color w:val="000000" w:themeColor="text1"/>
          <w:sz w:val="24"/>
          <w:szCs w:val="24"/>
        </w:rPr>
        <w:t>srl</w:t>
      </w:r>
      <w:proofErr w:type="spellEnd"/>
      <w:r w:rsidR="00480879" w:rsidRPr="00316160">
        <w:rPr>
          <w:b/>
          <w:bCs/>
          <w:color w:val="000000" w:themeColor="text1"/>
          <w:sz w:val="24"/>
          <w:szCs w:val="24"/>
        </w:rPr>
        <w:t>, anche per la selezione delle occorrenti professionalità specialistiche.</w:t>
      </w:r>
      <w:r w:rsidR="00480879">
        <w:rPr>
          <w:rStyle w:val="Rimandonotaapidipagina"/>
          <w:b/>
          <w:bCs/>
          <w:color w:val="000000" w:themeColor="text1"/>
          <w:sz w:val="24"/>
          <w:szCs w:val="24"/>
        </w:rPr>
        <w:footnoteReference w:id="13"/>
      </w:r>
    </w:p>
    <w:p w14:paraId="45FB29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Entro trenta giorni dalla data di entrata in vigore della legge di conversione del presente decreto, con le modalità di cui all'articolo 17, comma 4-bis, lettera e), della legge 23 agosto 1988, n. 400, si provvede alla ridefinizione, in coerenza con l'articolo 6 e con il presente articolo, dei compiti degli uffici dirigenziali non generali del Ministero dell'economia e delle finanze, nelle more del perfezionamento del regolamento di organizzazione del predetto Ministero, ivi incluso quello degli uffici di diretta collaborazione, da adottarsi entro il 31 gennaio 2022 con le modalità di cui all'articolo 10 del decreto-legge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2021, n. 22, convertito con modificazioni dalla legge 22 aprile 2021 n. 55. In sede di prima applicazione, gli incarichi dirigenziali di cui all'articolo 6 e quelli di cui al presente articolo possono essere conferiti anche nel caso in cui le procedure di nomina siano state avviate prima dell'adozione del predetto regolamento di organizzazione, ma siano comunque conformi ai compiti e all'organizzazione del Ministero e coerenti rispettivamente con le disposizioni dell'articolo 6 e del presente articolo.</w:t>
      </w:r>
    </w:p>
    <w:p w14:paraId="4F7AE0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Sogei S.p.A. assicura il supporto di competenze tecniche e funzionali all'amministrazione economica finanziaria per l'attuazione del PNRR. Per tale attività può avvalersi di Studiare Sviluppo s.r.l., secondo le modalità che saranno definite in specifica Convenzione, per la selezione di esperti cui affidare le attività di supporto. Alla stessa Società non si applicano le disposizioni relative ai vincoli in materia di contratti di collaborazione coordinata e continuativa e la stessa determina i processi di selezione e assunzione di personale in base a criteri di massima celerità ed efficacia, prediligendo modalità di selezione basate su requisiti curriculari e su colloqui di natura tecnica, anche in deroga a quanto previsto dall'articolo 19 del decreto legislativo 19 agosto 2016, n. 175. Al presente comma si provvede nell'ambito delle risorse disponibili a legislazione vigente e senza nuovi o maggiori oneri per la finanza pubblica.</w:t>
      </w:r>
    </w:p>
    <w:p w14:paraId="37F57615" w14:textId="77777777" w:rsidR="00EF5B01" w:rsidRPr="00EF5B01" w:rsidRDefault="00EF5B01" w:rsidP="00F7321E">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 La Corte dei conti esercita il controllo sulla gestione di cui all'articolo 3, comma 4, della legge 14 gennaio 1994 n. 20, svolgendo in particolare valutazioni di economicità, efficienza ed efficacia circa l'acquisizione e l'impiego delle risorse finanziarie provenienti dai fondi di cui al PNRR. Tale controllo si informa a criteri di cooperazione e di coordinamento con la Corte dei conti europea, secondo quanto previsto dall'articolo 287, paragrafo 3 del Trattato sul funzionamento dell'Unione europea. </w:t>
      </w:r>
      <w:r w:rsidRPr="00F7321E">
        <w:rPr>
          <w:rFonts w:asciiTheme="minorHAnsi" w:eastAsia="Times New Roman" w:hAnsiTheme="minorHAnsi" w:cs="Times New Roman"/>
          <w:bCs/>
          <w:iCs/>
          <w:strike/>
          <w:color w:val="000000" w:themeColor="text1"/>
          <w:sz w:val="24"/>
          <w:szCs w:val="24"/>
          <w:highlight w:val="yellow"/>
        </w:rPr>
        <w:t>La Corte dei conti, ai sensi dell'articolo 3, comma 6 della legge 14 gennaio 1994 n. 20, riferisce, almeno annualmente, al Parlamento sullo stato di attuazione del PNRR.</w:t>
      </w:r>
      <w:r w:rsidR="00F7321E">
        <w:rPr>
          <w:rFonts w:asciiTheme="minorHAnsi" w:eastAsia="Times New Roman" w:hAnsiTheme="minorHAnsi" w:cs="Times New Roman"/>
          <w:bCs/>
          <w:iCs/>
          <w:color w:val="000000" w:themeColor="text1"/>
          <w:sz w:val="24"/>
          <w:szCs w:val="24"/>
        </w:rPr>
        <w:t xml:space="preserve"> </w:t>
      </w:r>
      <w:r w:rsidR="00F7321E" w:rsidRPr="00294063">
        <w:rPr>
          <w:rFonts w:asciiTheme="minorHAnsi" w:hAnsiTheme="minorHAnsi"/>
          <w:b/>
          <w:bCs/>
          <w:color w:val="000000" w:themeColor="text1"/>
          <w:sz w:val="24"/>
          <w:szCs w:val="24"/>
        </w:rPr>
        <w:t>La Corte dei conti riferisce, almeno semestralmente, al Parlamento sullo stato di attuazione del PNRR, in deroga a quanto previsto dall'articolo 3, comma 6, della legge 14 gennaio 1994, n. 20.</w:t>
      </w:r>
      <w:r w:rsidR="00F7321E">
        <w:rPr>
          <w:rStyle w:val="Rimandonotaapidipagina"/>
          <w:rFonts w:asciiTheme="minorHAnsi" w:hAnsiTheme="minorHAnsi"/>
          <w:b/>
          <w:bCs/>
          <w:color w:val="000000" w:themeColor="text1"/>
          <w:sz w:val="24"/>
          <w:szCs w:val="24"/>
        </w:rPr>
        <w:footnoteReference w:id="14"/>
      </w:r>
    </w:p>
    <w:p w14:paraId="5EBFD586" w14:textId="77777777" w:rsidR="00EF5B01" w:rsidRPr="00EF5B01" w:rsidRDefault="00EF5B01" w:rsidP="00FC334C">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  8. Ai fini del rafforzamento delle attività di controllo, anche finalizzate alla prevenzione ed al contrasto della corruzione, delle frodi, nonché ad evitare i conflitti di interesse ed il rischio di doppio finanziamento pubblico degli interventi</w:t>
      </w:r>
      <w:r w:rsidR="00FC334C" w:rsidRPr="00177953">
        <w:rPr>
          <w:rFonts w:asciiTheme="minorHAnsi" w:hAnsiTheme="minorHAnsi"/>
          <w:b/>
          <w:bCs/>
          <w:color w:val="000000" w:themeColor="text1"/>
          <w:sz w:val="24"/>
          <w:szCs w:val="24"/>
        </w:rPr>
        <w:t>, ferme restando le competenze in materia dell'Autorità nazionale anticorruzione,</w:t>
      </w:r>
      <w:r w:rsidR="00FC334C">
        <w:rPr>
          <w:rStyle w:val="Rimandonotaapidipagina"/>
          <w:rFonts w:asciiTheme="minorHAnsi" w:hAnsiTheme="minorHAnsi"/>
          <w:b/>
          <w:bCs/>
          <w:color w:val="000000" w:themeColor="text1"/>
          <w:sz w:val="24"/>
          <w:szCs w:val="24"/>
        </w:rPr>
        <w:footnoteReference w:id="15"/>
      </w:r>
      <w:r w:rsidR="00FC334C">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le amministrazioni centrali titolari di interventi previsti dal PNRR possono stipulare specifici protocolli d'intesa con la Guardia di Finanza senza nuovi o maggiori oneri per la finanza pubblica.</w:t>
      </w:r>
    </w:p>
    <w:p w14:paraId="006F63FA" w14:textId="0011F22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w:t>
      </w:r>
      <w:r w:rsidRPr="00480879">
        <w:rPr>
          <w:rFonts w:asciiTheme="minorHAnsi" w:eastAsia="Times New Roman" w:hAnsiTheme="minorHAnsi" w:cs="Times New Roman"/>
          <w:bCs/>
          <w:iCs/>
          <w:strike/>
          <w:color w:val="000000" w:themeColor="text1"/>
          <w:sz w:val="24"/>
          <w:szCs w:val="24"/>
          <w:highlight w:val="yellow"/>
        </w:rPr>
        <w:t>9. Per l'attuazione delle disposizioni di cui al presente articolo è autorizzata la spesa di euro 218.000 per l'anno 2021 e di euro 436.000 a decorrere dall'anno 2022. Ai relativi oneri si provvede ai sensi dell'articolo 16</w:t>
      </w:r>
      <w:r w:rsidRPr="00EF5B01">
        <w:rPr>
          <w:rFonts w:asciiTheme="minorHAnsi" w:eastAsia="Times New Roman" w:hAnsiTheme="minorHAnsi" w:cs="Times New Roman"/>
          <w:bCs/>
          <w:iCs/>
          <w:color w:val="000000" w:themeColor="text1"/>
          <w:sz w:val="24"/>
          <w:szCs w:val="24"/>
        </w:rPr>
        <w:t>.</w:t>
      </w:r>
    </w:p>
    <w:p w14:paraId="4B837232" w14:textId="017C09F8" w:rsidR="00480879" w:rsidRPr="00EF5B01" w:rsidRDefault="00480879" w:rsidP="00480879">
      <w:pPr>
        <w:jc w:val="both"/>
        <w:rPr>
          <w:rFonts w:asciiTheme="minorHAnsi" w:eastAsia="Times New Roman" w:hAnsiTheme="minorHAnsi" w:cs="Times New Roman"/>
          <w:bCs/>
          <w:iCs/>
          <w:color w:val="000000" w:themeColor="text1"/>
          <w:sz w:val="24"/>
          <w:szCs w:val="24"/>
        </w:rPr>
      </w:pPr>
      <w:r w:rsidRPr="00316160">
        <w:rPr>
          <w:b/>
          <w:bCs/>
          <w:color w:val="000000" w:themeColor="text1"/>
          <w:sz w:val="24"/>
          <w:szCs w:val="24"/>
        </w:rPr>
        <w:t>  9. Per l'attuazione delle disposizioni di cui al presente articolo è autorizzata la spesa di euro 1.255.046 per l'anno 2021 e di euro 3.428.127 annui a decorrere dall'anno 2022. Ai relativi oneri si provvede, quanto a euro 218.000 per l'anno 2021 e a euro 436.000 annui a decorrere dall'anno 2022, ai sensi dell'articolo 16 del presente decreto, quanto a euro 198.346 per l'anno 2021 e a euro 476.027 annui a decorrere dall'anno 2022, mediante corrispondente riduzione del Fondo per interventi strutturali di politica economica, di cui all'articolo 10, comma 5, del decreto-legge 29 novembre 2004, n. 282, convertito, con modificazioni, dalla legge 27 dicembre 2004, n. 307, e, quanto a euro 838.700 per l'anno 2021 e a euro 2.516.100 annui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r>
        <w:rPr>
          <w:rStyle w:val="Rimandonotaapidipagina"/>
          <w:b/>
          <w:bCs/>
          <w:color w:val="000000" w:themeColor="text1"/>
          <w:sz w:val="24"/>
          <w:szCs w:val="24"/>
        </w:rPr>
        <w:footnoteReference w:id="16"/>
      </w:r>
    </w:p>
    <w:p w14:paraId="4C5B2FA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41197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8.</w:t>
      </w:r>
    </w:p>
    <w:p w14:paraId="197A440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(Coordinamento della fase attuativa)</w:t>
      </w:r>
    </w:p>
    <w:p w14:paraId="029035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56E1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Ciascuna amministrazione centrale titolare di interventi previsti nel PNRR provvede al coordinamento delle relative attività di gestione, nonché al loro monitoraggio, rendicontazione e controllo. A tal fine, nell'ambito della propria autonomia organizzativa, individua, tra quelle esistenti, la </w:t>
      </w:r>
      <w:r w:rsidRPr="00EF5B01">
        <w:rPr>
          <w:rFonts w:asciiTheme="minorHAnsi" w:eastAsia="Times New Roman" w:hAnsiTheme="minorHAnsi" w:cs="Times New Roman"/>
          <w:bCs/>
          <w:iCs/>
          <w:color w:val="000000" w:themeColor="text1"/>
          <w:sz w:val="24"/>
          <w:szCs w:val="24"/>
        </w:rPr>
        <w:lastRenderedPageBreak/>
        <w:t>struttura di livello dirigenziale generale di riferimento ovvero istituisce una apposita unità di missione di livello dirigenziale generale fino al completamento del PNRR, e comunque fino al 31 dicembre 2026, articolata fino ad un massimo di tre uffici dirigenziali di livello non generale, adottando, entro 30 giorni dalla data di entrata in vigore della legge di conversione del presente decreto, il relativo provvedimento di organizzazione interna, con decreto del Ministro di riferimento, di concerto con il Ministro dell'economia e delle finanze.</w:t>
      </w:r>
    </w:p>
    <w:p w14:paraId="2D23B5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struttura di cui al comma 1 rappresenta il punto di contatto con il Servizio centrale per il PNRR per l'espletamento degli adempimenti previsti dal Regolamento (UE) 2021/241 e, in particolare, per la presentazione alla Commissione europea delle richieste di pagamento ai sensi dell'articolo 24, paragrafo 2 del medesimo regolamento. La stessa provvede a trasmettere al predetto Servizio centrale per il PNRR i dati finanziari e di realizzazione fisica e procedurale degli investimenti e delle riforme, nonché l'avanzamento dei relativi milestone e target, attraverso le specifiche funzionalità del sistema informatico di cui all'articolo 1, comma 1043, della legge 30 dicembre 2020, n. 178.</w:t>
      </w:r>
    </w:p>
    <w:p w14:paraId="4DF3F4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medesima struttura vigila affinché siano adottati criteri di selezione delle azioni coerenti con le regole e gli obiettivi del PNRR ed emana linee guida per assicurare la correttezza delle procedure di attuazione e rendicontazione, la regolarità della spesa ed il conseguimento dei milestone e target e di ogni altro adempimento previsto dalla normativa europea e nazionale applicabile al PNRR. Essa svolge attività di supporto nella definizione, attuazione, monitoraggio e valutazione di programmi e progetti cofinanziati ovvero finanziati da fondi nazionali, europei e internazionali, nonché attività di supporto all'attuazione di politiche pubbliche per lo sviluppo, anche in relazione alle esigenze di programmazione e attuazione del PNRR.</w:t>
      </w:r>
    </w:p>
    <w:p w14:paraId="230282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struttura di cui al comma 1 vigila sulla regolarità delle procedure e delle spese e adotta tutte le iniziative necessarie a prevenire, correggere e sanzionare le irregolarità e gli indebiti utilizzi delle risorse. Adotta le iniziative necessarie a prevenire le frodi, i conflitti di interesse ed evitare il rischio di doppio finanziamento pubblico degli interventi, anche attraverso i protocolli d'intesa di cui al comma 13 dell'articolo 7. Essa è inoltre responsabile dell'avvio delle procedure di recupero e restituzione delle risorse indebitamente utilizzate, ovvero oggetto di frode o doppio finanziamento pubblico.</w:t>
      </w:r>
    </w:p>
    <w:p w14:paraId="3263027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fine di salvaguardare il raggiungimento, anche in sede prospettica, degli obiettivi e dei traguardi, intermedi e finali del PNRR, i bandi, gli avvisi e gli altri strumenti previsti per la selezione dei singoli progetti e l'assegnazione delle risorse prevedono clausole di riduzione o revoca dei contributi, in caso di mancato raggiungimento, nei tempi assegnati, degli obiettivi previsti, e di riassegnazione delle somme, fino alla concorrenza delle risorse economiche previste per i singoli bandi, per lo scorrimento della graduatorie formatesi in seguito alla presentazione delle relative domande ammesse al contributo, compatibilmente con i vincoli assunti con l'Unione europea.</w:t>
      </w:r>
    </w:p>
    <w:p w14:paraId="1B62998D" w14:textId="7534458B"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Per l'attuazione del presente articolo è autorizzata la spesa di euro 8.789.000 per l'anno 2021 e di euro 17.577.000 per ciascuno degli anni dal 2022 al 2026. Ai relativi oneri si provvede ai sensi dell'articolo 16.</w:t>
      </w:r>
    </w:p>
    <w:p w14:paraId="0FA366B8" w14:textId="77777777" w:rsidR="00480879" w:rsidRPr="00316160" w:rsidRDefault="00480879" w:rsidP="00480879">
      <w:pPr>
        <w:jc w:val="both"/>
        <w:rPr>
          <w:b/>
          <w:bCs/>
          <w:color w:val="000000" w:themeColor="text1"/>
          <w:sz w:val="24"/>
          <w:szCs w:val="24"/>
        </w:rPr>
      </w:pPr>
      <w:r w:rsidRPr="00316160">
        <w:rPr>
          <w:b/>
          <w:bCs/>
          <w:color w:val="000000" w:themeColor="text1"/>
          <w:sz w:val="24"/>
          <w:szCs w:val="24"/>
        </w:rPr>
        <w:lastRenderedPageBreak/>
        <w:t> 6-bis. Per le finalità di cui al comma 1, con particolare riguardo a quelle strettamente connesse al coordinamento delle attività di gestione nonché al loro monitoraggio, rendicontazione e controllo, e allo scopo di consentire di acquisire rapidamente le risorse di personale occorrenti per garantire il funzionamento e il monitoraggio sulle relative misure di incentivazione e sostegno al settore del turismo, il Ministero del turismo può svolgere le procedure di cui all'articolo 7, comma 12, del decreto-legge 1° marzo 2021, n. 22, convertito, con modificazioni, dalla legge 22 aprile 2021, n. 55, mediante il ricorso alle modalità semplificate di cui all'articolo 10 del decreto-legge 1° aprile 2021, n. 44, convertito, con modificazioni, dalla legge 28 maggio 2021, n. 76.</w:t>
      </w:r>
    </w:p>
    <w:p w14:paraId="0AA848EF" w14:textId="77777777" w:rsidR="00480879" w:rsidRPr="00316160" w:rsidRDefault="00480879" w:rsidP="00480879">
      <w:pPr>
        <w:jc w:val="both"/>
        <w:rPr>
          <w:b/>
          <w:bCs/>
          <w:color w:val="000000" w:themeColor="text1"/>
          <w:sz w:val="24"/>
          <w:szCs w:val="24"/>
        </w:rPr>
      </w:pPr>
      <w:r w:rsidRPr="00316160">
        <w:rPr>
          <w:b/>
          <w:bCs/>
          <w:color w:val="000000" w:themeColor="text1"/>
          <w:sz w:val="24"/>
          <w:szCs w:val="24"/>
        </w:rPr>
        <w:t>  6-ter. Per le medesime finalità di cui al comma 6-bis e per garantire il conseguimento degli obiettivi e degli interventi di competenza del Ministero del turismo previsti nel PNRR, con particolare riguardo a quelle strettamente connesse al coordinamento delle attività di gestione nonché al loro monitoraggio, rendicontazione e controllo, essenziali per l'efficace realizzazione delle misure di sostegno e incentivazione del settore del turismo, l'ENIT-Agenzia nazionale del turismo è autorizzata, in aggiunta alla dotazione organica prevista dalla legislazione vigente e a valere sulle risorse finanziarie iscritte nel bilancio di previsione per l'anno 2021, ad assumere, entro l'anno 2021, facendo ricorso a procedure concorsuali da effettuare nel rispetto dei princìpi generali per l'accesso all'impiego nelle pubbliche amministrazioni di cui al decreto legislativo 30 marzo 2001, n. 165, un contingente fino a 120 unità di personale non dirigenziale con contratto a tempo determinato della durata massima di ventiquattro mesi, di cui 70 appartenenti al livello secondo e 50 appartenenti al livello terzo del contratto collettivo nazionale del lavoro per i dipendenti del settore turismo – aziende alberghiere. L'individuazione delle unità di personale e le modalità dell'avvalimento sono disciplinate da un apposito protocollo d'intesa a titolo gratuito tra il Ministero del turismo e l'ENIT-Agenzia nazionale del turismo, da stipulare entro trenta giorni dalla data di entrata in vigore della legge di conversione del presente decreto. A tale fine, all'articolo 7, comma 8, quarto periodo, del decreto-legge 1° marzo 2021, n. 22, convertito, con modificazioni, dalla legge 22 aprile 2021, n. 55, le parole: «Nelle more dell'adozione del regolamento di organizzazione del Ministero del turismo, lo stesso» sono sostituite dalle seguenti: «Il Ministero del turismo». All'onere derivante dalle assunzioni di cui al presente comma, pari a 3.041.667 euro per l'anno 2021, a 7.300.000 euro per l'anno 2022 e a 4.258.333 euro per l'anno 2023, si provvede mediante utilizzo delle risorse disponibili nel bilancio dell'ENIT-Agenzia nazionale del turismo.</w:t>
      </w:r>
    </w:p>
    <w:p w14:paraId="7502B31E" w14:textId="4727CC81" w:rsidR="00480879" w:rsidRDefault="00480879" w:rsidP="00480879">
      <w:pPr>
        <w:jc w:val="both"/>
        <w:rPr>
          <w:b/>
          <w:bCs/>
          <w:color w:val="000000" w:themeColor="text1"/>
          <w:sz w:val="24"/>
          <w:szCs w:val="24"/>
        </w:rPr>
      </w:pPr>
      <w:r w:rsidRPr="00316160">
        <w:rPr>
          <w:b/>
          <w:bCs/>
          <w:color w:val="000000" w:themeColor="text1"/>
          <w:sz w:val="24"/>
          <w:szCs w:val="24"/>
        </w:rPr>
        <w:t xml:space="preserve">  6-quater. Alla compensazione degli effetti finanziari, in termini di fabbisogno e di indebitamento netto, derivanti dall'attuazione del comma 6-ter del presente articolo, pari a 1.566.459 euro per l'anno 2021, a 3.759.500 euro per l'anno 2022 e a 2.193.042 euro per l'anno 2023, si provvede mediante corrispondente riduzione del Fondo per la compensazione degli effetti finanziari non previsti a </w:t>
      </w:r>
      <w:r w:rsidRPr="00316160">
        <w:rPr>
          <w:b/>
          <w:bCs/>
          <w:color w:val="000000" w:themeColor="text1"/>
          <w:sz w:val="24"/>
          <w:szCs w:val="24"/>
        </w:rPr>
        <w:lastRenderedPageBreak/>
        <w:t>legislazione vigente conseguenti all'attualizzazione di contributi pluriennali, di cui all'articolo 6, comma 2, del decreto-legge 7 ottobre 2008, n. 154, convertito, con modificazioni, dalla legge 4 dicembre 2008, n. 189.</w:t>
      </w:r>
      <w:r>
        <w:rPr>
          <w:rStyle w:val="Rimandonotaapidipagina"/>
          <w:b/>
          <w:bCs/>
          <w:color w:val="000000" w:themeColor="text1"/>
          <w:sz w:val="24"/>
          <w:szCs w:val="24"/>
        </w:rPr>
        <w:footnoteReference w:id="17"/>
      </w:r>
    </w:p>
    <w:p w14:paraId="5CDD3A4B" w14:textId="2E122963" w:rsidR="00BC0C96" w:rsidRDefault="00BC0C96" w:rsidP="00480879">
      <w:pPr>
        <w:jc w:val="both"/>
        <w:rPr>
          <w:b/>
          <w:bCs/>
          <w:color w:val="000000" w:themeColor="text1"/>
          <w:sz w:val="24"/>
          <w:szCs w:val="24"/>
        </w:rPr>
      </w:pPr>
    </w:p>
    <w:p w14:paraId="38EFB4B6" w14:textId="77777777" w:rsidR="00BC0C96" w:rsidRPr="0044542C" w:rsidRDefault="00BC0C96" w:rsidP="00BC0C96">
      <w:pPr>
        <w:jc w:val="center"/>
        <w:rPr>
          <w:b/>
          <w:bCs/>
          <w:color w:val="000000" w:themeColor="text1"/>
          <w:sz w:val="24"/>
          <w:szCs w:val="24"/>
        </w:rPr>
      </w:pPr>
      <w:r w:rsidRPr="0044542C">
        <w:rPr>
          <w:b/>
          <w:bCs/>
          <w:color w:val="000000" w:themeColor="text1"/>
          <w:sz w:val="24"/>
          <w:szCs w:val="24"/>
        </w:rPr>
        <w:t>Articolo 8-bis.</w:t>
      </w:r>
    </w:p>
    <w:p w14:paraId="5EF479D7" w14:textId="77777777" w:rsidR="00BC0C96" w:rsidRPr="0044542C" w:rsidRDefault="00BC0C96" w:rsidP="00BC0C96">
      <w:pPr>
        <w:jc w:val="center"/>
        <w:rPr>
          <w:b/>
          <w:bCs/>
          <w:color w:val="000000" w:themeColor="text1"/>
          <w:sz w:val="24"/>
          <w:szCs w:val="24"/>
        </w:rPr>
      </w:pPr>
      <w:r w:rsidRPr="0044542C">
        <w:rPr>
          <w:b/>
          <w:bCs/>
          <w:color w:val="000000" w:themeColor="text1"/>
          <w:sz w:val="24"/>
          <w:szCs w:val="24"/>
        </w:rPr>
        <w:t>(Disposizioni per l'attuazione del programma di Governo)</w:t>
      </w:r>
    </w:p>
    <w:p w14:paraId="7EE531FE" w14:textId="0E3DA253" w:rsidR="00BC0C96" w:rsidRPr="0044542C" w:rsidRDefault="00BC0C96" w:rsidP="00BC0C96">
      <w:pPr>
        <w:jc w:val="both"/>
        <w:rPr>
          <w:b/>
          <w:bCs/>
          <w:color w:val="000000" w:themeColor="text1"/>
          <w:sz w:val="24"/>
          <w:szCs w:val="24"/>
        </w:rPr>
      </w:pPr>
      <w:r w:rsidRPr="0044542C">
        <w:rPr>
          <w:b/>
          <w:bCs/>
          <w:color w:val="000000" w:themeColor="text1"/>
          <w:sz w:val="24"/>
          <w:szCs w:val="24"/>
        </w:rPr>
        <w:t>  1. Per garantire una più efficace attuazione del programma di Governo e anche al fine della trasmissione alle Camere delle relazioni periodiche sullo stato di attuazione dei provvedimenti attuativi di secondo livello previsti in disposizioni legislative, nonché dell'aggiornamento costante del motore di ricerca del sito internet istituzionale della Presidenza del Consiglio dei ministri, è rafforzata la Rete governativa permanente dell'attuazione del programma di Governo, coordinata dalla Presidenza del Consiglio dei ministri – Ufficio per il programma di Governo e costituita dai Nuclei permanenti per l'attuazione del programma di Governo istituiti da ciascun Ministero all'interno degli uffici di diretta collaborazione con il compito specifico di provvedere alla costante attuazione dei citati provvedimenti attuativi e al recupero dell'arretrato di quelli non adottati. Dall'attuazione del presente comma non devono derivare nuovi o maggiori oneri a carico della finanza pubblica. Le pubbliche amministrazioni competenti provvedono ai relativi adempimenti nei limiti delle risorse umane, strumentali e finanziarie disponibili a legislazione vigente.</w:t>
      </w:r>
      <w:r>
        <w:rPr>
          <w:rStyle w:val="Rimandonotaapidipagina"/>
          <w:b/>
          <w:bCs/>
          <w:color w:val="000000" w:themeColor="text1"/>
          <w:sz w:val="24"/>
          <w:szCs w:val="24"/>
        </w:rPr>
        <w:footnoteReference w:id="18"/>
      </w:r>
    </w:p>
    <w:p w14:paraId="30A975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0EF54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9.</w:t>
      </w:r>
    </w:p>
    <w:p w14:paraId="08E40C25"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(Attuazione degli interventi del PNRR)</w:t>
      </w:r>
    </w:p>
    <w:p w14:paraId="2FB2A436"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3526B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Alla realizzazione operativa degli interventi previsti dal PNRR provvedono le Amministrazioni centrali, le Regioni, le Province autonome di Trento e di Bolzano e gli enti locali, sulla base delle specifiche competenze istituzionali, ovvero della diversa titolarità degli interventi definita nel PNRR, attraverso le </w:t>
      </w:r>
      <w:r w:rsidRPr="00EF5B01">
        <w:rPr>
          <w:rFonts w:asciiTheme="minorHAnsi" w:eastAsia="Times New Roman" w:hAnsiTheme="minorHAnsi" w:cs="Times New Roman"/>
          <w:bCs/>
          <w:iCs/>
          <w:color w:val="000000" w:themeColor="text1"/>
          <w:sz w:val="24"/>
          <w:szCs w:val="24"/>
        </w:rPr>
        <w:lastRenderedPageBreak/>
        <w:t>proprie strutture, ovvero avvalendosi di soggetti attuatori esterni individuati nel PNRR, ovvero con le modalità previste dalla normativa nazionale ed europea vigente.</w:t>
      </w:r>
    </w:p>
    <w:p w14:paraId="3BDFF8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assicurare l'efficace e tempestiva attuazione degli interventi del PNRR, le amministrazioni di cui al comma 1 possono avvalersi del supporto tecnico-operativo assicurato per il PNRR da società a prevalente partecipazione pubblica, rispettivamente, statale, regionale e locale e da enti vigilati.</w:t>
      </w:r>
    </w:p>
    <w:p w14:paraId="1A59B3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atti, i contratti ed i provvedimenti di spesa adottati dalle amministrazioni per l'attuazione degli interventi del PNRR sono sottoposti ai controlli ordinari di legalità e ai controlli amministrativo-contabili previsti dalla legislazione nazionale applicabile.</w:t>
      </w:r>
    </w:p>
    <w:p w14:paraId="7E4487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amministrazioni di cui al comma 1 assicurano la completa tracciabilità delle operazioni e la tenuta di una apposita codificazione contabile per l'utilizzo delle risorse del PNRR secondo le indicazioni fornite dal Ministero dell'economia e delle finanze. Conservano tutti gli atti e la relativa documentazione giustificativa su supporti informatici adeguati e li rendono disponibili per le attività di controllo e di audit.</w:t>
      </w:r>
    </w:p>
    <w:p w14:paraId="2602C6DB"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3937CA0"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10.</w:t>
      </w:r>
    </w:p>
    <w:p w14:paraId="5C20E163"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accelerare la realizzazione degli investimenti pubblici)</w:t>
      </w:r>
    </w:p>
    <w:p w14:paraId="747375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809C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sostenere la definizione e l'avvio delle procedure di affidamento ed accelerare l'attuazione degli investimenti pubblici, in particolare di quelli previsti dal PNRR e dai cicli di programmazione nazionale e comunitaria 2014-2020 e 2021-2027, le amministrazioni interessate, mediante apposite convenzioni, possono avvalersi del supporto tecnico-operativo di società in house qualificate ai sensi dell'articolo 38 del decreto legislativo 18 aprile 2016, n. 50.</w:t>
      </w:r>
    </w:p>
    <w:p w14:paraId="3D0987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L'attività di supporto di cui al comma 1 copre anche le fasi di definizione, attuazione, monitoraggio e valutazione degli interventi e comprende azioni di rafforzamento della capacità amministrativa, anche attraverso la messa a disposizione di esperti particolarmente qualificati.</w:t>
      </w:r>
    </w:p>
    <w:p w14:paraId="319784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Ai fini dell'articolo 192, comma 2, del decreto legislativo n. 50 del 2016, la valutazione della congruità economica dell'offerta ha riguardo all'oggetto e al valore della prestazione e la motivazione del provvedimento di affidamento dà conto dei vantaggi, rispetto al ricorso al mercato, derivanti dal risparmio di tempo e di risorse economiche, mediante comparazione degli standard di riferimento di Consip </w:t>
      </w:r>
      <w:proofErr w:type="spellStart"/>
      <w:r w:rsidRPr="00EF5B01">
        <w:rPr>
          <w:rFonts w:asciiTheme="minorHAnsi" w:eastAsia="Times New Roman" w:hAnsiTheme="minorHAnsi" w:cs="Times New Roman"/>
          <w:bCs/>
          <w:iCs/>
          <w:color w:val="000000" w:themeColor="text1"/>
          <w:sz w:val="24"/>
          <w:szCs w:val="24"/>
        </w:rPr>
        <w:t>S.p.A</w:t>
      </w:r>
      <w:proofErr w:type="spellEnd"/>
      <w:r w:rsidRPr="00EF5B01">
        <w:rPr>
          <w:rFonts w:asciiTheme="minorHAnsi" w:eastAsia="Times New Roman" w:hAnsiTheme="minorHAnsi" w:cs="Times New Roman"/>
          <w:bCs/>
          <w:iCs/>
          <w:color w:val="000000" w:themeColor="text1"/>
          <w:sz w:val="24"/>
          <w:szCs w:val="24"/>
        </w:rPr>
        <w:t xml:space="preserve"> e delle centrali di committenza regionali.</w:t>
      </w:r>
    </w:p>
    <w:p w14:paraId="1CBDA7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Fermo restando quanto previsto dall'articolo 9, comma 2, le Regioni, le Province autonome di Trento e di Bolzano e gli enti locali, per il tramite delle amministrazioni centrali dello Stato, possono avvalersi del supporto tecnico-operativo delle società di cui al comma 1 per la promozione e la realizzazione di progetti di sviluppo territoriale finanziati da fondi europei e nazionali.</w:t>
      </w:r>
    </w:p>
    <w:p w14:paraId="32DEDA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Il Ministero dell'economia e delle finanze definisce, per le società in house statali, i contenuti minimi delle convenzioni per l'attuazione di quanto previsto dal comma 4. Ai relativi oneri le Amministrazioni </w:t>
      </w:r>
      <w:r w:rsidRPr="00EF5B01">
        <w:rPr>
          <w:rFonts w:asciiTheme="minorHAnsi" w:eastAsia="Times New Roman" w:hAnsiTheme="minorHAnsi" w:cs="Times New Roman"/>
          <w:bCs/>
          <w:iCs/>
          <w:color w:val="000000" w:themeColor="text1"/>
          <w:sz w:val="24"/>
          <w:szCs w:val="24"/>
        </w:rPr>
        <w:lastRenderedPageBreak/>
        <w:t>provvedono nell'ambito delle risorse disponibili a legislazione vigente. Laddove ammissibili, tali oneri possono essere posti a carico delle risorse previste per l'attuazione degli interventi PNRR, ovvero delle risorse per l'assistenza tecnica previste nei programmi UE 2021/2027 per gli interventi di supporto agli stessi riferiti.</w:t>
      </w:r>
    </w:p>
    <w:p w14:paraId="2A699B35"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Ai fini dell'espletamento delle attività di supporto di cui al presente articolo, le società interessate possono provvedere con le risorse interne, con personale esterno, nonché con il ricorso a competenze – di persone fisiche o giuridiche – disponibili sul mercato, nel rispetto di quanto stabilito dal decreto legislativo 18 aprile 2016, n. 50 e dal decreto legislativo 19 agosto 2016, n. 175.</w:t>
      </w:r>
    </w:p>
    <w:p w14:paraId="307414ED" w14:textId="77777777" w:rsidR="00725940" w:rsidRPr="00177953" w:rsidRDefault="00725940" w:rsidP="00725940">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  6-bis. In considerazione degli effetti dell'emergenza epidemiologica da COVID-19, l'esercizio 2020 non si computa nel calcolo del triennio ai fini dell'applicazione dell'articolo 14, comma 5, né ai fini dell'applicazione dell'articolo 21 del testo unico in materia di società a partecipazione pubblica. di cui al decreto legislativo 19 agosto 2016, n. 175.</w:t>
      </w:r>
      <w:r>
        <w:rPr>
          <w:rStyle w:val="Rimandonotaapidipagina"/>
          <w:rFonts w:asciiTheme="minorHAnsi" w:hAnsiTheme="minorHAnsi"/>
          <w:b/>
          <w:bCs/>
          <w:color w:val="000000" w:themeColor="text1"/>
          <w:sz w:val="24"/>
          <w:szCs w:val="24"/>
        </w:rPr>
        <w:footnoteReference w:id="19"/>
      </w:r>
    </w:p>
    <w:p w14:paraId="70538550" w14:textId="77777777" w:rsidR="00725940" w:rsidRPr="00EF5B01" w:rsidRDefault="0072594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2E374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0AE014"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11.</w:t>
      </w:r>
    </w:p>
    <w:p w14:paraId="2B4337D5"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della capacità amministrativa delle stazioni appaltanti)</w:t>
      </w:r>
    </w:p>
    <w:p w14:paraId="4CC1B4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D49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aumentare l'efficacia e l'efficienza dell'attività di approvvigionamento e garantire una rapida attuazione delle progettualità del PNRR e degli altri interventi ad esso collegati, ivi compresi i programmi cofinanziati dall'Unione europea per il periodo 2021/2027, Consip S.p.A. mette a disposizione delle pubbliche amministrazioni specifici contratti, accordi quadro e servizi di supporto tecnico. Per le medesime finalità, Consip S.p.A. realizza un programma di informazione, formazione e tutoraggio nella gestione delle specifiche procedure di acquisto e di progettualità per l'evoluzione del Sistema Nazionale di e-Procurement e il rafforzamento della capacità amministrativa e tecnica delle pubbliche amministrazioni. Consip S.p.A. si coordina con le centrali di committenza regionali per le attività degli enti territoriali di competenza.</w:t>
      </w:r>
    </w:p>
    <w:p w14:paraId="504A1D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Le disposizioni al presente articolo trovano applicazione anche per le acquisizioni di beni e servizi informatici e di connettività effettuati dalla Sogei S.p.A., per la realizzazione e implementazione dei servizi delle pubbliche amministrazioni affidatarie in ottemperanza a specifiche disposizioni normative o regolamentari, nonché per la realizzazione delle attività di cui all'articolo 33-septies del decreto-legge 18 ottobre 2012, n. 179, convertito, con modificazioni, dalla legge 17 dicembre 2012, n. 221, le cui procedure </w:t>
      </w:r>
      <w:r w:rsidRPr="00EF5B01">
        <w:rPr>
          <w:rFonts w:asciiTheme="minorHAnsi" w:eastAsia="Times New Roman" w:hAnsiTheme="minorHAnsi" w:cs="Times New Roman"/>
          <w:bCs/>
          <w:iCs/>
          <w:color w:val="000000" w:themeColor="text1"/>
          <w:sz w:val="24"/>
          <w:szCs w:val="24"/>
        </w:rPr>
        <w:lastRenderedPageBreak/>
        <w:t>di affidamento sono poste in essere da Consip S.p.A. ai sensi dell'articolo 4, comma 3-ter, del decreto-legge 6 luglio 2012, n. 95, convertito, con modificazioni, dalla legge 7 agosto 2012, n. 135.</w:t>
      </w:r>
    </w:p>
    <w:p w14:paraId="46617D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Per realizzare le finalità di cui al presente articolo, il Ministero dell'economia e delle finanze stipula con Consip S.p.A. un apposito disciplinare, nel limite complessivo di spesa di 40 milioni di euro per gli anni dal 2021 al 2026. A tal fine è autorizzata la spesa di 8 milioni per ciascuno degli anni dal 2022 al 2026. Ai relativi oneri si provvede ai sensi dell'articolo 16.</w:t>
      </w:r>
    </w:p>
    <w:p w14:paraId="251735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6FC943"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0988B5EE"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 SUPERAMENTO DEL DISSENSO E PROCEDURE FINANZIARIE</w:t>
      </w:r>
    </w:p>
    <w:p w14:paraId="5CB833D7"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1A9AAC8"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12.</w:t>
      </w:r>
    </w:p>
    <w:p w14:paraId="05096ECF"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(Poteri sostitutivi)</w:t>
      </w:r>
    </w:p>
    <w:p w14:paraId="55ECBE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62D8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In caso di mancato rispetto da parte delle regioni, delle province autonome di Trento e di Bolzano, delle città metropolitane, delle province e dei comuni degli obblighi e impegni finalizzati all'attuazione del PNNR e assunti in qualità di soggetti attuatori, consistenti anche nella mancata adozione di atti e provvedimenti necessari all'avvio dei progetti del Piano, ovvero nel ritardo, inerzia o difformità nell'esecuzione dei progetti, il Presidente del Consiglio dei ministri, ove sia messo a rischio il conseguimento degli obiettivi intermedi e finali del PNRR e su proposta della Cabina di regia o del Ministro competente, assegna al soggetto attuatore interessato un termine per provvedere non superiore a trenta giorni. In caso di perdurante inerzia, su proposta del Presidente del Consiglio dei ministri o del Ministro competente, sentito il soggetto attuatore, il Consiglio dei ministri individua l'amministrazione, l'ente, l'organo o l'ufficio, ovvero in alternativa nomina uno o più commissari ad acta, ai quali attribuisce, in via sostitutiva, il potere di adottare gli atti o provvedimenti necessari ovvero di provvedere all'esecuzione ai progetti, anche avvalendosi di società di cui all'articolo 2 del decreto legislativo 19 agosto 2016, n. 175 o di altre amministrazioni specificamente indicate.</w:t>
      </w:r>
    </w:p>
    <w:p w14:paraId="491BC4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Fermo restando l'esercizio dei poteri sostitutivi di cui al comma 1, e nei casi ivi previsti, il Ministro per gli affari regionali e le autonomie può promuovere le opportune iniziative di impulso e coordinamento di regioni, province autonome di Trento e di Bolzano, città metropolitane, province e comuni, anche in sede di Conferenza permanente per i rapporti tra lo Stato, le Regioni e le Province autonome di Trento e Bolzano nonché di Conferenza Unificata.</w:t>
      </w:r>
    </w:p>
    <w:p w14:paraId="493E78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Nel caso in cui l'inadempimento, il ritardo, l'inerzia o la difformità di cui al comma 1 sia ascrivibile a un soggetto attuatore diverso dalle regioni, dalle province autonome di Trento e di Bolzano, dalle città metropolitane, dalle province o dai comuni, all'assegnazione del termine non superiore a trenta giorni e al successivo esercizio del potere sostitutivo con le stesse modalità previste dal secondo periodo del comma 1 provvede direttamente il Ministro competente. Lo stesso Ministro provvede analogamente nel </w:t>
      </w:r>
      <w:r w:rsidRPr="00EF5B01">
        <w:rPr>
          <w:rFonts w:asciiTheme="minorHAnsi" w:eastAsia="Times New Roman" w:hAnsiTheme="minorHAnsi" w:cs="Times New Roman"/>
          <w:bCs/>
          <w:iCs/>
          <w:color w:val="000000" w:themeColor="text1"/>
          <w:sz w:val="24"/>
          <w:szCs w:val="24"/>
        </w:rPr>
        <w:lastRenderedPageBreak/>
        <w:t>caso in cui la richiesta di esercizio dei poteri sostitutivi provenga, per qualunque ragione, direttamente da un soggetto attuatore, ivi incluse le regioni, le province autonome di Trento e di Bolzano, le città metropolitane, le province e i comuni.</w:t>
      </w:r>
    </w:p>
    <w:p w14:paraId="7CAF1C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Ove il Ministro competente non adotti i provvedimenti di cui al comma 3 e in tutti i casi in cui situazioni o eventi ostativi alla realizzazione dei progetti rientranti nel piano non risultino altrimenti superabili con celerità, su proposta del Presidente del Consiglio dei ministri o della Cabina di regia, il Consiglio dei ministri esercita i poteri sostitutivi con le modalità previste dal comma 1.</w:t>
      </w:r>
    </w:p>
    <w:p w14:paraId="64E594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L'amministrazione, l'ente, l'organo, l'ufficio individuati o i commissari ad acta nominati ai sensi dei commi precedenti, ove strettamente indispensabile per garantire il rispetto del cronoprogramma del progetto, provvedono all'adozione dei relativi atti mediante ordinanza motivata, contestualmente comunicata all'Unità per la per la razionalizzazione e il miglioramento d della regolazione di cui all'articolo 5, in deroga ad ogni disposizione di legge diversa da quella penale, fatto salvo il rispetto dei princìpi generali dell'ordinamento,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con la Conferenza permanente per i rapporti tra lo Stato, le Regioni e le province autonome di Trento e Bolzano, da adottarsi ai sensi dell'articolo 3 del decreto legislativo, 28 agosto 1997, n. 281. Nel caso in cui la deroga riguardi la legislazione in materia di tutela della salute, della sicurezza e della incolumità pubblica, dell'ambiente e del patrimonio culturale, l'ordinanza è adottata previa autorizzazione della Cabina di regia PNRR. Tali ordinanze sono immediatamente efficaci e sono pubblicate nella Gazzetta Ufficiale.</w:t>
      </w:r>
    </w:p>
    <w:p w14:paraId="568C18C8"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Presidenza del Consiglio dei ministri e le amministrazioni centrali titolari di interventi previsti dal PNRR restano estranee ad ogni rapporto contrattuale e obbligatorio discendente dall'adozione di atti, provvedimenti e comportamenti da parte dei soggetti individuati o nominati per l'esercizio dei poteri sostitutivi ai sensi del presente articolo. Di tutte le obbligazioni nei confronti dei terzi rispondono, con le risorse del piano o con risorse proprie, esclusivamente i soggetti attuatori sostituiti. Per la nomina dei Commissari di cui al comma 1, secondo periodo, per la definizione dei relativi compensi, si applicano le procedure e le modalità applicative previste dall'articolo 15, commi da 1 a 3, del decreto legge 6 luglio 2011, n. 98, convertito, con modificazioni, dalla legge 15 luglio 2011, n. 111. Gli eventuali oneri derivanti dalla nomina di Commissari sono a carico dei soggetti attuatori inadempienti sostituiti.</w:t>
      </w:r>
    </w:p>
    <w:p w14:paraId="579F833A"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  6-bis. All'articolo 15 del decreto-legge 6 luglio 2011, n. 98, convertito, con modificazioni, dalla legge 15 luglio 2011, n. 111, è aggiunto, in fine, il seguente comma:</w:t>
      </w:r>
    </w:p>
    <w:p w14:paraId="1D7A285B" w14:textId="77777777" w:rsidR="00151A07" w:rsidRPr="00177953" w:rsidRDefault="00151A07" w:rsidP="00151A07">
      <w:pPr>
        <w:jc w:val="both"/>
        <w:rPr>
          <w:rFonts w:asciiTheme="minorHAnsi" w:hAnsiTheme="minorHAnsi"/>
          <w:b/>
          <w:bCs/>
          <w:color w:val="000000" w:themeColor="text1"/>
          <w:sz w:val="24"/>
          <w:szCs w:val="24"/>
        </w:rPr>
      </w:pPr>
    </w:p>
    <w:p w14:paraId="726AEE31" w14:textId="77777777" w:rsidR="00151A07" w:rsidRPr="00177953" w:rsidRDefault="00151A07" w:rsidP="00151A07">
      <w:pPr>
        <w:jc w:val="both"/>
        <w:rPr>
          <w:rFonts w:asciiTheme="minorHAnsi" w:hAnsiTheme="minorHAnsi"/>
          <w:b/>
          <w:bCs/>
          <w:color w:val="000000" w:themeColor="text1"/>
          <w:sz w:val="24"/>
          <w:szCs w:val="24"/>
        </w:rPr>
      </w:pPr>
      <w:r w:rsidRPr="00177953">
        <w:rPr>
          <w:rFonts w:asciiTheme="minorHAnsi" w:hAnsiTheme="minorHAnsi"/>
          <w:b/>
          <w:bCs/>
          <w:color w:val="000000" w:themeColor="text1"/>
          <w:sz w:val="24"/>
          <w:szCs w:val="24"/>
        </w:rPr>
        <w:t xml:space="preserve">   «5-bis. Le disposizioni di cui al comma 1 possono essere applicate anche agli enti sottoposti alla vigilanza delle regioni e delle province autonome di Trento e di Bolzano. La liquidazione coatta </w:t>
      </w:r>
      <w:r w:rsidRPr="00177953">
        <w:rPr>
          <w:rFonts w:asciiTheme="minorHAnsi" w:hAnsiTheme="minorHAnsi"/>
          <w:b/>
          <w:bCs/>
          <w:color w:val="000000" w:themeColor="text1"/>
          <w:sz w:val="24"/>
          <w:szCs w:val="24"/>
        </w:rPr>
        <w:lastRenderedPageBreak/>
        <w:t>amministrativa è disposta con deliberazione della rispettiva giunta che provvede, altresì, alla nomina del commissario e agli ulteriori adempimenti previsti dal comma 1».</w:t>
      </w:r>
      <w:r>
        <w:rPr>
          <w:rStyle w:val="Rimandonotaapidipagina"/>
          <w:rFonts w:asciiTheme="minorHAnsi" w:hAnsiTheme="minorHAnsi"/>
          <w:b/>
          <w:bCs/>
          <w:color w:val="000000" w:themeColor="text1"/>
          <w:sz w:val="24"/>
          <w:szCs w:val="24"/>
        </w:rPr>
        <w:footnoteReference w:id="20"/>
      </w:r>
    </w:p>
    <w:p w14:paraId="0B40C46A" w14:textId="77777777" w:rsidR="00151A07" w:rsidRPr="00EF5B01" w:rsidRDefault="00151A07"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BBDE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59F687"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13.</w:t>
      </w:r>
    </w:p>
    <w:p w14:paraId="4E53598E"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(Superamento del dissenso)</w:t>
      </w:r>
    </w:p>
    <w:p w14:paraId="6E9F857C"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8D0CB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In caso di dissenso, diniego, opposizione o altro atto equivalente proveniente da un organo statale che, secondo la legislazione vigente, sia idoneo a precludere, in tutto o in parte, la realizzazione di un intervento rientrante nel PNRR, la Segreteria tecnica di cui all'articolo 4, anche su impulso del Servizio centrale per il PNRR, ove un meccanismo di superamento del dissenso non sia già previsto dalle vigenti disposizioni, propone al Presidente del Consiglio dei ministri, entro i successivi cinque giorni, di sottoporre la questione all'esame del Consiglio dei ministri per le conseguenti determinazioni.</w:t>
      </w:r>
    </w:p>
    <w:p w14:paraId="7D1325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Ove il dissenso, diniego, opposizione o altro atto equivalente provenga da un organo della regione, o della provincia autonoma di Trento o di Bolzano o di un ente locale, la Segreteria tecnica di cui all'articolo 4, anche su impulso del Servizio centrale per il PNRR, qualora un meccanismo di superamento del dissenso non sia già previsto dalle vigenti disposizioni, propone al Presidente del Consiglio dei ministri o al Ministro per gli affari regionali e le autonomie, entro i successivi cinque giorni, di sottoporre la questione alla Conferenza permanente per i rapporti tra lo Stato, le regioni e le province autonome di Trento e di Bolzano per concordare le iniziative da assumere, che devono essere definite entro il termine di quindici giorni dalla data di convocazione della Conferenza. Decorso tale termine, in mancanza di soluzioni condivise che consentano la sollecita realizzazione dell'intervento,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w:t>
      </w:r>
    </w:p>
    <w:p w14:paraId="62948C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DC3BB0"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14.</w:t>
      </w:r>
    </w:p>
    <w:p w14:paraId="56EAC613"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 disciplina del PNRR al Piano complementare)</w:t>
      </w:r>
    </w:p>
    <w:p w14:paraId="07BD99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B8771D" w14:textId="36FC1E24" w:rsidR="00EF5B01" w:rsidRPr="00EF5B01" w:rsidRDefault="00EF5B01" w:rsidP="00782860">
      <w:pPr>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Le misure e le procedure di accelerazione e semplificazione per l'efficace e tempestiva attuazione degli interventi di cui al presente decreto, incluse quelle relative al rafforzamento della capacità </w:t>
      </w:r>
      <w:r w:rsidRPr="00EF5B01">
        <w:rPr>
          <w:rFonts w:asciiTheme="minorHAnsi" w:eastAsia="Times New Roman" w:hAnsiTheme="minorHAnsi" w:cs="Times New Roman"/>
          <w:bCs/>
          <w:iCs/>
          <w:color w:val="000000" w:themeColor="text1"/>
          <w:sz w:val="24"/>
          <w:szCs w:val="24"/>
        </w:rPr>
        <w:lastRenderedPageBreak/>
        <w:t>amministrativa delle amministrazioni e delle stazioni appaltanti nonché il meccanismo di superamento del dissenso e i poteri sostitutivi, trovano applicazione anche agli investimenti contenuti nel Piano nazionale complementare di cui all'articolo 1 del decreto legge 6 maggio 2021, n. 59</w:t>
      </w:r>
      <w:r w:rsidR="00782860" w:rsidRPr="00782860">
        <w:rPr>
          <w:b/>
          <w:bCs/>
          <w:color w:val="000000" w:themeColor="text1"/>
          <w:sz w:val="24"/>
          <w:szCs w:val="24"/>
        </w:rPr>
        <w:t>, e nei contratti istituzionali di sviluppo di cui all'articolo 6 del decreto legislativo 31 maggio 2011, n. 88</w:t>
      </w:r>
      <w:r w:rsidR="00782860" w:rsidRPr="00317A3D">
        <w:rPr>
          <w:color w:val="000000" w:themeColor="text1"/>
          <w:sz w:val="24"/>
          <w:szCs w:val="24"/>
        </w:rPr>
        <w:t>.</w:t>
      </w:r>
      <w:r w:rsidR="00782860">
        <w:rPr>
          <w:rStyle w:val="Rimandonotaapidipagina"/>
          <w:color w:val="000000" w:themeColor="text1"/>
          <w:sz w:val="24"/>
          <w:szCs w:val="24"/>
        </w:rPr>
        <w:footnoteReference w:id="21"/>
      </w:r>
      <w:r w:rsidR="00782860">
        <w:rPr>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Resta ferma l'applicazione delle disposizioni del presente decreto agli interventi di cui al citato articolo 1 del decreto-legge 59 del 2021, cofinanziati dal PNRR.</w:t>
      </w:r>
    </w:p>
    <w:p w14:paraId="32BE52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gestione delle risorse del Fondo per lo sviluppo e la coesione, periodo di programmazione 2021-2027, di cui all'articolo 1, comma 177, della legge 30 dicembre 2020, n. 178, che concorrono al finanziamento degli interventi previsti dal PNRR, si provvede in deroga alla specifica normativa di settore, con le procedure finanziarie del PNRR stabilite con le modalità di cui all'articolo 1, commi da 1038 a 1049 della citata legge 30 dicembre 2020, n. 178.</w:t>
      </w:r>
    </w:p>
    <w:p w14:paraId="4A71BB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403865"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15.</w:t>
      </w:r>
    </w:p>
    <w:p w14:paraId="22C035E3"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(Procedure finanziarie e contabili)</w:t>
      </w:r>
    </w:p>
    <w:p w14:paraId="42E00BF9" w14:textId="77777777" w:rsidR="00EF5B01" w:rsidRPr="00EF5B01" w:rsidRDefault="00EF5B01" w:rsidP="008925E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83826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comma 1039, della legge 30 dicembre 2020, n. 178, le parole «su un conto corrente della Tesoreria centrale appositamente istituito» sono sostituite dalle seguenti: «su un conto aperto presso la Tesoreria statale».</w:t>
      </w:r>
    </w:p>
    <w:p w14:paraId="0D24FF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procedure relative alla gestione finanziaria delle risorse previste nell'ambito del PNRR sono stabilite in sede di emanazione dei decreti del Ministro dell'economia e delle finanze di cui all'articolo 1, comma 1042, della legge 30 dicembre 2020, n. 178, sentita la Conferenza permanente per i rapporti tra lo Stato, le Regioni e le Province autonome di Trento e Bolzano, ai sensi dell'articolo 3 del decreto legislativo 28 agosto 1997, n. 281.</w:t>
      </w:r>
    </w:p>
    <w:p w14:paraId="5F63F3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enti di cui all'articolo 2 del decreto legislativo 23 giugno 2011, n. 118 utilizzano le risorse ricevute per l'attuazione del PNRR e del PNC che a fine esercizio confluiscono nel risultato di amministrazione, in deroga ai limiti previsti dall'articolo 1, commi 897 e 898, della legge 30 dicembre 2018, n. 145.</w:t>
      </w:r>
    </w:p>
    <w:p w14:paraId="188D322E" w14:textId="5D4D964A"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di cui al comma 3 possono accertare le entrate derivanti dal trasferimento delle risorse del PNRR e del PNC sulla base della formale deliberazione di riparto o assegnazione del contributo a proprio favore, senza dover attendere l'impegno dell'amministrazione erogante, con imputazione agli esercizi di esigibilità ivi previsti.</w:t>
      </w:r>
    </w:p>
    <w:p w14:paraId="76E980EF" w14:textId="6085EEF3" w:rsidR="00782860" w:rsidRPr="00317A3D" w:rsidRDefault="00782860" w:rsidP="00782860">
      <w:pPr>
        <w:rPr>
          <w:b/>
          <w:bCs/>
          <w:color w:val="000000" w:themeColor="text1"/>
          <w:sz w:val="24"/>
          <w:szCs w:val="24"/>
        </w:rPr>
      </w:pPr>
      <w:r w:rsidRPr="00317A3D">
        <w:rPr>
          <w:b/>
          <w:bCs/>
          <w:color w:val="000000" w:themeColor="text1"/>
          <w:sz w:val="24"/>
          <w:szCs w:val="24"/>
        </w:rPr>
        <w:t xml:space="preserve">  4-bis. Gli enti locali che si trovano in esercizio provvisorio o gestione provvisoria sono autorizzati, per gli anni dal 2021 al 2026, a iscrivere in bilancio i relativi finanziamenti di derivazione statale ed </w:t>
      </w:r>
      <w:r w:rsidRPr="00317A3D">
        <w:rPr>
          <w:b/>
          <w:bCs/>
          <w:color w:val="000000" w:themeColor="text1"/>
          <w:sz w:val="24"/>
          <w:szCs w:val="24"/>
        </w:rPr>
        <w:lastRenderedPageBreak/>
        <w:t>europea per investimenti mediante apposita variazione, in deroga a quanto previsto dall'articolo 163 del testo unico delle leggi sull'ordinamento degli enti locali, di cui al decreto legislativo 18 agosto 2000, n. 267, e dall'allegato 4/2 annesso al decreto legislativo 23 giugno 2011, n. 118.</w:t>
      </w:r>
      <w:r>
        <w:rPr>
          <w:rStyle w:val="Rimandonotaapidipagina"/>
          <w:b/>
          <w:bCs/>
          <w:color w:val="000000" w:themeColor="text1"/>
          <w:sz w:val="24"/>
          <w:szCs w:val="24"/>
        </w:rPr>
        <w:footnoteReference w:id="22"/>
      </w:r>
    </w:p>
    <w:p w14:paraId="7BCACA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4-quater, comma 1, del decreto-legge 18 aprile 2019, n. 32, convertito, con modificazioni, dalla legge 14 giugno 2019, n. 55, le parole «2020 e 2021» sono sostituite dalle seguenti: «2020, 2021 e 2022».</w:t>
      </w:r>
    </w:p>
    <w:p w14:paraId="2DC1CF04" w14:textId="0C12A0F0"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Il piano dei conti integrato per le amministrazioni centrali dello Stato di cui al decreto del Presidente della Repubblica del 12 novembre 2018, n. 140, ai sensi dell'articolo 38-ter della legge 31 dicembre 2009, n. 196, può essere aggiornato con decreto del Ministro dell'economia e delle finanze, anche rivedendo il livello minimo di articolazione e la sua composizione in moduli distinti. Il termine della sperimentazione di cui all'articolo 38-sexies della legge 31 dicembre 2009, n. 196, è prorogato di un anno.</w:t>
      </w:r>
    </w:p>
    <w:p w14:paraId="4E70FD35" w14:textId="77777777" w:rsidR="00782860" w:rsidRPr="00317A3D" w:rsidRDefault="00782860" w:rsidP="00782860">
      <w:pPr>
        <w:jc w:val="center"/>
        <w:rPr>
          <w:b/>
          <w:bCs/>
          <w:color w:val="000000" w:themeColor="text1"/>
          <w:sz w:val="24"/>
          <w:szCs w:val="24"/>
        </w:rPr>
      </w:pPr>
      <w:r w:rsidRPr="00317A3D">
        <w:rPr>
          <w:b/>
          <w:bCs/>
          <w:color w:val="000000" w:themeColor="text1"/>
          <w:sz w:val="24"/>
          <w:szCs w:val="24"/>
        </w:rPr>
        <w:t>Art. 15-bis.</w:t>
      </w:r>
    </w:p>
    <w:p w14:paraId="5FAEB7B0" w14:textId="77777777" w:rsidR="00782860" w:rsidRPr="00317A3D" w:rsidRDefault="00782860" w:rsidP="00782860">
      <w:pPr>
        <w:jc w:val="center"/>
        <w:rPr>
          <w:b/>
          <w:bCs/>
          <w:color w:val="000000" w:themeColor="text1"/>
          <w:sz w:val="24"/>
          <w:szCs w:val="24"/>
        </w:rPr>
      </w:pPr>
      <w:r w:rsidRPr="00317A3D">
        <w:rPr>
          <w:b/>
          <w:bCs/>
          <w:color w:val="000000" w:themeColor="text1"/>
          <w:sz w:val="24"/>
          <w:szCs w:val="24"/>
        </w:rPr>
        <w:t>(Semplificazione della rettifica degli allegati a e a/2 al rendiconto 2020)</w:t>
      </w:r>
    </w:p>
    <w:p w14:paraId="41B4C186" w14:textId="691EA134" w:rsidR="00782860" w:rsidRPr="00EF5B01" w:rsidRDefault="00782860" w:rsidP="00782860">
      <w:pPr>
        <w:jc w:val="both"/>
        <w:rPr>
          <w:rFonts w:asciiTheme="minorHAnsi" w:eastAsia="Times New Roman" w:hAnsiTheme="minorHAnsi" w:cs="Times New Roman"/>
          <w:bCs/>
          <w:iCs/>
          <w:color w:val="000000" w:themeColor="text1"/>
          <w:sz w:val="24"/>
          <w:szCs w:val="24"/>
        </w:rPr>
      </w:pPr>
      <w:r w:rsidRPr="00317A3D">
        <w:rPr>
          <w:b/>
          <w:bCs/>
          <w:color w:val="000000" w:themeColor="text1"/>
          <w:sz w:val="24"/>
          <w:szCs w:val="24"/>
        </w:rPr>
        <w:t>  1. In deroga alle modalità previste per la deliberazione del rendiconto della gestione di cui all'articolo 227 del testo unico di cui al decreto legislativo 18 agosto 2000, n. 267, qualora l'ente locale abbia approvato il rendiconto senza aver inviato la certificazione di cui all'articolo 39, comma 2, del decreto-legge 14 agosto 2020, n. 104, convertito, con modificazioni, dalla legge 13 ottobre 2020, n. 126, la rettifica degli allegati al rendiconto 2020 relativi al risultato di amministrazione (allegato a) e all'elenco analitico delle risorse vincolate nel risultato di amministrazione (allegato a/2) di cui al decreto legislativo 23 giugno 2011, n. 118, è effettuata dal responsabile del servizio finanziario, sentito l'organo di revisione, salvo che non riguardi il valore complessivo del risultato di amministrazione. Il rendiconto aggiornato è tempestivamente trasmesso alla banca dati delle amministrazioni pubbliche di cui all'articolo 13 della legge 31 dicembre 2009, n. 196.</w:t>
      </w:r>
      <w:r>
        <w:rPr>
          <w:rStyle w:val="Rimandonotaapidipagina"/>
          <w:b/>
          <w:bCs/>
          <w:color w:val="000000" w:themeColor="text1"/>
          <w:sz w:val="24"/>
          <w:szCs w:val="24"/>
        </w:rPr>
        <w:footnoteReference w:id="23"/>
      </w:r>
    </w:p>
    <w:p w14:paraId="7F2F8A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98C82"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16.</w:t>
      </w:r>
    </w:p>
    <w:p w14:paraId="63C0452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(Norma finanziaria)</w:t>
      </w:r>
    </w:p>
    <w:p w14:paraId="622988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5A7A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Agli oneri derivanti dagli articoli 4, 5, 6, 7, 8 e 11, pari a 10.337.000 euro per l'anno 2021, 28.672.000 euro per ciascuno degli anni dal 2022 al 2026 e 2.295.000 euro annui a decorrere dal 2027, si provvede:</w:t>
      </w:r>
    </w:p>
    <w:p w14:paraId="202A6F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FBAB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quanto a 8 milioni di euro per ciascuno degli anni dal 2022 al 2026, mediante corrispondente riduzione del Fondo per interventi strutturali di politica economica, di cui all'articolo 10, comma 5, del decreto-legge 29 novembre 2004, n. 282, convertito, con modificazioni, dalla legge 27 dicembre 2004, n. 307;</w:t>
      </w:r>
    </w:p>
    <w:p w14:paraId="4FEDE8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03CC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quanto a 4.316.000 euro per l'anno 2021 e 8.632.000 euro per ciascuno degli anni dal 2022 al 2026, mediante corrispondente riduzione dell'autorizzazione di spesa di cui all'articolo 1, comma 200, della legge 23 dicembre 2014, n. 190;</w:t>
      </w:r>
    </w:p>
    <w:p w14:paraId="2DC17A3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7989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quanto a 6.021.000 euro per l'anno 2021 e 12.040.000 euro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w:t>
      </w:r>
    </w:p>
    <w:p w14:paraId="3BAD71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E3BB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l'accantonamento relativo al Ministero dell'economia e delle finanze per 2.541.000 euro per l'anno 2021, 4.384.000 euro per l'anno 2022 e 5.080.000 a decorrere dall'anno 2023;</w:t>
      </w:r>
    </w:p>
    <w:p w14:paraId="46A0FE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5342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l'accantonamento relativo al Ministero dello sviluppo economico per 348.000 euro per l'anno 2021 e a 696.000 a decorrere dall'anno 2022;</w:t>
      </w:r>
    </w:p>
    <w:p w14:paraId="7A25D8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EADE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l'accantonamento relativo al Ministero del lavoro e delle politiche sociali per 696.000 a decorrere dall'anno 2022;</w:t>
      </w:r>
    </w:p>
    <w:p w14:paraId="0578D9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34B5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l'accantonamento relativo al Ministero della giustizia per 348.000 euro per l'anno 2021 e a 696.000 per 2022;</w:t>
      </w:r>
    </w:p>
    <w:p w14:paraId="692DD7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AE45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l'accantonamento relativo al Ministero dell'interno per 348.000 euro per l'anno 2021 e a 696.000 a decorrere dall'anno 2022;</w:t>
      </w:r>
    </w:p>
    <w:p w14:paraId="1EA9E5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C3F8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    6) l'accantonamento relativo al Ministero dell'istruzione per 348.000 euro per l'anno 2021 e a 696.000 a decorrere dall'anno 2022;</w:t>
      </w:r>
    </w:p>
    <w:p w14:paraId="571332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79C6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l'accantonamento relativo al Ministero dell'ambiente e della tutela del territorio e del mare per 348.000 euro per l'anno 2021 e a 696.000 a decorrere dall'anno 2022;</w:t>
      </w:r>
    </w:p>
    <w:p w14:paraId="58C07B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5B6C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l'accantonamento relativo al Ministero delle infrastrutture e dei trasporti per 348.000 euro per l'anno 2021 e a 696.000 a decorrere dall'anno 2022;</w:t>
      </w:r>
    </w:p>
    <w:p w14:paraId="2D66E6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B6C7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l'accantonamento relativo al Ministero dell'università e della ricerca per 348.000 euro per l'anno 2021 e a 696.000 a decorrere dall'anno 2022;</w:t>
      </w:r>
    </w:p>
    <w:p w14:paraId="0220AC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796B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l'accantonamento relativo al Ministero della difesa per 348.000 euro per l'anno 2021 e a 696.000 a decorrere dall'anno 2022;</w:t>
      </w:r>
    </w:p>
    <w:p w14:paraId="5F162A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6D98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l'accantonamento relativo al Ministero delle politiche agricole alimentari, forestali e del turismo per 348.000 euro per l'anno 2021 e a 696.000 a decorrere dall'anno 2022;</w:t>
      </w:r>
    </w:p>
    <w:p w14:paraId="376D6F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66D4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l'accantonamento relativo al Ministero per i beni e le attività culturali per 348.000 euro per l'anno 2021 e a 696.000 a decorrere dall'anno 2022.</w:t>
      </w:r>
    </w:p>
    <w:p w14:paraId="0FF9DC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8AD4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dell'immediata attuazione delle disposizioni recate dal presente decreto, il Ministro dell'economia e delle finanze è autorizzato ad apportare, con propri decreti, le occorrenti variazioni di bilancio.</w:t>
      </w:r>
    </w:p>
    <w:p w14:paraId="0C18A9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1DF13F"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PARTE II</w:t>
      </w:r>
    </w:p>
    <w:p w14:paraId="7CBCBA93"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DI ACCELERAZIONE E SNELLIMENTO DELLE PROCEDURE E DI RAFFORZAMENTO DELLA CAPACITÀ AMMINISTRATIVA</w:t>
      </w:r>
    </w:p>
    <w:p w14:paraId="6F4E9E8C"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6255885"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w:t>
      </w:r>
    </w:p>
    <w:p w14:paraId="51C1C34D"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TRANSIZIONE ECOLOGICA E VELOCIZZAZIONE DEL PROCEDIMENTO AMBIENTALE E PAESAGGISTICO</w:t>
      </w:r>
    </w:p>
    <w:p w14:paraId="116E4AC6"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3753B0"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w:t>
      </w:r>
    </w:p>
    <w:p w14:paraId="189264E6"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STATALE</w:t>
      </w:r>
    </w:p>
    <w:p w14:paraId="43359CDA"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ACF341A"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17.</w:t>
      </w:r>
    </w:p>
    <w:p w14:paraId="7A0ED2A3"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(Commissione tecnica VIA per i progetti PNRR-PNIEC)</w:t>
      </w:r>
    </w:p>
    <w:p w14:paraId="25B3A7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2EF1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8 sono apportate le seguenti modificazioni:</w:t>
      </w:r>
    </w:p>
    <w:p w14:paraId="5E4067BE" w14:textId="218F79B8" w:rsidR="00EF5B01" w:rsidRPr="00612FE9" w:rsidRDefault="00EF5B01" w:rsidP="00EF5B0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il comma 2-bis è sostituito </w:t>
      </w:r>
      <w:r w:rsidRPr="00612FE9">
        <w:rPr>
          <w:rFonts w:asciiTheme="minorHAnsi" w:eastAsia="Times New Roman" w:hAnsiTheme="minorHAnsi" w:cs="Times New Roman"/>
          <w:bCs/>
          <w:iCs/>
          <w:strike/>
          <w:color w:val="000000" w:themeColor="text1"/>
          <w:sz w:val="24"/>
          <w:szCs w:val="24"/>
          <w:highlight w:val="yellow"/>
        </w:rPr>
        <w:t>dal seguente</w:t>
      </w:r>
      <w:r w:rsidR="00612FE9" w:rsidRPr="00612FE9">
        <w:rPr>
          <w:rFonts w:asciiTheme="minorHAnsi" w:eastAsia="Times New Roman" w:hAnsiTheme="minorHAnsi" w:cs="Times New Roman"/>
          <w:bCs/>
          <w:iCs/>
          <w:color w:val="000000" w:themeColor="text1"/>
          <w:sz w:val="24"/>
          <w:szCs w:val="24"/>
        </w:rPr>
        <w:t xml:space="preserve"> </w:t>
      </w:r>
      <w:r w:rsidR="00612FE9" w:rsidRPr="00612FE9">
        <w:rPr>
          <w:rFonts w:asciiTheme="minorHAnsi" w:eastAsia="Times New Roman" w:hAnsiTheme="minorHAnsi" w:cs="Times New Roman"/>
          <w:b/>
          <w:iCs/>
          <w:color w:val="000000" w:themeColor="text1"/>
          <w:sz w:val="24"/>
          <w:szCs w:val="24"/>
        </w:rPr>
        <w:t>dai seguenti:</w:t>
      </w:r>
      <w:r w:rsidR="00612FE9">
        <w:rPr>
          <w:rStyle w:val="Rimandonotaapidipagina"/>
          <w:rFonts w:asciiTheme="minorHAnsi" w:eastAsia="Times New Roman" w:hAnsiTheme="minorHAnsi" w:cs="Times New Roman"/>
          <w:b/>
          <w:iCs/>
          <w:color w:val="000000" w:themeColor="text1"/>
          <w:sz w:val="24"/>
          <w:szCs w:val="24"/>
        </w:rPr>
        <w:footnoteReference w:id="24"/>
      </w:r>
    </w:p>
    <w:p w14:paraId="03A79A0D" w14:textId="074DD84F"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Per lo svolgimento delle procedure di valutazione ambientale di competenza statale dei progetti ricompresi nel PNRR, di quelli finanziati a valere sul fondo complementare nonché dei progetti attuativi del PNIEC individuati nell'Allegato I-bis del presente decreto, è istituita la Commissione Tecnica PNRR-PNIEC, posta alle dipendenze funzionali del Ministero della transizione ecologica, e formata da un numero massimo di quaranta unità, in possesso di diploma di laurea o laurea magistrale, con almeno cinque anni di esperienza professionale e con competenze adeguate alla valutazione tecnica, ambientale e paesaggistica dei predetti progetti, individuato tra il personale di ruolo delle amministrazioni statali e regionali, del CNR, del Sistema nazionale a rete per la protezione dell'ambiente di cui alla legge 28 giugno 2016, n. 132, dell'ENEA e dell'ISS, secondo le modalità di cui al comma 2, secondo periodo,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aspettativa o altra analoga posizione, secondo i rispettivi ordinamenti. I componenti nominati nella Commissione Tecnica PNRR-PNIEC svolgono tale attività a tempo pieno e non possono far parte della Commissione di cui al comma 1 del presente articolo. Nella nomina dei membri è garantito il rispetto dell'equilibrio di genere. I componenti della Commissione Tecnica PNRR-PNIEC sono nominati con decreto del Ministro della transizione ecologica entro sessanta giorni dalla data di entrata in vigore della presente disposizione</w:t>
      </w:r>
      <w:r w:rsidR="00782860" w:rsidRPr="00317A3D">
        <w:rPr>
          <w:b/>
          <w:bCs/>
          <w:color w:val="000000" w:themeColor="text1"/>
          <w:sz w:val="24"/>
          <w:szCs w:val="24"/>
        </w:rPr>
        <w:t>, anche attingendo dall'elenco utilizzato per la nomina dei componenti della Commissione tecnica di verifica di cui all'articolo 8, comma 1, del decreto legislativo 3 aprile 2006, n. 152, in possesso dei medesimi requisiti di cui al comma 2-bis</w:t>
      </w:r>
      <w:r w:rsidRPr="00EF5B01">
        <w:rPr>
          <w:rFonts w:asciiTheme="minorHAnsi" w:eastAsia="Times New Roman" w:hAnsiTheme="minorHAnsi" w:cs="Times New Roman"/>
          <w:bCs/>
          <w:iCs/>
          <w:color w:val="000000" w:themeColor="text1"/>
          <w:sz w:val="24"/>
          <w:szCs w:val="24"/>
        </w:rPr>
        <w:t>.</w:t>
      </w:r>
      <w:r w:rsidR="00782860">
        <w:rPr>
          <w:rStyle w:val="Rimandonotaapidipagina"/>
          <w:rFonts w:asciiTheme="minorHAnsi" w:eastAsia="Times New Roman" w:hAnsiTheme="minorHAnsi" w:cs="Times New Roman"/>
          <w:bCs/>
          <w:iCs/>
          <w:color w:val="000000" w:themeColor="text1"/>
          <w:sz w:val="24"/>
          <w:szCs w:val="24"/>
        </w:rPr>
        <w:footnoteReference w:id="25"/>
      </w:r>
      <w:r w:rsidRPr="00EF5B01">
        <w:rPr>
          <w:rFonts w:asciiTheme="minorHAnsi" w:eastAsia="Times New Roman" w:hAnsiTheme="minorHAnsi" w:cs="Times New Roman"/>
          <w:bCs/>
          <w:iCs/>
          <w:color w:val="000000" w:themeColor="text1"/>
          <w:sz w:val="24"/>
          <w:szCs w:val="24"/>
        </w:rPr>
        <w:t xml:space="preserve"> I componenti della Commissione Tecnica PNRR-PNIEC restano in carica cinque anni e sono rinnovabili per una sola volta. Alle riunioni della commissione partecipa, con diritto di voto, anche un rappresentante del Ministero della cultura. Per lo svolgimento delle istruttorie tecniche </w:t>
      </w:r>
      <w:r w:rsidRPr="00EF5B01">
        <w:rPr>
          <w:rFonts w:asciiTheme="minorHAnsi" w:eastAsia="Times New Roman" w:hAnsiTheme="minorHAnsi" w:cs="Times New Roman"/>
          <w:bCs/>
          <w:iCs/>
          <w:color w:val="000000" w:themeColor="text1"/>
          <w:sz w:val="24"/>
          <w:szCs w:val="24"/>
        </w:rPr>
        <w:lastRenderedPageBreak/>
        <w:t>la Commissione si avvale, tramite appositi protocolli d'intesa, del Sistema nazionale a rete per la protezione dell'ambiente a norma della legge 28 giugno 2016, n. 132, e degli altri enti pubblici di ricerca. Per i procedimenti per i quali sia riconosciuto da specifiche disposizioni o intese un concorrente interesse regionale, all'attività istruttoria partecipa con diritto di voto un esperto designato dalle Regioni e dalle Province autonome interessate, individuato tra i soggetti in possesso di adeguata professionalità ed esperienza nel settore della valutazione dell'impatto ambientale e del diritto ambientale. La Commissione opera con le modalità previste dall'articolo 20, dall'articolo 21, dall'articolo 23, dall'articolo 24, dall'articolo 25, commi 1, 2-bis, 2-ter, 3, 4, 5, 6 e 7, e dall'articolo 27, del presente decreto.”;</w:t>
      </w:r>
    </w:p>
    <w:p w14:paraId="76241217" w14:textId="3B079371" w:rsidR="00782860" w:rsidRPr="00317A3D" w:rsidRDefault="00782860" w:rsidP="00782860">
      <w:pPr>
        <w:rPr>
          <w:b/>
          <w:bCs/>
          <w:color w:val="000000" w:themeColor="text1"/>
          <w:sz w:val="24"/>
          <w:szCs w:val="24"/>
        </w:rPr>
      </w:pPr>
      <w:r w:rsidRPr="00317A3D">
        <w:rPr>
          <w:b/>
          <w:bCs/>
          <w:color w:val="000000" w:themeColor="text1"/>
          <w:sz w:val="24"/>
          <w:szCs w:val="24"/>
        </w:rPr>
        <w:t>   2-ter. Qualora lo richieda almeno una delle Commissioni parlamentari competenti a maggioranza dei due terzi dei suoi componenti, le tipologie dei progetti attuativi del PNIEC individuati nell'allegato I-bis del presente decreto possono essere modificate, con decreto del Ministro della transizione ecologica, previo parere delle Commissioni parlamentari competenti da rendere entro quarantacinque giorni dalla richiesta, decorsi i quali il decreto può essere comunque adottato.</w:t>
      </w:r>
      <w:r>
        <w:rPr>
          <w:rStyle w:val="Rimandonotaapidipagina"/>
          <w:b/>
          <w:bCs/>
          <w:color w:val="000000" w:themeColor="text1"/>
          <w:sz w:val="24"/>
          <w:szCs w:val="24"/>
        </w:rPr>
        <w:footnoteReference w:id="26"/>
      </w:r>
    </w:p>
    <w:p w14:paraId="1F2379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1 è aggiunto in fine il seguente periodo: «Nella trattazione dei procedimenti di sua competenza ai sensi della normativa vigente, la Commissione di cui al presente comma nonché la Commissione di cui al comma 2-bis, dà precedenza ai progetti aventi un comprovato valore economico superiore a 5 milioni di euro ovvero una ricaduta in termini di maggiore occupazione attesa superiore a quindici unità di personale, nonché ai progetti cui si correlano scadenze non superiori a dodici mesi, fissate con termine perentorio dalla legge o comunque da enti terzi, e ai progetti relativi ad impianti già autorizzati la cui autorizzazione scade entro dodici mesi dalla presentazione dell'istanza.»;</w:t>
      </w:r>
    </w:p>
    <w:p w14:paraId="2EF44C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207D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5 le parole «Commissione tecnica PNIEC» ovunque ricorrono sono sostituite dalle seguenti: «Commissione tecnica PNRR-PNIEC» e le parole «e in ragione dei compiti istruttori effettivamente svolti,» sono sostituite dalle seguenti: «, esclusivamente in ragione dei compiti istruttori effettivamente svolti e solo a seguito dell'adozione del provvedimento finale,»</w:t>
      </w:r>
    </w:p>
    <w:p w14:paraId="127187BF"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8716428"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18.</w:t>
      </w:r>
    </w:p>
    <w:p w14:paraId="211C2E1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(Opere e infrastrutture strategiche per la realizzazione del PNRR e del PNIEC)</w:t>
      </w:r>
    </w:p>
    <w:p w14:paraId="512127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EA09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508C86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021A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all'articolo 7-bis</w:t>
      </w:r>
    </w:p>
    <w:p w14:paraId="7DCBAF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1F3A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comma 2-bis è sostituito dal seguente: «2-bis. Le opere, gli impianti e le infrastrutture necessari alla realizzazione dei progetti strategici per la transizione energetica del Paese inclusi nel Piano nazionale di ripresa e resilienza (PNRR) e al raggiungimento degli obiettivi fissati dal Piano nazionale integrato per l'energia e il clima (PNIEC), predisposto in attuazione del Regolamento (UE) 2018/1999, come individuati nell'Allegato I-bis, e le opere ad essi connesse costituiscono interventi di pubblica utilità, indifferibili e urgenti.»;</w:t>
      </w:r>
    </w:p>
    <w:p w14:paraId="6B25FB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3630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2-ter è abrogato;</w:t>
      </w:r>
    </w:p>
    <w:p w14:paraId="58F972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B5BA4C" w14:textId="26FA3E48"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l'allegato I alla Parte seconda, è inserito l'allegato I-bis, di cui all'allegato I al presente decreto.</w:t>
      </w:r>
    </w:p>
    <w:p w14:paraId="693422F3" w14:textId="102DB978" w:rsidR="00D36141" w:rsidRDefault="00D3614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28D286" w14:textId="77777777" w:rsidR="00D36141" w:rsidRPr="002D5130" w:rsidRDefault="00D36141" w:rsidP="00D36141">
      <w:pPr>
        <w:jc w:val="center"/>
        <w:rPr>
          <w:b/>
          <w:bCs/>
          <w:color w:val="000000" w:themeColor="text1"/>
          <w:sz w:val="24"/>
          <w:szCs w:val="24"/>
        </w:rPr>
      </w:pPr>
      <w:r w:rsidRPr="002D5130">
        <w:rPr>
          <w:b/>
          <w:bCs/>
          <w:color w:val="000000" w:themeColor="text1"/>
          <w:sz w:val="24"/>
          <w:szCs w:val="24"/>
        </w:rPr>
        <w:t>Art. 18-bis.</w:t>
      </w:r>
    </w:p>
    <w:p w14:paraId="39211C32" w14:textId="77777777" w:rsidR="00D36141" w:rsidRPr="002D5130" w:rsidRDefault="00D36141" w:rsidP="00D36141">
      <w:pPr>
        <w:jc w:val="center"/>
        <w:rPr>
          <w:b/>
          <w:bCs/>
          <w:color w:val="000000" w:themeColor="text1"/>
          <w:sz w:val="24"/>
          <w:szCs w:val="24"/>
        </w:rPr>
      </w:pPr>
      <w:r w:rsidRPr="002D5130">
        <w:rPr>
          <w:b/>
          <w:bCs/>
          <w:color w:val="000000" w:themeColor="text1"/>
          <w:sz w:val="24"/>
          <w:szCs w:val="24"/>
        </w:rPr>
        <w:t>(Intesa delle regioni)</w:t>
      </w:r>
    </w:p>
    <w:p w14:paraId="27E6D204" w14:textId="5127B46B" w:rsidR="00D36141" w:rsidRPr="002D5130" w:rsidRDefault="00D36141" w:rsidP="00D36141">
      <w:pPr>
        <w:rPr>
          <w:b/>
          <w:bCs/>
          <w:color w:val="000000" w:themeColor="text1"/>
          <w:sz w:val="24"/>
          <w:szCs w:val="24"/>
        </w:rPr>
      </w:pPr>
      <w:r w:rsidRPr="002D5130">
        <w:rPr>
          <w:b/>
          <w:bCs/>
          <w:color w:val="000000" w:themeColor="text1"/>
          <w:sz w:val="24"/>
          <w:szCs w:val="24"/>
        </w:rPr>
        <w:t>  1. Per le opere previste dall'allegato I-bis alla parte seconda del decreto legislativo 3 aprile 2006, n. 152, nei procedimenti disciplinati dal testo unico delle disposizioni legislative e regolamentari in materia di espropriazione per pubblica utilità, di cui al decreto del Presidente della Repubblica 8 giugno 2001, n. 327, le regioni sono tenute a esprimere la loro intesa entro trenta giorni dalla positiva conclusione della conferenza di servizi, al fine di consentire all'autorità competente il rilascio del provvedimento finale.</w:t>
      </w:r>
      <w:r>
        <w:rPr>
          <w:rStyle w:val="Rimandonotaapidipagina"/>
          <w:b/>
          <w:bCs/>
          <w:color w:val="000000" w:themeColor="text1"/>
          <w:sz w:val="24"/>
          <w:szCs w:val="24"/>
        </w:rPr>
        <w:footnoteReference w:id="27"/>
      </w:r>
    </w:p>
    <w:p w14:paraId="4530E75E" w14:textId="77777777" w:rsidR="00D36141" w:rsidRPr="00EF5B01" w:rsidRDefault="00D3614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B8EC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5C4E17"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19.</w:t>
      </w:r>
    </w:p>
    <w:p w14:paraId="272C867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relative al procedimento di verifica di assoggettabilità a VIA e consultazione preventiva)</w:t>
      </w:r>
    </w:p>
    <w:p w14:paraId="722F99AF"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727C4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3BAD8B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D270D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19:</w:t>
      </w:r>
    </w:p>
    <w:p w14:paraId="23408B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4016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4 la parola «quarantacinque» è sostituita dalla seguente: «trenta»;</w:t>
      </w:r>
    </w:p>
    <w:p w14:paraId="7B9FD3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7B17A8" w14:textId="691B94EC"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al comma 6 sono aggiunti in fine i seguenti periodi: «Nel medesimo termine l'autorità competente può richiedere chiarimenti e integrazioni al proponente finalizzati alla non assoggettabilità del progetto al procedimento di VIA. In tal caso, il proponente può richiedere, per una sola volta, la sospensione dei termini, per un periodo non superiore a </w:t>
      </w:r>
      <w:r w:rsidRPr="00D36141">
        <w:rPr>
          <w:rFonts w:asciiTheme="minorHAnsi" w:eastAsia="Times New Roman" w:hAnsiTheme="minorHAnsi" w:cs="Times New Roman"/>
          <w:bCs/>
          <w:iCs/>
          <w:strike/>
          <w:color w:val="000000" w:themeColor="text1"/>
          <w:sz w:val="24"/>
          <w:szCs w:val="24"/>
          <w:highlight w:val="yellow"/>
        </w:rPr>
        <w:t>sessanta</w:t>
      </w:r>
      <w:r w:rsidRPr="00EF5B01">
        <w:rPr>
          <w:rFonts w:asciiTheme="minorHAnsi" w:eastAsia="Times New Roman" w:hAnsiTheme="minorHAnsi" w:cs="Times New Roman"/>
          <w:bCs/>
          <w:iCs/>
          <w:color w:val="000000" w:themeColor="text1"/>
          <w:sz w:val="24"/>
          <w:szCs w:val="24"/>
        </w:rPr>
        <w:t xml:space="preserve"> </w:t>
      </w:r>
      <w:r w:rsidR="00D36141">
        <w:rPr>
          <w:rFonts w:asciiTheme="minorHAnsi" w:eastAsia="Times New Roman" w:hAnsiTheme="minorHAnsi" w:cs="Times New Roman"/>
          <w:b/>
          <w:iCs/>
          <w:color w:val="000000" w:themeColor="text1"/>
          <w:sz w:val="24"/>
          <w:szCs w:val="24"/>
        </w:rPr>
        <w:t>quarantacinque</w:t>
      </w:r>
      <w:r w:rsidR="00D36141">
        <w:rPr>
          <w:rStyle w:val="Rimandonotaapidipagina"/>
          <w:rFonts w:asciiTheme="minorHAnsi" w:eastAsia="Times New Roman" w:hAnsiTheme="minorHAnsi" w:cs="Times New Roman"/>
          <w:b/>
          <w:iCs/>
          <w:color w:val="000000" w:themeColor="text1"/>
          <w:sz w:val="24"/>
          <w:szCs w:val="24"/>
        </w:rPr>
        <w:footnoteReference w:id="28"/>
      </w:r>
      <w:r w:rsidR="00D36141">
        <w:rPr>
          <w:rFonts w:asciiTheme="minorHAnsi" w:eastAsia="Times New Roman" w:hAnsiTheme="minorHAnsi" w:cs="Times New Roman"/>
          <w:b/>
          <w:i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giorni, per la presentazione delle integrazioni e dei chiarimenti richiesti. Qualora il proponente non trasmetta la documentazione richiesta entro il termine stabilito, la domanda si intende respinta ed è fatto obbligo all'autorità competente di procedere all'archiviazione.»;</w:t>
      </w:r>
    </w:p>
    <w:p w14:paraId="36474F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B999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7 dopo il primo periodo è aggiunto il seguente: «Ai fini di cui al primo periodo l'autorità competente si pronuncia sulla richiesta di condizioni ambientali formulata dal proponente entro il termine di trenta giorni con determinazione positiva o negativa, esclusa ogni ulteriore interlocuzione o proposta di modifica.»;</w:t>
      </w:r>
    </w:p>
    <w:p w14:paraId="334C73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E7AA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20 sono aggiunte in fine le seguenti parole «entro trenta giorni dalla presentazione della proposta. Le disposizioni di cui al presente articolo si applicano anche ai progetti di cui all'articolo 8, comma 2-bis.».</w:t>
      </w:r>
    </w:p>
    <w:p w14:paraId="508B4B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D283A9"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20.</w:t>
      </w:r>
    </w:p>
    <w:p w14:paraId="4911A0B8" w14:textId="77777777" w:rsidR="00EF5B01" w:rsidRPr="00EF5B01" w:rsidRDefault="00EF5B01" w:rsidP="00BF642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(Nuova disciplina della valutazione di impatto ambientale e disposizioni speciali per gli interventi PNRR-PNIEC)</w:t>
      </w:r>
    </w:p>
    <w:p w14:paraId="444F80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0BDB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25, i commi 2 e 2-bis sono sostituiti dai seguenti:</w:t>
      </w:r>
    </w:p>
    <w:p w14:paraId="16FC70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D7AE2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Nel caso di progetti di competenza statale, ad esclusione di quelli di cui all'articolo 8, comma 2-bis, l'autorità competente, entro il termine di sessanta giorni dalla conclusione della fase di consultazione </w:t>
      </w:r>
      <w:r w:rsidRPr="00EF5B01">
        <w:rPr>
          <w:rFonts w:asciiTheme="minorHAnsi" w:eastAsia="Times New Roman" w:hAnsiTheme="minorHAnsi" w:cs="Times New Roman"/>
          <w:bCs/>
          <w:iCs/>
          <w:color w:val="000000" w:themeColor="text1"/>
          <w:sz w:val="24"/>
          <w:szCs w:val="24"/>
        </w:rPr>
        <w:lastRenderedPageBreak/>
        <w:t>di cui all'articolo 24, adotta il provvedimento di VIA previa acquisizione del concerto del competente direttore generale del Ministero della cultura entro il termine di trenta giorni. Nei casi di cui al precedente periodo, qualora sia necessario procedere ad accertamenti e indagini di particolare complessità, l'autorità competente, con atto motivato, dispone il prolungamento della fase di valutazione sino a un massimo di ulteriori trenta giorni, dando tempestivamente comunicazione per via telematica al proponente delle ragioni che giustificano la proroga e del termine entro cui sarà emanato il provvedimento. Nel caso di consultazioni transfrontaliere il provvedimento di VIA è proposto all'adozione del Ministro entro il termine di cui all'articolo 32, comma 5-bis.</w:t>
      </w:r>
    </w:p>
    <w:p w14:paraId="1E5ACE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Per i progetti di cui all'articolo 8, comma 2-bis, la Commissione di cui al medesimo comma 2-bis, si esprime entro il termine di trenta giorni dalla conclusione della fase di consultazione di cui all'articolo 24 e comunque entro il termine di centotrenta giorni dalla data di pubblicazione della documentazione di cui all'articolo 23 predisponendo lo schema di provvedimento di VIA. Nei successivi trenta giorni, il direttore generale del Ministero della transizione ecologica adotta il provvedimento di VIA, previa acquisizione del concerto del competente direttore generale del Ministero della cultura entro il termine di venti giorni. Nel caso di consultazioni transfrontaliere il provvedimento di VIA è adottato entro il termine di cui all'articolo 32, comma 5-bis.</w:t>
      </w:r>
    </w:p>
    <w:p w14:paraId="1CC028E5" w14:textId="5398BA9F"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   2-ter. Nei casi in cui i termini per la conclusione del procedimento di cui al comma 2-bis, primo e secondo periodo, non siano rispettati è </w:t>
      </w:r>
      <w:r w:rsidRPr="00D36141">
        <w:rPr>
          <w:rFonts w:asciiTheme="minorHAnsi" w:eastAsia="Times New Roman" w:hAnsiTheme="minorHAnsi" w:cs="Times New Roman"/>
          <w:bCs/>
          <w:iCs/>
          <w:strike/>
          <w:color w:val="000000" w:themeColor="text1"/>
          <w:sz w:val="24"/>
          <w:szCs w:val="24"/>
          <w:highlight w:val="yellow"/>
        </w:rPr>
        <w:t>automaticamente</w:t>
      </w:r>
      <w:r w:rsidRPr="00EF5B01">
        <w:rPr>
          <w:rFonts w:asciiTheme="minorHAnsi" w:eastAsia="Times New Roman" w:hAnsiTheme="minorHAnsi" w:cs="Times New Roman"/>
          <w:bCs/>
          <w:iCs/>
          <w:color w:val="000000" w:themeColor="text1"/>
          <w:sz w:val="24"/>
          <w:szCs w:val="24"/>
        </w:rPr>
        <w:t xml:space="preserve"> </w:t>
      </w:r>
      <w:r w:rsidR="00D36141">
        <w:rPr>
          <w:rStyle w:val="Rimandonotaapidipagina"/>
          <w:rFonts w:asciiTheme="minorHAnsi" w:eastAsia="Times New Roman" w:hAnsiTheme="minorHAnsi" w:cs="Times New Roman"/>
          <w:bCs/>
          <w:iCs/>
          <w:color w:val="000000" w:themeColor="text1"/>
          <w:sz w:val="24"/>
          <w:szCs w:val="24"/>
        </w:rPr>
        <w:footnoteReference w:id="29"/>
      </w:r>
      <w:r w:rsidR="00D36141">
        <w:rPr>
          <w:rFonts w:asciiTheme="minorHAnsi" w:eastAsia="Times New Roman" w:hAnsiTheme="minorHAnsi" w:cs="Times New Roman"/>
          <w:bCs/>
          <w:i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rimborsato al proponente il cinquanta per cento dei diritti di istruttoria di cui all'articolo 33, mediante utilizzazione delle risorse iscritte in apposito capitolo a tal fine istituito nello stato di previsione del Ministero della transizione ecologica con uno stanziamento di euro 840.000 per l'anno 2021, di euro 1.640.000 per l'anno 2022 ed euro 1.260.000 per l'anno 2023.</w:t>
      </w:r>
    </w:p>
    <w:p w14:paraId="12ED9C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   2-quater. In caso di inerzia nella conclusione del procedimento da parte delle Commissioni di cui all'articolo 8, commi 1 e 2-bis, il titolare del potere sostitutivo, nominato ai sensi dell'articolo 2 della legge 7 agosto 1990, n. 241, acquisito, qualora la competente commissione di cui all'articolo 8 non si sia pronunciata, il parere dell'ISPRA entro il termine di trenta giorni, provvede all'adozione dell'atto omesso entro i successivi trenta giorni. In caso di inerzia nella conclusione del procedimento da parte del direttore generale del ministero della transizione ecologica ovvero in caso di ritardo nel rilascio del concerto da parte del direttore generale competente del Ministero della cultura, il titolare del potere sostitutivo, nominato ai sensi dell'articolo 2 della legge n. 241 del 1990, provvede al rilascio degli atti di relativa competenza entro i successivi trenta giorni.».</w:t>
      </w:r>
    </w:p>
    <w:p w14:paraId="40A451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   2-quinquies. Il concerto del competente direttore generale del Ministero della cultura comprende l'autorizzazione di cui all'articolo 146 del decreto legislativo 22 gennaio 2004, n. 42, ove gli elaborati progettuali siano sviluppati a un livello che consenta la compiuta redazione della relazione paesaggistica.».</w:t>
      </w:r>
    </w:p>
    <w:p w14:paraId="7AEA2C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BEEE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 comma 1, capoverso 2-ter, pari a 840.000 euro per l'anno 2021, 1.640.000 per l'anno 2022 e 1.260.000 per l'anno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dell'ambiente e della tutela del territorio e del mare. Il Ministero della transizione ecologica provvede al monitoraggio del rispetto del limite di spesa e comunica i risultati di tale attività al Ministero dell'economia e delle finanze. Qualora dal predetto monitoraggio emerga il verificarsi di scostamenti, anche in via prospettica, rispetto al predetto limite di spesa, si provvede ai sensi del comma 12-bis dell'articolo 17 della legge 31 dicembre 2009, n. 196.</w:t>
      </w:r>
    </w:p>
    <w:p w14:paraId="2BD1D3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B3D41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21.</w:t>
      </w:r>
    </w:p>
    <w:p w14:paraId="2CDB800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(Avvio del procedimento di VIA e consultazione del pubblico)</w:t>
      </w:r>
    </w:p>
    <w:p w14:paraId="7BCC07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3959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7C3989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57AE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23:</w:t>
      </w:r>
    </w:p>
    <w:p w14:paraId="2CC74B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9E5F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primo periodo le parole «dieci giorni» sono sostituite dalle seguenti «quindici giorni», al secondo periodo sono premesse le parole «Entro il medesimo termine», nonché dopo il terzo periodo è aggiunto il seguente: «I termini di cui al presente comma sono perentori.»;</w:t>
      </w:r>
    </w:p>
    <w:p w14:paraId="7AD55E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8E9C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le parole «Per i progetti individuati dal decreto del Presidente del Consiglio dei Ministri di cui all'articolo 7-bis, comma 2-bis» sono sostituite dalle seguenti «Per i progetti di cui all'articolo 8, comma 2-bis»;</w:t>
      </w:r>
    </w:p>
    <w:p w14:paraId="79555ADC" w14:textId="71745EC9" w:rsidR="00D36141" w:rsidRPr="00D36141" w:rsidRDefault="00D36141" w:rsidP="00D36141">
      <w:pPr>
        <w:rPr>
          <w:color w:val="000000" w:themeColor="text1"/>
          <w:sz w:val="24"/>
          <w:szCs w:val="24"/>
        </w:rPr>
      </w:pPr>
      <w:r w:rsidRPr="00D36141">
        <w:rPr>
          <w:color w:val="000000" w:themeColor="text1"/>
          <w:sz w:val="24"/>
          <w:szCs w:val="24"/>
        </w:rPr>
        <w:t xml:space="preserve">  Al comma 1, lettera b), numero 2), capoverso 4, secondo periodo, dopo le parole: non superiore a sessanta giorni aggiungere le </w:t>
      </w:r>
      <w:proofErr w:type="gramStart"/>
      <w:r w:rsidRPr="00D36141">
        <w:rPr>
          <w:color w:val="000000" w:themeColor="text1"/>
          <w:sz w:val="24"/>
          <w:szCs w:val="24"/>
        </w:rPr>
        <w:t>seguenti:.</w:t>
      </w:r>
      <w:proofErr w:type="gramEnd"/>
    </w:p>
    <w:p w14:paraId="08259B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146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w:t>
      </w:r>
    </w:p>
    <w:p w14:paraId="02C535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9EAC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il comma 3 è sostituito dal seguente: «3. Entro il termine di sessanta giorni, ovvero trenta giorni per i progetti di cui all'articolo 8, comma 2-bis, dalla pubblicazione dell'avviso al pubblico di cui al comma </w:t>
      </w:r>
      <w:r w:rsidRPr="00EF5B01">
        <w:rPr>
          <w:rFonts w:asciiTheme="minorHAnsi" w:eastAsia="Times New Roman" w:hAnsiTheme="minorHAnsi" w:cs="Times New Roman"/>
          <w:bCs/>
          <w:iCs/>
          <w:color w:val="000000" w:themeColor="text1"/>
          <w:sz w:val="24"/>
          <w:szCs w:val="24"/>
        </w:rPr>
        <w:lastRenderedPageBreak/>
        <w:t>2, chiunque abbia interesse può prendere visione, sul sito web, del progetto e della relativa documentazione e presentare le proprie osservazioni all'autorità competente, anche fornendo nuovi o ulteriori elementi conoscitivi e valutativi. Entro il medesimo termine sono acquisiti per via telematica i pareri delle Amministrazioni e degli enti pubblici che hanno ricevuto la comunicazione di cui all'articolo 23, comma 4. Entro i quindici giorni successivi alla scadenza del termine di cui ai periodi precedenti, il proponente ha facoltà di presentare all'autorità competente le proprie controdeduzioni alle osservazioni e ai pareri pervenuti.»;</w:t>
      </w:r>
    </w:p>
    <w:p w14:paraId="7C5DBB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F96F13" w14:textId="0125E18F"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4 è sostituito dal seguente: «4. Qualora all'esito della consultazione ovvero della presentazione delle controdeduzioni da parte del proponente si renda necessaria la modifica o l'integrazione degli elaborati progettuali o della documentazione acquisita, l'autorità competente, entro i venti giorni successivi, ovvero entro i dieci giorni successivi per i progetti di cui all'articolo 8, comma 2-bis può, per una sola volta, stabilire un termine non superiore ad ulteriori venti giorni, per la trasmissione, in formato elettronico, degli elaborati progettuali o della documentazione modificati o integrati. Su richiesta motivata del proponente l'autorità competente può concedere, per una sola volta, la sospensione dei termini per la presentazione della documentazione integrativa per un periodo non superiore a sessanta giorni</w:t>
      </w:r>
      <w:r w:rsidR="00D36141">
        <w:rPr>
          <w:rFonts w:asciiTheme="minorHAnsi" w:eastAsia="Times New Roman" w:hAnsiTheme="minorHAnsi" w:cs="Times New Roman"/>
          <w:bCs/>
          <w:iCs/>
          <w:color w:val="000000" w:themeColor="text1"/>
          <w:sz w:val="24"/>
          <w:szCs w:val="24"/>
        </w:rPr>
        <w:t xml:space="preserve"> </w:t>
      </w:r>
      <w:r w:rsidR="00D36141" w:rsidRPr="00D36141">
        <w:rPr>
          <w:b/>
          <w:bCs/>
          <w:color w:val="000000" w:themeColor="text1"/>
          <w:sz w:val="24"/>
          <w:szCs w:val="24"/>
        </w:rPr>
        <w:t>ovvero a centoventi giorni nei casi di integrazioni che richiedono maggiori approfondimenti su motivata richiesta del proponente in ragione della particolare complessità tecnica del progetto o delle indagini richieste</w:t>
      </w:r>
      <w:r w:rsidRPr="00EF5B01">
        <w:rPr>
          <w:rFonts w:asciiTheme="minorHAnsi" w:eastAsia="Times New Roman" w:hAnsiTheme="minorHAnsi" w:cs="Times New Roman"/>
          <w:bCs/>
          <w:iCs/>
          <w:color w:val="000000" w:themeColor="text1"/>
          <w:sz w:val="24"/>
          <w:szCs w:val="24"/>
        </w:rPr>
        <w:t>. Nel caso in cui il proponente non ottemperi alla richiesta entro il termine perentorio stabilito, l'istanza si intende respinta ed è fatto obbligo all'autorità competente di procedere all'archiviazione.»;</w:t>
      </w:r>
    </w:p>
    <w:p w14:paraId="262705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FD1C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5, il primo periodo è sostituito dal seguente: «L'autorità competente, ricevuta la documentazione integrativa, la pubblica immediatamente sul proprio sito web e, tramite proprio apposito avviso, avvia una nuova consultazione del pubblico.», nonché al secondo periodo dopo le parole «si applica il termine di trenta giorni» sono inserite le seguenti «ovvero quindici giorni per i progetti di cui all'articolo 8, comma 2-bis».</w:t>
      </w:r>
    </w:p>
    <w:p w14:paraId="264405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A446B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22.</w:t>
      </w:r>
    </w:p>
    <w:p w14:paraId="2B38B5DD"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(Nuova disciplina in materia di provvedimento unico ambientale)</w:t>
      </w:r>
    </w:p>
    <w:p w14:paraId="39A5B6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5CF6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all'articolo 27, sono apportate le seguenti modificazioni:</w:t>
      </w:r>
    </w:p>
    <w:p w14:paraId="7A6BE0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9482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1, le parole «di ogni autorizzazione, intesa, parere, concerto, nulla osta, o atto di assenso in materia ambientale, richiesto» sono sostituite dalle seguenti: «delle autorizzazioni ambientali tra quelle elencate al comma 2 richieste» e le parole «di ogni autorizzazione, intesa, parere, concerto, </w:t>
      </w:r>
      <w:r w:rsidRPr="00EF5B01">
        <w:rPr>
          <w:rFonts w:asciiTheme="minorHAnsi" w:eastAsia="Times New Roman" w:hAnsiTheme="minorHAnsi" w:cs="Times New Roman"/>
          <w:bCs/>
          <w:iCs/>
          <w:color w:val="000000" w:themeColor="text1"/>
          <w:sz w:val="24"/>
          <w:szCs w:val="24"/>
        </w:rPr>
        <w:lastRenderedPageBreak/>
        <w:t>nulla osta, o atti di assenso in materia ambientale richiesti» sono sostituite dalle seguenti: «delle autorizzazioni di cui al comma 2»;</w:t>
      </w:r>
    </w:p>
    <w:p w14:paraId="37608E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017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2, prima del primo periodo, è inserito il seguente: «È facoltà del proponente richiedere l'esclusione dal presente procedimento dell'acquisizione di autorizzazioni, intese, concessioni, licenze, pareri, concerti, nulla osta e assensi comunque denominati, nel caso in cui le relative normative di settore richiedano, per consentire una compiuta istruttoria tecnico-amministrativa, un livello di progettazione esecutivo.»;</w:t>
      </w:r>
    </w:p>
    <w:p w14:paraId="31A5C1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F042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4, le parole «ed enti potenzialmente interessati e comunque competenti in materia ambientale» sono sostituite dalle seguenti: «competenti al rilascio delle autorizzazioni ambientali di cui al comma 2 richieste dal proponente»;</w:t>
      </w:r>
    </w:p>
    <w:p w14:paraId="223E69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65A0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6, la parola «cinque» è sostituita dalla seguente: «dieci» e le parole «, l'autorità competente indìce la conferenza di servizi decisoria di cui all'articolo 14-ter della legge 7 agosto 1990, n. 241 che opera secondo quanto disposto dal comma 8. Contestualmente» sono soppresse;</w:t>
      </w:r>
    </w:p>
    <w:p w14:paraId="08CBDF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59E6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7, dopo le parole «l'autorità competente» sono inserite le seguenti: «indìce la conferenza di servizi decisoria di cui all'articolo 14-ter della legge 7 agosto 1990, n. 241, che opera secondo quanto disposto dal comma 8. Contestualmente»;</w:t>
      </w:r>
    </w:p>
    <w:p w14:paraId="63E9DC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B58E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8:</w:t>
      </w:r>
    </w:p>
    <w:p w14:paraId="591864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DE82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terzo periodo, le parole «Per i progetti di cui all'articolo 7-bis, comma 2-bis», sono sostituite dalle seguenti: «Per i progetti di cui all'articolo 8, comma 2-bis»;</w:t>
      </w:r>
    </w:p>
    <w:p w14:paraId="4E3AA3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9243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sesto periodo, le parole «per i progetti di cui all'articolo 7-bis, comma 2-bis», sono sostituite dalle seguenti: «per i progetti di cui all'articolo 8, comma 2-bis».</w:t>
      </w:r>
    </w:p>
    <w:p w14:paraId="1826C7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CC93E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w:t>
      </w:r>
    </w:p>
    <w:p w14:paraId="1D533C9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DI IMPATTO AMBIENTALE DI COMPETENZA REGIONALE</w:t>
      </w:r>
    </w:p>
    <w:p w14:paraId="1D47683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7768C4E"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23.</w:t>
      </w:r>
    </w:p>
    <w:p w14:paraId="79F16340"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3C7983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A5DD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dopo l'articolo 26 è inserito il seguente:</w:t>
      </w:r>
    </w:p>
    <w:p w14:paraId="22310A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6A6E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«Art-26-bis.</w:t>
      </w:r>
    </w:p>
    <w:p w14:paraId="642EB7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(Fase preliminare al provvedimento autorizzatorio unico regionale)</w:t>
      </w:r>
    </w:p>
    <w:p w14:paraId="6F4323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C85D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Per i progetti sottoposti a valutazione di impatto ambientale di competenza regionale, il proponente può richiedere, prima della presentazione dell'istanza di cui all'articolo 27-bis, l'avvio di una fase preliminare finalizzata alla definizione delle informazioni da inserire nello studio di impatto ambientale, del relativo livello di dettaglio e delle metodologie da adottare per la predisposizione dello stesso nonché alla definizione delle condizioni per ottenere le autorizzazioni, intese, concessioni, licenze, pareri, concerti, nulla osta e assensi comunque denominati, necessari alla realizzazione e all'esercizio del progetto. Il proponente trasmette all'autorità competente, in formato elettronico, i seguenti documenti:</w:t>
      </w:r>
    </w:p>
    <w:p w14:paraId="0AA4BC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F036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studio preliminare ambientale ovvero una relazione che, sulla base degli impatti ambientali attesi, illustra il piano di lavoro per l'elaborazione dello studio di impatto ambientale;</w:t>
      </w:r>
    </w:p>
    <w:p w14:paraId="5674F48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D4D2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progetto avente un livello di dettaglio equivalente al progetto di fattibilità tecnico economica di cui all'articolo 23 del decreto legislativo 18 aprile 2016, n. 50.</w:t>
      </w:r>
    </w:p>
    <w:p w14:paraId="029895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AF38A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Entro cinque giorni dalla trasmissione, la documentazione di cui al comma 1 è pubblicata e resa accessibile, con modalità tali da garantire la tutela della riservatezza di eventuali informazioni industriali o commerciali indicate dal proponente, nel sito web dell'autorità competente che comunica, per via telematica, a tutte le amministrazioni ed enti potenzialmente interessati e comunque competenti a esprimersi sulla realizzazione e sull'esercizio del progetto, l'avvenuta pubblicazione. Contestualmente l'autorità competente indice una conferenza di servizi preliminare ai sensi della legge 7 agosto 1990, n. 241, con le medesime amministrazioni ed enti.</w:t>
      </w:r>
    </w:p>
    <w:p w14:paraId="071CB8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La conferenza di servizi preliminare di cui all'articolo 14, comma 3, della legge 7 agosto 1990, n. 241, si svolge con le modalità di cui all'articolo 14-bis della medesima legge e i termini sono ridotti alla metà. Le amministrazioni e gli enti coinvolti ai sensi del comma 2 si esprimono in sede di conferenza, sulla base della documentazione prodotta dal proponente, relativamente alla definizione delle informazioni da inserire nello studio preliminare ambientale, del relativo livello di dettaglio, del rispetto dei requisiti </w:t>
      </w:r>
      <w:r w:rsidRPr="00EF5B01">
        <w:rPr>
          <w:rFonts w:asciiTheme="minorHAnsi" w:eastAsia="Times New Roman" w:hAnsiTheme="minorHAnsi" w:cs="Times New Roman"/>
          <w:bCs/>
          <w:iCs/>
          <w:color w:val="000000" w:themeColor="text1"/>
          <w:sz w:val="24"/>
          <w:szCs w:val="24"/>
        </w:rPr>
        <w:lastRenderedPageBreak/>
        <w:t>di legge ove sia richiesta anche la variante urbanistica e delle metodologie da adottare per la predisposizione dello studio nonché alla definizione delle condizioni per ottenere gli atti di assenso, comunque denominati, necessari alla realizzazione e all'esercizio del medesimo progetto. Entro cinque giorni dal termine dei lavori della conferenza preliminare, l'autorità competente trasmette al proponente le determinazioni acquisite.</w:t>
      </w:r>
    </w:p>
    <w:p w14:paraId="73D779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L'autorità competente, in accordo con tutte le amministrazioni ed enti potenzialmente interessati e competenti a esprimersi sulla realizzazione e sull'esercizio del progetto, può stabilire una riduzione dei termini della conferenza di servizi di cui al comma 7 dell'articolo 27-bis. Le determinazioni espresse in sede di conferenza preliminare possono essere motivatamente modificate o integrate solo in presenza di elementi nuovi, tali da comportare notevoli ripercussioni negative sugli interessi coinvolti emersi nel successivo procedimento anche a seguito delle osservazioni degli interessati di cui al comma 4 dell'articolo 27-bis. Le amministrazioni e gli enti che non si esprimono nella conferenza di servizi preliminare non possono porre condizioni, formulare osservazioni o evidenziare motivi ostativi alla realizzazione dell'intervento nel corso del procedimento di cui all'articolo 27-bis, salvo che in presenza di elementi nuovi, tali da comportare notevoli ripercussioni negative sugli interessi coinvolti emersi nel corso di tale procedimento anche a seguito delle osservazioni degli interessati.».</w:t>
      </w:r>
    </w:p>
    <w:p w14:paraId="2C50A2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6FD7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Dall'attuazione delle disposizioni del presente articolo non devono derivare nuovi o maggiori oneri a carico della finanza pubblica. Le amministrazioni interessate provvedono alla realizzazione delle attività mediante utilizzo delle risorse umane, strumentali e finanziarie disponibili a legislazione vigente sui propri bilanci.</w:t>
      </w:r>
    </w:p>
    <w:p w14:paraId="59B35C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F4409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24.</w:t>
      </w:r>
    </w:p>
    <w:p w14:paraId="455F7125"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(Provvedimento autorizzatorio unico regionale)</w:t>
      </w:r>
    </w:p>
    <w:p w14:paraId="798475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99C0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27-bis del decreto legislativo 3 aprile 2006, n. 152, sono apportate le seguenti modificazioni:</w:t>
      </w:r>
    </w:p>
    <w:p w14:paraId="4A76CE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E8DF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le parole «l'adeguatezza e» sono soppresse, ed è aggiunto in fine il seguente periodo: «Nei casi in cui sia richiesta anche la variante urbanistica di cui all'articolo 8 del decreto del Presidente della Repubblica 7 settembre 2010, n. 160, nel termine di cui al primo periodo l'amministrazione competente effettua la verifica del rispetto dei requisiti per la procedibilità.»;</w:t>
      </w:r>
    </w:p>
    <w:p w14:paraId="62D3E8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9D9B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al comma 4, le parole «concernenti la valutazione di impatto ambientale e, ove necessarie, la valutazione di incidenza e l'autorizzazione integrata ambientale» sono soppresse, e dopo il terzo periodo </w:t>
      </w:r>
      <w:r w:rsidRPr="00EF5B01">
        <w:rPr>
          <w:rFonts w:asciiTheme="minorHAnsi" w:eastAsia="Times New Roman" w:hAnsiTheme="minorHAnsi" w:cs="Times New Roman"/>
          <w:bCs/>
          <w:iCs/>
          <w:color w:val="000000" w:themeColor="text1"/>
          <w:sz w:val="24"/>
          <w:szCs w:val="24"/>
        </w:rPr>
        <w:lastRenderedPageBreak/>
        <w:t>è aggiunto il seguente: «Ove il progetto comporti la variazione dello strumento urbanistico, le osservazioni del pubblico interessato riguardano anche tale variazione e, ove necessario, la valutazione ambientale strategica.»;</w:t>
      </w:r>
    </w:p>
    <w:p w14:paraId="176C37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A424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5 è sostituito dal seguente:</w:t>
      </w:r>
    </w:p>
    <w:p w14:paraId="0D0BF7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12D7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 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web e, tramite proprio apposito avviso, avvia una nuova consultazione del pubblico la cui durata è ridotta della metà rispetto a quella di cui al comma 4.»;</w:t>
      </w:r>
    </w:p>
    <w:p w14:paraId="30E96C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00DE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 è sostituito dai seguenti:</w:t>
      </w:r>
    </w:p>
    <w:p w14:paraId="6A62CF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ACEC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14-ter della legge 7 agosto 1990, n. 241. Il termine di conclusione della conferenza di servizi è di novanta giorni decorrenti dalla data di convocazione dei lavori. La determinazione motivata di conclusione della conferenza di servizi costituisce il provvedimento autorizzatorio unico regionale e comprende, recandone l'indicazione esplicita, il provvedimento di VIA e i titoli abilitativi rilasciati per la realizzazione e l'esercizio del progetto. Nel caso in cui il rilascio di titoli abilitativi settoriali sia compreso nell'ambito di un'autorizzazione unica, le amministrazioni competenti per i singoli atti di assenso partecipano alla conferenza e l'autorizzazione unica confluisce nel provvedimento autorizzatorio unico regionale.</w:t>
      </w:r>
    </w:p>
    <w:p w14:paraId="63FCA3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   7-bis. Qualora in base alla normativa di settore per il rilascio di uno o più titoli abilitativi sia richiesto un livello progettuale esecutivo, oppure laddove la messa in esercizio dell'impianto o l'avvio dell'attività necessiti di verifiche, riesami o nulla osta successivi alla realizzazione dell'opera stessa, la </w:t>
      </w:r>
      <w:r w:rsidRPr="00EF5B01">
        <w:rPr>
          <w:rFonts w:asciiTheme="minorHAnsi" w:eastAsia="Times New Roman" w:hAnsiTheme="minorHAnsi" w:cs="Times New Roman"/>
          <w:bCs/>
          <w:iCs/>
          <w:color w:val="000000" w:themeColor="text1"/>
          <w:sz w:val="24"/>
          <w:szCs w:val="24"/>
        </w:rPr>
        <w:lastRenderedPageBreak/>
        <w:t>amministrazione competente indica in conferenza le condizioni da verificare, secondo un cronoprogramma stabilito nella conferenza stessa, per il rilascio del titolo definitivo. Le condizioni indicate dalla conferenza possono essere motivatamente modificate o integrate solo in presenza di significativi elementi emersi nel corso del successivo procedimento per il rilascio del titolo definitivo.</w:t>
      </w:r>
    </w:p>
    <w:p w14:paraId="6E1D7A33" w14:textId="03D08426"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   7-ter. Laddove uno o più titoli compresi nella determinazione motivata di conclusione della conferenza di cui al comma 7 attribuiscano carattere di pubblica utilità, indifferibilità e urgenza, costituiscano variante agli strumenti urbanistici, e vincolo preordinato all'esproprio, la determinazione conclusiva della conferenza ne dà atto.».</w:t>
      </w:r>
    </w:p>
    <w:p w14:paraId="716A5382" w14:textId="17129ACA" w:rsidR="000B580E" w:rsidRDefault="000B580E"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7FA44" w14:textId="77777777" w:rsidR="000B580E" w:rsidRPr="002D5130" w:rsidRDefault="000B580E" w:rsidP="000B580E">
      <w:pPr>
        <w:jc w:val="center"/>
        <w:rPr>
          <w:b/>
          <w:bCs/>
          <w:color w:val="000000" w:themeColor="text1"/>
          <w:sz w:val="24"/>
          <w:szCs w:val="24"/>
        </w:rPr>
      </w:pPr>
      <w:r w:rsidRPr="002D5130">
        <w:rPr>
          <w:b/>
          <w:bCs/>
          <w:color w:val="000000" w:themeColor="text1"/>
          <w:sz w:val="24"/>
          <w:szCs w:val="24"/>
        </w:rPr>
        <w:t>Articolo 24-bis.</w:t>
      </w:r>
    </w:p>
    <w:p w14:paraId="7EF8CCF4" w14:textId="77777777" w:rsidR="000B580E" w:rsidRPr="002D5130" w:rsidRDefault="000B580E" w:rsidP="000B580E">
      <w:pPr>
        <w:jc w:val="center"/>
        <w:rPr>
          <w:b/>
          <w:bCs/>
          <w:color w:val="000000" w:themeColor="text1"/>
          <w:sz w:val="24"/>
          <w:szCs w:val="24"/>
        </w:rPr>
      </w:pPr>
      <w:r w:rsidRPr="002D5130">
        <w:rPr>
          <w:b/>
          <w:bCs/>
          <w:color w:val="000000" w:themeColor="text1"/>
          <w:sz w:val="24"/>
          <w:szCs w:val="24"/>
        </w:rPr>
        <w:t>(Autorizzazione unica per la realizzazione di interventi edilizi rilevanti nelle strutture turistiche)</w:t>
      </w:r>
    </w:p>
    <w:p w14:paraId="29DBAD12" w14:textId="77777777" w:rsidR="000B580E" w:rsidRPr="002D5130" w:rsidRDefault="000B580E" w:rsidP="000B580E">
      <w:pPr>
        <w:rPr>
          <w:b/>
          <w:bCs/>
          <w:color w:val="000000" w:themeColor="text1"/>
          <w:sz w:val="24"/>
          <w:szCs w:val="24"/>
        </w:rPr>
      </w:pPr>
    </w:p>
    <w:p w14:paraId="6B8B4BE6" w14:textId="77777777" w:rsidR="000B580E" w:rsidRPr="002D5130" w:rsidRDefault="000B580E" w:rsidP="000B580E">
      <w:pPr>
        <w:rPr>
          <w:b/>
          <w:bCs/>
          <w:color w:val="000000" w:themeColor="text1"/>
          <w:sz w:val="24"/>
          <w:szCs w:val="24"/>
        </w:rPr>
      </w:pPr>
      <w:r w:rsidRPr="002D5130">
        <w:rPr>
          <w:b/>
          <w:bCs/>
          <w:color w:val="000000" w:themeColor="text1"/>
          <w:sz w:val="24"/>
          <w:szCs w:val="24"/>
        </w:rPr>
        <w:t>  1. La costruzione di strutture ricettive, come definite dalle leggi regionali, gli interventi di modifica, potenziamento o rifacimento totale o parziale delle medesime strutture, come definiti dalla normativa vigente, nonché le opere connesse a tali interventi e la realizzazione delle infrastrutture indispensabili all'attività delle predette strutture ricettive sono soggetti a un'autorizzazione unica rilasciata dalla regione o provincia autonoma competente, nei limiti individuati da ciascuna regione e provincia autonoma ai sensi del comma 3.</w:t>
      </w:r>
    </w:p>
    <w:p w14:paraId="59EBB7E1" w14:textId="77777777" w:rsidR="000B580E" w:rsidRPr="002D5130" w:rsidRDefault="000B580E" w:rsidP="000B580E">
      <w:pPr>
        <w:rPr>
          <w:b/>
          <w:bCs/>
          <w:color w:val="000000" w:themeColor="text1"/>
          <w:sz w:val="24"/>
          <w:szCs w:val="24"/>
        </w:rPr>
      </w:pPr>
      <w:r w:rsidRPr="002D5130">
        <w:rPr>
          <w:b/>
          <w:bCs/>
          <w:color w:val="000000" w:themeColor="text1"/>
          <w:sz w:val="24"/>
          <w:szCs w:val="24"/>
        </w:rPr>
        <w:t>  2. L'autorizzazione unica di cui al comma 1 è rilasciata all'esito di un procedimento unico, al quale partecipano tutte le amministrazioni interessate, svolto nel rispetto dei princìpi di semplificazione e con le modalità stabilite dalla legge 7 agosto 1990, n. 241, e concluso con decisione adottata in sede di conferenza di servizi decisoria, ai sensi degli articoli 14 e seguenti della predetta legge n. 241 del 1990. Fatti salvi gli adempimenti di prevenzione degli incendi previsti dal regolamento di cui al decreto del Presidente della Repubblica 1° agosto 2011, n. 151, il rilascio dell'autorizzazione unica costituisce titolo valido ai fini della realizzazione dell'opera o dell'intervento e sostituisce ogni altro atto di assenso comunque denominato.</w:t>
      </w:r>
    </w:p>
    <w:p w14:paraId="42FA205C" w14:textId="4A234952" w:rsidR="000B580E" w:rsidRPr="002D5130" w:rsidRDefault="000B580E" w:rsidP="000B580E">
      <w:pPr>
        <w:rPr>
          <w:b/>
          <w:bCs/>
          <w:color w:val="000000" w:themeColor="text1"/>
          <w:sz w:val="24"/>
          <w:szCs w:val="24"/>
        </w:rPr>
      </w:pPr>
      <w:r w:rsidRPr="002D5130">
        <w:rPr>
          <w:b/>
          <w:bCs/>
          <w:color w:val="000000" w:themeColor="text1"/>
          <w:sz w:val="24"/>
          <w:szCs w:val="24"/>
        </w:rPr>
        <w:t xml:space="preserve">  3. Le regioni e le province autonome di Trento e di Bolzano individuano gli interventi assoggettati ad autorizzazione unica ai sensi del comma 1 e specificano le modalità e i tempi del procedimento </w:t>
      </w:r>
      <w:r w:rsidRPr="002D5130">
        <w:rPr>
          <w:b/>
          <w:bCs/>
          <w:color w:val="000000" w:themeColor="text1"/>
          <w:sz w:val="24"/>
          <w:szCs w:val="24"/>
        </w:rPr>
        <w:lastRenderedPageBreak/>
        <w:t>unico di cui al comma 2, nel rispetto delle disposizioni del codice dei beni culturali e del paesaggio, di cui al decreto legislativo 22 gennaio 2004, n. 42.</w:t>
      </w:r>
      <w:r>
        <w:rPr>
          <w:rStyle w:val="Rimandonotaapidipagina"/>
          <w:b/>
          <w:bCs/>
          <w:color w:val="000000" w:themeColor="text1"/>
          <w:sz w:val="24"/>
          <w:szCs w:val="24"/>
        </w:rPr>
        <w:footnoteReference w:id="30"/>
      </w:r>
    </w:p>
    <w:p w14:paraId="7BE5F1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655F3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III</w:t>
      </w:r>
    </w:p>
    <w:p w14:paraId="2F01E27F"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COMPETENZA IN MATERIA DI VIA, MONITORAGGIO E INTERPELLO AMBIENTALE</w:t>
      </w:r>
    </w:p>
    <w:p w14:paraId="765AFA1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B399AB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25.</w:t>
      </w:r>
    </w:p>
    <w:p w14:paraId="0BF19EF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(Determinazione dell'autorità competente in materia di VIA e preavviso di rigetto)</w:t>
      </w:r>
    </w:p>
    <w:p w14:paraId="4F6C824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0CEFD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6FDE9A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ECD7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7-bis, dopo il comma 4, sono inseriti i seguenti:</w:t>
      </w:r>
    </w:p>
    <w:p w14:paraId="1E075E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CD5B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Nel caso di opere o interventi caratterizzati da più elementi progettuali corrispondenti a diverse tipologie soggette a VIA ovvero a verifica di assoggettabilità a VIA rientranti in parte nella competenza statale e in parte in quella regionale, il proponente, con riferimento alle voci elencate negli allegati II, II-bis, III e IV alla parte seconda del presente decreto, invia in formato elettronico al Ministero della transizione ecologica e alla Regione o Provincia autonoma interessata una comunicazione contenente:</w:t>
      </w:r>
    </w:p>
    <w:p w14:paraId="3044EC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3877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oggetto/titolo del progetto o intervento proposto;</w:t>
      </w:r>
    </w:p>
    <w:p w14:paraId="14429F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E9CF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tipologia progettuale individuata come principale;</w:t>
      </w:r>
    </w:p>
    <w:p w14:paraId="56D55A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EB18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altre tipologie progettuali coinvolte;</w:t>
      </w:r>
    </w:p>
    <w:p w14:paraId="432835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8FF3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   d) autorità (stato o regione/provincia autonoma) che egli individua come competente allo svolgimento della procedura di VIA o verifica di assoggettabilità a VIA.</w:t>
      </w:r>
    </w:p>
    <w:p w14:paraId="4588DC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841E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  4-ter. Entro e non oltre trenta giorni dal ricevimento della comunicazione, la Regione o la Provincia autonoma ha la facoltà di trasmettere valutazioni di competenza al Ministero, dandone contestualmente comunicazione al proponente. Entro e non oltre i successivi trenta giorni, in base ai criteri di cui agli allegati II, II-bis, III e IV alla parte seconda del presente decreto, il competente ufficio del Ministero comunica al proponente e alla Regione o Provincia autonoma la determinazione in merito all'autorità competente, alla quale il proponente stesso dovrà presentare l'istanza per l'avvio del procedimento. Decorso tale termine, si considera acquisito l'assenso del Ministero sulla posizione formulata dalla Regione o Provincia autonoma o, in assenza di questa, dal proponente.”;</w:t>
      </w:r>
    </w:p>
    <w:p w14:paraId="1D844F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F42C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w:t>
      </w:r>
    </w:p>
    <w:p w14:paraId="6D6E3D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383B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6 è inserito il seguente: «6-bis. Qualora nei procedimenti di VIA di competenza statale l'autorità competente coincida con l'autorità che autorizza il progetto, la valutazione di impatto ambientale viene rilasciata dall'autorità competente nell'ambito del procedimento autorizzatorio.»;</w:t>
      </w:r>
    </w:p>
    <w:p w14:paraId="3D488A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0309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10, è inserito il seguente: «10-bis. Ai procedimenti di cui ai commi 6, 7 e 9 del presente articolo, nonché all'articolo 28, non si applica quanto previsto dall'articolo 10-bis della legge 7 agosto 1990, n. 241.».</w:t>
      </w:r>
    </w:p>
    <w:p w14:paraId="469485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D84BA8"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26.</w:t>
      </w:r>
    </w:p>
    <w:p w14:paraId="66DB4CC3"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(Monitoraggio delle condizioni ambientali contenute nel provvedimento di VIA)</w:t>
      </w:r>
    </w:p>
    <w:p w14:paraId="061CC1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4319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28 del decreto legislativo 3 aprile 2006, n. 152, sono apportate le seguenti modificazioni:</w:t>
      </w:r>
    </w:p>
    <w:p w14:paraId="6145A3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A278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terzo periodo, le parole «d'intesa con il proponente» sono sostituite dalle seguenti: «sentito il proponente»;</w:t>
      </w:r>
    </w:p>
    <w:p w14:paraId="3EFD73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5219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2, la lettera b) è sostituita dalla seguente: «b) nomina del 50 per cento dei rappresentanti del Ministero della transizione ecologica tra soggetti estranei all'amministrazione del Ministero e dotati di significativa competenza e professionalità per l'esercizio delle funzioni;».</w:t>
      </w:r>
    </w:p>
    <w:p w14:paraId="149EDE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CF731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27.</w:t>
      </w:r>
    </w:p>
    <w:p w14:paraId="0A7E564E"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ambientale)</w:t>
      </w:r>
    </w:p>
    <w:p w14:paraId="3DABC2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l'articolo 3-sexies del decreto legislativo 3 aprile 2006 n. 152, è inserito il seguente:</w:t>
      </w:r>
    </w:p>
    <w:p w14:paraId="3C2337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3-septies.</w:t>
      </w:r>
    </w:p>
    <w:p w14:paraId="2E0C93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(Interpello in materia ambientale)</w:t>
      </w:r>
    </w:p>
    <w:p w14:paraId="5CA31793" w14:textId="037934D7" w:rsidR="00EF5B01" w:rsidRPr="00EF5B01" w:rsidRDefault="00EF5B01" w:rsidP="000B580E">
      <w:pP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Le regioni, le Province autonome di Trento e Bolzano, le province, le città metropolitane, i comuni, le associazioni di categoria rappresentate nel Consiglio nazionale dell'economia e del lavoro, le associazioni di protezione ambientale a carattere nazionale e quelle presenti in almeno cinque regioni o province autonome di Trento e Bolzano, possono inoltrare al Ministero della transizione ecologica, con le modalità di cui al comma 3, istanze di ordine generale sull'applicazione della normativa statale in materia ambientale. </w:t>
      </w:r>
      <w:r w:rsidR="000B580E" w:rsidRPr="000B580E">
        <w:rPr>
          <w:b/>
          <w:bCs/>
          <w:color w:val="000000" w:themeColor="text1"/>
          <w:sz w:val="24"/>
          <w:szCs w:val="24"/>
        </w:rPr>
        <w:t>La risposta alle istanze deve essere data entro novanta giorni dalla data della loro presentazione.</w:t>
      </w:r>
      <w:r w:rsidR="000B580E">
        <w:rPr>
          <w:rStyle w:val="Rimandonotaapidipagina"/>
          <w:b/>
          <w:bCs/>
          <w:color w:val="000000" w:themeColor="text1"/>
          <w:sz w:val="24"/>
          <w:szCs w:val="24"/>
        </w:rPr>
        <w:footnoteReference w:id="31"/>
      </w:r>
      <w:r w:rsidR="000B580E">
        <w:rPr>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Le indicazioni fornite nelle risposte alle istanze di cui al presente comma costituiscono criteri interpretativi per l'esercizio delle attività di competenza delle pubbliche amministrazioni in materia ambientale, salvo rettifica della soluzione interpretativa da parte dell'amministrazione con valenza limitata ai comportamenti futuri dell'istante. Resta salvo l'obbligo di ottenere gli atti di consenso, comunque denominati, prescritti dalla vigente normativa. Nel caso in cui l'istanza sia formulata da più soggetti e riguardi la stessa questione o questioni analoghe tra loro, il Ministero della transizione ecologica può fornire un'unica risposta.</w:t>
      </w:r>
    </w:p>
    <w:p w14:paraId="77CC57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in conformità all'articolo 3-sexies del presente decreto e al decreto legislativo 19 agosto 2005, n. 195, pubblica senza indugio le risposte fornite alle istanze di cui al presente articolo nell'ambito della sezione “Informazioni ambientali” del proprio sito istituzionale di cui all'articolo 40 del decreto legislativo 14 marzo 2013, n. 33, previo oscuramento dei dati comunque coperti da riservatezza, nel rispetto del decreto legislativo 30 giugno 2003, n. 196.</w:t>
      </w:r>
    </w:p>
    <w:p w14:paraId="7551B8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 presentazione delle istanze di cui al comma 1 non ha effetto sulle scadenze previste dalle norme ambientali, né sulla decorrenza dei termini di decadenza e non comporta interruzione o sospensione dei termini di prescrizione».</w:t>
      </w:r>
    </w:p>
    <w:p w14:paraId="5B23D7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0DE340"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IV</w:t>
      </w:r>
    </w:p>
    <w:p w14:paraId="74D3BAC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VALUTAZIONE AMBIENTALE STRATEGICA</w:t>
      </w:r>
    </w:p>
    <w:p w14:paraId="79B07A44"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24F822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28.</w:t>
      </w:r>
    </w:p>
    <w:p w14:paraId="3F41115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(Modifica della disciplina concernente la valutazione ambientale strategica)</w:t>
      </w:r>
    </w:p>
    <w:p w14:paraId="3E4259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8369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 legislativo 3 aprile 2006, n. 152, sono apportate le seguenti modificazioni:</w:t>
      </w:r>
    </w:p>
    <w:p w14:paraId="565FE4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DDBC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12:</w:t>
      </w:r>
    </w:p>
    <w:p w14:paraId="509640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35C7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«ovvero, nei casi di particolare difficoltà di ordine tecnico, anche su supporto cartaceo» sono soppresse e dopo la parola «preliminare» sono inserite le seguenti: «di assoggettabilità a VAS»;</w:t>
      </w:r>
    </w:p>
    <w:p w14:paraId="3D38C7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4C58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«documento preliminare» sono sostituite dalle seguenti: «rapporto preliminare di assoggettabilità a VAS»;</w:t>
      </w:r>
    </w:p>
    <w:p w14:paraId="79E8E5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C4B6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 le parole «e, se del caso, definendo le necessarie prescrizioni» sono soppresse;</w:t>
      </w:r>
    </w:p>
    <w:p w14:paraId="739FDB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BDCE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13:</w:t>
      </w:r>
    </w:p>
    <w:p w14:paraId="4ABA4D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40AF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il primo periodo, è aggiunto il seguente: «L'autorità competente in collaborazione con l'autorità procedente, individua i soggetti competenti in materia ambientale da consultare e trasmette loro il rapporto preliminare per acquisire i contributi. I contributi sono inviati all'autorità competente ed all'autorità procedente entro trenta giorni dall'avvio della consultazione.»;</w:t>
      </w:r>
    </w:p>
    <w:p w14:paraId="14A5C3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51EE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5 è sostituito dal seguente: «5. L'autorità procedente trasmette all'autorità competente in formato elettronico:</w:t>
      </w:r>
    </w:p>
    <w:p w14:paraId="003155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ABC2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proposta di piano o di programma;</w:t>
      </w:r>
    </w:p>
    <w:p w14:paraId="7B5D6F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7ACE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rapporto ambientale;</w:t>
      </w:r>
    </w:p>
    <w:p w14:paraId="645A3A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8A99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la sintesi non tecnica;</w:t>
      </w:r>
    </w:p>
    <w:p w14:paraId="04233D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640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le informazioni sugli eventuali impatti transfrontalieri del piano/programma ai sensi dell'articolo 32;</w:t>
      </w:r>
    </w:p>
    <w:p w14:paraId="400BAF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64B3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l'avviso al pubblico, con i contenuti indicati all'articolo 14 comma 1;</w:t>
      </w:r>
    </w:p>
    <w:p w14:paraId="013C8AC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A555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copia della ricevuta di avvenuto pagamento del contributo di cui all'articolo 33.»;</w:t>
      </w:r>
    </w:p>
    <w:p w14:paraId="03D1D6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365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5 è inserito il seguente: «5-bis. La documentazione di cui al comma 5 è immediatamente pubblicata e resa accessibile nel sito web dell'autorità competente e dell'autorità procedente. La proposta di piano o programma e il rapporto ambientale sono altresì messi a disposizione dei soggetti competenti in materia ambientale e del pubblico interessato affinché questi abbiano l'opportunità di esprimersi.»;</w:t>
      </w:r>
    </w:p>
    <w:p w14:paraId="17257D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39CF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l'articolo 14 è sostituito dal seguente:</w:t>
      </w:r>
    </w:p>
    <w:p w14:paraId="08E660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0F03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14.</w:t>
      </w:r>
    </w:p>
    <w:p w14:paraId="2017F7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(Consultazione)</w:t>
      </w:r>
    </w:p>
    <w:p w14:paraId="527741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2B76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L'avviso al pubblico di cui all'articolo 13, comma 5, lettera e), contiene almeno:</w:t>
      </w:r>
    </w:p>
    <w:p w14:paraId="526E81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76FC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la denominazione del piano o del programma proposto, il proponente, l'autorità procedente;</w:t>
      </w:r>
    </w:p>
    <w:p w14:paraId="13D1ED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89C8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la data dell'avvenuta presentazione dell'istanza di VAS e l'eventuale applicazione delle disposizioni di cui all'articolo 32;</w:t>
      </w:r>
    </w:p>
    <w:p w14:paraId="7BCC07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4466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una breve descrizione del piano e del programma e dei suoi possibili effetti ambientali;</w:t>
      </w:r>
    </w:p>
    <w:p w14:paraId="241F77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273E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l'indirizzo web e le modalità per la consultazione della documentazione e degli atti predisposti dal proponente o dall'autorità procedente nella loro interezza;</w:t>
      </w:r>
    </w:p>
    <w:p w14:paraId="0A9AB1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A8D2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i termini e le specifiche modalità per la partecipazione del pubblico;</w:t>
      </w:r>
    </w:p>
    <w:p w14:paraId="46A326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06C3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l'eventuale necessità della valutazione di incidenza a norma dell'articolo 10, comma 3.</w:t>
      </w:r>
    </w:p>
    <w:p w14:paraId="2A88AD6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71E0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Entro il termine di sessanta giorni dalla pubblicazione dell'avviso di cui al comma 1, chiunque può prendere visione della proposta di piano o programma e del relativo rapporto ambientale e presentare proprie osservazioni in forma scritta, in formato elettronico, anche fornendo nuovi o ulteriori elementi conoscitivi e valutativi.</w:t>
      </w:r>
    </w:p>
    <w:p w14:paraId="23CCC6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attuazione dei princìpi di economicità e di semplificazione, le procedure di deposito, pubblicità e partecipazione, eventualmente previste dalle vigenti disposizioni anche regionali per specifici piani e programmi, si coordinano con quelle di cui al presente articolo, in modo da evitare duplicazioni ed assicurare il rispetto dei termini previsti dal comma 3 del presente articolo e dal comma 1 dell'articolo 15. Tali forme di pubblicità tengono luogo delle comunicazioni di cui all'articolo 7 e all'articolo 8 commi 3 e 4, della legge 7 agosto 1990, n. 241.»;</w:t>
      </w:r>
    </w:p>
    <w:p w14:paraId="01ED76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E97A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w:t>
      </w:r>
    </w:p>
    <w:p w14:paraId="51160F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561D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dopo il comma 2 sono inseriti i seguenti:</w:t>
      </w:r>
    </w:p>
    <w:p w14:paraId="40A701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01C3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L'autorità procedente trasmette all'autorità competente i risultati del monitoraggio ambientale e le eventuali misure correttive adottate secondo le indicazioni di cui alla lettera i), dell'Allegato VI alla parte seconda.</w:t>
      </w:r>
    </w:p>
    <w:p w14:paraId="78BACB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   2-ter. L'autorità competente si esprime entro trenta giorni sui risultati del monitoraggio ambientale e sulle eventuali misure correttive adottate da parte dell'autorità procedente.»;</w:t>
      </w:r>
    </w:p>
    <w:p w14:paraId="312B7E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A5B9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 le parole «e delle Agenzie interessate» sono soppresse;</w:t>
      </w:r>
    </w:p>
    <w:p w14:paraId="2CD8F3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FB00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3 è inserito il seguente: «3-bis. L'autorità competente verifica lo stato di attuazione del piano o programma, gli effetti prodotti e il contributo del medesimo al raggiungimento degli obiettivi di sostenibilità ambientale definiti dalle strategie di sviluppo sostenibile nazionale e regionali di cui all'articolo 34.».</w:t>
      </w:r>
    </w:p>
    <w:p w14:paraId="4D44AB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7FC5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Dall'attuazione delle disposizioni del presente articolo non devono derivare nuovi o maggiori oneri a carico della finanza pubblica.</w:t>
      </w:r>
    </w:p>
    <w:p w14:paraId="66CA38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F2832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w:t>
      </w:r>
    </w:p>
    <w:p w14:paraId="509EC8E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PAESAGGISTICA</w:t>
      </w:r>
    </w:p>
    <w:p w14:paraId="768E66C9"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0A2C8C"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29.</w:t>
      </w:r>
    </w:p>
    <w:p w14:paraId="315BD6B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(Soprintendenza speciale per il PNRR e ulteriori misure urgenti per l'attuazione del PNRR)</w:t>
      </w:r>
    </w:p>
    <w:p w14:paraId="2B482A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8DA7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 più efficace e tempestiva attuazione degli interventi del PNRR, presso il Ministero della cultura è istituita la Soprintendenza speciale per il PNRR, ufficio di livello dirigenziale generale straordinario operativo fino al 31 dicembre 2026.</w:t>
      </w:r>
    </w:p>
    <w:p w14:paraId="776637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Soprintendenza speciale svolge le funzioni di tutela dei beni culturali e paesaggistici nei casi in cui tali beni siano interessati dagli interventi previsti dal PNRR sottoposti a VIA in sede statale oppure rientrino nella competenza territoriale di almeno due uffici periferici del Ministero. La Soprintendenza speciale opera anche avvalendosi, per l'attività istruttoria, delle Soprintendenze archeologia, belle arti e paesaggio. In caso di necessità e per assicurare la tempestiva attuazione del PNRR, la Soprintendenza speciale può esercitare, con riguardo a ulteriori interventi strategici del PNRR, i poteri di avocazione e sostituzione nei confronti delle Soprintendenze archeologia, belle arti e paesaggio.</w:t>
      </w:r>
    </w:p>
    <w:p w14:paraId="276503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funzioni di direttore della Soprintendenza speciale sono svolte dal direttore della Direzione generale archeologia, belle arti e paesaggio del Ministero, al quale spetta la retribuzione prevista dalla contrattazione collettiva nazionale per gli incarichi dirigenziali ad interim.</w:t>
      </w:r>
    </w:p>
    <w:p w14:paraId="693E87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Presso la Soprintendenza speciale è costituita una segreteria tecnica composta, oltre che da personale di ruolo del Ministero, da un contingente di esperti di comprovata qualificazione professionale ai sensi dell'articolo 7, comma 6, del decreto legislativo 30 marzo 2001, n. 165, per la durata massima di trentasei mesi, per un importo massimo di 50.000 euro lordi annui per singolo incarico, entro il limite di spesa di 1.500.000 euro per ciascuno degli anni 2021, 2022 e 2023.</w:t>
      </w:r>
    </w:p>
    <w:p w14:paraId="1ED9C5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Agli oneri derivanti dal presente articolo, pari a 1. 550.000 euro per ciascuno degli anni dal 2021 al 2023 e 50.000 euro per ciascuno degli anni dal 2024 al 2026, si provvede quanto a 1. 550.000 per l'anno 2021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per i beni e le attività culturali e, quanto a 1.550.000 euro per ciascuno degli anni 2022 e 2023 e 50.000 euro per </w:t>
      </w:r>
      <w:r w:rsidRPr="00EF5B01">
        <w:rPr>
          <w:rFonts w:asciiTheme="minorHAnsi" w:eastAsia="Times New Roman" w:hAnsiTheme="minorHAnsi" w:cs="Times New Roman"/>
          <w:bCs/>
          <w:iCs/>
          <w:color w:val="000000" w:themeColor="text1"/>
          <w:sz w:val="24"/>
          <w:szCs w:val="24"/>
        </w:rPr>
        <w:lastRenderedPageBreak/>
        <w:t>ciascuno degli anni dal 2024 al 2026, mediante corrispondente riduzione dell'autorizzazione di spesa di cui all'articolo 1, comma 354, della legge 28 dicembre 2015, n. 208.</w:t>
      </w:r>
    </w:p>
    <w:p w14:paraId="238BFC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6F2D0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w:t>
      </w:r>
    </w:p>
    <w:p w14:paraId="601F417A"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DELLE PROCEDURE PER LE FONTI RINNOVABILI</w:t>
      </w:r>
    </w:p>
    <w:p w14:paraId="2A1FE0A7"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3FA3FC2"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30.</w:t>
      </w:r>
    </w:p>
    <w:p w14:paraId="526CCE31" w14:textId="77777777" w:rsidR="00EF5B01" w:rsidRPr="00EF5B01" w:rsidRDefault="00EF5B01" w:rsidP="00BB14DB">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(Interventi localizzati in aree contermini)</w:t>
      </w:r>
    </w:p>
    <w:p w14:paraId="332F0A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A0EC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del raggiungimento degli obiettivi nazionali di efficienza energetica contenuti nel PNIEC e nel PNRR, con particolare riguardo all'incremento del ricorso alle fonti di produzione di energia elettrica da fonti rinnovabili, all'articolo 12 del decreto legislativo 29 dicembre 2003, n. 387, dopo il comma 3 è inserito il seguente:</w:t>
      </w:r>
    </w:p>
    <w:p w14:paraId="6E8EDD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C6884A" w14:textId="143AD0E4"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Il Ministero della cultura partecipa al procedimento unico ai sensi del presente articolo in relazione ai progetti aventi ad oggetto impianti alimentati da fonti rinnovabili</w:t>
      </w:r>
      <w:r w:rsidR="000B580E" w:rsidRPr="000B580E">
        <w:rPr>
          <w:b/>
          <w:bCs/>
          <w:color w:val="000000" w:themeColor="text1"/>
          <w:sz w:val="24"/>
          <w:szCs w:val="24"/>
        </w:rPr>
        <w:t>, comprese le opere connesse e le infrastrutture indispensabili alla costruzione e all'esercizio degli stessi impianti,</w:t>
      </w:r>
      <w:r w:rsidR="000B580E">
        <w:rPr>
          <w:rStyle w:val="Rimandonotaapidipagina"/>
          <w:b/>
          <w:bCs/>
          <w:color w:val="000000" w:themeColor="text1"/>
          <w:sz w:val="24"/>
          <w:szCs w:val="24"/>
        </w:rPr>
        <w:footnoteReference w:id="32"/>
      </w:r>
      <w:r w:rsidRPr="00EF5B01">
        <w:rPr>
          <w:rFonts w:asciiTheme="minorHAnsi" w:eastAsia="Times New Roman" w:hAnsiTheme="minorHAnsi" w:cs="Times New Roman"/>
          <w:bCs/>
          <w:iCs/>
          <w:color w:val="000000" w:themeColor="text1"/>
          <w:sz w:val="24"/>
          <w:szCs w:val="24"/>
        </w:rPr>
        <w:t xml:space="preserve"> localizzati in aree sottoposte a tutela, anche in itinere, ai sensi del decreto legislativo 22 gennaio 2004, n. 42, nonché nelle aree contermini ai beni sottoposti a tutela ai sensi del medesimo decreto legislativo.».</w:t>
      </w:r>
    </w:p>
    <w:p w14:paraId="506773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C2D4EA" w14:textId="6044A69E"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Nei procedimenti di autorizzazione di impianti di produzione di energia elettrica alimentati da fonti rinnovabili, localizzati in aree contermini a quelle sottoposte a tutela paesaggistica, il Ministero della cultura si esprime nell'ambito della conferenza di servizi con parere obbligatorio non vincolante. Decorso inutilmente il termine per l'espressione del parere da parte del Ministero della cultura, l'amministrazione competente provvede comunque sulla domanda di autorizzazione. In tutti i casi di cui al presente comma, il rappresentante del Ministero della cultura non può attivare i rimedi per le amministrazioni dissenzienti di cui all'articolo 14-quinquies della legge 7 agosto 1990, n. 241.</w:t>
      </w:r>
    </w:p>
    <w:p w14:paraId="44B8E6C5" w14:textId="77777777" w:rsidR="000B580E" w:rsidRPr="00EF5B01" w:rsidRDefault="000B580E"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6EEC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63714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31.</w:t>
      </w:r>
    </w:p>
    <w:p w14:paraId="5FFDFC5F"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per gli impianti di accumulo e fotovoltaici e individuazione delle infrastrutture per il trasporto del GNL in Sardegna)</w:t>
      </w:r>
    </w:p>
    <w:p w14:paraId="2DC7B6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A8C5F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del decreto-legge 7 febbraio 2002, n. 7, convertito, con modificazioni, dalla legge 9 aprile 2002, n. 55, sono apportate le seguenti modificazioni:</w:t>
      </w:r>
    </w:p>
    <w:p w14:paraId="14296B59" w14:textId="77777777" w:rsidR="000B580E" w:rsidRPr="000D0B13" w:rsidRDefault="000B580E" w:rsidP="000B580E">
      <w:pPr>
        <w:rPr>
          <w:b/>
          <w:bCs/>
          <w:color w:val="000000" w:themeColor="text1"/>
          <w:sz w:val="24"/>
          <w:szCs w:val="24"/>
        </w:rPr>
      </w:pPr>
      <w:r w:rsidRPr="000D0B13">
        <w:rPr>
          <w:b/>
          <w:bCs/>
          <w:color w:val="000000" w:themeColor="text1"/>
          <w:sz w:val="24"/>
          <w:szCs w:val="24"/>
        </w:rPr>
        <w:t>   0a) al comma 2-quater, lettera c), il numero 3) è sostituito dal seguente:</w:t>
      </w:r>
    </w:p>
    <w:p w14:paraId="1407FACB" w14:textId="67F1FC48" w:rsidR="000B580E" w:rsidRPr="000D0B13" w:rsidRDefault="000B580E" w:rsidP="000B580E">
      <w:pPr>
        <w:rPr>
          <w:b/>
          <w:bCs/>
          <w:color w:val="000000" w:themeColor="text1"/>
          <w:sz w:val="24"/>
          <w:szCs w:val="24"/>
        </w:rPr>
      </w:pPr>
      <w:r w:rsidRPr="000D0B13">
        <w:rPr>
          <w:b/>
          <w:bCs/>
          <w:color w:val="000000" w:themeColor="text1"/>
          <w:sz w:val="24"/>
          <w:szCs w:val="24"/>
        </w:rPr>
        <w:t>   «3 procedura abilitativa semplificata comunale di cui all'articolo 6 del decreto legislativo 3 marzo 2011, n. 28, se l'impianto di produzione di energia elettrica alimentato da fonti rinnovabili è già esistente o autorizzato, anche se non ancora in esercizio, e se l'impianto di accumulo elettrochimico non comporta occupazione di nuove aree;»</w:t>
      </w:r>
      <w:r w:rsidR="00715F66">
        <w:rPr>
          <w:rStyle w:val="Rimandonotaapidipagina"/>
          <w:b/>
          <w:bCs/>
          <w:color w:val="000000" w:themeColor="text1"/>
          <w:sz w:val="24"/>
          <w:szCs w:val="24"/>
        </w:rPr>
        <w:footnoteReference w:id="33"/>
      </w:r>
    </w:p>
    <w:p w14:paraId="27630D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2-quater è inserito il seguente: «2-quinquies. Gli impianti di accumulo elettrochimico di tipo “stand-alone” e le relative connessioni alla rete elettrica di cui al comma 2-quater lettere a), b) e d) non sono sottoposti alle procedure di valutazione di impatto ambientale e di verifica di assoggettabilità di cui al decreto legislativo 3 aprile 2006, n.152, salvo che le opere di connessione non rientrino nelle suddette procedure.»;</w:t>
      </w:r>
    </w:p>
    <w:p w14:paraId="1E01D8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D4DF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3-bis è inserito il seguente: «3-ter. In caso di mancata definizione dell'intesa con la regione o le regioni interessate per il rilascio dell'autorizzazione di cui al comma 1 entro i novanta giorni successivi al termine di cui al comma 2, si applicano le disposizioni di cui all'articolo 1-sexies, comma 4-bis, del decreto-legge 29 agosto 2003, n. 239, convertito, con modificazioni, dalla legge 27 ottobre 2003, n. 290.».</w:t>
      </w:r>
    </w:p>
    <w:p w14:paraId="4C8CAC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B3F2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6 del decreto legislativo 3 marzo 2011, n. 28, dopo il comma 9 è inserito il seguente:</w:t>
      </w:r>
    </w:p>
    <w:p w14:paraId="1ABE8115" w14:textId="25B6D120" w:rsidR="00EF5B01" w:rsidRDefault="00EF5B01" w:rsidP="00715F66">
      <w:pP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   «9-bis. Per l'attività di costruzione ed esercizio di impianti fotovoltaici di potenza sino a </w:t>
      </w:r>
      <w:r w:rsidRPr="00715F66">
        <w:rPr>
          <w:rFonts w:asciiTheme="minorHAnsi" w:eastAsia="Times New Roman" w:hAnsiTheme="minorHAnsi" w:cs="Times New Roman"/>
          <w:bCs/>
          <w:iCs/>
          <w:strike/>
          <w:color w:val="000000" w:themeColor="text1"/>
          <w:sz w:val="24"/>
          <w:szCs w:val="24"/>
          <w:highlight w:val="yellow"/>
        </w:rPr>
        <w:t>10 MW</w:t>
      </w:r>
      <w:r w:rsidRPr="00EF5B01">
        <w:rPr>
          <w:rFonts w:asciiTheme="minorHAnsi" w:eastAsia="Times New Roman" w:hAnsiTheme="minorHAnsi" w:cs="Times New Roman"/>
          <w:bCs/>
          <w:iCs/>
          <w:color w:val="000000" w:themeColor="text1"/>
          <w:sz w:val="24"/>
          <w:szCs w:val="24"/>
        </w:rPr>
        <w:t xml:space="preserve"> </w:t>
      </w:r>
      <w:r w:rsidR="00715F66">
        <w:rPr>
          <w:rFonts w:asciiTheme="minorHAnsi" w:eastAsia="Times New Roman" w:hAnsiTheme="minorHAnsi" w:cs="Times New Roman"/>
          <w:b/>
          <w:iCs/>
          <w:color w:val="000000" w:themeColor="text1"/>
          <w:sz w:val="24"/>
          <w:szCs w:val="24"/>
        </w:rPr>
        <w:t>20 MW</w:t>
      </w:r>
      <w:r w:rsidR="00715F66">
        <w:rPr>
          <w:rStyle w:val="Rimandonotaapidipagina"/>
          <w:rFonts w:asciiTheme="minorHAnsi" w:eastAsia="Times New Roman" w:hAnsiTheme="minorHAnsi" w:cs="Times New Roman"/>
          <w:b/>
          <w:iCs/>
          <w:color w:val="000000" w:themeColor="text1"/>
          <w:sz w:val="24"/>
          <w:szCs w:val="24"/>
        </w:rPr>
        <w:footnoteReference w:id="34"/>
      </w:r>
      <w:r w:rsidR="00715F66">
        <w:rPr>
          <w:rFonts w:asciiTheme="minorHAnsi" w:eastAsia="Times New Roman" w:hAnsiTheme="minorHAnsi" w:cs="Times New Roman"/>
          <w:b/>
          <w:i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 xml:space="preserve">connessi alla rete elettrica di media tensione e localizzati in area a destinazione industriale, </w:t>
      </w:r>
      <w:r w:rsidRPr="00EF5B01">
        <w:rPr>
          <w:rFonts w:asciiTheme="minorHAnsi" w:eastAsia="Times New Roman" w:hAnsiTheme="minorHAnsi" w:cs="Times New Roman"/>
          <w:bCs/>
          <w:iCs/>
          <w:color w:val="000000" w:themeColor="text1"/>
          <w:sz w:val="24"/>
          <w:szCs w:val="24"/>
        </w:rPr>
        <w:lastRenderedPageBreak/>
        <w:t xml:space="preserve">produttiva o commerciale </w:t>
      </w:r>
      <w:r w:rsidR="00715F66" w:rsidRPr="00715F66">
        <w:rPr>
          <w:b/>
          <w:bCs/>
          <w:color w:val="000000" w:themeColor="text1"/>
          <w:sz w:val="24"/>
          <w:szCs w:val="24"/>
        </w:rPr>
        <w:t>nonché in discariche o lotti di discarica chiusi e ripristinati ovvero in cave o lotti di cave non suscettibili di ulteriore sfruttamento, per i quali l'autorità competente al rilascio dell'autorizzazione abbia attestato l'avvenuto completamento delle attività di recupero e di ripristino ambientale previste nel titolo autorizzatorio nel rispetto delle norme regionali vigenti,</w:t>
      </w:r>
      <w:r w:rsidR="00715F66">
        <w:rPr>
          <w:rStyle w:val="Rimandonotaapidipagina"/>
          <w:b/>
          <w:bCs/>
          <w:color w:val="000000" w:themeColor="text1"/>
          <w:sz w:val="24"/>
          <w:szCs w:val="24"/>
        </w:rPr>
        <w:footnoteReference w:id="35"/>
      </w:r>
      <w:r w:rsidR="00715F66">
        <w:rPr>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si applicano le disposizioni di cui al presente comma. Le soglie di cui all'Allegato IV, punto 2, lettera b), alla Parte seconda del decreto legislativo 3 aprile 2006, n. 152, per la procedura di verifica di assoggettabilità alla valutazione di impatto ambientale di cui all'articolo 19 del medesimo decreto, si intendono per questa tipologia di impianti elevate a 10 MW purché il proponente alleghi alla dichiarazione di cui al comma 2 una autodichiarazione che l'impianto non si trova all'interno di aree fra quelle specificamente elencate e individuate dall'Allegato 3, lettera f), al decreto del Ministro dello sviluppo economico 10 settembre 2010, pubblicato nella Gazzetta Ufficiale n. 219 del 18 settembre 2010. Si potrà procedere a seguito della procedura di cui sopra con edificazione diretta degli impianti fotovoltaici anche qualora la pianificazione urbanistica richieda piani attuativi per l'edificazione.».</w:t>
      </w:r>
    </w:p>
    <w:p w14:paraId="310956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Al fine di realizzare il rilancio delle attività produttive nella regione Sardegna anche in attuazione dell'articolo 60, comma 6, del decreto-legge 16 luglio 2020, n. 76, convertito, con modificazioni, dalla legge 11 settembre 2020, n. 120, entro trenta giorni dalla data di entrata in vigore della presente disposizione, con decreto del Presidente del Consiglio dei ministri, su proposta del Ministro della transizione ecologica, di concerto con il Ministro dello sviluppo economico e il Ministro delle infrastrutture e della mobilità sostenibili, sono individuate le opere e le infrastrutture necessarie al </w:t>
      </w:r>
      <w:proofErr w:type="spellStart"/>
      <w:r w:rsidRPr="00EF5B01">
        <w:rPr>
          <w:rFonts w:asciiTheme="minorHAnsi" w:eastAsia="Times New Roman" w:hAnsiTheme="minorHAnsi" w:cs="Times New Roman"/>
          <w:bCs/>
          <w:iCs/>
          <w:color w:val="000000" w:themeColor="text1"/>
          <w:sz w:val="24"/>
          <w:szCs w:val="24"/>
        </w:rPr>
        <w:t>phase</w:t>
      </w:r>
      <w:proofErr w:type="spellEnd"/>
      <w:r w:rsidRPr="00EF5B01">
        <w:rPr>
          <w:rFonts w:asciiTheme="minorHAnsi" w:eastAsia="Times New Roman" w:hAnsiTheme="minorHAnsi" w:cs="Times New Roman"/>
          <w:bCs/>
          <w:iCs/>
          <w:color w:val="000000" w:themeColor="text1"/>
          <w:sz w:val="24"/>
          <w:szCs w:val="24"/>
        </w:rPr>
        <w:t xml:space="preserve"> out dell'utilizzo del carbone nell'Isola.».</w:t>
      </w:r>
    </w:p>
    <w:p w14:paraId="4E51F0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60, comma 1, del decreto-legge 16 luglio 2020, n. 76, convertito, con modificazioni, dalla legge 11 settembre 2020, n. 120, le parole «individuate nei decreti del Presidente del Consiglio dei ministri di cui al comma 2-bis dell'articolo 7-bis del decreto legislativo 3 aprile 2006, n. 152, introdotto dall'articolo 50 del presente decreto,» sono sostituite dalle seguenti: «di cui all'articolo 8, comma 2-bis, del decreto legislativo 3 aprile 2006, n. 152,».</w:t>
      </w:r>
    </w:p>
    <w:p w14:paraId="3871DBB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65 del decreto-legge 24 gennaio 2012, n. 1, convertito, con modificazioni, dalla legge 24 marzo 2012, n. 27, dopo il comma 1-ter è inserito il seguente:</w:t>
      </w:r>
    </w:p>
    <w:p w14:paraId="35AE99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   «1-quater. Il comma 1 non si applica agli impianti </w:t>
      </w:r>
      <w:proofErr w:type="spellStart"/>
      <w:r w:rsidRPr="00EF5B01">
        <w:rPr>
          <w:rFonts w:asciiTheme="minorHAnsi" w:eastAsia="Times New Roman" w:hAnsiTheme="minorHAnsi" w:cs="Times New Roman"/>
          <w:bCs/>
          <w:iCs/>
          <w:color w:val="000000" w:themeColor="text1"/>
          <w:sz w:val="24"/>
          <w:szCs w:val="24"/>
        </w:rPr>
        <w:t>agrovoltaici</w:t>
      </w:r>
      <w:proofErr w:type="spellEnd"/>
      <w:r w:rsidRPr="00EF5B01">
        <w:rPr>
          <w:rFonts w:asciiTheme="minorHAnsi" w:eastAsia="Times New Roman" w:hAnsiTheme="minorHAnsi" w:cs="Times New Roman"/>
          <w:bCs/>
          <w:iCs/>
          <w:color w:val="000000" w:themeColor="text1"/>
          <w:sz w:val="24"/>
          <w:szCs w:val="24"/>
        </w:rPr>
        <w:t xml:space="preserve"> che adottino soluzioni integrative con montaggio verticale dei moduli, in modo da non compromettere la continuità delle attività di coltivazione </w:t>
      </w:r>
      <w:r w:rsidRPr="00EF5B01">
        <w:rPr>
          <w:rFonts w:asciiTheme="minorHAnsi" w:eastAsia="Times New Roman" w:hAnsiTheme="minorHAnsi" w:cs="Times New Roman"/>
          <w:bCs/>
          <w:iCs/>
          <w:color w:val="000000" w:themeColor="text1"/>
          <w:sz w:val="24"/>
          <w:szCs w:val="24"/>
        </w:rPr>
        <w:lastRenderedPageBreak/>
        <w:t>agricola, da realizzarsi contestualmente a sistemi di monitoraggio che consentano di verificare l'impatto sulle colture.».</w:t>
      </w:r>
    </w:p>
    <w:p w14:paraId="0640EC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C75F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All'Allegato II alla Parte seconda del decreto legislativo 3 aprile 2006, n. 152, al paragrafo 2), è aggiunto, in fine, il seguente punto: «- impianti fotovoltaici per la produzione di energia elettrica con potenza complessiva superiore a 10 MW.».</w:t>
      </w:r>
    </w:p>
    <w:p w14:paraId="12B27A4A" w14:textId="45AA97B8"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Tabella A allegata al decreto legislativo 29 dicembre 2003, n. 387 è sostituita dalla tabella di cui all'allegato II al presente decreto.</w:t>
      </w:r>
    </w:p>
    <w:p w14:paraId="3C8B3A7F" w14:textId="444FED02" w:rsidR="00246D28" w:rsidRDefault="00246D28"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AC3654"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t>Art. 31-bis.</w:t>
      </w:r>
    </w:p>
    <w:p w14:paraId="3EAD2CA0"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t>(Misure di semplificazione per gli impianti di biogas e di biometano)</w:t>
      </w:r>
    </w:p>
    <w:p w14:paraId="53521D26" w14:textId="77777777" w:rsidR="00246D28" w:rsidRPr="00221832" w:rsidRDefault="00246D28" w:rsidP="00246D28">
      <w:pPr>
        <w:rPr>
          <w:b/>
          <w:bCs/>
          <w:color w:val="000000" w:themeColor="text1"/>
          <w:sz w:val="24"/>
          <w:szCs w:val="24"/>
        </w:rPr>
      </w:pPr>
      <w:r w:rsidRPr="00221832">
        <w:rPr>
          <w:b/>
          <w:bCs/>
          <w:color w:val="000000" w:themeColor="text1"/>
          <w:sz w:val="24"/>
          <w:szCs w:val="24"/>
        </w:rPr>
        <w:t>  1. Al fine di semplificare i processi di economia circolare relativi alle attività agricole e di allevamento, nonché delle filiere agroindustriali, i sottoprodotti utilizzati come materie prime per l'alimentazione degli impianti di biogas compresi nell'allegato 1, tabella 1.A, punti 2 e 3, del decreto del Ministro dello sviluppo economico 23 giugno 2016, pubblicato nella Gazzetta Ufficiale n. 150 del 29 giugno 2016, utilizzati al fine di produrre biometano attraverso la purificazione del biogas, costituiscono materie prime idonee al riconoscimento della qualifica di biocarburante avanzato ai sensi del decreto del Ministro dello sviluppo economico 2 marzo 2018, pubblicato nella Gazzetta Ufficiale n. 65 del 19 marzo 2018.</w:t>
      </w:r>
    </w:p>
    <w:p w14:paraId="10352D4C" w14:textId="4A50B831" w:rsidR="00246D28" w:rsidRDefault="00246D28" w:rsidP="00246D28">
      <w:pPr>
        <w:rPr>
          <w:b/>
          <w:bCs/>
          <w:color w:val="000000" w:themeColor="text1"/>
          <w:sz w:val="24"/>
          <w:szCs w:val="24"/>
        </w:rPr>
      </w:pPr>
      <w:r w:rsidRPr="00221832">
        <w:rPr>
          <w:b/>
          <w:bCs/>
          <w:color w:val="000000" w:themeColor="text1"/>
          <w:sz w:val="24"/>
          <w:szCs w:val="24"/>
        </w:rPr>
        <w:t>  2. Le disposizioni dell'articolo 12 del decreto legislativo 29 dicembre 2003, n. 387, si applicano anche a tutte le opere infrastrutturali necessarie all'immissione del biometano nella rete esistente di trasporto e di distribuzione del gas naturale, per le quali il provvedimento finale deve prevedere anche l'apposizione del vincolo preordinato all'esproprio dei beni in esso compresi, nonché la variazione degli strumenti urbanistici ai sensi di quanto previsto dal testo unico delle disposizioni legislative e regolamentari in materia di espropriazione per pubblica utilità, di cui al decreto del Presidente della Repubblica 8 giugno 2001, n. 327.</w:t>
      </w:r>
      <w:r>
        <w:rPr>
          <w:rStyle w:val="Rimandonotaapidipagina"/>
          <w:b/>
          <w:bCs/>
          <w:color w:val="000000" w:themeColor="text1"/>
          <w:sz w:val="24"/>
          <w:szCs w:val="24"/>
        </w:rPr>
        <w:footnoteReference w:id="36"/>
      </w:r>
    </w:p>
    <w:p w14:paraId="2AF97EBE"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lastRenderedPageBreak/>
        <w:t>Articolo 31-bis.</w:t>
      </w:r>
    </w:p>
    <w:p w14:paraId="408002E9"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t>(Misure per la promozione dell'economia circolare nella filiera del biogas)</w:t>
      </w:r>
    </w:p>
    <w:p w14:paraId="09FC6DDA" w14:textId="77777777" w:rsidR="00246D28" w:rsidRPr="00221832" w:rsidRDefault="00246D28" w:rsidP="00246D28">
      <w:pPr>
        <w:rPr>
          <w:b/>
          <w:bCs/>
          <w:color w:val="000000" w:themeColor="text1"/>
          <w:sz w:val="24"/>
          <w:szCs w:val="24"/>
        </w:rPr>
      </w:pPr>
    </w:p>
    <w:p w14:paraId="340F096E" w14:textId="16B05FF0" w:rsidR="00246D28" w:rsidRPr="00221832" w:rsidRDefault="00246D28" w:rsidP="00246D28">
      <w:pPr>
        <w:rPr>
          <w:b/>
          <w:bCs/>
          <w:color w:val="000000" w:themeColor="text1"/>
          <w:sz w:val="24"/>
          <w:szCs w:val="24"/>
        </w:rPr>
      </w:pPr>
      <w:r w:rsidRPr="00221832">
        <w:rPr>
          <w:b/>
          <w:bCs/>
          <w:color w:val="000000" w:themeColor="text1"/>
          <w:sz w:val="24"/>
          <w:szCs w:val="24"/>
        </w:rPr>
        <w:t>  1. Al fine di consentire la piena ed efficace attuazione delle disposizioni in materia di tutela della fertilità dei suoli e di favorire lo sviluppo dell'economia circolare in ambito agricolo, all'articolo 1, comma 954, della legge 30 dicembre 2018, n. 145, dopo le parole: «e materie derivanti» è inserita la seguente: «prevalentemente» e dopo la parola: «realizzatrici» sono inserite le seguenti: «, nel rispetto del principio di connessione ai sensi dell'articolo 2135 del codice civile,».</w:t>
      </w:r>
      <w:r>
        <w:rPr>
          <w:rStyle w:val="Rimandonotaapidipagina"/>
          <w:b/>
          <w:bCs/>
          <w:color w:val="000000" w:themeColor="text1"/>
          <w:sz w:val="24"/>
          <w:szCs w:val="24"/>
        </w:rPr>
        <w:footnoteReference w:id="37"/>
      </w:r>
    </w:p>
    <w:p w14:paraId="640A1B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C688E7"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32.</w:t>
      </w:r>
    </w:p>
    <w:p w14:paraId="457EF2A4"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(Norme di semplificazione in materia di produzione di energia elettrica da fonti rinnovabili e semplificazione delle procedure di repowering)</w:t>
      </w:r>
    </w:p>
    <w:p w14:paraId="322F46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B5928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5 del decreto legislativo 3 marzo 2011, n. 28, sono apportate le seguenti modificazioni:</w:t>
      </w:r>
    </w:p>
    <w:p w14:paraId="02C287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D05B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3, il terzo periodo, è sostituito dai seguenti: «Non sono considerati sostanziali e sono sottoposti alla disciplina di cui all'articolo 6, comma 11, gli interventi da realizzare sui progetti e sugli impianti fotovoltaici ed idroelettrici che, anche se consistenti nella modifica della soluzione tecnologica utilizzata, non comportano variazioni delle dimensioni fisiche degli apparecchi, della volumetria delle strutture e dell'area destinata ad ospitare gli impianti stessi, né delle opere connesse a prescindere dalla potenza elettrica risultante a seguito dell'intervento. Restano ferme, laddove previste, le procedure di verifica di assoggettabilità e valutazione di impatto ambientale di cui al decreto legislativo 3 aprile 2006, n. 152. Non sono considerati sostanziali e sono sottoposti alla disciplina di cui all'articolo 6, comma 11, gli interventi da realizzare sui progetti e sugli impianti eolici,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w:t>
      </w:r>
      <w:r w:rsidRPr="00EF5B01">
        <w:rPr>
          <w:rFonts w:asciiTheme="minorHAnsi" w:eastAsia="Times New Roman" w:hAnsiTheme="minorHAnsi" w:cs="Times New Roman"/>
          <w:bCs/>
          <w:iCs/>
          <w:color w:val="000000" w:themeColor="text1"/>
          <w:sz w:val="24"/>
          <w:szCs w:val="24"/>
        </w:rPr>
        <w:lastRenderedPageBreak/>
        <w:t>non superiore all'altezza massima dal suolo raggiungibile dalla estremità delle pale dell'aerogeneratore già esistente moltiplicata per il rapporto fra il diametro del rotore del nuovo aerogeneratore e il diametro dell'aerogeneratore già esistente.»;</w:t>
      </w:r>
    </w:p>
    <w:p w14:paraId="034A47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A203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3 sono inseriti i seguenti:</w:t>
      </w:r>
    </w:p>
    <w:p w14:paraId="095AD7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0622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   «3-bis. Per “sito dell'impianto eolico” si intende:</w:t>
      </w:r>
    </w:p>
    <w:p w14:paraId="6F739A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FCE4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nel caso di impianti su una unica direttrice, il nuovo impianto è realizzato sulla stessa direttrice con una deviazione massima di un angolo di 10°, utilizzando la stessa lunghezza più una tolleranza pari al 15 per cento della lunghezza dell'impianto autorizzato, calcolata tra gli assi dei due aerogeneratori estremi;</w:t>
      </w:r>
    </w:p>
    <w:p w14:paraId="40CC1F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ED8F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di impianti dislocati su più direttrici, la superficie planimetrica complessiva del nuovo impianto è all'interno della superficie autorizzata, definita dal perimetro individuato, planimetricamente, dalla linea che unisce, formando sempre angoli convessi, i punti corrispondenti agli assi degli aerogeneratori autorizzati più esterni, con una tolleranza complessiva del 15 per cento.</w:t>
      </w:r>
    </w:p>
    <w:p w14:paraId="419BCE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5C53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  3-ter. Per “riduzione minima del numero di aerogeneratori” si intende:</w:t>
      </w:r>
    </w:p>
    <w:p w14:paraId="1DFC0D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8F49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nel caso in cui gli aerogeneratori esistenti o autorizzati abbiano un diametro d1 inferiore o uguale a 70 metri, il numero dei nuovi aerogeneratori non deve superare il minore fra n1*2/3 e n1*d1/(d2-d1);</w:t>
      </w:r>
    </w:p>
    <w:p w14:paraId="38FEEB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8FF3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nel caso in cui gli aerogeneratori esistenti o autorizzati abbiano un diametro d1 superiore a 70 metri, il numero dei nuovi aerogeneratori non deve superare n1*d1/d2 arrotondato per eccesso dove:</w:t>
      </w:r>
    </w:p>
    <w:p w14:paraId="7B827E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2C3C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d1: diametro rotori già esistenti o autorizzati;</w:t>
      </w:r>
    </w:p>
    <w:p w14:paraId="341251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C316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n1: numero aerogeneratori già esistenti o autorizzati;</w:t>
      </w:r>
    </w:p>
    <w:p w14:paraId="004522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4665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d2: diametro nuovi rotori;</w:t>
      </w:r>
    </w:p>
    <w:p w14:paraId="62A13E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D797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h1: altezza raggiungibile dalla estremità delle pale rispetto al suolo (TIP) dell'aerogeneratore già esistente o autorizzato.</w:t>
      </w:r>
    </w:p>
    <w:p w14:paraId="0FD43F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946212" w14:textId="53117648"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  3.quater. Per “altezza massima dei nuovi aerogeneratori” h2 raggiungibile dalla estremità delle pale, si intende il doppio dell'altezza massima dal suolo h1 raggiungibile dalla estremità delle pale dell'aerogeneratore già esistente.».</w:t>
      </w:r>
    </w:p>
    <w:p w14:paraId="1AEBCF87" w14:textId="1A48C9E0" w:rsidR="00246D28" w:rsidRDefault="00246D28" w:rsidP="00246D28">
      <w:pPr>
        <w:rPr>
          <w:b/>
          <w:bCs/>
          <w:color w:val="000000" w:themeColor="text1"/>
          <w:sz w:val="24"/>
          <w:szCs w:val="24"/>
        </w:rPr>
      </w:pPr>
      <w:r w:rsidRPr="00221832">
        <w:rPr>
          <w:color w:val="000000" w:themeColor="text1"/>
          <w:sz w:val="24"/>
          <w:szCs w:val="24"/>
        </w:rPr>
        <w:t>  </w:t>
      </w:r>
      <w:r w:rsidRPr="00246D28">
        <w:rPr>
          <w:b/>
          <w:bCs/>
          <w:color w:val="000000" w:themeColor="text1"/>
          <w:sz w:val="24"/>
          <w:szCs w:val="24"/>
        </w:rPr>
        <w:t>1-bis. Alla lettera a) del comma 1 dell'articolo 6-bis del decreto legislativo 3 marzo 2011, n. 28, sono aggiunte, in fine, le seguenti parole: «e interventi che comportano una riduzione di superficie o di volume, anche quando non vi sia sostituzione di aerogeneratori».</w:t>
      </w:r>
      <w:r>
        <w:rPr>
          <w:rStyle w:val="Rimandonotaapidipagina"/>
          <w:b/>
          <w:bCs/>
          <w:color w:val="000000" w:themeColor="text1"/>
          <w:sz w:val="24"/>
          <w:szCs w:val="24"/>
        </w:rPr>
        <w:footnoteReference w:id="38"/>
      </w:r>
    </w:p>
    <w:p w14:paraId="7575473A" w14:textId="77777777" w:rsidR="00246D28" w:rsidRDefault="00246D28" w:rsidP="00246D28">
      <w:pPr>
        <w:rPr>
          <w:b/>
          <w:bCs/>
          <w:color w:val="000000" w:themeColor="text1"/>
          <w:sz w:val="24"/>
          <w:szCs w:val="24"/>
        </w:rPr>
      </w:pPr>
    </w:p>
    <w:p w14:paraId="28D12D7C"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t>Art. 32-bis.</w:t>
      </w:r>
    </w:p>
    <w:p w14:paraId="7BCAA38B" w14:textId="77777777" w:rsidR="00246D28" w:rsidRPr="00221832" w:rsidRDefault="00246D28" w:rsidP="00246D28">
      <w:pPr>
        <w:jc w:val="center"/>
        <w:rPr>
          <w:b/>
          <w:bCs/>
          <w:color w:val="000000" w:themeColor="text1"/>
          <w:sz w:val="24"/>
          <w:szCs w:val="24"/>
        </w:rPr>
      </w:pPr>
      <w:r w:rsidRPr="00221832">
        <w:rPr>
          <w:b/>
          <w:bCs/>
          <w:color w:val="000000" w:themeColor="text1"/>
          <w:sz w:val="24"/>
          <w:szCs w:val="24"/>
        </w:rPr>
        <w:t>(Semplificazione dei procedimenti per impianti idroelettrici di piccole dimensioni)</w:t>
      </w:r>
    </w:p>
    <w:p w14:paraId="63947835" w14:textId="40C9BE25" w:rsidR="00246D28" w:rsidRPr="00221832" w:rsidRDefault="00246D28" w:rsidP="00246D28">
      <w:pPr>
        <w:rPr>
          <w:b/>
          <w:bCs/>
          <w:color w:val="000000" w:themeColor="text1"/>
          <w:sz w:val="24"/>
          <w:szCs w:val="24"/>
        </w:rPr>
      </w:pPr>
      <w:r w:rsidRPr="00221832">
        <w:rPr>
          <w:b/>
          <w:bCs/>
          <w:color w:val="000000" w:themeColor="text1"/>
          <w:sz w:val="24"/>
          <w:szCs w:val="24"/>
        </w:rPr>
        <w:t>  1. Al fine di assicurare la piena attuazione delle misure finalizzate a contrastare i cambiamenti climatici e a perseguire, entro l'anno 2030, gli obiettivi stabiliti dal Piano nazionale integrato per l'energia e il clima 2030, al punto ii. della lettera a) del punto 12.7 della parte II delle Linee guida per l'autorizzazione degli impianti alimentati da fonti rinnovabili, di cui all'allegato annesso al decreto del Ministro dello sviluppo economico 10 settembre 2010, pubblicato nella Gazzetta Ufficiale n. 219 del 18 settembre 2010, le parole: «compatibile con il regime di scambio sul posto» sono sostituite dalle seguenti: «non superiore a 500 kW di potenza di concessione».</w:t>
      </w:r>
      <w:r w:rsidR="008B3AE9">
        <w:rPr>
          <w:rStyle w:val="Rimandonotaapidipagina"/>
          <w:b/>
          <w:bCs/>
          <w:color w:val="000000" w:themeColor="text1"/>
          <w:sz w:val="24"/>
          <w:szCs w:val="24"/>
        </w:rPr>
        <w:footnoteReference w:id="39"/>
      </w:r>
    </w:p>
    <w:p w14:paraId="06849EEA" w14:textId="730457FA" w:rsidR="00246D28" w:rsidRDefault="00246D28" w:rsidP="00246D28">
      <w:pPr>
        <w:rPr>
          <w:color w:val="000000" w:themeColor="text1"/>
          <w:sz w:val="24"/>
          <w:szCs w:val="24"/>
        </w:rPr>
      </w:pPr>
    </w:p>
    <w:p w14:paraId="62604800" w14:textId="77777777" w:rsidR="008B3AE9" w:rsidRPr="008F768F" w:rsidRDefault="008B3AE9" w:rsidP="008B3AE9">
      <w:pPr>
        <w:jc w:val="center"/>
        <w:rPr>
          <w:b/>
          <w:bCs/>
          <w:color w:val="000000" w:themeColor="text1"/>
          <w:sz w:val="24"/>
          <w:szCs w:val="24"/>
        </w:rPr>
      </w:pPr>
      <w:r w:rsidRPr="008F768F">
        <w:rPr>
          <w:b/>
          <w:bCs/>
          <w:color w:val="000000" w:themeColor="text1"/>
          <w:sz w:val="24"/>
          <w:szCs w:val="24"/>
        </w:rPr>
        <w:t>Art. 32-bis.</w:t>
      </w:r>
    </w:p>
    <w:p w14:paraId="22B71BD7" w14:textId="77777777" w:rsidR="008B3AE9" w:rsidRPr="008F768F" w:rsidRDefault="008B3AE9" w:rsidP="008B3AE9">
      <w:pPr>
        <w:jc w:val="center"/>
        <w:rPr>
          <w:b/>
          <w:bCs/>
          <w:color w:val="000000" w:themeColor="text1"/>
          <w:sz w:val="24"/>
          <w:szCs w:val="24"/>
        </w:rPr>
      </w:pPr>
      <w:r w:rsidRPr="008F768F">
        <w:rPr>
          <w:b/>
          <w:bCs/>
          <w:color w:val="000000" w:themeColor="text1"/>
          <w:sz w:val="24"/>
          <w:szCs w:val="24"/>
        </w:rPr>
        <w:t>(Norme di semplificazione in materia di infrastrutture di ricarica elettrica)</w:t>
      </w:r>
    </w:p>
    <w:p w14:paraId="65B3D9E6" w14:textId="77777777" w:rsidR="008B3AE9" w:rsidRPr="008B3AE9" w:rsidRDefault="008B3AE9" w:rsidP="008B3AE9">
      <w:pPr>
        <w:rPr>
          <w:color w:val="000000" w:themeColor="text1"/>
          <w:sz w:val="24"/>
          <w:szCs w:val="24"/>
        </w:rPr>
      </w:pPr>
    </w:p>
    <w:p w14:paraId="3FBB41BE" w14:textId="77777777" w:rsidR="008B3AE9" w:rsidRPr="008B3AE9" w:rsidRDefault="008B3AE9" w:rsidP="008B3AE9">
      <w:pPr>
        <w:rPr>
          <w:b/>
          <w:bCs/>
          <w:color w:val="000000" w:themeColor="text1"/>
          <w:sz w:val="24"/>
          <w:szCs w:val="24"/>
        </w:rPr>
      </w:pPr>
      <w:r w:rsidRPr="008B3AE9">
        <w:rPr>
          <w:b/>
          <w:bCs/>
          <w:color w:val="000000" w:themeColor="text1"/>
          <w:sz w:val="24"/>
          <w:szCs w:val="24"/>
        </w:rPr>
        <w:lastRenderedPageBreak/>
        <w:t>  1. All'articolo 57 del decreto-legge 16 luglio 2020, n. 76, convertito, con modificazioni, dalla legge 11 settembre 2020, n. 120, sono apportate le seguenti modificazioni:</w:t>
      </w:r>
    </w:p>
    <w:p w14:paraId="0DD5F32A" w14:textId="77777777" w:rsidR="008B3AE9" w:rsidRPr="008B3AE9" w:rsidRDefault="008B3AE9" w:rsidP="008B3AE9">
      <w:pPr>
        <w:jc w:val="both"/>
        <w:rPr>
          <w:b/>
          <w:bCs/>
          <w:color w:val="000000" w:themeColor="text1"/>
          <w:sz w:val="24"/>
          <w:szCs w:val="24"/>
        </w:rPr>
      </w:pPr>
      <w:r w:rsidRPr="008B3AE9">
        <w:rPr>
          <w:b/>
          <w:bCs/>
          <w:color w:val="000000" w:themeColor="text1"/>
          <w:sz w:val="24"/>
          <w:szCs w:val="24"/>
        </w:rPr>
        <w:t>   a) al comma 14 è aggiunto, in fine, il seguente periodo: «In conseguenza di quanto disposto dal primo periodo, l'installazione delle infrastrutture di ricarica dei veicoli elettrici ad accesso pubblico non è soggetta al rilascio del permesso di costruire ed è considerata attività di edilizia libera»;</w:t>
      </w:r>
    </w:p>
    <w:p w14:paraId="63DE3D44" w14:textId="77777777" w:rsidR="008B3AE9" w:rsidRPr="008B3AE9" w:rsidRDefault="008B3AE9" w:rsidP="008B3AE9">
      <w:pPr>
        <w:jc w:val="both"/>
        <w:rPr>
          <w:b/>
          <w:bCs/>
          <w:color w:val="000000" w:themeColor="text1"/>
          <w:sz w:val="24"/>
          <w:szCs w:val="24"/>
        </w:rPr>
      </w:pPr>
      <w:r w:rsidRPr="008B3AE9">
        <w:rPr>
          <w:b/>
          <w:bCs/>
          <w:color w:val="000000" w:themeColor="text1"/>
          <w:sz w:val="24"/>
          <w:szCs w:val="24"/>
        </w:rPr>
        <w:t>   b) dopo il comma 14 è inserito il seguente:</w:t>
      </w:r>
    </w:p>
    <w:p w14:paraId="08AFFBEC" w14:textId="7AC59584" w:rsidR="008B3AE9" w:rsidRPr="00221832" w:rsidRDefault="008B3AE9" w:rsidP="008B3AE9">
      <w:pPr>
        <w:jc w:val="both"/>
        <w:rPr>
          <w:color w:val="000000" w:themeColor="text1"/>
          <w:sz w:val="24"/>
          <w:szCs w:val="24"/>
        </w:rPr>
      </w:pPr>
      <w:r w:rsidRPr="008B3AE9">
        <w:rPr>
          <w:b/>
          <w:bCs/>
          <w:color w:val="000000" w:themeColor="text1"/>
          <w:sz w:val="24"/>
          <w:szCs w:val="24"/>
        </w:rPr>
        <w:t>   «14-bis. Ai fini della semplificazione dei procedimenti, il soggetto che effettua l'installazione delle infrastrutture per il servizio di ricarica dei veicoli elettrici su suolo pubblico presenta l'istanza all'ente proprietario della strada per la manomissione e l'occupazione del suolo pubblico per l'infrastruttura di ricarica e per le relative opere di connessione alla rete di distribuzione concordate con il concessionario del servizio di distribuzione dell'energia elettrica competente. Le procedure sono soggette all'obbligo di richiesta semplificata e l'ente che effettua la valutazione, come previsto dall'articolo 14-bis della legge 7 agosto 1990, n. 241, rilascia un provvedimento di autorizzazione alla costruzione e all'occupazione del suolo pubblico per le infrastrutture di ricarica che ha una durata minima di dieci anni e un provvedimento di durata illimitata, intestato al gestore della rete, per le relative opere di connessione».</w:t>
      </w:r>
      <w:r>
        <w:rPr>
          <w:rStyle w:val="Rimandonotaapidipagina"/>
          <w:b/>
          <w:bCs/>
          <w:color w:val="000000" w:themeColor="text1"/>
          <w:sz w:val="24"/>
          <w:szCs w:val="24"/>
        </w:rPr>
        <w:footnoteReference w:id="40"/>
      </w:r>
    </w:p>
    <w:p w14:paraId="5FF37C13" w14:textId="77777777" w:rsidR="00246D28" w:rsidRPr="00EF5B01" w:rsidRDefault="00246D28"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8327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83C77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w:t>
      </w:r>
    </w:p>
    <w:p w14:paraId="6F88D8D4"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EFFICIENTAMENTO ENERGETICO</w:t>
      </w:r>
    </w:p>
    <w:p w14:paraId="6FF335B9"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060EC05"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33.</w:t>
      </w:r>
    </w:p>
    <w:p w14:paraId="014B78BA"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incentivi per l'efficienza energetica e rigenerazione urbana)</w:t>
      </w:r>
    </w:p>
    <w:p w14:paraId="4763232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496A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119 del decreto-legge 19 maggio 2020, n. 34, convertito, con modificazioni, dalla legge 17 luglio 2020, n. 77, sono apportate le seguenti modificazioni:</w:t>
      </w:r>
    </w:p>
    <w:p w14:paraId="388BD2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0D59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dopo il primo periodo, è inserito il seguente:</w:t>
      </w:r>
    </w:p>
    <w:p w14:paraId="06393B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9A1C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   «Tale aliquota si applica anche agli interventi previsti dall'articolo 16-bis, comma 1, lettera e), del testo unico di cui al decreto del Presidente della Repubblica 22 dicembre 1986, n. 917, anche ove effettuati in favore di persone di età superiore a sessantacinque anni ed a condizione che siano eseguiti congiuntamente ad almeno uno degli interventi indicati nel primo periodo e che non siano già richiesti ai sensi del comma 2 della presente disposizione.»;</w:t>
      </w:r>
    </w:p>
    <w:p w14:paraId="1F55E3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0B79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10, è inserito il seguente:</w:t>
      </w:r>
    </w:p>
    <w:p w14:paraId="7C338D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D4F4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   «10-bis. Il limite di spesa ammesso alle detrazioni di cui al presente articolo, previsto per le singole unità immobiliari, è moltiplicato per il rapporto tra la superficie complessiva dell'immobile oggetto degli interventi di efficientamento energetico, di miglioramento o di adeguamento antisismico previsti ai commi 1, 2, 3, 3-bis, 4, 4-bis, 5, 6, 7 e 8, e la superficie media di una unità abitativa immobiliare, come ricavabile dal Rapporto Immobiliare pubblicato dall'Osservatorio del Mercato Immobiliare dell'Agenzia delle Entrate ai sensi dell'articolo 120-sexiesdecies del decreto legislativo 1 settembre 1993, n. 385, per i soggetti di cui al comma 9, lettera d-bis), che siano in possesso dei seguenti requisiti:</w:t>
      </w:r>
    </w:p>
    <w:p w14:paraId="64C22C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2B8A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svolgano attività di prestazione di servizi socio-sanitari e assistenziali, e i cui membri del Consiglio di Amministrazione non percepiscano alcun compenso o indennità di carica;</w:t>
      </w:r>
    </w:p>
    <w:p w14:paraId="09639D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8FD9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siano in possesso di immobili rientranti nelle categorie catastali B/1, B/2 e D/4, a titolo di proprietà, nuda proprietà, usufrutto o comodato d'uso gratuito. Il titolo di comodato d'uso gratuito è idoneo all'accesso alle detrazioni di cui al presente articolo, a condizione che il contratto sia regolarmente registrato in data certa anteriore alla data di entrata in vigore della presente disposizione.»;</w:t>
      </w:r>
    </w:p>
    <w:p w14:paraId="229F72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F00E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il comma 13-ter è sostituito dal seguente:</w:t>
      </w:r>
    </w:p>
    <w:p w14:paraId="695E60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B90A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   «13-ter. Gli interventi di cui al presente articolo, con esclusione di quelli comportanti la demolizione e la ricostruzione degli edifici, costituiscono manutenzione straordinaria e sono realizzabili mediante comunicazione di inizio lavori asseverata (CILA). Nella CILA sono attestati gli estremi del titolo abilitativo che ha previsto la costruzione dell'immobile oggetto d'intervento o del provvedimento che ne ha consentito la legittimazione ovvero è attestato che la costruzione è stata completata in data antecedente </w:t>
      </w:r>
      <w:r w:rsidRPr="00EF5B01">
        <w:rPr>
          <w:rFonts w:asciiTheme="minorHAnsi" w:eastAsia="Times New Roman" w:hAnsiTheme="minorHAnsi" w:cs="Times New Roman"/>
          <w:bCs/>
          <w:iCs/>
          <w:color w:val="000000" w:themeColor="text1"/>
          <w:sz w:val="24"/>
          <w:szCs w:val="24"/>
        </w:rPr>
        <w:lastRenderedPageBreak/>
        <w:t>al 1° settembre 1967. La presentazione della CILA non richiede l'attestazione dello stato legittimo di cui all' articolo 9-bis, comma 1-bis, del decreto del Presidente della Repubblica 6 giugno 2001, n. 380. Per gli interventi di cui al presente comma, la decadenza del beneficio fiscale previsto dall'articolo 49 del decreto del Presidente della Repubblica n. 380 del 2001 opera esclusivamente nei seguenti casi:</w:t>
      </w:r>
    </w:p>
    <w:p w14:paraId="29DEAA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33DA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mancata presentazione della CILA;</w:t>
      </w:r>
    </w:p>
    <w:p w14:paraId="0664F6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5CD6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interventi realizzati in difformità dalla CILA;</w:t>
      </w:r>
    </w:p>
    <w:p w14:paraId="06A20B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906B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assenza dell'attestazione dei dati di cui al secondo periodo;</w:t>
      </w:r>
    </w:p>
    <w:p w14:paraId="6C6CF7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6420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non corrispondenza al vero delle attestazioni ai sensi del comma 14. Resta impregiudicata ogni valutazione circa la legittimità dell'immobile oggetto di intervento.».</w:t>
      </w:r>
    </w:p>
    <w:p w14:paraId="3B3D8A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EA0B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Restano in ogni caso fermi, ove dovuti, gli oneri di urbanizzazione.</w:t>
      </w:r>
    </w:p>
    <w:p w14:paraId="27B7E3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Fondo per interventi strutturali di politica economica, di cui all'articolo 10, comma 5, del decreto-legge 29 novembre 2004, n. 282, convertito, con modificazioni, dalla legge 27 dicembre 2004, n. 307, è incrementato di 3,9 milioni di euro per l'anno 2027, 0,3 milioni di euro per l'anno 2028, 0,4 milioni di euro per ciascuno degli anni 2029, 2030 e 2031 e 0,3 milioni di euro per l'anno 2032.</w:t>
      </w:r>
    </w:p>
    <w:p w14:paraId="549982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Agli oneri derivanti dal comma 1, lettere a) e b), valutati in 0,1 milioni di euro per l'anno 2021, 1,4 milioni di euro per l'anno 2022, 11,3 milioni di euro per l'anno 2023, 9,3 milioni di euro per l'anno 2024, 8,8 milioni di euro per ciascuno degli anni 2025 e 2026, 0,2 milioni di euro per l'anno 2033 e, dal comma 3, pari a di 3,9 milioni di euro per l'anno 2027, 0,3 milioni di euro per l'anno 2028, 0,4 milioni di euro per ciascuno degli anni 2029, 2030 e 2031 e 0,3 milioni di euro per l'anno 2032, si provvede quanto a 0,1 milioni di euro per l'anno 2021, 0,4 milioni di euro per l'anno 2022, 1,2 milioni di euro per l'anno 2023, 3,9 milioni di euro per l'anno 2027, 0,3 milioni di euro per l'anno 2028, 0,4 milioni di euro per ciascuno degli anni 2029, 2030 e 2031 e 0,3 milioni di euro per l'anno 2032, mediante le maggiori entrate derivanti dal medesimo comma 1, lettera a) e b), e, quanto a 1 milione di euro per l'anno 2022, 10,1 milioni di euro per l'anno 2023, 9,3 milioni di euro per l'anno 2024, 8,8 milioni di euro per ciascuno degli anni 2025 e 2026 e 0,2 milioni di euro per l'anno 2033, mediante corrispondente riduzione del Fondo per interventi strutturali di politica economica, di cui all'articolo 10, comma 5, del decreto-legge 29 novembre 2004, n. 282, convertito, con modificazioni, dalla legge 27 dicembre 2004, n. 307.</w:t>
      </w:r>
    </w:p>
    <w:p w14:paraId="202034A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918A8C"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Capo VIII</w:t>
      </w:r>
    </w:p>
    <w:p w14:paraId="007CCB18"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SEMPLIFICAZIONE PER LA PROMOZIONE DELL'ECONOMIA CIRCOLARE E IL CONTRASTO AL DISSESTO IDROGEOLOGICO</w:t>
      </w:r>
    </w:p>
    <w:p w14:paraId="4E880DF7"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48CAA0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34.</w:t>
      </w:r>
    </w:p>
    <w:p w14:paraId="33649A8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(Cessazione della qualifica di rifiuto)</w:t>
      </w:r>
    </w:p>
    <w:p w14:paraId="3589E74B" w14:textId="6271C4F8"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4FE0EA" w14:textId="6C663133" w:rsidR="008B3AE9" w:rsidRPr="008F768F" w:rsidRDefault="008B3AE9" w:rsidP="008B3AE9">
      <w:pPr>
        <w:rPr>
          <w:b/>
          <w:bCs/>
          <w:color w:val="000000" w:themeColor="text1"/>
          <w:sz w:val="24"/>
          <w:szCs w:val="24"/>
        </w:rPr>
      </w:pPr>
      <w:r w:rsidRPr="008F768F">
        <w:rPr>
          <w:b/>
          <w:bCs/>
          <w:color w:val="000000" w:themeColor="text1"/>
          <w:sz w:val="24"/>
          <w:szCs w:val="24"/>
        </w:rPr>
        <w:t>  01. All'articolo 184, comma 2, del decreto legislativo 3 aprile 2006, n. 152, sono aggiunte, in fine, le seguenti parole: «, fermo restando che i rifiuti indifferenziati e da raccolta differenziata provenienti da altre fonti che sono simili per natura e composizione ai rifiuti domestici indicati nell'allegato L-quater prodotti dalle attività riportate nell'allegato L-quinquies sono considerati urbani solo a fini statistici e nell'ambito di applicazione degli obiettivi di preparazione per il riutilizzo e per il riciclaggio nonché delle relative norme di calcolo, come previsto dalla lettera b-quinquies) del comma 1 dell'articolo 183».</w:t>
      </w:r>
      <w:r>
        <w:rPr>
          <w:rStyle w:val="Rimandonotaapidipagina"/>
          <w:b/>
          <w:bCs/>
          <w:color w:val="000000" w:themeColor="text1"/>
          <w:sz w:val="24"/>
          <w:szCs w:val="24"/>
        </w:rPr>
        <w:footnoteReference w:id="41"/>
      </w:r>
    </w:p>
    <w:p w14:paraId="067AFA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184-ter del decreto legislativo 3 aprile 2006, n. 152, sono apportate le seguenti modificazioni:</w:t>
      </w:r>
    </w:p>
    <w:p w14:paraId="36E6A4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4F3D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3, primo periodo, dopo le parole «medesimi procedimenti autorizzatori» sono inserite le seguenti: «previo parere obbligatorio e vincolante dell'ISPRA o dell'Agenzia regionale per la protezione ambientale territorialmente competente»;</w:t>
      </w:r>
    </w:p>
    <w:p w14:paraId="7FEF81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420D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3-ter, il secondo e il terzo periodo sono soppressi;</w:t>
      </w:r>
    </w:p>
    <w:p w14:paraId="5AFA62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B46C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 commi 3-quater e 3-quinquies sono abrogati.</w:t>
      </w:r>
    </w:p>
    <w:p w14:paraId="6EB3A6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186515"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35.</w:t>
      </w:r>
    </w:p>
    <w:p w14:paraId="2BEAC872"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per la promozione dell'economia circolare)</w:t>
      </w:r>
    </w:p>
    <w:p w14:paraId="691893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F0EF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fine di consentire la corretta gestione dei rifiuti e la migliore attuazione degli interventi previsti dal Piano nazionale di ripresa e resilienza, anche al fine di promuovere l'attività di recupero nella gestione dei rifiuti in una visione di economia circolare come previsto dal nuovo piano d'azione europeo per l'economia circolare, al decreto legislativo 3 aprile 2006, n. 152, sono apportate le seguenti modificazioni:</w:t>
      </w:r>
    </w:p>
    <w:p w14:paraId="2C3318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482F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 parte IV, titolo I, le parole «e assimilati», ovunque ricorrano, sono soppresse e all'articolo 258, comma 7, le parole «e assimilati» sono soppresse;</w:t>
      </w:r>
    </w:p>
    <w:p w14:paraId="4F40CD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14A2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185:</w:t>
      </w:r>
    </w:p>
    <w:p w14:paraId="269EE7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10C3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c), sono aggiunte, in fine, le seguenti parole: «, le ceneri vulcaniche, laddove riutilizzate in sostituzione di materie prime all'interno di cicli produttivi, mediante processi o metodi che non danneggiano l'ambiente né mettono in pericolo la salute umana»;</w:t>
      </w:r>
    </w:p>
    <w:p w14:paraId="532880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C762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 lettera e), sono aggiunte, in fine, le seguenti parole: «, ad eccezione dei rifiuti da “articoli pirotecnici”, intendendosi i rifiuti prodotti dall'accensione di pirotecnici di qualsiasi specie e gli articoli pirotecnici che abbiano cessato il periodo della loro validità, che siano in disuso o che non siano più idonei ad essere impiegati per il loro fine originario»;</w:t>
      </w:r>
    </w:p>
    <w:p w14:paraId="232068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485E9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4, sono aggiunti i seguenti:</w:t>
      </w:r>
    </w:p>
    <w:p w14:paraId="4C615F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A26E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   «4-bis. I rifiuti provenienti da articoli pirotecnici in disuso sono gestiti ai sensi del decreto ministeriale di cui all'articolo 34, comma 2, del decreto legislativo del 29 luglio 2015, n. 123, e, in virtù della persistente capacità esplodente, nel rispetto delle disposizioni vigenti in materia di pubblica sicurezza per le attività di detenzione in depositi intermedi e movimentazione dal luogo di deposito preliminare ai depositi intermedi o all'impianto di trattamento, secondo le vigenti normative sul trasporto di materiali esplosivi; il trattamento e recupero o/e distruzione mediante incenerimento sono svolti in impianti all'uopo autorizzati secondo le disposizioni di pubblica sicurezza.</w:t>
      </w:r>
    </w:p>
    <w:p w14:paraId="487483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   4-ter. Al fine di garantire il perseguimento delle finalità di tutela ambientale secondo le migliori tecniche disponibili, ottimizzando il recupero dei rifiuti da articoli pirotecnici, è fatto obbligo ai produttori e importatori di articoli pirotecnici di provvedere, singolarmente o in forma collettiva, alla gestione dei rifiuti derivanti dai loro prodotti immessi sul mercato nazionale, secondo i criteri direttivi di cui all'articolo 237 del presente decreto.»;</w:t>
      </w:r>
    </w:p>
    <w:p w14:paraId="38E2CF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36B9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w:t>
      </w:r>
      <w:r w:rsidRPr="008B3AE9">
        <w:rPr>
          <w:rFonts w:asciiTheme="minorHAnsi" w:eastAsia="Times New Roman" w:hAnsiTheme="minorHAnsi" w:cs="Times New Roman"/>
          <w:bCs/>
          <w:iCs/>
          <w:strike/>
          <w:color w:val="000000" w:themeColor="text1"/>
          <w:sz w:val="24"/>
          <w:szCs w:val="24"/>
          <w:highlight w:val="yellow"/>
        </w:rPr>
        <w:t>c) all'articolo 188, comma 5, le parole «un'attestazione di avvenuto smaltimento» sono sostituite dalle seguenti: «un'attestazione di avvio al recupero o smaltimento»;</w:t>
      </w:r>
    </w:p>
    <w:p w14:paraId="7FF34BDF" w14:textId="70E41595" w:rsidR="008B3AE9" w:rsidRPr="008F768F" w:rsidRDefault="008B3AE9" w:rsidP="008B3AE9">
      <w:pPr>
        <w:rPr>
          <w:b/>
          <w:bCs/>
          <w:color w:val="000000" w:themeColor="text1"/>
          <w:sz w:val="24"/>
          <w:szCs w:val="24"/>
        </w:rPr>
      </w:pPr>
      <w:r w:rsidRPr="008F768F">
        <w:rPr>
          <w:b/>
          <w:bCs/>
          <w:color w:val="000000" w:themeColor="text1"/>
          <w:sz w:val="24"/>
          <w:szCs w:val="24"/>
        </w:rPr>
        <w:t>   c) all'articolo 188, comma 5, il primo periodo, è sostituito dal seguente: “Nel caso di conferimento di rifiuti a soggetti autorizzati alle operazioni intermedie di smaltimento, quali il raggruppamento, il ricondizionamento e il deposito preliminare di cui ai punti D13, D14, D15 dell'allegato B alla parte quarta del presente decreto, la responsabilità per il corretto smaltimento dei rifiuti è attribuita al soggetto che effettua dette operazioni”.</w:t>
      </w:r>
      <w:r>
        <w:rPr>
          <w:rStyle w:val="Rimandonotaapidipagina"/>
          <w:b/>
          <w:bCs/>
          <w:color w:val="000000" w:themeColor="text1"/>
          <w:sz w:val="24"/>
          <w:szCs w:val="24"/>
        </w:rPr>
        <w:footnoteReference w:id="42"/>
      </w:r>
    </w:p>
    <w:p w14:paraId="711F93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188-bis, comma 4, lettera h), le parole «dell'avvenuto recupero» sono sostituite dalle seguenti: «dell'avvio a recupero»;</w:t>
      </w:r>
    </w:p>
    <w:p w14:paraId="00899561" w14:textId="1E809496" w:rsidR="00EF5B01" w:rsidRDefault="005162C7" w:rsidP="005162C7">
      <w:pPr>
        <w:rPr>
          <w:rFonts w:asciiTheme="minorHAnsi" w:eastAsia="Times New Roman" w:hAnsiTheme="minorHAnsi" w:cs="Times New Roman"/>
          <w:bCs/>
          <w:iCs/>
          <w:color w:val="000000" w:themeColor="text1"/>
          <w:sz w:val="24"/>
          <w:szCs w:val="24"/>
        </w:rPr>
      </w:pPr>
      <w:r w:rsidRPr="00316160">
        <w:rPr>
          <w:sz w:val="24"/>
          <w:szCs w:val="24"/>
        </w:rPr>
        <w:t>   </w:t>
      </w:r>
      <w:r w:rsidRPr="00CF470B">
        <w:rPr>
          <w:b/>
          <w:bCs/>
          <w:color w:val="000000" w:themeColor="text1"/>
          <w:sz w:val="24"/>
          <w:szCs w:val="24"/>
        </w:rPr>
        <w:t>d-bis) all'articolo 190, comma 4, le parole: «i documenti contabili, con analoghe funzioni, tenuti ai sensi delle vigenti normative» sono sostituite dalle seguenti: «analoghe evidenze documentali o gestionali».</w:t>
      </w:r>
      <w:r>
        <w:rPr>
          <w:rStyle w:val="Rimandonotaapidipagina"/>
          <w:b/>
          <w:bCs/>
          <w:color w:val="000000" w:themeColor="text1"/>
          <w:sz w:val="24"/>
          <w:szCs w:val="24"/>
        </w:rPr>
        <w:footnoteReference w:id="43"/>
      </w:r>
      <w:r w:rsidR="00EF5B01" w:rsidRPr="00EF5B01">
        <w:rPr>
          <w:rFonts w:asciiTheme="minorHAnsi" w:eastAsia="Times New Roman" w:hAnsiTheme="minorHAnsi" w:cs="Times New Roman"/>
          <w:bCs/>
          <w:iCs/>
          <w:color w:val="000000" w:themeColor="text1"/>
          <w:sz w:val="24"/>
          <w:szCs w:val="24"/>
        </w:rPr>
        <w:t>   e) all'articolo 193, comma 18, dopo le parole «da assistenza sanitaria» sono inserite le seguenti: «svolta al di fuori delle strutture sanitarie di riferimento e da assistenza»;</w:t>
      </w:r>
    </w:p>
    <w:p w14:paraId="00E74ED5" w14:textId="77777777" w:rsidR="005162C7" w:rsidRPr="00CF470B" w:rsidRDefault="005162C7" w:rsidP="005162C7">
      <w:pPr>
        <w:rPr>
          <w:b/>
          <w:bCs/>
          <w:color w:val="000000" w:themeColor="text1"/>
          <w:sz w:val="24"/>
          <w:szCs w:val="24"/>
        </w:rPr>
      </w:pPr>
      <w:r w:rsidRPr="00316160">
        <w:rPr>
          <w:sz w:val="24"/>
          <w:szCs w:val="24"/>
        </w:rPr>
        <w:t>   </w:t>
      </w:r>
      <w:r w:rsidRPr="00CF470B">
        <w:rPr>
          <w:b/>
          <w:bCs/>
          <w:color w:val="000000" w:themeColor="text1"/>
          <w:sz w:val="24"/>
          <w:szCs w:val="24"/>
        </w:rPr>
        <w:t>e-bis) all'articolo 230, il comma 5 è sostituito dal seguente:</w:t>
      </w:r>
    </w:p>
    <w:p w14:paraId="45D11389" w14:textId="27936D22" w:rsidR="005162C7" w:rsidRPr="00EF5B01" w:rsidRDefault="005162C7" w:rsidP="005162C7">
      <w:pPr>
        <w:rPr>
          <w:rFonts w:asciiTheme="minorHAnsi" w:eastAsia="Times New Roman" w:hAnsiTheme="minorHAnsi" w:cs="Times New Roman"/>
          <w:bCs/>
          <w:iCs/>
          <w:color w:val="000000" w:themeColor="text1"/>
          <w:sz w:val="24"/>
          <w:szCs w:val="24"/>
        </w:rPr>
      </w:pPr>
      <w:r w:rsidRPr="00CF470B">
        <w:rPr>
          <w:b/>
          <w:bCs/>
          <w:color w:val="000000" w:themeColor="text1"/>
          <w:sz w:val="24"/>
          <w:szCs w:val="24"/>
        </w:rPr>
        <w:t xml:space="preserve">   «5. I rifiuti provenienti dalle attività di pulizia manutentiva delle reti fognarie di qualsiasi tipologia, sia pubbliche che asservite ad edifici privati, compresi le fosse settiche e manufatti analoghi, nonché i sistemi individuali di cui all'articolo 100, comma 3, e i bagni mobili, si considerano prodotti dal soggetto che svolge l'attività di pulizia manutentiva. La raccolta e il trasporto sono accompagnati da un unico documento di trasporto per automezzo e percorso di raccolta, il cui modello è adottato con delibera dell'Albo nazionale gestori ambientali entro sessanta giorni dalla data di entrata in vigore della presente disposizione. Tali rifiuti possono essere conferiti direttamente a impianti di smaltimento o di recupero o, in alternativa, essere raggruppati temporaneamente presso la sede o unità locale del soggetto che svolge l'attività di pulizia manutentiva nel rispetto delle condizioni di cui all'articolo 183, comma 1, lettera </w:t>
      </w:r>
      <w:proofErr w:type="spellStart"/>
      <w:r w:rsidRPr="00CF470B">
        <w:rPr>
          <w:b/>
          <w:bCs/>
          <w:color w:val="000000" w:themeColor="text1"/>
          <w:sz w:val="24"/>
          <w:szCs w:val="24"/>
        </w:rPr>
        <w:t>bb</w:t>
      </w:r>
      <w:proofErr w:type="spellEnd"/>
      <w:r w:rsidRPr="00CF470B">
        <w:rPr>
          <w:b/>
          <w:bCs/>
          <w:color w:val="000000" w:themeColor="text1"/>
          <w:sz w:val="24"/>
          <w:szCs w:val="24"/>
        </w:rPr>
        <w:t xml:space="preserve">). Il soggetto che svolge l'attività di pulizia manutentiva è comunque tenuto all'iscrizione all'Albo nazionale gestori ambientali, ai sensi </w:t>
      </w:r>
      <w:r w:rsidRPr="00CF470B">
        <w:rPr>
          <w:b/>
          <w:bCs/>
          <w:color w:val="000000" w:themeColor="text1"/>
          <w:sz w:val="24"/>
          <w:szCs w:val="24"/>
        </w:rPr>
        <w:lastRenderedPageBreak/>
        <w:t>dell'articolo 212, comma 5, del presente decreto per lo svolgimento delle attività di raccolta e di trasporto di rifiuti e all'iscrizione all'Albo nazionale degli autotrasportatori di cose per conto di terzi di cui all'articolo 1 della legge 6 giugno 1974, n. 298».</w:t>
      </w:r>
      <w:r>
        <w:rPr>
          <w:rStyle w:val="Rimandonotaapidipagina"/>
          <w:b/>
          <w:bCs/>
          <w:color w:val="000000" w:themeColor="text1"/>
          <w:sz w:val="24"/>
          <w:szCs w:val="24"/>
        </w:rPr>
        <w:footnoteReference w:id="44"/>
      </w:r>
    </w:p>
    <w:p w14:paraId="262D677D" w14:textId="4847577F"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258, comma 7, le parole «, comma 3,» sono sostituite dalle seguenti: «, comma 5,»;</w:t>
      </w:r>
    </w:p>
    <w:p w14:paraId="36E7DF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206-bis, comma 1:</w:t>
      </w:r>
    </w:p>
    <w:p w14:paraId="787081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2C69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lettera a) sono aggiunte, in fine, le seguenti parole: «anche tramite audit nei confronti dei sistemi di gestione dei rifiuti di cui ai Titoli I, II e III della parte quarta del presente decreto»;</w:t>
      </w:r>
    </w:p>
    <w:p w14:paraId="35C9B3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0AAF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lettera b) le parole da «permanente di criteri e specifici» a «quadro di riferimento» sono sostituite dalle seguenti: «periodico di misure» e le parole da «efficacia, efficienza e qualità» a «smaltimento dei rifiuti;» sono sostituite dalle seguenti: «la qualità e la riciclabilità, al fine di promuovere la diffusione delle buone pratiche e delle migliori tecniche disponibili per la prevenzione, la preparazione al riutilizzo, il riutilizzo, i sistemi di restituzione, le raccolte differenziate, il riciclo e lo smaltimento dei rifiuti;»;</w:t>
      </w:r>
    </w:p>
    <w:p w14:paraId="330348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F22B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lettere c), d), e), f), g), g-bis), g-ter), g-quater) e g-quinquies) sono sostituite dalle seguenti:</w:t>
      </w:r>
    </w:p>
    <w:p w14:paraId="286C18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E761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analizza le relazioni annuali dei sistemi di gestione dei rifiuti di cui al Titolo II e al Titolo III della parte quarta del presente decreto, verificando le misure adottate e il raggiungimento degli obiettivi, rispetto ai target stabiliti dall'Unione europea e dalla normativa nazionale di settore, al fine di accertare il rispetto della responsabilità estesa del produttore da parte dei produttori e degli importatori di beni;</w:t>
      </w:r>
    </w:p>
    <w:p w14:paraId="288A4F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19DD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provvede al riconoscimento dei sistemi autonomi di cui al Titolo II e al Titolo III della parte quarta del presente decreto;</w:t>
      </w:r>
    </w:p>
    <w:p w14:paraId="444935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A63A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controlla il raggiungimento degli obiettivi previsti negli accordi di programma ai sensi dell'articolo 219-bis e ne monitora l'attuazione;</w:t>
      </w:r>
    </w:p>
    <w:p w14:paraId="4F11FC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1C30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   f) verifica l'attuazione del Programma generale di prevenzione di cui all'articolo 225 e, qualora il Consorzio nazionale imballaggi non provveda nei termini previsti, predispone lo stesso;</w:t>
      </w:r>
    </w:p>
    <w:p w14:paraId="547875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4319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effettua il monitoraggio dell'attuazione del Programma Nazionale di prevenzione dei rifiuti di cui all'articolo 180;</w:t>
      </w:r>
    </w:p>
    <w:p w14:paraId="252FE2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0DE51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verifica il funzionamento dei sistemi istituiti ai sensi degli articoli 178-bis e 178-ter, in relazione agli obblighi derivanti dalla responsabilità estesa del produttore e al raggiungimento degli obiettivi stabiliti dall'Unione europea in materia di rifiuti.»;</w:t>
      </w:r>
    </w:p>
    <w:p w14:paraId="651B2C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880A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6, primo periodo, le parole «235,» sono soppresse e dopo le parole «degli articoli 227 e 228» sono aggiunte le seguenti: «, e i sistemi di cui agli articoli 178-bis e 178-ter»;</w:t>
      </w:r>
    </w:p>
    <w:p w14:paraId="4227DE2D" w14:textId="77777777" w:rsidR="005162C7" w:rsidRPr="00CF470B" w:rsidRDefault="005162C7" w:rsidP="005162C7">
      <w:pPr>
        <w:jc w:val="both"/>
        <w:rPr>
          <w:b/>
          <w:bCs/>
          <w:color w:val="000000" w:themeColor="text1"/>
          <w:sz w:val="24"/>
          <w:szCs w:val="24"/>
        </w:rPr>
      </w:pPr>
      <w:r w:rsidRPr="00CF470B">
        <w:rPr>
          <w:b/>
          <w:bCs/>
          <w:color w:val="000000" w:themeColor="text1"/>
          <w:sz w:val="24"/>
          <w:szCs w:val="24"/>
        </w:rPr>
        <w:t>g-bis) all'articolo 208, comma 15, secondo periodo, le parole «almeno sessanta giorni» sono sostituite dalle seguenti: «almeno venti giorni»;</w:t>
      </w:r>
    </w:p>
    <w:p w14:paraId="0E8333B3" w14:textId="0B3B308B" w:rsidR="005162C7" w:rsidRPr="00CF470B" w:rsidRDefault="005162C7" w:rsidP="005162C7">
      <w:pPr>
        <w:jc w:val="both"/>
        <w:rPr>
          <w:b/>
          <w:bCs/>
          <w:color w:val="000000" w:themeColor="text1"/>
          <w:sz w:val="24"/>
          <w:szCs w:val="24"/>
        </w:rPr>
      </w:pPr>
      <w:r w:rsidRPr="00CF470B">
        <w:rPr>
          <w:b/>
          <w:bCs/>
          <w:color w:val="000000" w:themeColor="text1"/>
          <w:sz w:val="24"/>
          <w:szCs w:val="24"/>
        </w:rPr>
        <w:t xml:space="preserve">   g-ter) alla lettera </w:t>
      </w:r>
      <w:proofErr w:type="spellStart"/>
      <w:r w:rsidRPr="00CF470B">
        <w:rPr>
          <w:b/>
          <w:bCs/>
          <w:color w:val="000000" w:themeColor="text1"/>
          <w:sz w:val="24"/>
          <w:szCs w:val="24"/>
        </w:rPr>
        <w:t>zb</w:t>
      </w:r>
      <w:proofErr w:type="spellEnd"/>
      <w:r w:rsidRPr="00CF470B">
        <w:rPr>
          <w:b/>
          <w:bCs/>
          <w:color w:val="000000" w:themeColor="text1"/>
          <w:sz w:val="24"/>
          <w:szCs w:val="24"/>
        </w:rPr>
        <w:t>) del punto 7 dell'allegato IV alla parte seconda dopo le parole «di cui all'Allegato C, lettere da R1 a R9, della parte quarta del decreto legislativo 3 aprile 2006, n. 152», sono aggiunte le seguenti: «, ad esclusione degli impianti mobili volti al recupero di rifiuti non pericolosi provenienti dalle operazioni di costruzione e demolizione, qualora la campagna di attività abbia una durata inferiore a novanta giorni e degli altri impianti mobili di trattamento dei rifiuti non pericolosi, qualora la campagna di attività abbia una durata inferiore a trenta giorni. Le eventuali successive campagne di attività sul medesimo sito sono sottoposte alla procedura di verifica di assoggettabilità a VIA qualora le quantità siano superiori a 1.000 metri cubi al giorno».</w:t>
      </w:r>
      <w:r>
        <w:rPr>
          <w:rStyle w:val="Rimandonotaapidipagina"/>
          <w:b/>
          <w:bCs/>
          <w:color w:val="000000" w:themeColor="text1"/>
          <w:sz w:val="24"/>
          <w:szCs w:val="24"/>
        </w:rPr>
        <w:footnoteReference w:id="45"/>
      </w:r>
    </w:p>
    <w:p w14:paraId="23FCAB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43D8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   h) all'articolo 214-ter, comma 1, le parole «, mediante segnalazione certificata di inizio di attività ai sensi dell'articolo 19 della legge 7 agosto 1990, n. 241.» sono sostituite dalle seguenti: «, successivamente alla verifica e al controllo dei requisiti previsti dal decreto di cui al comma 2, effettuati dalle province ovvero dalle città metropolitane territorialmente competenti, secondo le modalità indicate all'articolo 216. Gli esiti delle procedure semplificate avviate per l'inizio delle operazioni di preparazione per il </w:t>
      </w:r>
      <w:r w:rsidRPr="00EF5B01">
        <w:rPr>
          <w:rFonts w:asciiTheme="minorHAnsi" w:eastAsia="Times New Roman" w:hAnsiTheme="minorHAnsi" w:cs="Times New Roman"/>
          <w:bCs/>
          <w:iCs/>
          <w:color w:val="000000" w:themeColor="text1"/>
          <w:sz w:val="24"/>
          <w:szCs w:val="24"/>
        </w:rPr>
        <w:lastRenderedPageBreak/>
        <w:t>riutilizzo sono comunicati dalle autorità competenti al Ministero della transizione ecologica. Le modalità e la tenuta dei dati oggetto delle suddette comunicazioni sono definite nel decreto di cui al comma 2.»;</w:t>
      </w:r>
    </w:p>
    <w:p w14:paraId="58C43D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8A25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l'articolo 216-ter è sostituito dal seguente:</w:t>
      </w:r>
    </w:p>
    <w:p w14:paraId="7DC84B8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0780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216-ter.</w:t>
      </w:r>
    </w:p>
    <w:p w14:paraId="22DF0F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(Comunicazioni alla Commissione europea)</w:t>
      </w:r>
    </w:p>
    <w:p w14:paraId="626B78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F366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 piani di gestione e i programmi di prevenzione di cui all'articolo 199, commi 1 e 3, lettera r), e le loro eventuali revisioni sostanziali, sono comunicati al Ministero della transizione ecologica, utilizzando il formato adottato in sede comunitaria, per la successiva trasmissione alla Commissione europea.</w:t>
      </w:r>
    </w:p>
    <w:p w14:paraId="47BBF3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comunica alla Commissione europea, per ogni anno civile, i dati relativi all'attuazione dell'articolo 181, comma 4. I dati sono raccolti e comunicati per via elettronica entro diciotto mesi dalla fine dell'anno a cui si riferiscono, secondo il formato di cui alla decisione di esecuzione (UE) 2019/1004 del 7 giugno 2019. Il primo periodo di comunicazione ha inizio il primo anno civile completo dopo l'adozione della suddetta decisione di esecuzione.</w:t>
      </w:r>
    </w:p>
    <w:p w14:paraId="107B7F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Ministero della transizione ecologica comunica alla Commissione europea, per ogni anno civile, i dati relativi all'attuazione dell'articolo 180, commi 5 e 6. I dati sono comunicati per via elettronica entro diciotto mesi dalla fine dell'anno per il quale sono raccolti e secondo il formato di cui alla decisione di esecuzione (UE) 2021/19 del 18 dicembre 2020 in materia di riutilizzo e alla decisione di esecuzione (UE) 2019/2000 del 28 novembre 2019 sui rifiuti alimentari. Il primo periodo di comunicazione ha inizio il primo anno civile completo dopo l'adozione delle suddette decisioni di esecuzione.</w:t>
      </w:r>
    </w:p>
    <w:p w14:paraId="6CC608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Ministero della transizione ecologica comunica alla Commissione europea, per ogni anno civile, i dati relativi agli olii industriali o lubrificanti, minerali o sintetici, immessi sul mercato nonché sulla raccolta e trattamento degli oli usati. I dati sono comunicati per via elettronica entro diciotto mesi dalla fine dell'anno per il quale sono raccolti e secondo il formato di cui all'allegato VI della decisione di esecuzione 2019/1004 (UE) del 7 giugno 2019. Il primo periodo di comunicazione ha inizio il primo anno civile completo dopo l'adozione della suddetta decisione di esecuzione.</w:t>
      </w:r>
    </w:p>
    <w:p w14:paraId="0435EE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 dati di cui ai commi 2, 3 e 4 sono corredati da una relazione di controllo della qualità secondo il formato per la comunicazione stabilito dagli allegati alle rispettive decisioni di esecuzione, nonché da una relazione sulle misure adottate per il raggiungimento degli obiettivi di cui agli articoli 205-bis e 182-ter, che comprende informazioni dettagliate sui tassi di scarto medio. Tali informazioni sono comunicate secondo il formato per la comunicazione stabilito dagli allegati alle rispettive decisioni di esecuzione.</w:t>
      </w:r>
    </w:p>
    <w:p w14:paraId="24090B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La parte quarta del presente decreto nonché i provvedimenti inerenti </w:t>
      </w:r>
      <w:proofErr w:type="gramStart"/>
      <w:r w:rsidRPr="00EF5B01">
        <w:rPr>
          <w:rFonts w:asciiTheme="minorHAnsi" w:eastAsia="Times New Roman" w:hAnsiTheme="minorHAnsi" w:cs="Times New Roman"/>
          <w:bCs/>
          <w:iCs/>
          <w:color w:val="000000" w:themeColor="text1"/>
          <w:sz w:val="24"/>
          <w:szCs w:val="24"/>
        </w:rPr>
        <w:t>la</w:t>
      </w:r>
      <w:proofErr w:type="gramEnd"/>
      <w:r w:rsidRPr="00EF5B01">
        <w:rPr>
          <w:rFonts w:asciiTheme="minorHAnsi" w:eastAsia="Times New Roman" w:hAnsiTheme="minorHAnsi" w:cs="Times New Roman"/>
          <w:bCs/>
          <w:iCs/>
          <w:color w:val="000000" w:themeColor="text1"/>
          <w:sz w:val="24"/>
          <w:szCs w:val="24"/>
        </w:rPr>
        <w:t xml:space="preserve"> gestione dei rifiuti, sono comunicati alla Commissione europea.»;</w:t>
      </w:r>
    </w:p>
    <w:p w14:paraId="09F95B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4B05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all'articolo 221, il comma 6 è sostituito dal seguente:</w:t>
      </w:r>
    </w:p>
    <w:p w14:paraId="5F20C9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E837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 produttori che hanno ottenuto il riconoscimento del sistema sono tenuti a presentare annualmente al Ministero della Transizione ecologica e al CONAI la documentazione di cui all'articolo 237, comma 6. Il programma pluriennale di prevenzione della produzione di rifiuti di imballaggio e il piano specifico di prevenzione e gestione relativo all'anno solare successivo, sono inseriti nel programma generale di prevenzione e gestione di cui all'articolo 225.»;</w:t>
      </w:r>
    </w:p>
    <w:p w14:paraId="72A5C2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3001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   m) l'allegato D – Elenco dei rifiuti. Classificazione dei rifiuti, della Parte quarta è sostituto dall'allegato III al presente decreto.</w:t>
      </w:r>
    </w:p>
    <w:p w14:paraId="38BB436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1565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interventi di sostituzione dei combustibili tradizionali con CSS-combustibile conforme ai requisiti di cui all'articolo 13 del decreto del Ministro dell'ambiente e della tutela del territorio e del mare 14 febbraio 2013, n. 22, in impianti o installazioni già autorizzati allo svolgimento delle operazioni R1, che non comportino un incremento della capacità produttiva autorizzata, nel rispetto dei limiti di emissione per coincenerimento dei rifiuti, non costituiscono una modifica sostanziale ai sensi dell'articolo 5, comma 1, lettera l-bis), del decreto legislativo 3 aprile 2006, n. 152, e dell'articolo 2, comma 1, lettera g), del decreto del Presidente della Repubblica del 13 marzo 2013, n. 59, o variante sostanziale ai sensi degli articoli 208, comma 19, e 214, 214-bis, 214-ter, 215 e 216 del decreto legislativo n. 152 del 2006, e richiedono la sola comunicazione dell'intervento di modifica da inoltrarsi, unitamente alla presentazione della documentazione tecnica descrittiva dell'intervento, all'autorità competente. Nel caso in cui quest'ultima non si esprima entro quarantacinque giorni 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66E71AE9" w14:textId="6C9C9FCF"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Gli interventi di sostituzione dei combustibili tradizionali con CSS-combustibile conforme ai requisiti di cui all'articolo 13 del decreto del Ministro dell'ambiente e della tutela del territorio e del mare n. 22 del 2013 in impianti o installazioni non autorizzati allo svolgimento delle operazioni R1, che non comportino un incremento della capacità produttiva autorizzata, non costituiscono una modifica sostanziale ai sensi dell'articolo 5, comma 1, lettera l-bis), del decreto legislativo n. 152 del 2006 e dell'articolo 2, comma 1, lettera g), del decreto del Presidente della Repubblica n. 59 del 2013, o variante sostanziale ai sensi degli articoli 208, comma 19, e 214, 214-bis, 214-ter, 215 e 216 del decreto legislativo n. 152 del 2006 e richiedono il solo aggiornamento del titolo autorizzatorio, nel rispetto dei limiti di emissione per coincenerimento dei rifiuti, da comunicare all'autorità competente quarantacinque giorni prima dell'avvio della modifica. Nel caso in cui quest'ultima non si esprima entro quarantacinque giorni </w:t>
      </w:r>
      <w:r w:rsidRPr="00EF5B01">
        <w:rPr>
          <w:rFonts w:asciiTheme="minorHAnsi" w:eastAsia="Times New Roman" w:hAnsiTheme="minorHAnsi" w:cs="Times New Roman"/>
          <w:bCs/>
          <w:iCs/>
          <w:color w:val="000000" w:themeColor="text1"/>
          <w:sz w:val="24"/>
          <w:szCs w:val="24"/>
        </w:rPr>
        <w:lastRenderedPageBreak/>
        <w:t>dalla comunicazione, il soggetto proponente può procedere all'avvio della modifica. L'autorità competente se rileva che la modifica comunicata sia una modifica sostanziale che presuppone il rilascio di un titolo autorizzativo, nei trenta giorni successivi alla comunicazione medesima, ordina al gestore di presentare una domanda di nuova autorizzazione. La modifica comunicata non può essere eseguita fino al rilascio della nuova autorizzazione.</w:t>
      </w:r>
    </w:p>
    <w:p w14:paraId="0C8FE508" w14:textId="77777777" w:rsidR="005162C7" w:rsidRPr="00CF470B" w:rsidRDefault="005162C7" w:rsidP="005162C7">
      <w:pPr>
        <w:jc w:val="both"/>
        <w:rPr>
          <w:b/>
          <w:bCs/>
          <w:color w:val="000000" w:themeColor="text1"/>
          <w:sz w:val="24"/>
          <w:szCs w:val="24"/>
        </w:rPr>
      </w:pPr>
      <w:r w:rsidRPr="00316160">
        <w:rPr>
          <w:sz w:val="24"/>
          <w:szCs w:val="24"/>
        </w:rPr>
        <w:t>  </w:t>
      </w:r>
      <w:r w:rsidRPr="00CF470B">
        <w:rPr>
          <w:b/>
          <w:bCs/>
          <w:color w:val="000000" w:themeColor="text1"/>
          <w:sz w:val="24"/>
          <w:szCs w:val="24"/>
        </w:rPr>
        <w:t>3-bis. Il comma 14 dell'articolo 52 della legge 28 dicembre 2001, n. 448, è sostituito dal seguente:</w:t>
      </w:r>
    </w:p>
    <w:p w14:paraId="07520D1F" w14:textId="7569C48C" w:rsidR="005162C7" w:rsidRPr="00CF470B" w:rsidRDefault="005162C7" w:rsidP="005162C7">
      <w:pPr>
        <w:jc w:val="both"/>
        <w:rPr>
          <w:b/>
          <w:bCs/>
          <w:color w:val="000000" w:themeColor="text1"/>
          <w:sz w:val="24"/>
          <w:szCs w:val="24"/>
        </w:rPr>
      </w:pPr>
      <w:r w:rsidRPr="00CF470B">
        <w:rPr>
          <w:b/>
          <w:bCs/>
          <w:color w:val="000000" w:themeColor="text1"/>
          <w:sz w:val="24"/>
          <w:szCs w:val="24"/>
        </w:rPr>
        <w:t>   «14. Per finalità di tutela ambientale le amministrazioni dello Stato, delle regioni e degli enti locali e i gestori di servizi pubblici e di servizi di pubblica utilità, pubblici e privati, nell'acquisto di pneumatici di ricambio per le loro flotte di autovetture e di autoveicoli commerciali e industriali, riservano una quota all'acquisto di pneumatici ricostruiti, pari ad almeno il 30 per cento del totale. Se alla procedura d'acquisto di due o più pneumatici di ricambio di cui al primo periodo non è riservata una quota di pneumatici ricostruiti che rappresenti almeno il 30 per cento del numero complessivo di pneumatici da acquistare, la procedura è annullata per la parte riservata all'acquisto di pneumatici ricostruiti. Le disposizioni del presente comma non si applicano agli acquisti di pneumatici riguardanti i veicoli di emergenza, i veicoli in uso al Ministero della difesa e i veicoli delle Forze di polizia».</w:t>
      </w:r>
      <w:r>
        <w:rPr>
          <w:rStyle w:val="Rimandonotaapidipagina"/>
          <w:b/>
          <w:bCs/>
          <w:color w:val="000000" w:themeColor="text1"/>
          <w:sz w:val="24"/>
          <w:szCs w:val="24"/>
        </w:rPr>
        <w:footnoteReference w:id="46"/>
      </w:r>
    </w:p>
    <w:p w14:paraId="4B003A4F" w14:textId="76D2260A"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Ministero della transizione ecologica provvede all'attuazione delle disposizioni del presente articolo con le risorse umane, strumentali e finanziarie disponibili a legislazione vigente, senza nuovi o maggiori oneri a carico della finanza pubblica.</w:t>
      </w:r>
    </w:p>
    <w:p w14:paraId="770A4ECE" w14:textId="617E3ABB" w:rsidR="005162C7" w:rsidRDefault="005162C7"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74E34A" w14:textId="77777777" w:rsidR="005162C7" w:rsidRPr="005162C7" w:rsidRDefault="005162C7" w:rsidP="005162C7">
      <w:pPr>
        <w:jc w:val="center"/>
        <w:rPr>
          <w:b/>
          <w:bCs/>
          <w:color w:val="000000" w:themeColor="text1"/>
          <w:sz w:val="24"/>
          <w:szCs w:val="24"/>
        </w:rPr>
      </w:pPr>
      <w:r w:rsidRPr="005162C7">
        <w:rPr>
          <w:b/>
          <w:bCs/>
          <w:color w:val="000000" w:themeColor="text1"/>
          <w:sz w:val="24"/>
          <w:szCs w:val="24"/>
        </w:rPr>
        <w:t>Art. 35-bis.</w:t>
      </w:r>
    </w:p>
    <w:p w14:paraId="6F404E18" w14:textId="77777777" w:rsidR="005162C7" w:rsidRPr="005162C7" w:rsidRDefault="005162C7" w:rsidP="005162C7">
      <w:pPr>
        <w:jc w:val="center"/>
        <w:rPr>
          <w:b/>
          <w:bCs/>
          <w:color w:val="000000" w:themeColor="text1"/>
          <w:sz w:val="24"/>
          <w:szCs w:val="24"/>
        </w:rPr>
      </w:pPr>
      <w:r w:rsidRPr="005162C7">
        <w:rPr>
          <w:b/>
          <w:bCs/>
          <w:color w:val="000000" w:themeColor="text1"/>
          <w:sz w:val="24"/>
          <w:szCs w:val="24"/>
        </w:rPr>
        <w:t>(Misure di semplificazione e di promozione dell'economia circolare nella filiera foresta-legno)</w:t>
      </w:r>
    </w:p>
    <w:p w14:paraId="1100E21D" w14:textId="77777777" w:rsidR="005162C7" w:rsidRPr="005162C7" w:rsidRDefault="005162C7" w:rsidP="005162C7">
      <w:pPr>
        <w:jc w:val="both"/>
        <w:rPr>
          <w:b/>
          <w:bCs/>
          <w:color w:val="000000" w:themeColor="text1"/>
          <w:sz w:val="24"/>
          <w:szCs w:val="24"/>
        </w:rPr>
      </w:pPr>
    </w:p>
    <w:p w14:paraId="69EF1B85"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  1. Al fine di introdurre misure di semplificazione e di promozione dell'economia circolare nella filiera foresta-legno, attese la specificità e la multifunzionalità della filiera nonché l'opportunità di un suo rilancio, dopo il comma 4-quinquies dell'articolo 3 del decreto-legge 10 febbraio 2009, n. 5, convertito, con modificazioni, dalla legge 9 aprile 2009, n. 33, sono inseriti i seguenti:</w:t>
      </w:r>
    </w:p>
    <w:p w14:paraId="14FFA4DF"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xml:space="preserve">   «4-quinquies.1. È promossa la stipulazione di accordi di foresta nel territorio nazionale, quali strumenti per lo sviluppo di reti di imprese nel settore forestale, al fine di valorizzare le superfici </w:t>
      </w:r>
      <w:r w:rsidRPr="005162C7">
        <w:rPr>
          <w:b/>
          <w:bCs/>
          <w:color w:val="000000" w:themeColor="text1"/>
          <w:sz w:val="24"/>
          <w:szCs w:val="24"/>
        </w:rPr>
        <w:lastRenderedPageBreak/>
        <w:t>pubbliche e private a vocazione agro-</w:t>
      </w:r>
      <w:proofErr w:type="spellStart"/>
      <w:r w:rsidRPr="005162C7">
        <w:rPr>
          <w:b/>
          <w:bCs/>
          <w:color w:val="000000" w:themeColor="text1"/>
          <w:sz w:val="24"/>
          <w:szCs w:val="24"/>
        </w:rPr>
        <w:t>silvo</w:t>
      </w:r>
      <w:proofErr w:type="spellEnd"/>
      <w:r w:rsidRPr="005162C7">
        <w:rPr>
          <w:b/>
          <w:bCs/>
          <w:color w:val="000000" w:themeColor="text1"/>
          <w:sz w:val="24"/>
          <w:szCs w:val="24"/>
        </w:rPr>
        <w:t>-pastorale, nonché per la conservazione e per l'erogazione dei servizi ecosistemici forniti dai boschi.</w:t>
      </w:r>
    </w:p>
    <w:p w14:paraId="2E64B38A"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   4-quinquies.2. Gli accordi di foresta di cui al comma 4-quinquies.1 sono stipulati tra due o più soggetti, singoli o associati, di cui almeno la metà deve essere titolare del diritto di proprietà o di un altro diritto reale o personale di godimento su beni agro-</w:t>
      </w:r>
      <w:proofErr w:type="spellStart"/>
      <w:r w:rsidRPr="005162C7">
        <w:rPr>
          <w:b/>
          <w:bCs/>
          <w:color w:val="000000" w:themeColor="text1"/>
          <w:sz w:val="24"/>
          <w:szCs w:val="24"/>
        </w:rPr>
        <w:t>silvo</w:t>
      </w:r>
      <w:proofErr w:type="spellEnd"/>
      <w:r w:rsidRPr="005162C7">
        <w:rPr>
          <w:b/>
          <w:bCs/>
          <w:color w:val="000000" w:themeColor="text1"/>
          <w:sz w:val="24"/>
          <w:szCs w:val="24"/>
        </w:rPr>
        <w:t>-pastorali o almeno un contraente deve rappresentare, in forma consortile o associativa o ad altro titolo, soggetti titolari dei diritti di proprietà o di un altro diritto reale o personale di godimento su beni agro-</w:t>
      </w:r>
      <w:proofErr w:type="spellStart"/>
      <w:r w:rsidRPr="005162C7">
        <w:rPr>
          <w:b/>
          <w:bCs/>
          <w:color w:val="000000" w:themeColor="text1"/>
          <w:sz w:val="24"/>
          <w:szCs w:val="24"/>
        </w:rPr>
        <w:t>silvo</w:t>
      </w:r>
      <w:proofErr w:type="spellEnd"/>
      <w:r w:rsidRPr="005162C7">
        <w:rPr>
          <w:b/>
          <w:bCs/>
          <w:color w:val="000000" w:themeColor="text1"/>
          <w:sz w:val="24"/>
          <w:szCs w:val="24"/>
        </w:rPr>
        <w:t>-pastorali.</w:t>
      </w:r>
    </w:p>
    <w:p w14:paraId="68487545"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   4-quinquies.3. Gli accordi di foresta, allo scopo di valorizzare superfici private e pubbliche a vocazione agro-</w:t>
      </w:r>
      <w:proofErr w:type="spellStart"/>
      <w:r w:rsidRPr="005162C7">
        <w:rPr>
          <w:b/>
          <w:bCs/>
          <w:color w:val="000000" w:themeColor="text1"/>
          <w:sz w:val="24"/>
          <w:szCs w:val="24"/>
        </w:rPr>
        <w:t>silvo</w:t>
      </w:r>
      <w:proofErr w:type="spellEnd"/>
      <w:r w:rsidRPr="005162C7">
        <w:rPr>
          <w:b/>
          <w:bCs/>
          <w:color w:val="000000" w:themeColor="text1"/>
          <w:sz w:val="24"/>
          <w:szCs w:val="24"/>
        </w:rPr>
        <w:t>-pastorale nonché di assicurare la conservazione e l'erogazione dei servizi ecosistemici, nel rispetto della biodiversità e dei paesaggi forestali, possono:</w:t>
      </w:r>
    </w:p>
    <w:p w14:paraId="3EC7C47D"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   a) individuare e mettere in atto le migliori soluzioni tecniche ed economiche in funzione degli obiettivi condivisi e sottoscritti dai contraenti con gli accordi medesimi;</w:t>
      </w:r>
    </w:p>
    <w:p w14:paraId="10C9C2E2"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   b) promuovere la gestione associata e sostenibile delle proprietà agro-</w:t>
      </w:r>
      <w:proofErr w:type="spellStart"/>
      <w:r w:rsidRPr="005162C7">
        <w:rPr>
          <w:b/>
          <w:bCs/>
          <w:color w:val="000000" w:themeColor="text1"/>
          <w:sz w:val="24"/>
          <w:szCs w:val="24"/>
        </w:rPr>
        <w:t>silvo</w:t>
      </w:r>
      <w:proofErr w:type="spellEnd"/>
      <w:r w:rsidRPr="005162C7">
        <w:rPr>
          <w:b/>
          <w:bCs/>
          <w:color w:val="000000" w:themeColor="text1"/>
          <w:sz w:val="24"/>
          <w:szCs w:val="24"/>
        </w:rPr>
        <w:t>-pastorali per il recupero funzionale e produttivo delle proprietà fondiarie pubbliche e private, singole e associate, nonché dei terreni di cui alle lettere g) e h) del comma 2 dell'articolo 3 del testo unico in materia di foreste e filiere forestali, di cui al decreto legislativo 3 aprile 2018, n. 34;</w:t>
      </w:r>
    </w:p>
    <w:p w14:paraId="274618EB"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   c) prevedere la realizzazione di interventi volti alla riduzione dei rischi naturali, del rischio idrogeologico e di incendio boschivo;</w:t>
      </w:r>
    </w:p>
    <w:p w14:paraId="4736A76B"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   d) prevedere la realizzazione di interventi e di progetti volti allo sviluppo di filiere forestali e alla valorizzazione ambientale e socio-culturale dei contesti in cui operano,</w:t>
      </w:r>
    </w:p>
    <w:p w14:paraId="16C1889E" w14:textId="77777777" w:rsidR="005162C7" w:rsidRPr="005162C7" w:rsidRDefault="005162C7" w:rsidP="005162C7">
      <w:pPr>
        <w:jc w:val="both"/>
        <w:rPr>
          <w:b/>
          <w:bCs/>
          <w:color w:val="000000" w:themeColor="text1"/>
          <w:sz w:val="24"/>
          <w:szCs w:val="24"/>
        </w:rPr>
      </w:pPr>
      <w:r w:rsidRPr="005162C7">
        <w:rPr>
          <w:b/>
          <w:bCs/>
          <w:color w:val="000000" w:themeColor="text1"/>
          <w:sz w:val="24"/>
          <w:szCs w:val="24"/>
        </w:rPr>
        <w:t>   e) promuovere sinergie tra coloro che operano nelle aree interne sia in qualità di proprietari o di titolari di altri diritti reali o personali sulle superfici agro-</w:t>
      </w:r>
      <w:proofErr w:type="spellStart"/>
      <w:r w:rsidRPr="005162C7">
        <w:rPr>
          <w:b/>
          <w:bCs/>
          <w:color w:val="000000" w:themeColor="text1"/>
          <w:sz w:val="24"/>
          <w:szCs w:val="24"/>
        </w:rPr>
        <w:t>silvo</w:t>
      </w:r>
      <w:proofErr w:type="spellEnd"/>
      <w:r w:rsidRPr="005162C7">
        <w:rPr>
          <w:b/>
          <w:bCs/>
          <w:color w:val="000000" w:themeColor="text1"/>
          <w:sz w:val="24"/>
          <w:szCs w:val="24"/>
        </w:rPr>
        <w:t>-pastorali sia in qualità di esercenti attività di gestione forestale e di carattere ambientale, educativo, sportivo, ricreativo, turistico o culturale. A tale fine i soggetti di cui al comma 4-sexies stipulano contratti di rete secondo le disposizioni del comma 4-quater.</w:t>
      </w:r>
    </w:p>
    <w:p w14:paraId="19A2D996" w14:textId="1DEB9477" w:rsidR="005162C7" w:rsidRPr="005162C7" w:rsidRDefault="005162C7" w:rsidP="005162C7">
      <w:pPr>
        <w:jc w:val="both"/>
        <w:rPr>
          <w:b/>
          <w:bCs/>
          <w:color w:val="000000" w:themeColor="text1"/>
          <w:sz w:val="24"/>
          <w:szCs w:val="24"/>
        </w:rPr>
      </w:pPr>
      <w:r w:rsidRPr="005162C7">
        <w:rPr>
          <w:b/>
          <w:bCs/>
          <w:color w:val="000000" w:themeColor="text1"/>
          <w:sz w:val="24"/>
          <w:szCs w:val="24"/>
        </w:rPr>
        <w:lastRenderedPageBreak/>
        <w:t>   4-quinquies.4. Fatto salvo quanto previsto dai commi 4-quinquies.1 e 4-quinquies.2, gli accordi di foresta sono equiparati alle reti di impresa agricole. Le regioni promuovono ogni idonea iniziativa finalizzata alla loro diffusione e attuazione».</w:t>
      </w:r>
      <w:r>
        <w:rPr>
          <w:rStyle w:val="Rimandonotaapidipagina"/>
          <w:b/>
          <w:bCs/>
          <w:color w:val="000000" w:themeColor="text1"/>
          <w:sz w:val="24"/>
          <w:szCs w:val="24"/>
        </w:rPr>
        <w:footnoteReference w:id="47"/>
      </w:r>
    </w:p>
    <w:p w14:paraId="42A0088D" w14:textId="77777777" w:rsidR="005162C7" w:rsidRPr="00EF5B01" w:rsidRDefault="005162C7"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C9B5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3670F4"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36.</w:t>
      </w:r>
    </w:p>
    <w:p w14:paraId="169822CD" w14:textId="77777777" w:rsidR="00EF5B01" w:rsidRPr="00EF5B01" w:rsidRDefault="00EF5B01" w:rsidP="003140B3">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economia montana e forestale)</w:t>
      </w:r>
    </w:p>
    <w:p w14:paraId="657BC42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20D0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Le attività di manutenzione straordinaria e ripristino delle opere di sistemazione idraulica forestale in aree montane e collinari ad alto rischio idrogeologico e di frana, sono esenti dall'autorizzazione idraulica di cui al regio decreto 25 luglio 1904 n. 523, recante «Testo unico delle disposizioni di legge intorno alle opere idrauliche delle diverse categorie», e dall'autorizzazione per il vincolo idrogeologico di cui al regio decreto 30 dicembre 1923, n. 3267, recante «Riordinamento e riforma della legislazione in materia di boschi e di terreni montani», e successive norme regionali di recepimento.</w:t>
      </w:r>
    </w:p>
    <w:p w14:paraId="7DDA72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Nei boschi e nelle foreste indicati dall'articolo 142, comma 1, lettera g), del decreto legislativo 22 gennaio 2004, n. 42, non è richiesta l'autorizzazione paesaggistica per gli interventi di manutenzione e ripristino delle opere di sistemazione idraulica forestale in aree montane e collinari ad alto rischio idrogeologico e di frana, che non alterino lo stato dei luoghi e siano condotti secondo i criteri e le metodologie dell'ingegneria naturalistica.</w:t>
      </w:r>
    </w:p>
    <w:p w14:paraId="405F6C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Sono soggetti al procedimento di autorizzazione paesaggistica semplificata di cui al decreto del Presidente della Repubblica 13 febbraio 2017, n. 31, anche se interessano aree vincolate ai sensi dell'articolo 136 del decreto legislativo 22 gennaio 2004 n. 42, e nel rispetto di quanto previsto dal Piano Forestale di Indirizzo territoriale e dai Piani di Gestione Forestale o strumenti equivalenti di cui all'articolo 6 del decreto legislativo 2018 n. 34, ove adottati, i seguenti interventi ed opere di lieve entità:</w:t>
      </w:r>
    </w:p>
    <w:p w14:paraId="27D17E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E465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interventi </w:t>
      </w:r>
      <w:proofErr w:type="spellStart"/>
      <w:r w:rsidRPr="00EF5B01">
        <w:rPr>
          <w:rFonts w:asciiTheme="minorHAnsi" w:eastAsia="Times New Roman" w:hAnsiTheme="minorHAnsi" w:cs="Times New Roman"/>
          <w:bCs/>
          <w:iCs/>
          <w:color w:val="000000" w:themeColor="text1"/>
          <w:sz w:val="24"/>
          <w:szCs w:val="24"/>
        </w:rPr>
        <w:t>selvicolturali</w:t>
      </w:r>
      <w:proofErr w:type="spellEnd"/>
      <w:r w:rsidRPr="00EF5B01">
        <w:rPr>
          <w:rFonts w:asciiTheme="minorHAnsi" w:eastAsia="Times New Roman" w:hAnsiTheme="minorHAnsi" w:cs="Times New Roman"/>
          <w:bCs/>
          <w:iCs/>
          <w:color w:val="000000" w:themeColor="text1"/>
          <w:sz w:val="24"/>
          <w:szCs w:val="24"/>
        </w:rPr>
        <w:t xml:space="preserve"> di prevenzione dei rischi secondo un piano di tagli dettagliato;</w:t>
      </w:r>
    </w:p>
    <w:p w14:paraId="170BC9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3531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ricostituzione e restauro di aree forestali degradate o colpite da eventi climatici estremi attraverso interventi di riforestazione e sistemazione idraulica;</w:t>
      </w:r>
    </w:p>
    <w:p w14:paraId="25ACBF1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2C18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interventi di miglioramento delle caratteristiche di resistenza e resilienza ai cambiamenti climatici dei boschi.</w:t>
      </w:r>
    </w:p>
    <w:p w14:paraId="06106E5D" w14:textId="4E174E07" w:rsidR="005162C7" w:rsidRDefault="005162C7" w:rsidP="005162C7">
      <w:pPr>
        <w:rPr>
          <w:b/>
          <w:bCs/>
          <w:color w:val="000000" w:themeColor="text1"/>
          <w:sz w:val="24"/>
          <w:szCs w:val="24"/>
        </w:rPr>
      </w:pPr>
      <w:r w:rsidRPr="00CF470B">
        <w:rPr>
          <w:b/>
          <w:bCs/>
          <w:color w:val="000000" w:themeColor="text1"/>
          <w:sz w:val="24"/>
          <w:szCs w:val="24"/>
        </w:rPr>
        <w:t>3-bis. Si considerano compresi tra gli interventi di cui alla lettera A.15) dell'allegato A annesso al regolamento di cui al decreto del Presidente della Repubblica 13 febbraio 2017, n. 31 anche i cavi interrati per il trasporto dell'energia elettrica facenti parte della rete di trasmissione nazionale alle medesime condizioni previste per le reti di distribuzione locale.</w:t>
      </w:r>
      <w:r>
        <w:rPr>
          <w:rStyle w:val="Rimandonotaapidipagina"/>
          <w:b/>
          <w:bCs/>
          <w:color w:val="000000" w:themeColor="text1"/>
          <w:sz w:val="24"/>
          <w:szCs w:val="24"/>
        </w:rPr>
        <w:footnoteReference w:id="48"/>
      </w:r>
    </w:p>
    <w:p w14:paraId="37565FF4" w14:textId="3E42AB38" w:rsidR="00C745E5" w:rsidRDefault="00C745E5" w:rsidP="00C745E5">
      <w:pPr>
        <w:jc w:val="both"/>
        <w:rPr>
          <w:b/>
          <w:bCs/>
          <w:color w:val="000000" w:themeColor="text1"/>
          <w:sz w:val="24"/>
          <w:szCs w:val="24"/>
        </w:rPr>
      </w:pPr>
      <w:r w:rsidRPr="00345C0D">
        <w:rPr>
          <w:b/>
          <w:bCs/>
          <w:color w:val="000000" w:themeColor="text1"/>
          <w:sz w:val="24"/>
          <w:szCs w:val="24"/>
        </w:rPr>
        <w:t>3-bis. All'articolo 57, comma 2-octies, ultimo periodo, del decreto-legge 26 ottobre 2019, n. 124, convertito, con modificazioni, dalla legge 19 dicembre 2019, n. 157, le parole: «Con decreto del Ministro dell'economia e delle finanze» sono sostituite dalle seguenti: «Con decreto del Ministro per gli affari regionali e le autonomie, di concerto con il Ministro dell'economia e delle finanze, previa intesa con la Conferenza unificata di cui all'articolo 8 del decreto legislativo 28 agosto 1997, n. 281, sulla base dei dati relativi al gettito del sovracanone di cui all'articolo 1 della legge 27 dicembre 1953, n. 959, forniti dal Ministero della transizione ecologica».</w:t>
      </w:r>
      <w:r>
        <w:rPr>
          <w:rStyle w:val="Rimandonotaapidipagina"/>
          <w:b/>
          <w:bCs/>
          <w:color w:val="000000" w:themeColor="text1"/>
          <w:sz w:val="24"/>
          <w:szCs w:val="24"/>
        </w:rPr>
        <w:footnoteReference w:id="49"/>
      </w:r>
    </w:p>
    <w:p w14:paraId="46E1B967" w14:textId="77777777" w:rsidR="00C745E5" w:rsidRPr="00345C0D" w:rsidRDefault="00C745E5" w:rsidP="00C745E5">
      <w:pPr>
        <w:jc w:val="center"/>
        <w:rPr>
          <w:b/>
          <w:bCs/>
          <w:color w:val="000000" w:themeColor="text1"/>
          <w:sz w:val="24"/>
          <w:szCs w:val="24"/>
        </w:rPr>
      </w:pPr>
      <w:r w:rsidRPr="00345C0D">
        <w:rPr>
          <w:b/>
          <w:bCs/>
          <w:color w:val="000000" w:themeColor="text1"/>
          <w:sz w:val="24"/>
          <w:szCs w:val="24"/>
        </w:rPr>
        <w:t>Art. 36-bis.</w:t>
      </w:r>
    </w:p>
    <w:p w14:paraId="5C928A65" w14:textId="77777777" w:rsidR="00C745E5" w:rsidRPr="00345C0D" w:rsidRDefault="00C745E5" w:rsidP="00C745E5">
      <w:pPr>
        <w:jc w:val="center"/>
        <w:rPr>
          <w:b/>
          <w:bCs/>
          <w:color w:val="000000" w:themeColor="text1"/>
          <w:sz w:val="24"/>
          <w:szCs w:val="24"/>
        </w:rPr>
      </w:pPr>
      <w:r w:rsidRPr="00345C0D">
        <w:rPr>
          <w:b/>
          <w:bCs/>
          <w:color w:val="000000" w:themeColor="text1"/>
          <w:sz w:val="24"/>
          <w:szCs w:val="24"/>
        </w:rPr>
        <w:t>(Prevenzione e mitigazione del rischio idrogeologico e idraulico in Calabria)</w:t>
      </w:r>
    </w:p>
    <w:p w14:paraId="7CD426B2" w14:textId="77777777" w:rsidR="00C745E5" w:rsidRPr="00345C0D" w:rsidRDefault="00C745E5" w:rsidP="00C745E5">
      <w:pPr>
        <w:jc w:val="both"/>
        <w:rPr>
          <w:b/>
          <w:bCs/>
          <w:color w:val="000000" w:themeColor="text1"/>
          <w:sz w:val="24"/>
          <w:szCs w:val="24"/>
        </w:rPr>
      </w:pPr>
    </w:p>
    <w:p w14:paraId="71DD6AFB" w14:textId="77777777" w:rsidR="00C745E5" w:rsidRPr="00345C0D" w:rsidRDefault="00C745E5" w:rsidP="00C745E5">
      <w:pPr>
        <w:jc w:val="both"/>
        <w:rPr>
          <w:b/>
          <w:bCs/>
          <w:color w:val="000000" w:themeColor="text1"/>
          <w:sz w:val="24"/>
          <w:szCs w:val="24"/>
        </w:rPr>
      </w:pPr>
      <w:r w:rsidRPr="00345C0D">
        <w:rPr>
          <w:b/>
          <w:bCs/>
          <w:color w:val="000000" w:themeColor="text1"/>
          <w:sz w:val="24"/>
          <w:szCs w:val="24"/>
        </w:rPr>
        <w:t>  1. Per sostenere gli interventi della regione Calabria volti a prevenire e a mitigare il rischio idrogeologico e idraulico e</w:t>
      </w:r>
      <w:r>
        <w:rPr>
          <w:b/>
          <w:bCs/>
          <w:color w:val="000000" w:themeColor="text1"/>
          <w:sz w:val="24"/>
          <w:szCs w:val="24"/>
        </w:rPr>
        <w:t xml:space="preserve"> </w:t>
      </w:r>
      <w:r w:rsidRPr="00345C0D">
        <w:rPr>
          <w:b/>
          <w:bCs/>
          <w:color w:val="000000" w:themeColor="text1"/>
          <w:sz w:val="24"/>
          <w:szCs w:val="24"/>
        </w:rPr>
        <w:t>per contenere i danni causati da tali fenomeni, le somme iscritte sul capitolo 7499 dello stato di previsione del Ministero dell'economia e delle finanze, ai sensi dell'articolo 3 del decreto-legge 20 maggio 1993, n. 148, convertito, con modificazioni, dalla legge 19 luglio 1993, n. 236, sono incrementate di 40 milioni di euro per ciascuno degli anni 2021 e 2022.</w:t>
      </w:r>
    </w:p>
    <w:p w14:paraId="1EAF51CC" w14:textId="41F36D7A" w:rsidR="00C745E5" w:rsidRPr="00345C0D" w:rsidRDefault="00C745E5" w:rsidP="00C745E5">
      <w:pPr>
        <w:jc w:val="both"/>
        <w:rPr>
          <w:b/>
          <w:bCs/>
          <w:color w:val="000000" w:themeColor="text1"/>
          <w:sz w:val="24"/>
          <w:szCs w:val="24"/>
        </w:rPr>
      </w:pPr>
      <w:r w:rsidRPr="00345C0D">
        <w:rPr>
          <w:b/>
          <w:bCs/>
          <w:color w:val="000000" w:themeColor="text1"/>
          <w:sz w:val="24"/>
          <w:szCs w:val="24"/>
        </w:rPr>
        <w:lastRenderedPageBreak/>
        <w:t>  2. Agli oneri di cui al comma 1 del presente articolo si provvede mediante corrispondente riduzione del Fondo per lo sviluppo e la coesione di cui all'articolo 1, comma 178 e seguenti, della legge 30 dicembre 2020, n. 178, per ciascuno degli anni 2021 e 2022.</w:t>
      </w:r>
      <w:r>
        <w:rPr>
          <w:rStyle w:val="Rimandonotaapidipagina"/>
          <w:b/>
          <w:bCs/>
          <w:color w:val="000000" w:themeColor="text1"/>
          <w:sz w:val="24"/>
          <w:szCs w:val="24"/>
        </w:rPr>
        <w:footnoteReference w:id="50"/>
      </w:r>
    </w:p>
    <w:p w14:paraId="09C4CC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0A8E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37.</w:t>
      </w:r>
    </w:p>
    <w:p w14:paraId="0EBDA58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per la riconversione dei siti industriali)</w:t>
      </w:r>
    </w:p>
    <w:p w14:paraId="1C84EC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60F3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accelerare le procedure di bonifica dei siti contaminati e la riconversione di siti industriali da poter destinare alla realizzazione dei progetti individuati nel PNRR e finanziabili con gli ulteriori strumenti di finanziamento europei, al decreto legislativo 3 aprile 2006, n. 152, Parte quarta, Titolo V, sono apportate le seguenti modificazioni:</w:t>
      </w:r>
    </w:p>
    <w:p w14:paraId="4C69B5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6257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241 dopo il comma 1 è aggiunto il seguente:</w:t>
      </w:r>
    </w:p>
    <w:p w14:paraId="6DD377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A63F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In caso di aree con destinazione agricola secondo gli strumenti urbanistici ma non utilizzate, alla data di entrata in vigore della presente disposizione, da almeno dieci anni, per la produzione agricola e l'allevamento, si applicano le procedure del presente Titolo e le concentrazioni di soglia di contaminazione previste nella tabella 1, colonne A e B, dell'allegato 5, individuate tenuto conto delle attività effettivamente condotte all'interno delle aree. In assenza di attività commerciali e industriali si applica la colonna A. Le disposizioni del presente Titolo si applicano anche in tutti gli altri casi in cui non trova applicazione il regolamento di cui al comma 1.»;</w:t>
      </w:r>
    </w:p>
    <w:p w14:paraId="58EB15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B63A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242:</w:t>
      </w:r>
    </w:p>
    <w:p w14:paraId="62ED8E4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77B8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7, ultimo periodo, dopo le parole «indicando altresì le eventuali prescrizioni necessarie per l'esecuzione dei lavori» sono inserite le seguenti: «, le verifiche intermedie per la valutazione dell'efficacia delle tecnologie di bonifica adottate e le attività di verifica in corso d'opera necessarie per la certificazione di cui all'articolo 248, comma 2, con oneri a carico del proponente,»;</w:t>
      </w:r>
    </w:p>
    <w:p w14:paraId="61FCFC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61A7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 dopo il comma 7 è inserito il seguente:</w:t>
      </w:r>
    </w:p>
    <w:p w14:paraId="5A62C8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A7B8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   «7-bis. Qualora gli obiettivi individuati per la bonifica del suolo, sottosuolo e materiali di riporto siano raggiunti anticipatamente rispetto a quelli previsti per la falda, è possibile procedere alla certificazione di avvenuta bonifica di cui all'articolo 248 limitatamente alle predette matrici ambientali, anche a stralcio in relazione alle singole aree catastalmente individuate, fermo restando l'obbligo di raggiungere tutti gli obiettivi di bonifica su tutte le matrici interessate da contaminazione. In tal caso è necessario dimostrare e garantire nel tempo che le contaminazioni ancora presenti nelle acque sotterranee fino alla loro completa rimozione non comportino un rischio per i fruitori dell'area, né una modifica del modello concettuale tale da comportare un peggioramento della qualità ambientale per le altre matrici secondo le specifiche destinazioni d'uso. Le garanzie finanziarie di cui al comma 7 sono comunque prestate per l'intero intervento e sono svincolate solo al raggiungimento di tutti gli obiettivi di bonifica.»;</w:t>
      </w:r>
    </w:p>
    <w:p w14:paraId="2F4E9A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8198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13 il terzo e il quarto periodo sono soppressi;</w:t>
      </w:r>
    </w:p>
    <w:p w14:paraId="07B1C5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FEC0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242-ter:</w:t>
      </w:r>
    </w:p>
    <w:p w14:paraId="4D20B6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167D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«possono essere realizzati» sono aggiunte le seguenti: «i progetti del Piano nazionale di ripresa e resilienza,»;</w:t>
      </w:r>
    </w:p>
    <w:p w14:paraId="28E274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A5F9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comma 1 è inserito il seguente:</w:t>
      </w:r>
    </w:p>
    <w:p w14:paraId="046E6B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2E12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   «1-bis. Le disposizioni del presente articolo si applicano anche per la realizzazione di opere che non prevedono scavi ma comportano occupazione permanente di suolo, a condizione che il sito oggetto di bonifica sia già caratterizzato ai sensi dell'articolo 242.»;</w:t>
      </w:r>
    </w:p>
    <w:p w14:paraId="517FD8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9BD5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2, dopo le parole «di cui al comma 1» sono aggiunte le parole «e al comma 1-bis»;</w:t>
      </w:r>
    </w:p>
    <w:p w14:paraId="654C24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1041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3, dopo le parole «individuate al comma 1» sono aggiunte le parole «e al comma 1-bis»;</w:t>
      </w:r>
    </w:p>
    <w:p w14:paraId="4BB9DE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8B14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    5) dopo il comma 4 è aggiunto il seguente: «4-bis. Ai fini della definizione dei valori di fondo naturale si applica la procedura prevista dall'articolo 11 del decreto del Presidente della Repubblica 13 giugno 2017, n. 120.»;</w:t>
      </w:r>
    </w:p>
    <w:p w14:paraId="568BC5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2891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243:</w:t>
      </w:r>
    </w:p>
    <w:p w14:paraId="6E57D6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DB3E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dopo le parole «Il trattamento delle acque emunte» sono aggiunte le seguenti: «, da effettuarsi anche in caso di utilizzazione nei cicli produttivi in esercizio nel sito,»;</w:t>
      </w:r>
    </w:p>
    <w:p w14:paraId="0804CF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9884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6 è aggiunto in fine il seguente periodo: «Al fine di garantire la tempestività degli interventi di messa in sicurezza di emergenza e di prevenzione, i termini per il rilascio dell'autorizzazione allo scarico sono dimezzati.»;</w:t>
      </w:r>
    </w:p>
    <w:p w14:paraId="651DA5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74B0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245, al comma 2, dopo il secondo periodo è inserito il seguente: «Il procedimento è interrotto qualora il soggetto non responsabile della contaminazione esegua volontariamente il piano di caratterizzazione nel termine perentorio di sei mesi dall'approvazione o comunicazione ai sensi dell'articolo 252, comma 4. In tal caso, il procedimento per l'identificazione del responsabile della contaminazione deve concludersi nel termine perentorio di sessanta giorni dal ricevimento delle risultanze della caratterizzazione validate dall'Agenzia regionale per la protezione dell'ambiente competente.».;</w:t>
      </w:r>
    </w:p>
    <w:p w14:paraId="40939D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082E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248:</w:t>
      </w:r>
    </w:p>
    <w:p w14:paraId="26D9D1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574A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«sulla conformità degli interventi ai progetti approvati» sono aggiunte le seguenti: «e sul rispetto dei tempi di esecuzione di cui all'articolo 242, comma 7»;</w:t>
      </w:r>
    </w:p>
    <w:p w14:paraId="68DCEB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34BF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è aggiunto il seguente periodo: «Qualora la Provincia non provveda a rilasciare tale certificazione entro trenta giorni dal ricevimento della relazione tecnica provvede, nei successivi sessanta giorni, la Regione, previa diffida ad adempiere nel termine di trenta giorni.»;</w:t>
      </w:r>
    </w:p>
    <w:p w14:paraId="48A491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7D5E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2 è aggiunto il seguente:</w:t>
      </w:r>
    </w:p>
    <w:p w14:paraId="208DCF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4FAD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   «2-bis. Nel caso gli obiettivi individuati per la bonifica del suolo, sottosuolo e materiali di riporto siano raggiunti anticipatamente rispetto a quelli previsti per la falda, è possibile procedere alla certificazione di avvenuta bonifica limitatamente alle predette matrici ambientali, ad esito delle verifiche di cui alla procedura definita dal comma 7-bis dell'articolo 242. In tal caso, la certificazione di avvenuta bonifica dovrà comprendere anche un piano di monitoraggio con l'obiettivo di verificare l'evoluzione nel tempo della contaminazione rilevata nella falda.»;</w:t>
      </w:r>
    </w:p>
    <w:p w14:paraId="3AB869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B01C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250, dopo il comma 1 è aggiunto il seguente: «1-bis. Per favorire l'accelerazione degli interventi per la messa in sicurezza, bonifica e ripristino ambientale, le regioni, le province autonome e gli enti locali individuati quali soggetti beneficiari e/o attuatori, previa stipula di appositi accordi sottoscritti con il Ministero della transizione ecologica ai sensi dell'articolo 15 della legge 7 agosto 1990, n. 241, possono avvalersi, con le risorse umane, strumentali e finanziarie disponibili a legislazione vigente sui propri bilanci e senza nuovi o maggiori oneri a carico della finanza pubblica, attraverso la stipula di apposte convenzioni, delle società in house del medesimo Ministero.»;</w:t>
      </w:r>
    </w:p>
    <w:p w14:paraId="323FB8E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A428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252:</w:t>
      </w:r>
    </w:p>
    <w:p w14:paraId="21A2D5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E431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3 è aggiunto il seguente periodo: «I valori d'intervento sito-specifici delle matrici ambientali in aree marine, che costituiscono i livelli di contaminazione al di sopra dei quali devono essere previste misure d'intervento funzionali all'uso legittimo delle aree e proporzionali all'entità della contaminazione, sono individuati con decreto di natura non regolamentare del Ministero della transizione ecologica su proposta dell'Istituto Superiore per la Protezione e la Ricerca Ambientale (ISPRA).»;</w:t>
      </w:r>
    </w:p>
    <w:p w14:paraId="13511A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69C4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4, primo periodo, le parole «, sentito il Ministero delle attività produttive» sono sostituite dalle seguenti: «sentito il Ministero dello sviluppo economico»;</w:t>
      </w:r>
    </w:p>
    <w:p w14:paraId="5997B6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4264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 è aggiunto in fine il seguente periodo: «A condizione che siano rispettate le norme tecniche di cui al comma 9-quinquies, il piano di caratterizzazione può essere eseguito decorsi sessanta giorni dalla comunicazione di inizio attività al Sistema nazionale a rete per la protezione dell'ambiente. Qualora il Sistema nazionale a rete per la protezione dell'ambiente accerti il mancato rispetto delle norme tecniche di cui al precedente periodo, dispone, con provvedimento motivato, il divieto di inizio o di prosecuzione delle operazioni, salvo che il proponente non provveda a conformarsi entro il termine e secondo le prescrizioni stabiliti dal medesimo Sistema nazionale.»;</w:t>
      </w:r>
    </w:p>
    <w:p w14:paraId="0A15C4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132D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il comma 4-quater è abrogato;</w:t>
      </w:r>
    </w:p>
    <w:p w14:paraId="7AD630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05B5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5, dopo le parole «altri soggetti qualificati pubblici o privati» sono aggiunte le seguenti: «, anche coordinati fra loro»;</w:t>
      </w:r>
    </w:p>
    <w:p w14:paraId="24101A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C28E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6, primo periodo, la parola «sostituisce» è sostituita dalla seguente: «ricomprende»;</w:t>
      </w:r>
    </w:p>
    <w:p w14:paraId="7AF0F5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F507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al comma 6 è aggiunto in fine il seguente periodo: «A tal fine il proponente allega all'istanza la documentazione e gli elaborati progettuali previsti dalle normative di settore per consentire la compiuta istruttoria tecnico-amministrativa finalizzata al rilascio di tutti gli atti di assensi comunque denominati necessari alla realizzazione e all'esercizio del medesimo progetto e indicati puntualmente in apposito elenco con l'indicazione anche dell'Amministrazione ordinariamente competente.»;</w:t>
      </w:r>
    </w:p>
    <w:p w14:paraId="3B3A14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28AD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il comma 8 è abrogato;</w:t>
      </w:r>
    </w:p>
    <w:p w14:paraId="3993F8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A9EA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dopo il comma 8 è aggiunto il seguente: «8-bis. Nei siti di interesse nazionale, l'applicazione a scala pilota, in campo, di tecnologie di bonifica innovative, anche finalizzata all'individuazione dei parametri di progetto necessari per l'applicazione a piena scala, non è soggetta a preventiva approvazione del Ministero della transizione ecologica e può essere eseguita a condizione che tale applicazione avvenga in condizioni di sicurezza con riguardo ai rischi sanitari e ambientali. Il rispetto delle suddette condizioni è valutato dal Sistema nazionale a rete per la protezione dell'ambiente e dall'Istituto superiore di sanità che si pronunciano entro sessanta giorni dalla presentazione dell'istanza corredata della necessaria documentazione tecnica.»;</w:t>
      </w:r>
    </w:p>
    <w:p w14:paraId="1D954D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C043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    10) dopo il comma 9-ter sono aggiunti i seguenti:</w:t>
      </w:r>
    </w:p>
    <w:p w14:paraId="01F4C2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C411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   «9-quater. Con decreto di natura non regolamentare il Ministero della transizione ecologica adotta i modelli delle istanze per l'avvio dei procedimenti di cui al comma 4 e i contenuti minimi della documentazione tecnica da allegare.</w:t>
      </w:r>
    </w:p>
    <w:p w14:paraId="6DDCA9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   9-quinquies. Con decreto del Ministero della transizione ecologica sono adottate le norme tecniche in base alle quali l'esecuzione del piano di caratterizzazione è sottoposto a comunicazione di inizio attività di cui al comma 4.»;</w:t>
      </w:r>
    </w:p>
    <w:p w14:paraId="4562B2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55F0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   i) all'articolo 252-bis:</w:t>
      </w:r>
    </w:p>
    <w:p w14:paraId="59EE71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96B2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8, il secondo e il terzo periodo sono sostituiti dai seguenti: «Alla conferenza di servizi partecipano anche i soggetti pubblici firmatari dell'accordo di programma. Si applicano i commi 6 e 7 dell'articolo 252.»;</w:t>
      </w:r>
    </w:p>
    <w:p w14:paraId="4F4B957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B11D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9 è abrogato.</w:t>
      </w:r>
    </w:p>
    <w:p w14:paraId="22BD88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3545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Ministero della transizione ecologica provvede all'attuazione delle disposizioni del presente articolo con le risorse umane, strumentali e finanziarie disponibili a legislazione vigente, senza nuovi o maggiori oneri a carico della finanza pubblica.</w:t>
      </w:r>
    </w:p>
    <w:p w14:paraId="02C6D8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5F1CF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w:t>
      </w:r>
    </w:p>
    <w:p w14:paraId="58E736E7"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TRANSIZIONE DIGITALE</w:t>
      </w:r>
    </w:p>
    <w:p w14:paraId="39322079"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31492A7"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38.</w:t>
      </w:r>
    </w:p>
    <w:p w14:paraId="574B028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per la diffusione delle comunicazioni digitali delle pubbliche amministrazioni e divario digitale)</w:t>
      </w:r>
    </w:p>
    <w:p w14:paraId="73AE05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116D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26 del decreto-legge 16 luglio 2020, n. 76, convertito, con modificazioni, dalla legge 11 settembre 2020, n. 120, sono apportate le seguenti modificazioni:</w:t>
      </w:r>
    </w:p>
    <w:p w14:paraId="15AFF1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CBDE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dopo il comma 5, è inserito il seguente «5-bis. Ai destinatari di cui al comma 5, ove abbiano comunicato un indirizzo email non certificato, un numero di telefono o altro analogo recapito digitale diverso da quelli di cui al comma 5, il gestore della piattaforma invia anche un avviso di cortesia in modalità informatica contenente le stesse informazioni dell'avviso di avvenuta ricezione. L'avviso di cortesia è reso disponibile altresì tramite il punto di accesso di cui all'articolo 64-bis del decreto legislativo 7 marzo 2005, n. 82.»;</w:t>
      </w:r>
    </w:p>
    <w:p w14:paraId="3D141F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1B8AD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6 è aggiunto, in fine, il seguente periodo: «In tale ultimo caso, il gestore della piattaforma invia anche l'avviso di cortesia di cui al comma 5-bis, ove sussistano i presupposti ivi previsti.»;</w:t>
      </w:r>
    </w:p>
    <w:p w14:paraId="63A95B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2172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al comma 7:</w:t>
      </w:r>
    </w:p>
    <w:p w14:paraId="65312D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BD95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primo periodo, le parole «e con applicazione degli articoli 7, 8 e 9 della stessa legge» sono sostituite dalle seguenti: «e con applicazione degli articoli 7, 8, 9 e 14 della stessa legge»;</w:t>
      </w:r>
    </w:p>
    <w:p w14:paraId="4614AD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4705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dopo il primo periodo sono aggiunti i seguenti: «In tutti i casi in cui la legge consente la notifica a mezzo posta con raccomandata con avviso di ricevimento, la notificazione dell'avviso di avvenuta ricezione avviene senza ritardo, in formato cartaceo e in busta chiusa, a mezzo posta direttamente dal gestore della piattaforma, mediante invio di raccomandata con avviso di ricevimento. Ove all'indirizzo indicato non sia possibile il recapito del plico contenente l'avviso di avvenuta ricezione per cause diverse dalla temporanea assenza o dal rifiuto del destinatario o delle altre persone alle quali può essere consegnato il plico, l'addetto al recapito postale svolge in loco ogni opportuna indagine per accertare l'indirizzo dell'abitazione, ufficio o sede del destinatario irreperibile. Gli accertamenti svolti e il relativo esito sono verbalizzati e comunicati al gestore della piattaforma. Ove dagli accertamenti svolti dall'addetto al recapito postale ovvero dalla consultazione del registro dell'anagrafe della popolazione residente o dal registro delle imprese sia possibile individuare un indirizzo del destinatario diverso da quello al quale è stato tentato il precedente recapito, il gestore della piattaforma invia a tale diverso indirizzo l'avviso di avvenuta ricezione; in caso contrario, deposita l'avviso di avvenuta ricezione sulla piattaforma e lo rende così disponibile al destinatario. Quest'ultimo può in ogni caso acquisire copia dell'avviso di avvenuta ricezione tramite il fornitore di cui al successivo comma 20, con le modalità fissate dal decreto di cui al comma 15. La notifica dell'avviso di avvenuta ricezione si perfeziona nel decimo giorno successivo a quello di deposito nella piattaforma. Il destinatario che incorra in decadenze e dimostri di non aver ricevuto la notifica per causa ad esso non imputabile può essere rimesso in termini.»;</w:t>
      </w:r>
    </w:p>
    <w:p w14:paraId="19A35C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9FC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 comma 12, le parole «ai sensi della legge 20 novembre 1982, n. 890», sono sostituite dalle seguenti: «effettuata con le modalità di cui al comma 7»;</w:t>
      </w:r>
    </w:p>
    <w:p w14:paraId="04C10B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F2BF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 comma 15:</w:t>
      </w:r>
    </w:p>
    <w:p w14:paraId="07B284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85E6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 lettera h), le parole «al comma 7» sono sostituite dalle seguenti: «ai commi 5-bis, 6 e 7»;</w:t>
      </w:r>
    </w:p>
    <w:p w14:paraId="39F042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42BA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 lettera i), dopo le parole «oggetto di notificazione» sono inserite le seguenti: «o, nei casi previsti dal comma 7, sesto periodo, dell'avviso di avvenuta ricezione»;</w:t>
      </w:r>
    </w:p>
    <w:p w14:paraId="07F8ED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BB57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dopo la lettera l), è aggiunta la seguente: «l-bis) sono disciplinate le modalità con le quali gli addetti al recapito postale comunicano al gestore della piattaforma l'esito degli accertamenti di cui al comma 7, quarto periodo.»;</w:t>
      </w:r>
    </w:p>
    <w:p w14:paraId="751DB4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9F73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 comma 20, le parole «la spedizione dell'avviso di avvenuta ricezione e» sono soppresse.</w:t>
      </w:r>
    </w:p>
    <w:p w14:paraId="2902EA39" w14:textId="77777777" w:rsidR="003012C8" w:rsidRPr="003012C8" w:rsidRDefault="003012C8" w:rsidP="003012C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EC7E0A"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semplificare e favorire l'utilizzo del domicilio digitale e dell'identità digitale e l'effettivo esercizio del diritto all'uso delle nuove tecnologie, al decreto legislativo 7 marzo 2005, n. 82, sono apportate le seguenti modificazioni:</w:t>
      </w:r>
    </w:p>
    <w:p w14:paraId="0CAC30DC" w14:textId="77777777" w:rsidR="00B3301A" w:rsidRDefault="00B3301A"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DB18B3" w14:textId="4A9582E2" w:rsidR="00B3301A" w:rsidRPr="00AA6695" w:rsidRDefault="00B3301A" w:rsidP="00B3301A">
      <w:pPr>
        <w:jc w:val="both"/>
        <w:rPr>
          <w:rFonts w:asciiTheme="minorHAnsi" w:hAnsiTheme="minorHAnsi"/>
          <w:b/>
          <w:bCs/>
          <w:color w:val="000000" w:themeColor="text1"/>
          <w:sz w:val="24"/>
          <w:szCs w:val="24"/>
        </w:rPr>
      </w:pPr>
      <w:r w:rsidRPr="00AA6695">
        <w:rPr>
          <w:rFonts w:asciiTheme="minorHAnsi" w:hAnsiTheme="minorHAnsi"/>
          <w:b/>
          <w:bCs/>
          <w:color w:val="000000" w:themeColor="text1"/>
          <w:sz w:val="24"/>
          <w:szCs w:val="24"/>
        </w:rPr>
        <w:t>    01) al comma 1-bis, dopo la parola: «eleggere» sono inserite le seguenti: «o modificare».</w:t>
      </w:r>
      <w:r w:rsidR="00D36141">
        <w:rPr>
          <w:rStyle w:val="Rimandonotaapidipagina"/>
          <w:rFonts w:asciiTheme="minorHAnsi" w:hAnsiTheme="minorHAnsi"/>
          <w:b/>
          <w:bCs/>
          <w:color w:val="000000" w:themeColor="text1"/>
          <w:sz w:val="24"/>
          <w:szCs w:val="24"/>
        </w:rPr>
        <w:footnoteReference w:id="51"/>
      </w:r>
      <w:r>
        <w:rPr>
          <w:rStyle w:val="Rimandonotaapidipagina"/>
          <w:rFonts w:asciiTheme="minorHAnsi" w:hAnsiTheme="minorHAnsi"/>
          <w:b/>
          <w:bCs/>
          <w:color w:val="000000" w:themeColor="text1"/>
          <w:sz w:val="24"/>
          <w:szCs w:val="24"/>
        </w:rPr>
        <w:footnoteReference w:id="52"/>
      </w:r>
    </w:p>
    <w:p w14:paraId="244F6E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4A79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3-bis:</w:t>
      </w:r>
    </w:p>
    <w:p w14:paraId="42332D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5D6DB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1-ter, le parole «1 e 1-bis» sono sostituite dalle seguenti: «1, 1-bis e 4-quinquies»;</w:t>
      </w:r>
    </w:p>
    <w:p w14:paraId="5B45D1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8E8FA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secondo periodo, le parole «può essere reso disponibile» sono sostituite dalle seguenti: «è attribuito»;</w:t>
      </w:r>
    </w:p>
    <w:p w14:paraId="182995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5ABE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4-bis, le parole «sottoscritti con firma autografa sostituita a mezzo stampa predisposta secondo le disposizioni di cui all'articolo 3 del decreto legislativo 12 febbraio 1993, n. 39» sono sostituite dalle seguenti: «su cui è apposto a stampa il contrassegno di cui all'articolo 23, comma 2-bis o l'indicazione a mezzo stampa del responsabile pro tempore in sostituzione della firma autografa ai sensi dell'articolo 3 del decreto legislativo 12 febbraio 1993, n. 39»;</w:t>
      </w:r>
    </w:p>
    <w:p w14:paraId="4A5884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DAD5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al comma 4-ter, dopo le parole «è stato predisposto» sono inserite le seguenti: «come documento nativo digitale» e le parole «in conformità alle Linee guida» sono soppresse;</w:t>
      </w:r>
    </w:p>
    <w:p w14:paraId="263B8B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6A18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4-quater, le parole «Le modalità di predisposizione della copia analogica di cui ai commi 4-bis e 4-ter soddisfano» sono sostituite dalle seguenti: «La copia analogica con l'indicazione a mezzo stampa del responsabile in sostituzione della firma autografa ai sensi dell'articolo 3 del decreto legislativo 12 febbraio 1993, n. 39, soddisfa»;</w:t>
      </w:r>
    </w:p>
    <w:p w14:paraId="624390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0005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 comma 4-quinquies, il primo periodo è sostituito dal seguente: «È possibile eleggere anche un domicilio digitale speciale per determinati atti, procedimenti o affari.»;</w:t>
      </w:r>
    </w:p>
    <w:p w14:paraId="7CE61E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283DFD"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6-quater, comma 3, dopo le parole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provvede» sono aggiunte le seguenti: «costantemente all'aggiornamento e»;</w:t>
      </w:r>
    </w:p>
    <w:p w14:paraId="59DEE927" w14:textId="77777777" w:rsidR="000F292C" w:rsidRDefault="000F292C"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F09438" w14:textId="06A94C4A" w:rsidR="00C745E5" w:rsidRPr="00345C0D" w:rsidRDefault="000F292C" w:rsidP="00C745E5">
      <w:pPr>
        <w:jc w:val="both"/>
        <w:rPr>
          <w:b/>
          <w:bCs/>
          <w:color w:val="000000" w:themeColor="text1"/>
          <w:sz w:val="24"/>
          <w:szCs w:val="24"/>
        </w:rPr>
      </w:pPr>
      <w:r w:rsidRPr="002E0F01">
        <w:rPr>
          <w:rFonts w:asciiTheme="minorHAnsi" w:hAnsiTheme="minorHAnsi"/>
          <w:b/>
          <w:bCs/>
          <w:color w:val="000000" w:themeColor="text1"/>
          <w:sz w:val="24"/>
          <w:szCs w:val="24"/>
        </w:rPr>
        <w:t xml:space="preserve">   b-bis) all'articolo 64-bis, comma 1-ter, dopo le parole: «servizi in rete» sono inserite le seguenti: «nel rispetto del principio di </w:t>
      </w:r>
      <w:proofErr w:type="gramStart"/>
      <w:r w:rsidRPr="002E0F01">
        <w:rPr>
          <w:rFonts w:asciiTheme="minorHAnsi" w:hAnsiTheme="minorHAnsi"/>
          <w:b/>
          <w:bCs/>
          <w:color w:val="000000" w:themeColor="text1"/>
          <w:sz w:val="24"/>
          <w:szCs w:val="24"/>
        </w:rPr>
        <w:t xml:space="preserve">neutralità </w:t>
      </w:r>
      <w:r w:rsidR="00C745E5">
        <w:rPr>
          <w:rFonts w:asciiTheme="minorHAnsi" w:hAnsiTheme="minorHAnsi"/>
          <w:b/>
          <w:bCs/>
          <w:color w:val="000000" w:themeColor="text1"/>
          <w:sz w:val="24"/>
          <w:szCs w:val="24"/>
        </w:rPr>
        <w:t xml:space="preserve"> </w:t>
      </w:r>
      <w:r w:rsidR="00C745E5" w:rsidRPr="00345C0D">
        <w:rPr>
          <w:b/>
          <w:bCs/>
          <w:color w:val="000000" w:themeColor="text1"/>
          <w:sz w:val="24"/>
          <w:szCs w:val="24"/>
        </w:rPr>
        <w:t>tecnologica</w:t>
      </w:r>
      <w:proofErr w:type="gramEnd"/>
      <w:r w:rsidR="00C745E5" w:rsidRPr="00345C0D">
        <w:rPr>
          <w:b/>
          <w:bCs/>
          <w:color w:val="000000" w:themeColor="text1"/>
          <w:sz w:val="24"/>
          <w:szCs w:val="24"/>
        </w:rPr>
        <w:t>,».</w:t>
      </w:r>
      <w:r w:rsidR="00C745E5">
        <w:rPr>
          <w:rStyle w:val="Rimandonotaapidipagina"/>
          <w:b/>
          <w:bCs/>
          <w:color w:val="000000" w:themeColor="text1"/>
          <w:sz w:val="24"/>
          <w:szCs w:val="24"/>
        </w:rPr>
        <w:footnoteReference w:id="53"/>
      </w:r>
    </w:p>
    <w:p w14:paraId="446ED1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64-bis, è aggiunto il seguente:</w:t>
      </w:r>
    </w:p>
    <w:p w14:paraId="6A6C75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D97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64-ter.</w:t>
      </w:r>
    </w:p>
    <w:p w14:paraId="7ED01F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(Sistema di gestione deleghe)</w:t>
      </w:r>
    </w:p>
    <w:p w14:paraId="11586CD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5492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È istituito il Sistema di gestione deleghe (SGD), affidato alla responsabilità della struttura della Presidenza del Consiglio dei ministri competente per l'innovazione tecnologica e la transizione digitale.</w:t>
      </w:r>
    </w:p>
    <w:p w14:paraId="2F9397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SGD consente a chiunque di delegare l'accesso a uno o più servizi a un soggetto titolare dell'identità digitale di cui all'articolo 64, comma 2-quater, con livello di sicurezza almeno significativo. La presentazione della delega avviene mediante una delle modalità previste dall'articolo 65, comma 1, ovvero presso gli sportelli di uno dei soggetti di cui all'articolo 2, comma 2, presenti sul territorio. Con il decreto di cui al comma 7 sono disciplinate le modalità di acquisizione della delega al SGD.</w:t>
      </w:r>
    </w:p>
    <w:p w14:paraId="4C2BF54B"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A seguito dell'acquisizione della delega al SGD, è generato un attributo qualificato associato all'identità digitale del delegato, secondo le modalità stabilite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Linee guida. Tale attributo può essere utilizzato anche per l'erogazione di servizi in modalità analogica.</w:t>
      </w:r>
    </w:p>
    <w:p w14:paraId="4D6E0BDF" w14:textId="77777777" w:rsidR="00FE6EBF" w:rsidRPr="00EF5B01"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CA4A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 soggetti di cui all'articolo 2, comma 2, sono tenuti ad accreditarsi al SGD.</w:t>
      </w:r>
    </w:p>
    <w:p w14:paraId="18A247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Per la realizzazione, gestione e manutenzione del SGD e per l'erogazione del servizio, la struttura della Presidenza del Consiglio dei ministri competente per l'innovazione tecnologica e la transizione digitale si avvale dell'Istituto Poligrafico e Zecca dello Stato S.p.A. I rapporti tra la struttura di cui al precedente periodo e l'Istituto Poligrafico e Zecca dello Stato S.p.A. sono regolati, anche ai sensi dell'articolo 28 del regolamento (UE) 2016/679 del Parlamento Europeo e del Consiglio del 27 aprile 2016, con apposita convenzione.</w:t>
      </w:r>
    </w:p>
    <w:p w14:paraId="24AFD2F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struttura della Presidenza del Consiglio dei ministri competente per l'innovazione tecnologica e la transizione digitale è il titolare del trattamento dei dati personali, ferme restando, ai sensi dell'articolo 28 del regolamento (UE) 2016/679, le specifiche responsabilità in capo all'Istituto Poligrafico e Zecca dello Stato S.p.A. e, nel caso previsto dal comma 2, ai soggetti di cui all'articolo 2, comma 2.</w:t>
      </w:r>
    </w:p>
    <w:p w14:paraId="083DB1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Fermo restando quanto previsto dal decreto di cui all'articolo 64, comma 2-sexies, relativamente alle modalità di accreditamento dei gestori di attributi qualificati, con decreto del Presidente del Consiglio dei ministri, adottato di concerto con il Ministro dell'interno,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il Garante per la protezione dei dati personali e la Conferenza unificata di cui all'articolo 8 del decreto legislativo 28 agosto 1997, n. 281, sono definite le caratteristiche tecniche, l'architettura generale, i requisiti di sicurezza, le modalità di acquisizione della delega e di funzionamento del SGD. Con il medesimo decreto, inoltre, sono individuate le modalità di adesione al sistema nonché le tipologie di dati oggetto di trattamento, le categorie di interessati e, in generale, le modalità e procedure per assicurare il rispetto dell'articolo 5 del regolamento (UE) 2016/679.</w:t>
      </w:r>
    </w:p>
    <w:p w14:paraId="41CFCF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All'onere derivante dall'attuazione della presente disposizione si provvede con le risorse disponibili a legislazione vigente.»;</w:t>
      </w:r>
    </w:p>
    <w:p w14:paraId="5C5CE9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6BD6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65, comma 1, lettera c-bis), secondo periodo, le parole «di assenza» sono sostituite dalle seguenti: «in assenza» e le parole «ai sensi e per gli effetti dell'articolo 3-bis, comma 1-ter» sono sostituite dalle seguenti: «speciale, ai sensi dell'articolo 3-bis, comma 4-quinquies, per gli atti e le comunicazioni a cui è riferita l'istanza o la dichiarazione».</w:t>
      </w:r>
    </w:p>
    <w:p w14:paraId="0B1A29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ABF5EE"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L'efficacia delle disposizioni del comma 2, lettera c), i cui oneri sono a carico delle risorse previste per l'attuazione di progetti compresi nel PNRR, resta subordinata alla definitiva approvazione del PNRR da parte del Consiglio dell'Unione europea.</w:t>
      </w:r>
    </w:p>
    <w:p w14:paraId="310661DC" w14:textId="77777777" w:rsidR="00FE6EBF"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E509D0" w14:textId="77777777" w:rsidR="00FE6EBF" w:rsidRPr="002E0F01" w:rsidRDefault="00FE6EBF" w:rsidP="00FE6EB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  3-bis. Il comma 2-bis dell'articolo 24 del decreto-legge 28 ottobre 2020, n. 137, convertito, con modificazioni, dalla legge 18 dicembre 2020, n. 176, è sostituito dal seguente:</w:t>
      </w:r>
    </w:p>
    <w:p w14:paraId="59B6690C" w14:textId="77777777" w:rsidR="00FE6EBF" w:rsidRPr="002E0F01" w:rsidRDefault="00FE6EBF" w:rsidP="00FE6EBF">
      <w:pPr>
        <w:jc w:val="both"/>
        <w:rPr>
          <w:rFonts w:asciiTheme="minorHAnsi" w:hAnsiTheme="minorHAnsi"/>
          <w:b/>
          <w:bCs/>
          <w:color w:val="000000" w:themeColor="text1"/>
          <w:sz w:val="24"/>
          <w:szCs w:val="24"/>
        </w:rPr>
      </w:pPr>
    </w:p>
    <w:p w14:paraId="45E8CE32" w14:textId="77777777" w:rsidR="00FE6EBF" w:rsidRDefault="00FE6EBF" w:rsidP="00FE6EB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   «2-bis. Il malfunzionamento del portale del processo penale è attestato dal Direttore generale per i servizi informativi automatizzati, con provvedimento pubblicato nel Portale dei servizi telematici del Ministero della giustizia con indicazione del relativo periodo. In tali ipotesi, il termine di scadenza per il deposito degli atti di cui ai commi 1 e 2 è prorogato di diritto fino al giorno successivo al ripristino della funzionalità del Portale».</w:t>
      </w:r>
      <w:r>
        <w:rPr>
          <w:rStyle w:val="Rimandonotaapidipagina"/>
          <w:rFonts w:asciiTheme="minorHAnsi" w:hAnsiTheme="minorHAnsi"/>
          <w:b/>
          <w:bCs/>
          <w:color w:val="000000" w:themeColor="text1"/>
          <w:sz w:val="24"/>
          <w:szCs w:val="24"/>
        </w:rPr>
        <w:footnoteReference w:id="54"/>
      </w:r>
    </w:p>
    <w:p w14:paraId="0F3B3008" w14:textId="77777777" w:rsidR="00BA0CCD" w:rsidRPr="002E0F01" w:rsidRDefault="00BA0CCD" w:rsidP="00BA0CCD">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3-bis. Il comma 2-ter dell'articolo 24 del decreto-legge 28 ottobre 2020, n. 137, convertito, con modificazioni, dalla legge 18 dicembre 2020, n. 176, è sostituito dal seguente:</w:t>
      </w:r>
    </w:p>
    <w:p w14:paraId="6CAE4A8A" w14:textId="77777777" w:rsidR="00BA0CCD" w:rsidRPr="002E0F01" w:rsidRDefault="00BA0CCD" w:rsidP="00BA0CCD">
      <w:pPr>
        <w:jc w:val="both"/>
        <w:rPr>
          <w:rFonts w:asciiTheme="minorHAnsi" w:hAnsiTheme="minorHAnsi"/>
          <w:b/>
          <w:bCs/>
          <w:color w:val="000000" w:themeColor="text1"/>
          <w:sz w:val="24"/>
          <w:szCs w:val="24"/>
        </w:rPr>
      </w:pPr>
    </w:p>
    <w:p w14:paraId="756E93B4" w14:textId="77777777" w:rsidR="00BA0CCD" w:rsidRPr="002E0F01" w:rsidRDefault="00BA0CCD" w:rsidP="00BA0CCD">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   «2-ter. L'autorità giudiziaria può autorizzare il deposito di singoli atti e documenti in formato analogico per ragioni specifiche».</w:t>
      </w:r>
      <w:r>
        <w:rPr>
          <w:rStyle w:val="Rimandonotaapidipagina"/>
          <w:rFonts w:asciiTheme="minorHAnsi" w:hAnsiTheme="minorHAnsi"/>
          <w:b/>
          <w:bCs/>
          <w:color w:val="000000" w:themeColor="text1"/>
          <w:sz w:val="24"/>
          <w:szCs w:val="24"/>
        </w:rPr>
        <w:footnoteReference w:id="55"/>
      </w:r>
    </w:p>
    <w:p w14:paraId="2E255F19" w14:textId="77777777" w:rsidR="00256907" w:rsidRPr="002E0F01" w:rsidRDefault="00256907" w:rsidP="00256907">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Art. 38-bis.</w:t>
      </w:r>
    </w:p>
    <w:p w14:paraId="6ABDFB8D" w14:textId="77777777" w:rsidR="00256907" w:rsidRPr="002E0F01" w:rsidRDefault="00256907" w:rsidP="00256907">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(Semplificazioni in materia di procedimenti elettorali attraverso la diffusione delle comunicazioni digitali con le pubbliche amministrazioni)</w:t>
      </w:r>
    </w:p>
    <w:p w14:paraId="15683647" w14:textId="77777777" w:rsidR="00256907" w:rsidRPr="002E0F01" w:rsidRDefault="00256907" w:rsidP="00256907">
      <w:pPr>
        <w:jc w:val="both"/>
        <w:rPr>
          <w:rFonts w:asciiTheme="minorHAnsi" w:hAnsiTheme="minorHAnsi"/>
          <w:b/>
          <w:bCs/>
          <w:color w:val="000000" w:themeColor="text1"/>
          <w:sz w:val="24"/>
          <w:szCs w:val="24"/>
        </w:rPr>
      </w:pPr>
    </w:p>
    <w:p w14:paraId="59F7046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Al testo unico delle leggi recanti norme per la elezione della Camera dei deputati, di cui al decreto del Presidente della Repubblica 30 marzo 1957, n. 361, sono apportate le seguenti modificazioni:</w:t>
      </w:r>
    </w:p>
    <w:p w14:paraId="7470CF9D" w14:textId="77777777" w:rsidR="00256907" w:rsidRPr="002E0F01" w:rsidRDefault="00256907" w:rsidP="00256907">
      <w:pPr>
        <w:jc w:val="both"/>
        <w:rPr>
          <w:rFonts w:asciiTheme="minorHAnsi" w:hAnsiTheme="minorHAnsi"/>
          <w:b/>
          <w:bCs/>
          <w:color w:val="000000" w:themeColor="text1"/>
          <w:sz w:val="24"/>
          <w:szCs w:val="24"/>
        </w:rPr>
      </w:pPr>
    </w:p>
    <w:p w14:paraId="26D99EF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all'articolo 15, il terzo comma è sostituito dal seguente:</w:t>
      </w:r>
    </w:p>
    <w:p w14:paraId="05B436FC" w14:textId="77777777" w:rsidR="00256907" w:rsidRPr="002E0F01" w:rsidRDefault="00256907" w:rsidP="00256907">
      <w:pPr>
        <w:jc w:val="both"/>
        <w:rPr>
          <w:rFonts w:asciiTheme="minorHAnsi" w:hAnsiTheme="minorHAnsi"/>
          <w:b/>
          <w:bCs/>
          <w:color w:val="000000" w:themeColor="text1"/>
          <w:sz w:val="24"/>
          <w:szCs w:val="24"/>
        </w:rPr>
      </w:pPr>
    </w:p>
    <w:p w14:paraId="6DAE1F6F"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   «Il contrassegno deve essere depositato a mano su supporto digitale o in triplice esemplare in forma cartacea»;</w:t>
      </w:r>
    </w:p>
    <w:p w14:paraId="4BF8E6E0" w14:textId="77777777" w:rsidR="00256907" w:rsidRPr="002E0F01" w:rsidRDefault="00256907" w:rsidP="00256907">
      <w:pPr>
        <w:jc w:val="both"/>
        <w:rPr>
          <w:rFonts w:asciiTheme="minorHAnsi" w:hAnsiTheme="minorHAnsi"/>
          <w:b/>
          <w:bCs/>
          <w:color w:val="000000" w:themeColor="text1"/>
          <w:sz w:val="24"/>
          <w:szCs w:val="24"/>
        </w:rPr>
      </w:pPr>
    </w:p>
    <w:p w14:paraId="26BDFB7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all'articolo 25:</w:t>
      </w:r>
    </w:p>
    <w:p w14:paraId="6164C0C5" w14:textId="77777777" w:rsidR="00256907" w:rsidRPr="002E0F01" w:rsidRDefault="00256907" w:rsidP="00256907">
      <w:pPr>
        <w:jc w:val="both"/>
        <w:rPr>
          <w:rFonts w:asciiTheme="minorHAnsi" w:hAnsiTheme="minorHAnsi"/>
          <w:b/>
          <w:bCs/>
          <w:color w:val="000000" w:themeColor="text1"/>
          <w:sz w:val="24"/>
          <w:szCs w:val="24"/>
        </w:rPr>
      </w:pPr>
    </w:p>
    <w:p w14:paraId="71443CC6"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al primo comma, secondo periodo, le parole: «entro il venerdì precedente l'elezione,» sono sostituite dalle seguenti: «entro il giovedì precedente l'elezione, anche mediante posta elettronica certificata,»;</w:t>
      </w:r>
    </w:p>
    <w:p w14:paraId="61DC77C1" w14:textId="77777777" w:rsidR="00256907" w:rsidRPr="002E0F01" w:rsidRDefault="00256907" w:rsidP="00256907">
      <w:pPr>
        <w:jc w:val="both"/>
        <w:rPr>
          <w:rFonts w:asciiTheme="minorHAnsi" w:hAnsiTheme="minorHAnsi"/>
          <w:b/>
          <w:bCs/>
          <w:color w:val="000000" w:themeColor="text1"/>
          <w:sz w:val="24"/>
          <w:szCs w:val="24"/>
        </w:rPr>
      </w:pPr>
    </w:p>
    <w:p w14:paraId="61EB22D1"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dopo il primo comma è inserito il seguente:</w:t>
      </w:r>
    </w:p>
    <w:p w14:paraId="14A3A7DC" w14:textId="77777777" w:rsidR="00256907" w:rsidRPr="002E0F01" w:rsidRDefault="00256907" w:rsidP="00256907">
      <w:pPr>
        <w:jc w:val="both"/>
        <w:rPr>
          <w:rFonts w:asciiTheme="minorHAnsi" w:hAnsiTheme="minorHAnsi"/>
          <w:b/>
          <w:bCs/>
          <w:color w:val="000000" w:themeColor="text1"/>
          <w:sz w:val="24"/>
          <w:szCs w:val="24"/>
        </w:rPr>
      </w:pPr>
    </w:p>
    <w:p w14:paraId="656B6708"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   «Le autenticazioni di cui al primo periodo del primo comma del presente articolo non sono necessarie nel caso in cui gli atti siano firmati digitalmente o con un altro tipo di firma elettronica qualificata</w:t>
      </w:r>
      <w:r w:rsidRPr="002E0F01">
        <w:rPr>
          <w:b/>
          <w:bCs/>
          <w:color w:val="000000" w:themeColor="text1"/>
          <w:sz w:val="24"/>
          <w:szCs w:val="24"/>
        </w:rPr>
        <w:t xml:space="preserve"> </w:t>
      </w:r>
      <w:r w:rsidRPr="002E0F01">
        <w:rPr>
          <w:rFonts w:asciiTheme="minorHAnsi" w:hAnsiTheme="minorHAnsi"/>
          <w:b/>
          <w:bCs/>
          <w:color w:val="000000" w:themeColor="text1"/>
          <w:sz w:val="24"/>
          <w:szCs w:val="24"/>
        </w:rPr>
        <w:t>da uno dei delegati di cui all'articolo 20, ottavo comma, o dalle persone da essi autorizzate con atto firmato digitalmente o con un altro tipo di firma elettronica qualificata e i documenti siano trasmessi mediante posta elettronica certificata».</w:t>
      </w:r>
    </w:p>
    <w:p w14:paraId="645C7C04" w14:textId="77777777" w:rsidR="00256907" w:rsidRPr="002E0F01" w:rsidRDefault="00256907" w:rsidP="00256907">
      <w:pPr>
        <w:jc w:val="both"/>
        <w:rPr>
          <w:rFonts w:asciiTheme="minorHAnsi" w:hAnsiTheme="minorHAnsi"/>
          <w:b/>
          <w:bCs/>
          <w:color w:val="000000" w:themeColor="text1"/>
          <w:sz w:val="24"/>
          <w:szCs w:val="24"/>
        </w:rPr>
      </w:pPr>
    </w:p>
    <w:p w14:paraId="4B0E84B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Al testo unico delle leggi per la composizione e la elezione degli organi delle Amministrazioni comunali, di cui al decreto del Presidente della Repubblica 16 maggio 1960, n. 570, sono apportate le seguenti modificazioni:</w:t>
      </w:r>
    </w:p>
    <w:p w14:paraId="0705289C" w14:textId="77777777" w:rsidR="00256907" w:rsidRPr="002E0F01" w:rsidRDefault="00256907" w:rsidP="00256907">
      <w:pPr>
        <w:jc w:val="both"/>
        <w:rPr>
          <w:rFonts w:asciiTheme="minorHAnsi" w:hAnsiTheme="minorHAnsi"/>
          <w:b/>
          <w:bCs/>
          <w:color w:val="000000" w:themeColor="text1"/>
          <w:sz w:val="24"/>
          <w:szCs w:val="24"/>
        </w:rPr>
      </w:pPr>
    </w:p>
    <w:p w14:paraId="6BF3A5E3"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all'articolo 28, sesto comma, il secondo periodo è sostituito dal seguente: «Il contrassegno deve essere depositato a mano su supporto digitale o in triplice esemplare in forma cartacea»;</w:t>
      </w:r>
    </w:p>
    <w:p w14:paraId="7D2FDEA9" w14:textId="77777777" w:rsidR="00256907" w:rsidRPr="002E0F01" w:rsidRDefault="00256907" w:rsidP="00256907">
      <w:pPr>
        <w:jc w:val="both"/>
        <w:rPr>
          <w:rFonts w:asciiTheme="minorHAnsi" w:hAnsiTheme="minorHAnsi"/>
          <w:b/>
          <w:bCs/>
          <w:color w:val="000000" w:themeColor="text1"/>
          <w:sz w:val="24"/>
          <w:szCs w:val="24"/>
        </w:rPr>
      </w:pPr>
    </w:p>
    <w:p w14:paraId="307DFA7F"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all'articolo 32, settimo comma:</w:t>
      </w:r>
    </w:p>
    <w:p w14:paraId="6BFFB2C6" w14:textId="77777777" w:rsidR="00256907" w:rsidRPr="002E0F01" w:rsidRDefault="00256907" w:rsidP="00256907">
      <w:pPr>
        <w:jc w:val="both"/>
        <w:rPr>
          <w:rFonts w:asciiTheme="minorHAnsi" w:hAnsiTheme="minorHAnsi"/>
          <w:b/>
          <w:bCs/>
          <w:color w:val="000000" w:themeColor="text1"/>
          <w:sz w:val="24"/>
          <w:szCs w:val="24"/>
        </w:rPr>
      </w:pPr>
    </w:p>
    <w:p w14:paraId="4B7A519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    1) il numero 1) è sostituito dal seguente:</w:t>
      </w:r>
    </w:p>
    <w:p w14:paraId="2E97D010" w14:textId="77777777" w:rsidR="00256907" w:rsidRPr="002E0F01" w:rsidRDefault="00256907" w:rsidP="00256907">
      <w:pPr>
        <w:jc w:val="both"/>
        <w:rPr>
          <w:rFonts w:asciiTheme="minorHAnsi" w:hAnsiTheme="minorHAnsi"/>
          <w:b/>
          <w:bCs/>
          <w:color w:val="000000" w:themeColor="text1"/>
          <w:sz w:val="24"/>
          <w:szCs w:val="24"/>
        </w:rPr>
      </w:pPr>
    </w:p>
    <w:p w14:paraId="1115CBFC"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un modello di contrassegno depositato a mano su supporto digitale o in triplice esemplare in forma cartacea»;</w:t>
      </w:r>
    </w:p>
    <w:p w14:paraId="0C3F31AE" w14:textId="77777777" w:rsidR="00256907" w:rsidRPr="002E0F01" w:rsidRDefault="00256907" w:rsidP="00256907">
      <w:pPr>
        <w:jc w:val="both"/>
        <w:rPr>
          <w:rFonts w:asciiTheme="minorHAnsi" w:hAnsiTheme="minorHAnsi"/>
          <w:b/>
          <w:bCs/>
          <w:color w:val="000000" w:themeColor="text1"/>
          <w:sz w:val="24"/>
          <w:szCs w:val="24"/>
        </w:rPr>
      </w:pPr>
    </w:p>
    <w:p w14:paraId="6F619D5A"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al numero 4) è aggiunto, in fine, il seguente periodo: «. L'autenticazione non è necessaria nel caso in cui l'atto sia stato firmato digitalmente dai delegati e il documento sia trasmesso mediante posta elettronica certificata»;</w:t>
      </w:r>
    </w:p>
    <w:p w14:paraId="0EDE67EE" w14:textId="77777777" w:rsidR="00256907" w:rsidRPr="002E0F01" w:rsidRDefault="00256907" w:rsidP="00256907">
      <w:pPr>
        <w:jc w:val="both"/>
        <w:rPr>
          <w:rFonts w:asciiTheme="minorHAnsi" w:hAnsiTheme="minorHAnsi"/>
          <w:b/>
          <w:bCs/>
          <w:color w:val="000000" w:themeColor="text1"/>
          <w:sz w:val="24"/>
          <w:szCs w:val="24"/>
        </w:rPr>
      </w:pPr>
    </w:p>
    <w:p w14:paraId="0545CE09"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   c) all'articolo 35, secondo comma, le parole: «venerdì precedente l'elezione al segretario del Comune,» sono sostituite dalle seguenti: «giovedì precedente l'elezione, anche mediante posta elettronica certificata, al segretario del Comune,».</w:t>
      </w:r>
    </w:p>
    <w:p w14:paraId="61FDE810" w14:textId="77777777" w:rsidR="00256907" w:rsidRPr="002E0F01" w:rsidRDefault="00256907" w:rsidP="00256907">
      <w:pPr>
        <w:jc w:val="both"/>
        <w:rPr>
          <w:rFonts w:asciiTheme="minorHAnsi" w:hAnsiTheme="minorHAnsi"/>
          <w:b/>
          <w:bCs/>
          <w:color w:val="000000" w:themeColor="text1"/>
          <w:sz w:val="24"/>
          <w:szCs w:val="24"/>
        </w:rPr>
      </w:pPr>
    </w:p>
    <w:p w14:paraId="64BCA1E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 Il certificato di iscrizione nelle liste elettorali, riportante i dati anagrafici dell'elettore e il suo numero di iscrizione alle liste elettorali, necessario per la sottoscrizione di liste di candidati per le elezioni politiche, dei membri del Parlamento europeo spettanti all'Italia e amministrative, di proposte di referendum e di iniziative legislative popolari, può essere richiesto anche in formato digitale, tramite posta elettronica certificata, dal segretario, dal presidente o dal rappresentante legale del partito o del movimento politico, o da loro delegati, o da uno dei soggetti promotori del referendum o dell'iniziativa legislativa popolare, o da un suo delegato, mediante domanda presentata all'ufficio elettorale, accompagnata da copia di un documento di identità del richiedente. In caso di richiesta tramite posta elettronica certificata, è allegata alla domanda l'eventuale delega, firmata digitalmente, del segretario, del presidente o del rappresentante legale del partito o del movimento politico o di uno dei soggetti promotori del referendum o dell'iniziativa legislativa popolare.</w:t>
      </w:r>
    </w:p>
    <w:p w14:paraId="339AF614"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xml:space="preserve">  4. Qualora la domanda presentata tramite posta elettronica certificata o un servizio elettronico di recapito certificato qualificato sia riferita a sottoscrizioni di liste di candidati, l'ufficio elettorale deve rilasciare in formato digitale, tramite posta elettronica certificata, i certificati richiesti entro il termine improrogabile di ventiquattro ore dalla domanda. Qualora la domanda presentata tramite posta elettronica certificata o un servizio elettronico di recapito certificato qualificato sia riferita a sottoscrizioni di proposte di referendum popolare, l'ufficio elettorale deve rilasciare in formato </w:t>
      </w:r>
      <w:r w:rsidRPr="002E0F01">
        <w:rPr>
          <w:rFonts w:asciiTheme="minorHAnsi" w:hAnsiTheme="minorHAnsi"/>
          <w:b/>
          <w:bCs/>
          <w:color w:val="000000" w:themeColor="text1"/>
          <w:sz w:val="24"/>
          <w:szCs w:val="24"/>
        </w:rPr>
        <w:lastRenderedPageBreak/>
        <w:t>digitale, tramite posta elettronica certificata, i certificati richiesti entro il termine improrogabile di quarantotto ore dalla domanda.</w:t>
      </w:r>
    </w:p>
    <w:p w14:paraId="5ADF1FBA"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  5. I certificati rilasciati ai sensi del comma 4 costituiscono ad ogni effetto di legge copie conformi all'originale e possono essere utilizzati per le finalità di cui al comma 3 nel formato in cui sono stati trasmessi dall'amministrazione.</w:t>
      </w:r>
    </w:p>
    <w:p w14:paraId="3CD100D5"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  6. La conformità all'originale delle copie analogiche dei certificati rilasciati in formato digitale ai sensi del comma 4 è attestata dal soggetto che ne ha fatto richiesta o da un suo delegato con dichiarazione autografa autenticata resa in calce alla copia analogica dei certificati medesimi. Sono competenti a eseguire le autenticazioni previste dal primo periodo del presente comma i soggetti di cui all'articolo 14 della legge 21 marzo 1990, n. 53.</w:t>
      </w:r>
    </w:p>
    <w:p w14:paraId="3919B23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  7. All'articolo 1 della legge 9 gennaio 2019, n. 3, sono apportate le seguenti modificazioni:</w:t>
      </w:r>
    </w:p>
    <w:p w14:paraId="29D5A7DE" w14:textId="77777777" w:rsidR="00256907" w:rsidRPr="002E0F01" w:rsidRDefault="00256907" w:rsidP="00256907">
      <w:pPr>
        <w:jc w:val="both"/>
        <w:rPr>
          <w:rFonts w:asciiTheme="minorHAnsi" w:hAnsiTheme="minorHAnsi"/>
          <w:b/>
          <w:bCs/>
          <w:color w:val="000000" w:themeColor="text1"/>
          <w:sz w:val="24"/>
          <w:szCs w:val="24"/>
        </w:rPr>
      </w:pPr>
    </w:p>
    <w:p w14:paraId="0495AD9E"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il comma 14 è sostituito dal seguente:</w:t>
      </w:r>
    </w:p>
    <w:p w14:paraId="7D324230" w14:textId="77777777" w:rsidR="00256907" w:rsidRPr="002E0F01" w:rsidRDefault="00256907" w:rsidP="00256907">
      <w:pPr>
        <w:jc w:val="both"/>
        <w:rPr>
          <w:rFonts w:asciiTheme="minorHAnsi" w:hAnsiTheme="minorHAnsi"/>
          <w:b/>
          <w:bCs/>
          <w:color w:val="000000" w:themeColor="text1"/>
          <w:sz w:val="24"/>
          <w:szCs w:val="24"/>
        </w:rPr>
      </w:pPr>
    </w:p>
    <w:p w14:paraId="0C2229B2"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xml:space="preserve">   «14. Entro il quattordicesimo giorno antecedente la data delle elezioni politiche, dei membri del Parlamento europeo spettanti all'Italia, regionali e amministrative, escluse quelle relative a comuni con popolazione fino a 15.000 abitanti, i partiti e i movimenti politici nonché le liste di cui al primo periodo del comma 11 hanno l'obbligo di pubblicare, nel proprio sito internet ovvero, per le liste di cui al citato primo periodo del comma 11, nel sito internet del partito o del movimento politico sotto il cui contrassegno si sono presentate nella competizione elettorale, il curriculum vitae di ciascun candidato, fornito dal candidato medesimo, e il relativo certificato del casellario giudiziale di cui all'articolo 24 del testo unico delle disposizioni legislative e regolamentari in materia di casellario giudiziale, di casellario giudiziale europeo, di anagrafe delle sanzioni amministrative dipendenti da reato e dei relativi carichi pendenti, di cui al decreto del Presidente della Repubblica 14 novembre 2002, n. 313, rilasciato non oltre novanta giorni prima della data fissata per l'elezione. I rappresentanti legali dei partiti e dei movimenti politici nonché delle liste di cui al citato primo periodo del comma 11, o persone da loro delegate, possono richiedere, anche mediante posta elettronica certificata, i certificati del casellario giudiziale dei candidati, compreso il candidato alla carica di sindaco, per i quali sussiste l'obbligo di pubblicazione ai sensi del primo periodo del presente comma, previo consenso e su delega dell'interessato, da sottoscrivere all'atto dell'accettazione della candidatura. Il tribunale deve rendere disponibili al richiedente i certificati entro il termine di cinque giorni dalla richiesta. Ai fini </w:t>
      </w:r>
      <w:r w:rsidRPr="002E0F01">
        <w:rPr>
          <w:rFonts w:asciiTheme="minorHAnsi" w:hAnsiTheme="minorHAnsi"/>
          <w:b/>
          <w:bCs/>
          <w:color w:val="000000" w:themeColor="text1"/>
          <w:sz w:val="24"/>
          <w:szCs w:val="24"/>
        </w:rPr>
        <w:lastRenderedPageBreak/>
        <w:t>dell'ottemperanza agli obblighi di pubblicazione nel sito internet di cui al presente comma non è richiesto il consenso espresso degli interessati. Nel caso in cui il certificato del casellario giudiziale sia richiesto da coloro che intendono candidarsi alle elezioni di cui al presente comma, per le quali sono stati convocati i comizi elettorali, ed essi dichiarino contestualmente sotto la propria responsabilità, ai sensi dell'articolo 47 del testo unico delle disposizioni legislative e regolamentari in materia di documentazione amministrativa, di cui al decreto del Presidente della Repubblica 28 dicembre 2000, n. 445, che la richiesta di tale certificato è finalizzata a rendere pubblici i dati ivi contenuti in occasione della propria candidatura, le imposte di bollo e ogni altra spesa, imposta e diritto dovuti ai pubblici uffici sono ridotti della metà»;</w:t>
      </w:r>
    </w:p>
    <w:p w14:paraId="15A647B1" w14:textId="77777777" w:rsidR="00256907" w:rsidRPr="002E0F01" w:rsidRDefault="00256907" w:rsidP="00256907">
      <w:pPr>
        <w:jc w:val="both"/>
        <w:rPr>
          <w:rFonts w:asciiTheme="minorHAnsi" w:hAnsiTheme="minorHAnsi"/>
          <w:b/>
          <w:bCs/>
          <w:color w:val="000000" w:themeColor="text1"/>
          <w:sz w:val="24"/>
          <w:szCs w:val="24"/>
        </w:rPr>
      </w:pPr>
    </w:p>
    <w:p w14:paraId="2719035B"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 comma 15, primo periodo, le parole: «certificato penale» sono sostituite dalle seguenti: «certificato del casellario giudiziale di cui all'articolo 24 del testo unico di cui al decreto del Presidente della Repubblica 14 novembre 2002, n. 313,» e le parole: «dal casellario giudiziale» sono soppresse.</w:t>
      </w:r>
    </w:p>
    <w:p w14:paraId="05A27A6D" w14:textId="77777777" w:rsidR="00256907" w:rsidRPr="002E0F01" w:rsidRDefault="00256907" w:rsidP="00256907">
      <w:pPr>
        <w:jc w:val="both"/>
        <w:rPr>
          <w:rFonts w:asciiTheme="minorHAnsi" w:hAnsiTheme="minorHAnsi"/>
          <w:b/>
          <w:bCs/>
          <w:color w:val="000000" w:themeColor="text1"/>
          <w:sz w:val="24"/>
          <w:szCs w:val="24"/>
        </w:rPr>
      </w:pPr>
    </w:p>
    <w:p w14:paraId="453F5C33"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  8. I commi 1 e 2 dell'articolo 14 della legge 21 marzo 1990, n. 53, sono sostituiti dai seguenti:</w:t>
      </w:r>
    </w:p>
    <w:p w14:paraId="2AC0D7A3" w14:textId="77777777" w:rsidR="00256907" w:rsidRPr="002E0F01" w:rsidRDefault="00256907" w:rsidP="00256907">
      <w:pPr>
        <w:jc w:val="both"/>
        <w:rPr>
          <w:rFonts w:asciiTheme="minorHAnsi" w:hAnsiTheme="minorHAnsi"/>
          <w:b/>
          <w:bCs/>
          <w:color w:val="000000" w:themeColor="text1"/>
          <w:sz w:val="24"/>
          <w:szCs w:val="24"/>
        </w:rPr>
      </w:pPr>
    </w:p>
    <w:p w14:paraId="431D4A27"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 Sono competenti ad eseguire le autenticazioni che non siano attribuite esclusivamente ai notai e che siano previste dalla legge 6 febbraio 1948, n. 29, dalla legge 8 marzo 1951, n. 122, dal testo unico delle leggi recanti norme per la elezione della Camera dei deputati, di cui al decreto del Presidente della Repubblica 30 marzo 1957, n. 361, dal testo unico delle leggi per la composizione e la elezione degli organi delle Amministrazioni comunali, di cui al decreto del Presidente della Repubblica 16 maggio 1960, n. 570, dalla legge 17 febbraio 1968, n. 108, dal decreto-legge 3 maggio 1976, n. 161, convertito, con modificazioni, dalla legge 14 maggio 1976, n. 240, dalla legge 24 gennaio 1979, n. 18, e dalla legge 25 maggio 1970, n. 352, nonché per le elezioni previste dalla legge 7 aprile 2014, n. 56, i notai, i giudici di pace, i cancellieri e i collaboratori delle cancellerie delle corti d'appello e dei tribunali, i segretari delle procure della Repubblica, i membri del Parlamento, i consiglieri regionali, i presidenti delle province, i sindaci metropolitani,</w:t>
      </w:r>
      <w:r w:rsidRPr="002E0F01">
        <w:rPr>
          <w:b/>
          <w:bCs/>
          <w:color w:val="000000" w:themeColor="text1"/>
          <w:sz w:val="24"/>
          <w:szCs w:val="24"/>
        </w:rPr>
        <w:t xml:space="preserve"> </w:t>
      </w:r>
      <w:r w:rsidRPr="002E0F01">
        <w:rPr>
          <w:rFonts w:asciiTheme="minorHAnsi" w:hAnsiTheme="minorHAnsi"/>
          <w:b/>
          <w:bCs/>
          <w:color w:val="000000" w:themeColor="text1"/>
          <w:sz w:val="24"/>
          <w:szCs w:val="24"/>
        </w:rPr>
        <w:t xml:space="preserve">i sindaci, gli assessori comunali e provinciali, i componenti della 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le autenticazioni di cui al presente comma gli avvocati iscritti </w:t>
      </w:r>
      <w:r w:rsidRPr="002E0F01">
        <w:rPr>
          <w:rFonts w:asciiTheme="minorHAnsi" w:hAnsiTheme="minorHAnsi"/>
          <w:b/>
          <w:bCs/>
          <w:color w:val="000000" w:themeColor="text1"/>
          <w:sz w:val="24"/>
          <w:szCs w:val="24"/>
        </w:rPr>
        <w:lastRenderedPageBreak/>
        <w:t>all'albo che hanno comunicato la propria disponibilità all'ordine di appartenenza, i cui nominativi sono tempestivamente pubblicati nel sito internet istituzionale dell'ordine.</w:t>
      </w:r>
    </w:p>
    <w:p w14:paraId="55B28E03"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   2. L'autenticazione deve essere compiuta con le modalità di cui all'articolo 21, comma 2, del testo unico delle disposizioni legislative e regolamentari in materia di documentazione amministrativa, di cui al decreto del Presidente della Repubblica 28 dicembre 2000, n. 445».</w:t>
      </w:r>
    </w:p>
    <w:p w14:paraId="3DFEECBF" w14:textId="77777777" w:rsidR="00256907" w:rsidRPr="002E0F01" w:rsidRDefault="00256907" w:rsidP="00256907">
      <w:pPr>
        <w:jc w:val="both"/>
        <w:rPr>
          <w:rFonts w:asciiTheme="minorHAnsi" w:hAnsiTheme="minorHAnsi"/>
          <w:b/>
          <w:bCs/>
          <w:color w:val="000000" w:themeColor="text1"/>
          <w:sz w:val="24"/>
          <w:szCs w:val="24"/>
        </w:rPr>
      </w:pPr>
    </w:p>
    <w:p w14:paraId="77CD253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  9. Dopo il comma 3 dell'articolo 1 della legge 7 agosto 2018, n. 99, sono inseriti seguenti:</w:t>
      </w:r>
    </w:p>
    <w:p w14:paraId="14189F6C" w14:textId="77777777" w:rsidR="00256907" w:rsidRPr="002E0F01" w:rsidRDefault="00256907" w:rsidP="00256907">
      <w:pPr>
        <w:jc w:val="both"/>
        <w:rPr>
          <w:rFonts w:asciiTheme="minorHAnsi" w:hAnsiTheme="minorHAnsi"/>
          <w:b/>
          <w:bCs/>
          <w:color w:val="000000" w:themeColor="text1"/>
          <w:sz w:val="24"/>
          <w:szCs w:val="24"/>
        </w:rPr>
      </w:pPr>
    </w:p>
    <w:p w14:paraId="0FA8A4D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   «3-bis. I rappresentanti dei partiti, delle formazioni politiche, dei movimenti e delle liste civiche che aderiscono alle norme del codice di autoregolamentazione di cui al comma 1, lettera i), possono trasmettere alla Commissione, con il consenso degli interessati, le liste delle candidature provvisorie per le elezioni dei membri del Parlamento europeo spettanti all'Italia, nonché per le elezioni politiche nazionali, regionali, comunali e circoscrizionali entro settantacinque giorni dallo svolgimento delle medesime elezioni. La Commissione verifica la sussistenza di eventuali condizioni ostative alle candidature ai sensi del citato codice di autoregolamentazione, con riguardo ai nominativi trasmessi nelle proposte di candidature provvisorie. Con un regolamento interno adottato dalla stessa Commissione sono disciplinate le modalità di controllo sulla selezione e sulle candidature ai fini di cui al comma 1, lettera i), stabilendo in particolare:</w:t>
      </w:r>
    </w:p>
    <w:p w14:paraId="53C78A57" w14:textId="77777777" w:rsidR="00256907" w:rsidRPr="002E0F01" w:rsidRDefault="00256907" w:rsidP="00256907">
      <w:pPr>
        <w:jc w:val="both"/>
        <w:rPr>
          <w:rFonts w:asciiTheme="minorHAnsi" w:hAnsiTheme="minorHAnsi"/>
          <w:b/>
          <w:bCs/>
          <w:color w:val="000000" w:themeColor="text1"/>
          <w:sz w:val="24"/>
          <w:szCs w:val="24"/>
        </w:rPr>
      </w:pPr>
    </w:p>
    <w:p w14:paraId="29131016"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il regime di pubblicità della declaratoria di incompatibilità dei candidati con le disposizioni del codice di autoregolamentazione;</w:t>
      </w:r>
    </w:p>
    <w:p w14:paraId="5B5CE5B8" w14:textId="77777777" w:rsidR="00256907" w:rsidRPr="002E0F01" w:rsidRDefault="00256907" w:rsidP="00256907">
      <w:pPr>
        <w:jc w:val="both"/>
        <w:rPr>
          <w:rFonts w:asciiTheme="minorHAnsi" w:hAnsiTheme="minorHAnsi"/>
          <w:b/>
          <w:bCs/>
          <w:color w:val="000000" w:themeColor="text1"/>
          <w:sz w:val="24"/>
          <w:szCs w:val="24"/>
        </w:rPr>
      </w:pPr>
    </w:p>
    <w:p w14:paraId="15E5B9DC"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la riservatezza sull'esito del controllo concernente le liste provvisorie di candidati;</w:t>
      </w:r>
    </w:p>
    <w:p w14:paraId="2917E39F" w14:textId="77777777" w:rsidR="00256907" w:rsidRPr="002E0F01" w:rsidRDefault="00256907" w:rsidP="00256907">
      <w:pPr>
        <w:jc w:val="both"/>
        <w:rPr>
          <w:rFonts w:asciiTheme="minorHAnsi" w:hAnsiTheme="minorHAnsi"/>
          <w:b/>
          <w:bCs/>
          <w:color w:val="000000" w:themeColor="text1"/>
          <w:sz w:val="24"/>
          <w:szCs w:val="24"/>
        </w:rPr>
      </w:pPr>
    </w:p>
    <w:p w14:paraId="1484152B"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   c) la celerità dei tempi affinché gli esiti dei controlli sulle liste provvisorie di candidati siano comunicati secondo modi e tempi tali da garantire ai partiti, alle formazioni politiche, ai movimenti e alle liste civiche l'effettiva possibilità di modificare la composizione delle liste prima dello scadere dei termini di presentazione a pena di decadenza previsti dalla legislazione elettorale.</w:t>
      </w:r>
    </w:p>
    <w:p w14:paraId="2A2CD443" w14:textId="77777777" w:rsidR="00256907" w:rsidRPr="002E0F01" w:rsidRDefault="00256907" w:rsidP="00256907">
      <w:pPr>
        <w:jc w:val="both"/>
        <w:rPr>
          <w:rFonts w:asciiTheme="minorHAnsi" w:hAnsiTheme="minorHAnsi"/>
          <w:b/>
          <w:bCs/>
          <w:color w:val="000000" w:themeColor="text1"/>
          <w:sz w:val="24"/>
          <w:szCs w:val="24"/>
        </w:rPr>
      </w:pPr>
    </w:p>
    <w:p w14:paraId="14D7C650"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   3-ter. In sede di prima applicazione delle disposizioni del comma 3-bis, le candidature possono essere trasmesse alla Commissione entro dieci giorni dalla data di entrata in vigore della presente disposizione».</w:t>
      </w:r>
    </w:p>
    <w:p w14:paraId="34DFB8D7" w14:textId="77777777" w:rsidR="00256907" w:rsidRPr="002E0F01" w:rsidRDefault="00256907" w:rsidP="00256907">
      <w:pPr>
        <w:jc w:val="both"/>
        <w:rPr>
          <w:rFonts w:asciiTheme="minorHAnsi" w:hAnsiTheme="minorHAnsi"/>
          <w:b/>
          <w:bCs/>
          <w:color w:val="000000" w:themeColor="text1"/>
          <w:sz w:val="24"/>
          <w:szCs w:val="24"/>
        </w:rPr>
      </w:pPr>
    </w:p>
    <w:p w14:paraId="05C2D86A"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  10. All'articolo 1 della legge 27 dicembre 2019, n. 160, sono apportate le seguenti modificazioni:</w:t>
      </w:r>
    </w:p>
    <w:p w14:paraId="1EF518DA" w14:textId="77777777" w:rsidR="00256907" w:rsidRPr="002E0F01" w:rsidRDefault="00256907" w:rsidP="00256907">
      <w:pPr>
        <w:jc w:val="both"/>
        <w:rPr>
          <w:rFonts w:asciiTheme="minorHAnsi" w:hAnsiTheme="minorHAnsi"/>
          <w:b/>
          <w:bCs/>
          <w:color w:val="000000" w:themeColor="text1"/>
          <w:sz w:val="24"/>
          <w:szCs w:val="24"/>
        </w:rPr>
      </w:pPr>
    </w:p>
    <w:p w14:paraId="3BC71B78"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   a) al comma 627, dopo le parole: «politiche» sono inserite le seguenti «regionali, amministrative»</w:t>
      </w:r>
    </w:p>
    <w:p w14:paraId="60758DE1" w14:textId="77777777" w:rsidR="00256907" w:rsidRPr="002E0F01" w:rsidRDefault="00256907" w:rsidP="00256907">
      <w:pPr>
        <w:jc w:val="both"/>
        <w:rPr>
          <w:rFonts w:asciiTheme="minorHAnsi" w:hAnsiTheme="minorHAnsi"/>
          <w:b/>
          <w:bCs/>
          <w:color w:val="000000" w:themeColor="text1"/>
          <w:sz w:val="24"/>
          <w:szCs w:val="24"/>
        </w:rPr>
      </w:pPr>
    </w:p>
    <w:p w14:paraId="18D0CEED"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   b) al comma 628 è aggiunto, in fine, il seguente periodo: «Le disposizioni del decreto di cui al primo periodo si applicano anche alle elezioni regionali e amministrative, previo il necessario adeguamento da realizzarsi entro il 31 ottobre 2021 al fine di consentire la sperimentazione per il turno elettorale dell'anno 2022».</w:t>
      </w:r>
    </w:p>
    <w:p w14:paraId="1D9F19F0" w14:textId="77777777" w:rsidR="00256907" w:rsidRPr="002E0F01" w:rsidRDefault="00256907" w:rsidP="00256907">
      <w:pPr>
        <w:jc w:val="both"/>
        <w:rPr>
          <w:rFonts w:asciiTheme="minorHAnsi" w:hAnsiTheme="minorHAnsi"/>
          <w:b/>
          <w:bCs/>
          <w:color w:val="000000" w:themeColor="text1"/>
          <w:sz w:val="24"/>
          <w:szCs w:val="24"/>
        </w:rPr>
      </w:pPr>
    </w:p>
    <w:p w14:paraId="7BB2DCBB" w14:textId="77777777" w:rsidR="00256907" w:rsidRPr="002E0F01" w:rsidRDefault="00256907" w:rsidP="00256907">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  11. Dall'attuazione delle disposizioni di cui al presente articolo non devono derivare nuovi o maggiori oneri a carico della finanza pubblica. Le amministrazioni interessate provvedono all'attuazione delle relative disposizioni con le risorse umane, strumentali e finanziarie disponibili a legislazione vigente.</w:t>
      </w:r>
      <w:r>
        <w:rPr>
          <w:rStyle w:val="Rimandonotaapidipagina"/>
          <w:rFonts w:asciiTheme="minorHAnsi" w:hAnsiTheme="minorHAnsi"/>
          <w:b/>
          <w:bCs/>
          <w:color w:val="000000" w:themeColor="text1"/>
          <w:sz w:val="24"/>
          <w:szCs w:val="24"/>
        </w:rPr>
        <w:footnoteReference w:id="56"/>
      </w:r>
    </w:p>
    <w:p w14:paraId="17CAFC41" w14:textId="77777777" w:rsidR="00BA0CCD" w:rsidRPr="002E0F01" w:rsidRDefault="00BA0CCD" w:rsidP="00FE6EBF">
      <w:pPr>
        <w:jc w:val="both"/>
        <w:rPr>
          <w:rFonts w:asciiTheme="minorHAnsi" w:hAnsiTheme="minorHAnsi"/>
          <w:b/>
          <w:bCs/>
          <w:color w:val="000000" w:themeColor="text1"/>
          <w:sz w:val="24"/>
          <w:szCs w:val="24"/>
        </w:rPr>
      </w:pPr>
    </w:p>
    <w:p w14:paraId="613C0913" w14:textId="77777777" w:rsidR="00FE6EBF" w:rsidRPr="00EF5B01" w:rsidRDefault="00FE6EBF"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351856" w14:textId="77777777" w:rsidR="00160E2F" w:rsidRPr="002E0F01" w:rsidRDefault="00160E2F" w:rsidP="00160E2F">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Art. 38-bis.</w:t>
      </w:r>
    </w:p>
    <w:p w14:paraId="2AF36D71" w14:textId="77777777" w:rsidR="00160E2F" w:rsidRPr="002E0F01" w:rsidRDefault="00160E2F" w:rsidP="00160E2F">
      <w:pPr>
        <w:jc w:val="center"/>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(Misure per la diffusione delle comunicazioni digitali)</w:t>
      </w:r>
    </w:p>
    <w:p w14:paraId="57BA457E" w14:textId="77777777" w:rsidR="00160E2F" w:rsidRPr="002E0F01" w:rsidRDefault="00160E2F" w:rsidP="00160E2F">
      <w:pPr>
        <w:jc w:val="center"/>
        <w:rPr>
          <w:rFonts w:asciiTheme="minorHAnsi" w:hAnsiTheme="minorHAnsi"/>
          <w:b/>
          <w:bCs/>
          <w:color w:val="000000" w:themeColor="text1"/>
          <w:sz w:val="24"/>
          <w:szCs w:val="24"/>
        </w:rPr>
      </w:pPr>
    </w:p>
    <w:p w14:paraId="2008CA84" w14:textId="77777777" w:rsidR="00160E2F" w:rsidRPr="002E0F01" w:rsidRDefault="00160E2F" w:rsidP="00160E2F">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lastRenderedPageBreak/>
        <w:t>  1. Al fine di incentivare l'utilizzo delle comunicazioni digitali e di semplificare le procedure di invio e ricezione di comunicazioni tra imprese ed utenti, all'articolo 1, comma 291, della legge 27 dicembre 2019, n. 160, sono aggiunte, in fine, le seguenti parole: «ovvero mediante posta elettronica certificata al domicilio digitale del destinatario ai sensi dell'articolo 6 del codice dell'amministrazione digitale di cui al decreto legislativo 7 marzo 2005, n. 82»</w:t>
      </w:r>
      <w:r>
        <w:rPr>
          <w:rStyle w:val="Rimandonotaapidipagina"/>
          <w:rFonts w:asciiTheme="minorHAnsi" w:hAnsiTheme="minorHAnsi"/>
          <w:b/>
          <w:bCs/>
          <w:color w:val="000000" w:themeColor="text1"/>
          <w:sz w:val="24"/>
          <w:szCs w:val="24"/>
        </w:rPr>
        <w:footnoteReference w:id="57"/>
      </w:r>
    </w:p>
    <w:p w14:paraId="0C4DF85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3C883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39.</w:t>
      </w:r>
    </w:p>
    <w:p w14:paraId="7B421CF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di dati pubblici)</w:t>
      </w:r>
    </w:p>
    <w:p w14:paraId="325EF7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4B5D0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62 del decreto legislativo 7 marzo 2005, n. 82, sono apportate le seguenti modificazioni:</w:t>
      </w:r>
    </w:p>
    <w:p w14:paraId="663D6F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DCE9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2-bis, dopo le parole «registri di stato civile tenuti dai comuni,» sono inserite le seguenti «garantendo agli stessi, anche progressivamente, i servizi necessari all'utilizzo del medesimo» e le parole «con uno dei decreti di cui al comma 6, in cui è stabilito anche un programma di integrazione da completarsi entro il 31 dicembre 2018», sono sostituite dalle seguenti «con uno o più decreti di cui al comma 6-bis»;</w:t>
      </w:r>
    </w:p>
    <w:p w14:paraId="7EF027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24D69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2-bis è aggiunto il seguente: «2-ter. Con uno o più decreti di cui al comma 6-bis sono definite le modalità di integrazione nell'ANPR delle liste elettorali e dei dati relativi all'iscrizione nelle liste di sezione di cui al decreto del Presidente della Repubblica 20 marzo 1967, n. 223.»;</w:t>
      </w:r>
    </w:p>
    <w:p w14:paraId="464830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681F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3, quarto periodo, dopo le parole «del 23 luglio 2014», sono aggiunte le seguenti: «, esenti da imposta di bollo limitatamente all'anno 2021» e, al quinto periodo, dopo le parole «inoltre possono consentire,» sono aggiunte le seguenti: «mediante la piattaforma di cui all'articolo 50-ter ovvero»;</w:t>
      </w:r>
    </w:p>
    <w:p w14:paraId="677E84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B9DA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   d) il comma 6-bis è sostituito dal seguente «6-bis. Con uno o più decreti del Ministro dell'interno, adottati d'intesa con il Ministro per l'innovazione tecnologica e la transizione digitale e il Ministro per la pubblica amministrazione, sentiti il Garante per la protezione dei dati personali e la Conferenza Stato-città ed autonomie locali, sono assicurati l'aggiornamento dei servizi resi disponibili dall'ANPR alle </w:t>
      </w:r>
      <w:r w:rsidRPr="00EF5B01">
        <w:rPr>
          <w:rFonts w:asciiTheme="minorHAnsi" w:eastAsia="Times New Roman" w:hAnsiTheme="minorHAnsi" w:cs="Times New Roman"/>
          <w:bCs/>
          <w:iCs/>
          <w:color w:val="000000" w:themeColor="text1"/>
          <w:sz w:val="24"/>
          <w:szCs w:val="24"/>
        </w:rPr>
        <w:lastRenderedPageBreak/>
        <w:t>pubbliche amministrazioni, agli organismi che erogano pubblici servizi e ai privati, nonché l'adeguamento e l'evoluzione delle caratteristiche tecniche della piattaforma di funzionamento dell'ANPR.».</w:t>
      </w:r>
    </w:p>
    <w:p w14:paraId="240FCA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E110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fine di favorire la condivisione e l'utilizzo del patrimonio informativo pubblico per l'esercizio di finalità istituzionali e la semplificazione degli oneri per cittadini e le imprese, al decreto legislativo 7 marzo 2005, n. 82, sono apportate le seguenti modificazioni:</w:t>
      </w:r>
    </w:p>
    <w:p w14:paraId="313BEFF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715F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50:</w:t>
      </w:r>
    </w:p>
    <w:p w14:paraId="0F696E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C66B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2-ter, primo periodo, le parole «delle pubbliche amministrazioni e dei gestori di servizi pubblici, attraverso la predisposizione di accordi quadro» sono sostituite dalle seguenti: «dei soggetti che hanno diritto ad accedervi» e, al secondo periodo, le parole «Con gli stessi accordi, le» sono sostituite dalla seguente: «Le»;</w:t>
      </w:r>
    </w:p>
    <w:p w14:paraId="0922C3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A1EE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3-bis, dopo le parole «non modifica la titolarità del dato» sono aggiunte le seguenti: «e del trattamento, ferme restando le responsabilità delle amministrazioni che ricevono e trattano il dato in qualità di titolari autonomi del trattamento»;</w:t>
      </w:r>
    </w:p>
    <w:p w14:paraId="004CDB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89BF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3-ter, il primo periodo è soppresso;</w:t>
      </w:r>
    </w:p>
    <w:p w14:paraId="027FD8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A4CD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50-ter:</w:t>
      </w:r>
    </w:p>
    <w:p w14:paraId="3667E8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589E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dopo le parole «accedervi ai fini» sono aggiunte le seguenti: «dell'attuazione dell'articolo 50 e» e le parole «e agli accordi quadro previsti dall'articolo 50» sono soppresse;</w:t>
      </w:r>
    </w:p>
    <w:p w14:paraId="21B85C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B880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quinto periodo, le parole «il sistema informativo dell'indicatore della situazione economica equivalente (ISEE) di cui all'articolo 5 e 71 del decreto-legge 6 dicembre 2011, n. 201, convertito, con modificazioni, dalla legge 22 dicembre 2011, n. 214, con l'Anagrafe nazionale della popolazione residente di cui all'articolo 62» sono sostituite dalle seguenti: «le basi dati di interesse nazionale di cui all'articolo 60, comma 3-bis»;</w:t>
      </w:r>
    </w:p>
    <w:p w14:paraId="1929B2D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BEAC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al comma 2, sesto periodo, dopo le parole «nonché il processo di accreditamento e di fruizione del catalogo API» sono aggiunte le seguenti: «con i limiti e le condizioni di accesso volti ad assicurare il corretto trattamento dei dati personali ai sensi della normativa vigente»;</w:t>
      </w:r>
    </w:p>
    <w:p w14:paraId="00E71F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AFBEC6"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dopo il comma 2 è inserito il seguente: «2-bis. Il Presidente del Consiglio dei Ministri o il Ministro delegato per l'innovazione tecnologica e la transizione digitale, ultimati i test e le prove tecniche di corretto funzionamento della piattaforma, fissa il termine entro il quale i soggetti di cui all'articolo 2, comma 2, sono tenuti ad accreditarsi alla stessa, a sviluppare le interfacce di cui al comma 2 e a rendere disponibili le proprie basi dati.»;</w:t>
      </w:r>
    </w:p>
    <w:p w14:paraId="1A368CE5" w14:textId="77777777" w:rsidR="00390CF5" w:rsidRDefault="00390CF5"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C7FFC3" w14:textId="77777777" w:rsidR="00390CF5" w:rsidRPr="002E0F01" w:rsidRDefault="00390CF5" w:rsidP="00390CF5">
      <w:pPr>
        <w:jc w:val="both"/>
        <w:rPr>
          <w:rFonts w:asciiTheme="minorHAnsi" w:hAnsiTheme="minorHAnsi"/>
          <w:b/>
          <w:bCs/>
          <w:color w:val="000000" w:themeColor="text1"/>
          <w:sz w:val="24"/>
          <w:szCs w:val="24"/>
        </w:rPr>
      </w:pPr>
      <w:r w:rsidRPr="002E0F01">
        <w:rPr>
          <w:rFonts w:asciiTheme="minorHAnsi" w:hAnsiTheme="minorHAnsi"/>
          <w:b/>
          <w:bCs/>
          <w:color w:val="000000" w:themeColor="text1"/>
          <w:sz w:val="24"/>
          <w:szCs w:val="24"/>
        </w:rPr>
        <w:t>    4-bis) al comma 4, sono aggiunte, in fine, le seguenti parole: «Il decreto di cui al presente comma è comunicato alle Commissioni parlamentari competenti».</w:t>
      </w:r>
      <w:r>
        <w:rPr>
          <w:rStyle w:val="Rimandonotaapidipagina"/>
          <w:rFonts w:asciiTheme="minorHAnsi" w:hAnsiTheme="minorHAnsi"/>
          <w:b/>
          <w:bCs/>
          <w:color w:val="000000" w:themeColor="text1"/>
          <w:sz w:val="24"/>
          <w:szCs w:val="24"/>
        </w:rPr>
        <w:footnoteReference w:id="58"/>
      </w:r>
    </w:p>
    <w:p w14:paraId="48ABBC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F5CDA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60, comma 3-bis, dopo la lettera f-ter), sono aggiunte le seguenti:</w:t>
      </w:r>
    </w:p>
    <w:p w14:paraId="28413B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84A9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    «f-quater) l'archivio nazionale dei veicoli e l'anagrafe nazionale degli abilitati alla guida di cui agli articoli 225 e 226 del decreto legislativo 30 aprile 1992, n. 285;</w:t>
      </w:r>
    </w:p>
    <w:p w14:paraId="2167DD5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A3D2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    f-quinquies) il sistema informativo dell'indicatore della situazione economica equivalente (ISEE) di cui all'articolo 5 del decreto-legge 6 dicembre 2011, n. 201, convertito, con modificazioni, dalla legge 22 dicembre 2011, n. 214;</w:t>
      </w:r>
    </w:p>
    <w:p w14:paraId="2FE003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FBB5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    f-sexies) l'anagrafe nazionale dei numeri civici e delle strade urbane (ANNCSU), di cui all'articolo 3 del decreto-legge 18 ottobre 2012, n. 179 convertito, con modificazioni, dalla legge 17 dicembre 2012, n. 221;</w:t>
      </w:r>
    </w:p>
    <w:p w14:paraId="366C4C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BACB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w:t>
      </w:r>
      <w:proofErr w:type="spellStart"/>
      <w:r w:rsidRPr="00EF5B01">
        <w:rPr>
          <w:rFonts w:asciiTheme="minorHAnsi" w:eastAsia="Times New Roman" w:hAnsiTheme="minorHAnsi" w:cs="Times New Roman"/>
          <w:bCs/>
          <w:iCs/>
          <w:color w:val="000000" w:themeColor="text1"/>
          <w:sz w:val="24"/>
          <w:szCs w:val="24"/>
        </w:rPr>
        <w:t>septies</w:t>
      </w:r>
      <w:proofErr w:type="spellEnd"/>
      <w:r w:rsidRPr="00EF5B01">
        <w:rPr>
          <w:rFonts w:asciiTheme="minorHAnsi" w:eastAsia="Times New Roman" w:hAnsiTheme="minorHAnsi" w:cs="Times New Roman"/>
          <w:bCs/>
          <w:iCs/>
          <w:color w:val="000000" w:themeColor="text1"/>
          <w:sz w:val="24"/>
          <w:szCs w:val="24"/>
        </w:rPr>
        <w:t>) l'indice nazionale dei domicili digitali delle persone fisiche, dei professionisti e degli altri enti di diritto privato, non tenuti all'iscrizione in albi, elenchi o registri professionali o nel registro delle imprese di cui all'articolo 6-quater.»;</w:t>
      </w:r>
    </w:p>
    <w:p w14:paraId="60248C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34D6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   d) all'articolo 60, comma 3-ter, dopo le parole «comunitari, individua» sono aggiunte le seguenti: «, aggiorna» e, in fine, sono aggiunte le seguenti: «, ulteriori rispetto a quelle individuate in via prioritaria dal comma 3-bis».</w:t>
      </w:r>
    </w:p>
    <w:p w14:paraId="0718EB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1E7B0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Con esclusione </w:t>
      </w:r>
      <w:proofErr w:type="gramStart"/>
      <w:r w:rsidRPr="00EF5B01">
        <w:rPr>
          <w:rFonts w:asciiTheme="minorHAnsi" w:eastAsia="Times New Roman" w:hAnsiTheme="minorHAnsi" w:cs="Times New Roman"/>
          <w:bCs/>
          <w:iCs/>
          <w:color w:val="000000" w:themeColor="text1"/>
          <w:sz w:val="24"/>
          <w:szCs w:val="24"/>
        </w:rPr>
        <w:t>delle lettera</w:t>
      </w:r>
      <w:proofErr w:type="gramEnd"/>
      <w:r w:rsidRPr="00EF5B01">
        <w:rPr>
          <w:rFonts w:asciiTheme="minorHAnsi" w:eastAsia="Times New Roman" w:hAnsiTheme="minorHAnsi" w:cs="Times New Roman"/>
          <w:bCs/>
          <w:iCs/>
          <w:color w:val="000000" w:themeColor="text1"/>
          <w:sz w:val="24"/>
          <w:szCs w:val="24"/>
        </w:rPr>
        <w:t xml:space="preserve"> c) del comma 1, l'efficacia delle disposizioni dei commi 1 e 2, i cui oneri sono a carico delle risorse previste per l'attuazione di progetti compresi nel PNRR, resta subordinata alla definitiva approvazione del PNRR da parte del Consiglio dell'Unione europea.</w:t>
      </w:r>
    </w:p>
    <w:p w14:paraId="466340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264 del decreto-legge 19 maggio 2020, n. 34, convertito, con modificazioni, dalla legge 17 luglio 2020, n. 77, il comma 3 è abrogato.</w:t>
      </w:r>
    </w:p>
    <w:p w14:paraId="68AC1B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del Presidente della Repubblica 28 dicembre 2000, n. 445, sono apportate le seguenti modificazioni:</w:t>
      </w:r>
    </w:p>
    <w:p w14:paraId="2D95853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23F5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43, comma 2, il secondo periodo è soppresso;</w:t>
      </w:r>
    </w:p>
    <w:p w14:paraId="6A8B59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E6E4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72, comma 1, le parole «e della predisposizione delle convenzioni quadro di cui all'articolo 58 del codice dell'amministrazione digitale, di cui al decreto legislativo 7 marzo 2005, n. 82» sono soppresse.</w:t>
      </w:r>
    </w:p>
    <w:p w14:paraId="7ACADF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EACB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La disposizione di cui al comma 5, lettera a), ha efficacia dalla data fissata ai sensi dell'articolo 50-ter, comma 2-bis, del decreto legislativo 7 marzo 2005, n. 82, inserito dal presente decreto. Fino alla predetta data, resta assicurata l'interoperabilità dei dati di cui all'articolo 50 del decreto legislativo 7 marzo 2005, n. 82, tramite accordi quadro, accordi di fruizione o apposita autorizzazione.</w:t>
      </w:r>
    </w:p>
    <w:p w14:paraId="719CBB92"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Agli oneri derivanti dal comma 1, lettera c), valutati in 22,8 milioni di euro per l'anno 2021 si provvede mediante corrispondente riduzione dell'autorizzazione di spesa di cui all'articolo 1, comma 34 della legge 30 dicembre 2020, n. 178.</w:t>
      </w:r>
    </w:p>
    <w:p w14:paraId="24D4D6C3" w14:textId="77777777" w:rsidR="00424301" w:rsidRDefault="004243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3FC119" w14:textId="77777777" w:rsidR="00424301" w:rsidRPr="00D506C3" w:rsidRDefault="00424301" w:rsidP="00424301">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Art. 39-bis.</w:t>
      </w:r>
    </w:p>
    <w:p w14:paraId="6CDF8FC8" w14:textId="77777777" w:rsidR="00424301" w:rsidRPr="00D506C3" w:rsidRDefault="00424301" w:rsidP="00424301">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(Ulteriore proroga del termine per la raccolta di sottoscrizioni a fini referendari)</w:t>
      </w:r>
    </w:p>
    <w:p w14:paraId="579BD23B" w14:textId="77777777" w:rsidR="00424301" w:rsidRPr="00D506C3" w:rsidRDefault="00424301" w:rsidP="00424301">
      <w:pPr>
        <w:jc w:val="both"/>
        <w:rPr>
          <w:rFonts w:asciiTheme="minorHAnsi" w:hAnsiTheme="minorHAnsi"/>
          <w:b/>
          <w:bCs/>
          <w:color w:val="000000" w:themeColor="text1"/>
          <w:sz w:val="24"/>
          <w:szCs w:val="24"/>
        </w:rPr>
      </w:pPr>
    </w:p>
    <w:p w14:paraId="0FDD14E7" w14:textId="77777777" w:rsidR="00424301" w:rsidRPr="00D506C3"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  1. Al comma 1-bis dell'articolo 11 del decreto-legge 22 aprile 2021, n. 52, convertito, con modificazioni, dalla legge 17 giugno 2021, n. 87, sono apportate le seguenti modificazioni:</w:t>
      </w:r>
    </w:p>
    <w:p w14:paraId="2F7791E0" w14:textId="77777777" w:rsidR="00424301" w:rsidRPr="00D506C3" w:rsidRDefault="00424301" w:rsidP="00424301">
      <w:pPr>
        <w:jc w:val="both"/>
        <w:rPr>
          <w:rFonts w:asciiTheme="minorHAnsi" w:hAnsiTheme="minorHAnsi"/>
          <w:b/>
          <w:bCs/>
          <w:color w:val="000000" w:themeColor="text1"/>
          <w:sz w:val="24"/>
          <w:szCs w:val="24"/>
        </w:rPr>
      </w:pPr>
    </w:p>
    <w:p w14:paraId="1923FB72" w14:textId="77777777" w:rsidR="00424301" w:rsidRPr="00D506C3"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   a) le parole: «15 maggio» sono sostituite dalle seguenti: «15 giugno»;</w:t>
      </w:r>
    </w:p>
    <w:p w14:paraId="1471F951" w14:textId="77777777" w:rsidR="00424301" w:rsidRPr="00D506C3" w:rsidRDefault="00424301" w:rsidP="00424301">
      <w:pPr>
        <w:jc w:val="both"/>
        <w:rPr>
          <w:rFonts w:asciiTheme="minorHAnsi" w:hAnsiTheme="minorHAnsi"/>
          <w:b/>
          <w:bCs/>
          <w:color w:val="000000" w:themeColor="text1"/>
          <w:sz w:val="24"/>
          <w:szCs w:val="24"/>
        </w:rPr>
      </w:pPr>
    </w:p>
    <w:p w14:paraId="7376550A" w14:textId="77777777" w:rsidR="00424301" w:rsidRDefault="00424301" w:rsidP="00424301">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   b) è aggiunto, in fine, il seguente periodo: «I termini previsti dagli articoli 32 e 33, commi 1 e 4, della citata legge n. 352 del 1970 sono differiti di un mese».</w:t>
      </w:r>
      <w:r>
        <w:rPr>
          <w:rStyle w:val="Rimandonotaapidipagina"/>
          <w:rFonts w:asciiTheme="minorHAnsi" w:hAnsiTheme="minorHAnsi"/>
          <w:b/>
          <w:bCs/>
          <w:color w:val="000000" w:themeColor="text1"/>
          <w:sz w:val="24"/>
          <w:szCs w:val="24"/>
        </w:rPr>
        <w:footnoteReference w:id="59"/>
      </w:r>
    </w:p>
    <w:p w14:paraId="1DA95ED1" w14:textId="77777777" w:rsidR="00A8330A" w:rsidRDefault="00A8330A" w:rsidP="00424301">
      <w:pPr>
        <w:jc w:val="both"/>
        <w:rPr>
          <w:rFonts w:asciiTheme="minorHAnsi" w:hAnsiTheme="minorHAnsi"/>
          <w:b/>
          <w:bCs/>
          <w:color w:val="000000" w:themeColor="text1"/>
          <w:sz w:val="24"/>
          <w:szCs w:val="24"/>
        </w:rPr>
      </w:pPr>
    </w:p>
    <w:p w14:paraId="05A726E9" w14:textId="77777777" w:rsidR="00A8330A" w:rsidRPr="00D506C3" w:rsidRDefault="00A8330A" w:rsidP="00A8330A">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Art. 39-bis.</w:t>
      </w:r>
    </w:p>
    <w:p w14:paraId="788C67D9" w14:textId="77777777" w:rsidR="00A8330A" w:rsidRPr="00D506C3" w:rsidRDefault="00A8330A" w:rsidP="00A8330A">
      <w:pPr>
        <w:jc w:val="center"/>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(Semplificazione della richiesta di occupazione del suolo pubblico per attività politica)</w:t>
      </w:r>
    </w:p>
    <w:p w14:paraId="3D78DA4E" w14:textId="77777777" w:rsidR="00A8330A" w:rsidRPr="00D506C3" w:rsidRDefault="00A8330A" w:rsidP="00A8330A">
      <w:pPr>
        <w:jc w:val="both"/>
        <w:rPr>
          <w:rFonts w:asciiTheme="minorHAnsi" w:hAnsiTheme="minorHAnsi"/>
          <w:b/>
          <w:bCs/>
          <w:color w:val="000000" w:themeColor="text1"/>
          <w:sz w:val="24"/>
          <w:szCs w:val="24"/>
        </w:rPr>
      </w:pPr>
    </w:p>
    <w:p w14:paraId="605BC085" w14:textId="77777777" w:rsidR="00A8330A" w:rsidRPr="00D506C3" w:rsidRDefault="00A8330A" w:rsidP="00A8330A">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  1. Al comma 67 dell'articolo 3 della legge 28 dicembre 1995, n. 549, è aggiunto, in fine, il seguente periodo: «Le richieste devono pervenire almeno dieci giorni prima della data prevista per lo svolgimento della manifestazione o dell'iniziativa, salvo che i regolamenti comunali dispongano termini più brevi».</w:t>
      </w:r>
      <w:r>
        <w:rPr>
          <w:rStyle w:val="Rimandonotaapidipagina"/>
          <w:rFonts w:asciiTheme="minorHAnsi" w:hAnsiTheme="minorHAnsi"/>
          <w:b/>
          <w:bCs/>
          <w:color w:val="000000" w:themeColor="text1"/>
          <w:sz w:val="24"/>
          <w:szCs w:val="24"/>
        </w:rPr>
        <w:footnoteReference w:id="60"/>
      </w:r>
    </w:p>
    <w:p w14:paraId="3AF59485" w14:textId="77777777" w:rsidR="00A8330A" w:rsidRPr="00D506C3" w:rsidRDefault="00A8330A" w:rsidP="00424301">
      <w:pPr>
        <w:jc w:val="both"/>
        <w:rPr>
          <w:rFonts w:asciiTheme="minorHAnsi" w:hAnsiTheme="minorHAnsi"/>
          <w:b/>
          <w:bCs/>
          <w:color w:val="000000" w:themeColor="text1"/>
          <w:sz w:val="24"/>
          <w:szCs w:val="24"/>
        </w:rPr>
      </w:pPr>
    </w:p>
    <w:p w14:paraId="7A4F82DC" w14:textId="77777777" w:rsidR="00424301" w:rsidRPr="00EF5B01" w:rsidRDefault="004243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5C3C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7FD5F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40.</w:t>
      </w:r>
    </w:p>
    <w:p w14:paraId="2B411EF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del procedimento di autorizzazione per l'installazione di infrastrutture di comunicazione elettronica e agevolazione per l'infrastrutturazione digitale degli edifici e delle unità immobiliari)</w:t>
      </w:r>
    </w:p>
    <w:p w14:paraId="7C4E55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2E4E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86,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5F74D3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EBC80A"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w:t>
      </w:r>
      <w:r w:rsidR="009F4248">
        <w:rPr>
          <w:rFonts w:asciiTheme="minorHAnsi" w:eastAsia="Times New Roman" w:hAnsiTheme="minorHAnsi" w:cs="Times New Roman"/>
          <w:bCs/>
          <w:iCs/>
          <w:color w:val="000000" w:themeColor="text1"/>
          <w:sz w:val="24"/>
          <w:szCs w:val="24"/>
        </w:rPr>
        <w:t xml:space="preserve"> </w:t>
      </w:r>
      <w:r w:rsidR="009F4248" w:rsidRPr="00D506C3">
        <w:rPr>
          <w:rFonts w:asciiTheme="minorHAnsi" w:hAnsiTheme="minorHAnsi"/>
          <w:b/>
          <w:bCs/>
          <w:color w:val="000000" w:themeColor="text1"/>
          <w:sz w:val="24"/>
          <w:szCs w:val="24"/>
        </w:rPr>
        <w:t>alinea,</w:t>
      </w:r>
      <w:r w:rsidR="009F4248">
        <w:rPr>
          <w:rStyle w:val="Rimandonotaapidipagina"/>
          <w:rFonts w:asciiTheme="minorHAnsi" w:hAnsiTheme="minorHAnsi"/>
          <w:b/>
          <w:bCs/>
          <w:color w:val="000000" w:themeColor="text1"/>
          <w:sz w:val="24"/>
          <w:szCs w:val="24"/>
        </w:rPr>
        <w:footnoteReference w:id="61"/>
      </w:r>
      <w:r w:rsidRPr="00EF5B01">
        <w:rPr>
          <w:rFonts w:asciiTheme="minorHAnsi" w:eastAsia="Times New Roman" w:hAnsiTheme="minorHAnsi" w:cs="Times New Roman"/>
          <w:bCs/>
          <w:iCs/>
          <w:color w:val="000000" w:themeColor="text1"/>
          <w:sz w:val="24"/>
          <w:szCs w:val="24"/>
        </w:rPr>
        <w:t xml:space="preserve"> le parole «sei mesi» sono sostituite dalle seguenti: «novanta giorni»;</w:t>
      </w:r>
    </w:p>
    <w:p w14:paraId="3365DAF6" w14:textId="77777777" w:rsidR="00A8330A" w:rsidRDefault="00A8330A"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8DD31A" w14:textId="77777777" w:rsidR="00A8330A" w:rsidRPr="00D506C3" w:rsidRDefault="00A8330A" w:rsidP="00A8330A">
      <w:pPr>
        <w:jc w:val="both"/>
        <w:rPr>
          <w:rFonts w:asciiTheme="minorHAnsi" w:hAnsiTheme="minorHAnsi"/>
          <w:b/>
          <w:bCs/>
          <w:color w:val="000000" w:themeColor="text1"/>
          <w:sz w:val="24"/>
          <w:szCs w:val="24"/>
        </w:rPr>
      </w:pPr>
      <w:r w:rsidRPr="00D506C3">
        <w:rPr>
          <w:rFonts w:asciiTheme="minorHAnsi" w:hAnsiTheme="minorHAnsi"/>
          <w:b/>
          <w:bCs/>
          <w:color w:val="000000" w:themeColor="text1"/>
          <w:sz w:val="24"/>
          <w:szCs w:val="24"/>
        </w:rPr>
        <w:t>   a-bis) al comma 1, lettera a), dopo le parole: «proprietà pubbliche e private» sono inserite le seguenti: «, compresi i parchi e le riserve nazionali o regionali, nonché i territori di protezione esterna dei parchi,»</w:t>
      </w:r>
      <w:r>
        <w:rPr>
          <w:rStyle w:val="Rimandonotaapidipagina"/>
          <w:rFonts w:asciiTheme="minorHAnsi" w:hAnsiTheme="minorHAnsi"/>
          <w:b/>
          <w:bCs/>
          <w:color w:val="000000" w:themeColor="text1"/>
          <w:sz w:val="24"/>
          <w:szCs w:val="24"/>
        </w:rPr>
        <w:footnoteReference w:id="62"/>
      </w:r>
    </w:p>
    <w:p w14:paraId="0CE86E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D3C2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4, sono aggiunte, in fine, le seguenti parole: «, nel rispetto del procedimento autorizzatorio semplificato di cui agli articoli 87 e 88»;</w:t>
      </w:r>
    </w:p>
    <w:p w14:paraId="15E2C5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CBD81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87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222EAD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C970D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primo periodo, la parola «denuncia» è sostituita dalla seguente: «segnalazione» e, sono aggiunti, in fine, i seguenti periodi: «L'istanza ha valenza di istanza unica effettuata per tutti i profili connessi agli interventi e per tutte le amministrazioni o enti comunque coinvolti nel procedimento. Il soggetto richiedente dà notizia della presentazione dell'istanza a tutte le amministrazioni o enti coinvolti nel procedimento.»;</w:t>
      </w:r>
    </w:p>
    <w:p w14:paraId="11FB65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6F58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 7, 8 e 9 sono sostituiti dai seguenti:</w:t>
      </w:r>
    </w:p>
    <w:p w14:paraId="6EA1EB2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C819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   «6. 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n. 42, da adottare a conclusione di distinti procedimenti di competenza di diverse amministrazioni o enti, inclusi i gestori di beni o servizi pubblici, il responsabile del procedimento convoca, entro cinque giorni lavorativi dalla presentazione dell'istanza, una conferenza di servizi, alla quale prendono parte tutte le amministrazioni, enti e gestori di beni o servizi pubblici interessati dall'installazione, nonché un rappresentante dei soggetti preposti ai controlli di cui all'articolo 14 della legge 22 febbraio 2001, n. 36.</w:t>
      </w:r>
    </w:p>
    <w:p w14:paraId="1B8D02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La determinazione positiva della conferenza sostituisce ad ogni effetto tutti i provvedimenti, determinazioni, pareri, intese, concerti, nulla osta o altri atti di concessione, autorizzazione o assenso, comunque denominati, necessari per l'installazione delle infrastrutture di cui al comma 1, di competenza di tutte le amministrazioni, enti e gestori di beni o servizi pubblici interessati e vale altresì come dichiarazione di pubblica utilità, indifferibilità ed urgenza dei lavori. Della convocazione e dell'esito della conferenza viene comunque informato il Ministero.</w:t>
      </w:r>
    </w:p>
    <w:p w14:paraId="0BAD37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 predetta conferenza di servizi si applicano le disposizioni di cui agli articoli 14, 14-bis, 14-ter, 14-quater e 14-quinquies della legge 7 agosto 1990, n. 241, con il dimezzamento dei termini ivi indicati, ad eccezione del termine di cui al suddetto articolo 14-quinquies, e fermo restando l'obbligo di rispettare il termine perentorio finale di conclusione del presente procedimento indicato al comma 9.</w:t>
      </w:r>
    </w:p>
    <w:p w14:paraId="0F2916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 istanze di autorizzazione si intendono accolte qualora, entro il termine perentorio di novanta giorni dalla presentazione del progetto e della relativa domanda, non sia stato comunicato un provvedimento di diniego o un parere negativo da parte dell'organismo competente ad effettuare i controlli, di cui all'articolo 14 della legge 22 febbraio 2001, n. 36, 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Gli Enti locali possono prevedere termini più brevi per la conclusione dei relativi procedimenti ovvero ulteriori forme di semplificazione amministrativa, nel rispetto delle disposizioni stabilite dal presente comma. Decorso il suddetto termine, l'amministrazione procedente comunica, entro il termine perentorio di sette giorni, l'attestazione di avvenuta autorizzazione, scaduto il quale è sufficiente l'autocertificazione del richiedente. Sono fatti salvi i casi in cui disposizioni del diritto dell'Unione europea richiedono l'adozione di provvedimenti espressi.</w:t>
      </w:r>
    </w:p>
    <w:p w14:paraId="3658BA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041C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88 del decreto legislativo 1</w:t>
      </w:r>
      <w:r w:rsidR="00B43235">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agosto 2003, n. 259, sono apportate le seguenti modificazioni:</w:t>
      </w:r>
    </w:p>
    <w:p w14:paraId="09D0B5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DEBD2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 primo comma, è aggiunto, in fine, il seguente periodo: «Il richiedente dà notizia della presentazione dell'istanza a tutte le amministrazioni o enti coinvolti nel procedimento.»;</w:t>
      </w:r>
    </w:p>
    <w:p w14:paraId="4A0A51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E6D79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3, 4 e 5 sono sostituiti dai seguenti:</w:t>
      </w:r>
    </w:p>
    <w:p w14:paraId="1AE9F8D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FB943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Quando l'installazione di infrastrutture di comunicazione elettronica è subordinata all'acquisizione di uno o più provvedimenti, determinazioni, pareri, intese, concerti, nulla osta o altri atti di concessione, autorizzazione o assenso, comunque denominati, ivi incluse le autorizzazioni previste dal decreto legislativo 22 gennaio 2004, n. 42, da adottare a conclusione di distinti procedimenti di competenza di diverse amministrazioni o enti, inclusi i gestori di beni o servizi pubblici, l'amministrazione procedente che ha ricevuto l'istanza, convoca, entro cinque giorni lavorativi dalla presentazione dell'istanza, una conferenza di servizi, alla quale prendono parte tutte le amministrazioni, enti e gestori di beni o servizi pubblici interessati dall'installazione.</w:t>
      </w:r>
    </w:p>
    <w:p w14:paraId="7A72BC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determinazione positiva della conferenza sostituisce ad ogni effetto tutti i provvedimenti, determinazioni, pareri, intese, concerti, nulla osta o altri atti di concessione, 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w:t>
      </w:r>
    </w:p>
    <w:p w14:paraId="1EC8B45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 predetta conferenza di servizi si applicano le disposizioni di cui agli articoli 14, 14-bis, 14-ter, 14-quater e 14-quinquies della legge 7 agosto 1990, n. 241, con il dimezzamento dei termini ivi indicati, ad eccezione del termine di cui all'articolo 14-quinquies, fermo restando quanto previsto al comma 7 e l'obbligo di rispettare il termine perentorio finale di conclusione del presente procedimento indicato al comma 9.»;</w:t>
      </w:r>
    </w:p>
    <w:p w14:paraId="14BB28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04E7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7, sono aggiunte, in fine, le seguenti parole: «ivi compreso il sedime ferroviario e autostradale. Decorsi i suddetti termini, l'amministrazione procedente comunica, entro il termine perentorio di sette giorni, l'attestazione di avvenuta autorizzazione, scaduto il quale è sufficiente l'autocertificazione del richiedente»;</w:t>
      </w:r>
    </w:p>
    <w:p w14:paraId="3640BC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9A5C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il comma 7-bis è abrogato;</w:t>
      </w:r>
    </w:p>
    <w:p w14:paraId="78DD67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CA825A"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   e) il comma 9 è sostituito dal seguente: «9. Fermo restando quanto previsto al comma 7, la conferenza di servizi deve concludersi entro il termine perentorio massimo di novanta giorni dalla data di presentazione dell'istanza. Fatti salvi i casi in cui disposizioni del diritto dell'Unione europea richiedono l'adozione di provvedimenti espressi, la mancata comunicazione della determinazione decisoria della </w:t>
      </w:r>
      <w:r w:rsidRPr="00EF5B01">
        <w:rPr>
          <w:rFonts w:asciiTheme="minorHAnsi" w:eastAsia="Times New Roman" w:hAnsiTheme="minorHAnsi" w:cs="Times New Roman"/>
          <w:bCs/>
          <w:iCs/>
          <w:color w:val="000000" w:themeColor="text1"/>
          <w:sz w:val="24"/>
          <w:szCs w:val="24"/>
        </w:rPr>
        <w:lastRenderedPageBreak/>
        <w:t>conferenza entro il predetto termine perentorio equivale ad accoglimento dell'istanza, salvo che non sia stato espresso un dissenso, congruamente motivato, da parte di un'Amministrazione preposta alla tutela ambientale, paesaggistico-territoriale o dei beni culturali. Nei predetti casi di dissenso congruamente motivato, ove non sia stata adottata la determinazione decisoria finale nel termine di cui al primo periodo, si applica l'articolo 2, comma 9-ter, della legge 7 agosto 1990, n. 241. L'accoglimento dell'istanza sostituisce ad ogni effetto gli atti di assenso, comunque denominati e necessari per l'effettuazione degli scavi e delle eventuali opere civili indicate nel progetto, di competenza delle amministrazioni, degli enti e dei gestori di beni o servizi pubblici interessati e vale altresì come dichiarazione di pubblica utilità, indifferibilità ed urgenza dei lavori, anche ai sensi degli articoli 12 e seguenti del decreto del Presidente della Repubblica 8 giugno 2001, n. 327. Della convocazione e dell'esito della conferenza viene tempestivamente informato il Ministero. Decorso il termine di cui al primo periodo, l'amministrazione procedente comunica, entro il termine perentorio di sette giorni, l'attestazione di avvenuta autorizzazione, scaduto il quale è sufficiente l'autocertificazione del richiedente.».</w:t>
      </w:r>
    </w:p>
    <w:p w14:paraId="53F7B267" w14:textId="77777777" w:rsidR="000018F1" w:rsidRDefault="000018F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83EEFC" w14:textId="77777777" w:rsidR="000018F1" w:rsidRPr="00CE0903" w:rsidRDefault="000018F1" w:rsidP="000018F1">
      <w:pPr>
        <w:jc w:val="both"/>
        <w:rPr>
          <w:rFonts w:asciiTheme="minorHAnsi" w:hAnsiTheme="minorHAnsi"/>
          <w:b/>
          <w:bCs/>
          <w:color w:val="000000" w:themeColor="text1"/>
          <w:sz w:val="24"/>
          <w:szCs w:val="24"/>
        </w:rPr>
      </w:pPr>
      <w:r w:rsidRPr="00CE0903">
        <w:rPr>
          <w:rFonts w:asciiTheme="minorHAnsi" w:hAnsiTheme="minorHAnsi"/>
          <w:b/>
          <w:bCs/>
          <w:color w:val="000000" w:themeColor="text1"/>
          <w:sz w:val="24"/>
          <w:szCs w:val="24"/>
        </w:rPr>
        <w:t>e-bis) dopo il comma 9 è inserito il seguente:</w:t>
      </w:r>
    </w:p>
    <w:p w14:paraId="40742405" w14:textId="77777777" w:rsidR="000018F1" w:rsidRPr="00CE0903" w:rsidRDefault="000018F1" w:rsidP="000018F1">
      <w:pPr>
        <w:jc w:val="both"/>
        <w:rPr>
          <w:rFonts w:asciiTheme="minorHAnsi" w:hAnsiTheme="minorHAnsi"/>
          <w:b/>
          <w:bCs/>
          <w:color w:val="000000" w:themeColor="text1"/>
          <w:sz w:val="24"/>
          <w:szCs w:val="24"/>
        </w:rPr>
      </w:pPr>
    </w:p>
    <w:p w14:paraId="4296B1ED" w14:textId="77777777" w:rsidR="00EF5B01" w:rsidRDefault="000018F1" w:rsidP="000018F1">
      <w:pPr>
        <w:jc w:val="both"/>
        <w:rPr>
          <w:rFonts w:asciiTheme="minorHAnsi" w:hAnsiTheme="minorHAnsi"/>
          <w:b/>
          <w:bCs/>
          <w:color w:val="000000" w:themeColor="text1"/>
          <w:sz w:val="24"/>
          <w:szCs w:val="24"/>
        </w:rPr>
      </w:pPr>
      <w:r w:rsidRPr="00CE0903">
        <w:rPr>
          <w:rFonts w:asciiTheme="minorHAnsi" w:hAnsiTheme="minorHAnsi"/>
          <w:b/>
          <w:bCs/>
          <w:color w:val="000000" w:themeColor="text1"/>
          <w:sz w:val="24"/>
          <w:szCs w:val="24"/>
        </w:rPr>
        <w:t>   «9-bis. Per i progetti già autorizzati ai sensi del presente articolo, sia in presenza di un provvedimento espresso, sia in caso di accoglimento dell'istanza per decorrenza dei termini previsti dal comma 7 e dal comma 9, per i quali siano necessarie varianti in corso d'opera fino al dieci per cento delle infrastrutture e degli elementi accessori previsti nell'istanza unica, l'operatore comunica la variazione all'amministrazione procedente che ha ricevuto l'istanza originaria e a tutte le amministrazioni e gli enti coinvolti, con un preavviso di almeno quindici giorni, allegando una documentazione cartografica dell'opera che dia conto delle modifiche. L'operatore avvia il lavoro se, entro quindici giorni dalla data di comunicazione della variazione, i soggetti e gli enti coinvolti non abbiano comunicato un provvedimento negativo. Gli enti locali possono prevedere termini più brevi per la conclusione dei relativi procedimenti ovvero ulteriori forme di semplificazione amministrativa nel rispetto delle disposizioni stabilite dal presente articolo».</w:t>
      </w:r>
      <w:r>
        <w:rPr>
          <w:rStyle w:val="Rimandonotaapidipagina"/>
          <w:rFonts w:asciiTheme="minorHAnsi" w:hAnsiTheme="minorHAnsi"/>
          <w:b/>
          <w:bCs/>
          <w:color w:val="000000" w:themeColor="text1"/>
          <w:sz w:val="24"/>
          <w:szCs w:val="24"/>
        </w:rPr>
        <w:footnoteReference w:id="63"/>
      </w:r>
    </w:p>
    <w:p w14:paraId="2A34B055" w14:textId="77777777" w:rsidR="000018F1" w:rsidRPr="00EF5B01" w:rsidRDefault="000018F1" w:rsidP="000018F1">
      <w:pPr>
        <w:jc w:val="both"/>
        <w:rPr>
          <w:rFonts w:asciiTheme="minorHAnsi" w:eastAsia="Times New Roman" w:hAnsiTheme="minorHAnsi" w:cs="Times New Roman"/>
          <w:bCs/>
          <w:iCs/>
          <w:color w:val="000000" w:themeColor="text1"/>
          <w:sz w:val="24"/>
          <w:szCs w:val="24"/>
        </w:rPr>
      </w:pPr>
    </w:p>
    <w:p w14:paraId="425D81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in deroga agli articoli 5 e 7 del decreto legislativo 15 febbraio 2016, n. 33, nonché ai regolamenti adottati dagli enti locali, qualora sia tecnicamente fattibile per l'operatore, la posa in opera di infrastrutture a banda ultra larga viene effettuata con la metodologia della micro trincea, attraverso l'esecuzione di uno scavo e contestuale riempimento di ridotte dimensioni (larghezza da 2,00 a 4,00 cm, con profondità variabile da 10 cm fino a massimo 35 cm), in ambito urbano ed extraurbano, anche in prossimità del bordo stradale o sul marciapiede. Per i predetti interventi di posa in opera di infrastrutture a banda ultra larga effettuati con la metodologia della micro trincea, nonché per quelli effettuati con tecnologie di scavo a basso impatto ambientale con </w:t>
      </w:r>
      <w:proofErr w:type="spellStart"/>
      <w:r w:rsidRPr="00EF5B01">
        <w:rPr>
          <w:rFonts w:asciiTheme="minorHAnsi" w:eastAsia="Times New Roman" w:hAnsiTheme="minorHAnsi" w:cs="Times New Roman"/>
          <w:bCs/>
          <w:iCs/>
          <w:color w:val="000000" w:themeColor="text1"/>
          <w:sz w:val="24"/>
          <w:szCs w:val="24"/>
        </w:rPr>
        <w:t>minitrincea</w:t>
      </w:r>
      <w:proofErr w:type="spellEnd"/>
      <w:r w:rsidRPr="00EF5B01">
        <w:rPr>
          <w:rFonts w:asciiTheme="minorHAnsi" w:eastAsia="Times New Roman" w:hAnsiTheme="minorHAnsi" w:cs="Times New Roman"/>
          <w:bCs/>
          <w:iCs/>
          <w:color w:val="000000" w:themeColor="text1"/>
          <w:sz w:val="24"/>
          <w:szCs w:val="24"/>
        </w:rPr>
        <w:t xml:space="preserve">, non sono richieste le autorizzazioni di cui al decreto legislativo 22 gennaio 2004, n. 42, e non si applicano le previsioni di cui all'articolo 7, commi 2-bis e 2-ter, del decreto legislativo 15 febbraio 2016, n. 33. </w:t>
      </w:r>
      <w:r w:rsidR="00FE60F3" w:rsidRPr="00CE0903">
        <w:rPr>
          <w:rFonts w:asciiTheme="minorHAnsi" w:hAnsiTheme="minorHAnsi"/>
          <w:b/>
          <w:bCs/>
          <w:color w:val="000000" w:themeColor="text1"/>
          <w:sz w:val="24"/>
          <w:szCs w:val="24"/>
        </w:rPr>
        <w:t>Resta ferma, in ogni caso, l'applicazione dell'ulteriore semplificazione di cui all'articolo 20 del decreto-legge 31 dicembre 2020, n. 183, convertito, con modificazioni, dalla legge 26 febbraio 2021, n. 21</w:t>
      </w:r>
      <w:r w:rsidR="00FE60F3">
        <w:rPr>
          <w:rFonts w:asciiTheme="minorHAnsi" w:hAnsiTheme="minorHAnsi"/>
          <w:b/>
          <w:bCs/>
          <w:color w:val="000000" w:themeColor="text1"/>
          <w:sz w:val="24"/>
          <w:szCs w:val="24"/>
        </w:rPr>
        <w:t>.</w:t>
      </w:r>
      <w:r w:rsidR="00FE60F3">
        <w:rPr>
          <w:rStyle w:val="Rimandonotaapidipagina"/>
          <w:rFonts w:asciiTheme="minorHAnsi" w:hAnsiTheme="minorHAnsi"/>
          <w:b/>
          <w:bCs/>
          <w:color w:val="000000" w:themeColor="text1"/>
          <w:sz w:val="24"/>
          <w:szCs w:val="24"/>
        </w:rPr>
        <w:footnoteReference w:id="64"/>
      </w:r>
      <w:r w:rsidR="00FE60F3">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L'operatore di rete si limita a comunicare, con un preavviso di almeno quindici giorni</w:t>
      </w:r>
      <w:r w:rsidR="004241FF">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e di otto giorni per i lavori di scavo di lunghezza inferiore a duecento metri</w:t>
      </w:r>
      <w:r w:rsidR="004241FF">
        <w:rPr>
          <w:rStyle w:val="Rimandonotaapidipagina"/>
          <w:rFonts w:asciiTheme="minorHAnsi" w:hAnsiTheme="minorHAnsi"/>
          <w:b/>
          <w:bCs/>
          <w:color w:val="000000" w:themeColor="text1"/>
          <w:sz w:val="24"/>
          <w:szCs w:val="24"/>
        </w:rPr>
        <w:footnoteReference w:id="65"/>
      </w:r>
      <w:r w:rsidRPr="00EF5B01">
        <w:rPr>
          <w:rFonts w:asciiTheme="minorHAnsi" w:eastAsia="Times New Roman" w:hAnsiTheme="minorHAnsi" w:cs="Times New Roman"/>
          <w:bCs/>
          <w:iCs/>
          <w:color w:val="000000" w:themeColor="text1"/>
          <w:sz w:val="24"/>
          <w:szCs w:val="24"/>
        </w:rPr>
        <w:t xml:space="preserve">, l'inizio dei lavori alla soprintendenza competente, allegando la documentazione cartografica prodotta dall'operatore medesimo relativamente al proprio tracciato e, nel caso la posa in opera interessi spazi aperti nei centri storici, un elaborato tecnico che dia conto delle modalità di risistemazione degli spazi oggetto degli interventi. L'ente titolare o gestore della strada o autostrada, ferme restando le caratteristiche di larghezza e profondità </w:t>
      </w:r>
      <w:r w:rsidRPr="004241FF">
        <w:rPr>
          <w:rFonts w:asciiTheme="minorHAnsi" w:eastAsia="Times New Roman" w:hAnsiTheme="minorHAnsi" w:cs="Times New Roman"/>
          <w:bCs/>
          <w:iCs/>
          <w:strike/>
          <w:color w:val="000000" w:themeColor="text1"/>
          <w:sz w:val="24"/>
          <w:szCs w:val="24"/>
          <w:highlight w:val="yellow"/>
        </w:rPr>
        <w:t>proposte</w:t>
      </w:r>
      <w:r w:rsidRPr="00EF5B01">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stabilite</w:t>
      </w:r>
      <w:r w:rsidR="004241FF">
        <w:rPr>
          <w:rStyle w:val="Rimandonotaapidipagina"/>
          <w:rFonts w:asciiTheme="minorHAnsi" w:hAnsiTheme="minorHAnsi"/>
          <w:b/>
          <w:bCs/>
          <w:color w:val="000000" w:themeColor="text1"/>
          <w:sz w:val="24"/>
          <w:szCs w:val="24"/>
        </w:rPr>
        <w:footnoteReference w:id="66"/>
      </w:r>
      <w:r w:rsidR="004241FF">
        <w:rPr>
          <w:rFonts w:asciiTheme="minorHAnsi" w:hAnsiTheme="minorHAnsi"/>
          <w:b/>
          <w:bCs/>
          <w:color w:val="000000" w:themeColor="text1"/>
          <w:sz w:val="24"/>
          <w:szCs w:val="24"/>
        </w:rPr>
        <w:t xml:space="preserve"> </w:t>
      </w:r>
      <w:r w:rsidRPr="00EF5B01">
        <w:rPr>
          <w:rFonts w:asciiTheme="minorHAnsi" w:eastAsia="Times New Roman" w:hAnsiTheme="minorHAnsi" w:cs="Times New Roman"/>
          <w:bCs/>
          <w:iCs/>
          <w:color w:val="000000" w:themeColor="text1"/>
          <w:sz w:val="24"/>
          <w:szCs w:val="24"/>
        </w:rPr>
        <w:t xml:space="preserve">dall'operatore in funzione delle esigenze di posa dell'infrastruttura a banda </w:t>
      </w:r>
      <w:proofErr w:type="spellStart"/>
      <w:r w:rsidRPr="00EF5B01">
        <w:rPr>
          <w:rFonts w:asciiTheme="minorHAnsi" w:eastAsia="Times New Roman" w:hAnsiTheme="minorHAnsi" w:cs="Times New Roman"/>
          <w:bCs/>
          <w:iCs/>
          <w:color w:val="000000" w:themeColor="text1"/>
          <w:sz w:val="24"/>
          <w:szCs w:val="24"/>
        </w:rPr>
        <w:t>ultralarga</w:t>
      </w:r>
      <w:proofErr w:type="spellEnd"/>
      <w:r w:rsidRPr="00EF5B01">
        <w:rPr>
          <w:rFonts w:asciiTheme="minorHAnsi" w:eastAsia="Times New Roman" w:hAnsiTheme="minorHAnsi" w:cs="Times New Roman"/>
          <w:bCs/>
          <w:iCs/>
          <w:color w:val="000000" w:themeColor="text1"/>
          <w:sz w:val="24"/>
          <w:szCs w:val="24"/>
        </w:rPr>
        <w:t>, può concordare con l'operatore stesso accorgimenti in merito al posizionamento dell'infrastruttura allo scopo di garantire le condizioni di sicurezza dell'infrastruttura stradale.</w:t>
      </w:r>
    </w:p>
    <w:p w14:paraId="183FBB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fine di consentire il tempestivo raggiungimento degli obiettivi di trasformazione digitale di cui al regolamento (UE) 2021/240 del Parlamento europeo e del Consiglio del 10 febbraio 2021 e al regolamento (UE) 2021/241 del Parlamento europeo e del Consiglio del 12 febbraio 2021, fino al 31 dicembre 2026, gli interventi di cui agli articoli 87 bis e 87 ter del decreto legislativo 1 agosto 2003, n. 259</w:t>
      </w:r>
      <w:r w:rsidR="004241FF">
        <w:rPr>
          <w:rFonts w:asciiTheme="minorHAnsi" w:eastAsia="Times New Roman" w:hAnsiTheme="minorHAnsi" w:cs="Times New Roman"/>
          <w:bCs/>
          <w:iCs/>
          <w:color w:val="000000" w:themeColor="text1"/>
          <w:sz w:val="24"/>
          <w:szCs w:val="24"/>
        </w:rPr>
        <w:t xml:space="preserve"> </w:t>
      </w:r>
      <w:r w:rsidR="004241FF" w:rsidRPr="00101707">
        <w:rPr>
          <w:rFonts w:asciiTheme="minorHAnsi" w:hAnsiTheme="minorHAnsi"/>
          <w:b/>
          <w:bCs/>
          <w:color w:val="000000" w:themeColor="text1"/>
          <w:sz w:val="24"/>
          <w:szCs w:val="24"/>
        </w:rPr>
        <w:t xml:space="preserve">e gli interventi di modifica previsti dal punto A.24 dell'allegato A annesso al regolamento di cui al decreto del Presidente della Repubblica 13 febbraio 2017, n. 31,» e sostituire le parole: «purché </w:t>
      </w:r>
      <w:r w:rsidR="004241FF" w:rsidRPr="00101707">
        <w:rPr>
          <w:rFonts w:asciiTheme="minorHAnsi" w:hAnsiTheme="minorHAnsi"/>
          <w:b/>
          <w:bCs/>
          <w:color w:val="000000" w:themeColor="text1"/>
          <w:sz w:val="24"/>
          <w:szCs w:val="24"/>
        </w:rPr>
        <w:lastRenderedPageBreak/>
        <w:t>comportino aumenti delle altezze non superiori a 1,5 metri e aumenti della superficie di sagoma non superiori a 1,5 metri quadrati» con le seguenti: «purché non comportino aumenti delle altezze superiori a 1,5 metri e aumenti della superficie di sagoma superiori a 1,5 metri quadrati</w:t>
      </w:r>
      <w:r w:rsidR="004241FF">
        <w:rPr>
          <w:rStyle w:val="Rimandonotaapidipagina"/>
          <w:rFonts w:asciiTheme="minorHAnsi" w:hAnsiTheme="minorHAnsi"/>
          <w:b/>
          <w:bCs/>
          <w:color w:val="000000" w:themeColor="text1"/>
          <w:sz w:val="24"/>
          <w:szCs w:val="24"/>
        </w:rPr>
        <w:footnoteReference w:id="67"/>
      </w:r>
      <w:r w:rsidRPr="00EF5B01">
        <w:rPr>
          <w:rFonts w:asciiTheme="minorHAnsi" w:eastAsia="Times New Roman" w:hAnsiTheme="minorHAnsi" w:cs="Times New Roman"/>
          <w:bCs/>
          <w:iCs/>
          <w:color w:val="000000" w:themeColor="text1"/>
          <w:sz w:val="24"/>
          <w:szCs w:val="24"/>
        </w:rPr>
        <w:t>, sono realizzati previa comunicazione di avvio dei lavori all'amministrazione comunale, corredata da un'autocertificazione descrittiva degli interventi e delle caratteristiche tecniche degli impianti e non sono richieste le autorizzazioni di cui al decreto legislativo 2 gennaio 2004, n. 42, purché comportino aumenti delle altezze non superiori a 1,5 metri e aumenti della superficie di sagoma non superiori a 1,5 metri quadrati. Gli impianti sono attivabili qualora, entro trenta giorni dalla richiesta di attivazione all'organismo competente di cui all'articolo 14 della legge 22 febbraio 2001, n. 36, non sia stato comunicato dal medesimo un provvedimento negativo.</w:t>
      </w:r>
    </w:p>
    <w:p w14:paraId="6006A0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56FF3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41.</w:t>
      </w:r>
    </w:p>
    <w:p w14:paraId="1989467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(Violazione degli obblighi di transizione digitale)</w:t>
      </w:r>
    </w:p>
    <w:p w14:paraId="4260C4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70A5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l'attuazione dell'Agenda digitale italiana ed europea, la digitalizzazione dei cittadini, delle pubbliche amministrazioni e delle imprese, con specifico riferimento alla realizzazione degli obiettivi fissati dal Piano nazionale di ripresa o di resilienza, nonché garantire il coordinamento informativo statistico e informatico dei dati dell'amministrazione statale, regionale e locale e la tutela dei livelli essenziali delle prestazioni concernenti i diritti civili e sociali su tutto il territorio nazionale nelle materie di cui all'articolo 5, comma 3, lett. b-bis), della legge 23 agosto 1988, n. 400, al decreto legislativo 7 marzo 2005, n. 82, dopo l'articolo 18, è aggiunto il seguente:</w:t>
      </w:r>
    </w:p>
    <w:p w14:paraId="1D823A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0E6E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18-bis.</w:t>
      </w:r>
    </w:p>
    <w:p w14:paraId="4CB1EE7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(Violazione degli obblighi di transizione digitale)</w:t>
      </w:r>
    </w:p>
    <w:p w14:paraId="6115BC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9F4C9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esercita poteri di vigilanza, verifica, controllo e monitoraggio sul rispetto delle disposizioni del presente Codice e di ogni altra norma in materia di innovazione tecnologica e digitalizzazione della pubblica amministrazione, ivi comprese quelle contenute nelle Linee guida e nel Piano triennale per l'informatica nella pubblica amministrazione, e procede, d'ufficio ovvero su segnalazione del difensore </w:t>
      </w:r>
      <w:r w:rsidRPr="00EF5B01">
        <w:rPr>
          <w:rFonts w:asciiTheme="minorHAnsi" w:eastAsia="Times New Roman" w:hAnsiTheme="minorHAnsi" w:cs="Times New Roman"/>
          <w:bCs/>
          <w:iCs/>
          <w:color w:val="000000" w:themeColor="text1"/>
          <w:sz w:val="24"/>
          <w:szCs w:val="24"/>
        </w:rPr>
        <w:lastRenderedPageBreak/>
        <w:t>civico digitale, all'accertamento delle relative violazioni da parte dei soggetti di cui all'articolo 2, comma 2. Nell'esercizio dei poteri di vigilanza, verifica, controllo e monitoraggio,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richiede e acquisisce presso i soggetti di cui all'articolo 2, comma 2, dati, documenti e ogni altra informazione strumentale e necessaria. La mancata ottemperanza alla richiesta di dati, documenti o informazioni di cui al secondo periodo ovvero la trasmissione di informazioni o dati parziali o non veritieri è punita ai sensi del comma 5, con applicazione della sanzione ivi prevista ridotta della metà.</w:t>
      </w:r>
    </w:p>
    <w:p w14:paraId="5EDDC0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quando dagli elementi acquisiti risulta che sono state commesse una o più violazioni delle disposizioni di cui al comma 1, procede alla contestazione nei confronti del trasgressore, assegnandogli un termine perentorio per inviare scritti difensivi e documentazione e per chiedere di essere sentito.</w:t>
      </w:r>
    </w:p>
    <w:p w14:paraId="7C279A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ove accerti la sussistenza delle violazioni contestate, assegna al trasgressore un congruo termine perentorio, proporzionato rispetto al tipo e alla gravità della violazione, per conformare la condotta agli obblighi previsti dalla normativa vigente, segnalando le violazioni all'ufficio competente per i procedimenti disciplinari di ciascuna amministrazione, nonché ai competenti organismi indipendenti di valutazione.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pubblica le predette segnalazioni su apposita area del proprio sito internet istituzionale.</w:t>
      </w:r>
    </w:p>
    <w:p w14:paraId="165EE7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violazioni accertate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rilevano ai fini della misurazione e della valutazione della performance individuale dei dirigenti responsabili e comportano responsabilità dirigenziale e disciplinare ai sensi degli articoli 21 e 55 del decreto legislativo 30 marzo 2001, n. 165. Resta fermo quanto previsto dagli articoli 13-bis, 50, 50-ter, 64-bis, comma 1-quinquies, del presente Codice e dall'articolo 33-septies del decreto-legge 18 ottobre 2012, n. 179, convertito, con modificazioni, dalla legge 17 dicembre 2012, n. 221.</w:t>
      </w:r>
    </w:p>
    <w:p w14:paraId="51DF6E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mancata ottemperanza alla richiesta di dati, documenti o informazioni di cui al comma 1, ultimo periodo, ovvero di trasmissione di informazioni o dati parziali o non veritieri, nonché di violazione degli obblighi previsti dagli articoli 5, 50, comma 3-ter, 50-ter, comma 5, 64, comma 3-bis, 64-bis del presente Codice, dall'articolo 65, comma 1, del decreto legislativo 13 dicembre 2017, n. 217 e dall'articolo 33-septies, comma 4, del decreto-legge 18 ottobre 2012, n. 179, convertito, con modificazioni, dalla legge 17 dicembre 2012, n. 221, ove il soggetto di cui all'articolo 2, comma 2, non ottemperi all'obbligo di conformare la condotta nel termine di cui al comma 3,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irroga la sanzione amministrativa pecuniaria nel minimo di euro 10.000 e nel massimo di euro 100.000. Si applica, per quanto non espressamente previsto dal presente articolo, la disciplina della legge 24 novembre 1981, n. 689. I proventi delle sanzioni sono versati in apposito capitolo di entrata del bilancio dello Stato per essere riassegnati allo stato di previsione della spesa del Ministero dell'economia e delle finanze a favore per il 50 per cento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 per la restante parte al Fondo di cui all'articolo 239 del decreto-legge 19 maggio 2020, n. 34, convertito, con modificazioni, dalla legge 17 luglio 2020, n. 77.</w:t>
      </w:r>
    </w:p>
    <w:p w14:paraId="03916F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Contestualmente all'irrogazione della sanzione nei casi di violazione delle norme specificamente indicate al comma 5, nonché di violazione degli obblighi di cui all'articolo 13-bis, comma 4,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segnala la violazione alla struttura della Presidenza del Consiglio dei ministri competente per l'innovazione tecnologica e la transizione digitale, ricevuta la segnalazione, diffida ulteriormente il soggetto </w:t>
      </w:r>
      <w:r w:rsidRPr="00EF5B01">
        <w:rPr>
          <w:rFonts w:asciiTheme="minorHAnsi" w:eastAsia="Times New Roman" w:hAnsiTheme="minorHAnsi" w:cs="Times New Roman"/>
          <w:bCs/>
          <w:iCs/>
          <w:color w:val="000000" w:themeColor="text1"/>
          <w:sz w:val="24"/>
          <w:szCs w:val="24"/>
        </w:rPr>
        <w:lastRenderedPageBreak/>
        <w:t>responsabile a conformare la propria condotta agli obblighi previsti dalla disciplina vigente entro un congruo termine perentorio, proporzionato al tipo e alla gravità della violazione, avvisandolo che, in caso di inottemperanza, potranno essere esercitati i poteri sostitutivi del Presidente del Consiglio dei ministri o del Ministro delegato. Decorso inutilmente il termine, il Presidente del Consiglio dei ministri o il Ministro delegato per l'innovazione tecnologica e la transizione digitale, valutata la gravità della violazione, può nominare un commissario ad acta incaricato di provvedere in sostituzione. Al commissario non spettano compensi, indennità o rimborsi. Nel caso di inerzia o ritardi riguardanti amministrazioni locali, si procede all'esercizio del potere sostitutivo di cui agli articoli 117, comma 5, e 120, comma 2, della Costituzione, ai sensi dell'articolo 8 della legge 5 giugno 2003, n. 131.</w:t>
      </w:r>
    </w:p>
    <w:p w14:paraId="7D72A7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con proprio regolamento, disciplina le procedure di contestazione, accertamento, segnalazione e irrogazione delle sanzioni per le violazioni di cui alla presente disposizione.</w:t>
      </w:r>
    </w:p>
    <w:p w14:paraId="329B78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All'attuazione della presente disposizione si provvede con le risorse umane, strumentali e finanziarie già previste a legislazione vigente.».</w:t>
      </w:r>
    </w:p>
    <w:p w14:paraId="11752A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FDC9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33-septies del decreto-legge 18 ottobre 2012, n. 179, convertito, con modificazioni, dalla legge 17 dicembre 2012, n. 221, sono apportate le seguenti modificazioni:</w:t>
      </w:r>
    </w:p>
    <w:p w14:paraId="61272A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8EDC2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4 è aggiunto, in fine, il seguente periodo: «Con lo stesso regolamento sono individuati i termini e le modalità con cui le amministrazioni devono effettuare le migrazioni di cui ai commi 1 e 1-bis.»;</w:t>
      </w:r>
    </w:p>
    <w:p w14:paraId="219FF0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D92F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dopo il comma 4-quater, è aggiunto il seguente:</w:t>
      </w:r>
    </w:p>
    <w:p w14:paraId="1A101B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024C0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   «4-quinquies. La violazione degli obblighi previsti dal presente articolo è accertata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ed è punita ai sensi dell'articolo 18-bis del decreto legislativo 7 marzo 2005, n. 82.».</w:t>
      </w:r>
    </w:p>
    <w:p w14:paraId="2E2BB1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4E69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17, comma 1-quater, del decreto legislativo 7 marzo 2005, n. 82, il terzo periodo è sostituito dal seguente: «Il difensore civico, accertata la non manifesta infondatezza della segnalazione, la trasmette al Direttore generale dell'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per l'esercizio dei poteri di cui all'articolo 18-bis»; il quarto, il quinto e il sesto periodo sono soppressi.</w:t>
      </w:r>
    </w:p>
    <w:p w14:paraId="243690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55C18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42.</w:t>
      </w:r>
    </w:p>
    <w:p w14:paraId="60EF301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(Implementazione della piattaforma nazionale per l'emissione e la validazione delle certificazioni verdi COVID-19)</w:t>
      </w:r>
    </w:p>
    <w:p w14:paraId="5315A5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8D08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La piattaforma nazionale-DGC per l'emissione, il rilascio e la verifica delle certificazioni COVID-19 interoperabili a livello nazionale ed europeo, di cui all'articolo 9, comma 1, lettera e), del decreto-legge 22 aprile 2021, n. 52, è realizzata, attraverso l'infrastruttura del Sistema Tessera Sanitaria, dalla Sogei S.p.A., e gestita dalla stessa per conto del Ministero della salute, titolare del trattamento dei dati generati dalla piattaforma medesima.</w:t>
      </w:r>
    </w:p>
    <w:p w14:paraId="3D85C5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 certificazioni verdi COVID-19 di cui all'articolo 9 del decreto-legge 22 n. 52 del 2021, sono rese disponibili all'interessato, oltreché mediante l'inserimento nel fascicolo sanitario elettronico (FSE) e attraverso l'accesso tramite autenticazione al portale della piattaforma nazionale di cui al comma 1, anche tramite il punto di accesso telematico di cui all'articolo 64-bis del decreto legislativo 7 marzo 2005, n. 82, nonché tramite l'applicazione di cui all'articolo 6 del decreto-legge 30 aprile 2020, n. 28, convertito, con modificazioni, dalla legge 25 giugno 2020, n. 70, con le modalità individuate con il decreto del Presidente del Consiglio dei ministri di cui al predetto articolo 9, comma 10, del decreto-legge n. 52 del 2021.</w:t>
      </w:r>
    </w:p>
    <w:p w14:paraId="4FE371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regioni e le province autonome di Trento e di Bolzano trasmettono alla piattaforma di cui al comma 1 i dati di contatto di coloro ai quali hanno somministrato almeno una dose di vaccino per la prevenzione dell'infezione da SARS-CoV-2, per consentire la comunicazione all'interessato di un codice univoco che gli consenta di acquisire le proprie certificazioni verdi COVID-19 dai canali di accesso alla piattaforma di cui al comma 1. Ai fini di cui al primo periodo, la trasmissione dei dati di contatto da parte delle regioni e delle province autonome avviene, per coloro che hanno ricevuto almeno una dose di vaccino prima della data di entrata in vigore del decreto del Presidente del Consiglio dei ministri di cui al menzionato articolo 9, comma 10, del decreto-legge n. 52 del 2021, per il tramite del Sistema tessera sanitaria e per coloro ai quali verranno somministrate una o più dosi di vaccino successivamente all'entrata in vigore del menzionato decreto del Presidente del Consiglio dei Ministri, per il tramite dell'Anagrafe Nazionale Vaccini di cui al decreto del Ministro della salute 17 settembre 2018, pubblicato nella Gazzetta Ufficiale del 5 novembre 2018, n. 257.</w:t>
      </w:r>
    </w:p>
    <w:p w14:paraId="637AEC3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il servizio di telefonia mobile, tramite messaggi brevi, per il recapito dei codici di cui al comma 3, è autorizzata, per l'anno 2021, la spesa di 3.318.400 euro, alla cui copertura si provvede mediante corrispondente utilizzo del fondo di parte corrente di cui all'articolo 34-ter, comma 5, della legge 31 dicembre 2009, n. 196, iscritto nello stato di previsione della spesa del Ministero della salute.</w:t>
      </w:r>
    </w:p>
    <w:p w14:paraId="7DC61F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B7344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43.</w:t>
      </w:r>
    </w:p>
    <w:p w14:paraId="735E7AC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digitalizzazione e servizi informatici del Ministero delle infrastrutture e della mobilità sostenibili)</w:t>
      </w:r>
    </w:p>
    <w:p w14:paraId="0A98704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18C4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fine di migliorare l'efficacia e l'efficienza dell'azione amministrativa e di favorire la sinergia tra processi istituzionali afferenti ambiti affini, favorendo la digitalizzazione dei servizi e dei processi attraverso interventi di consolidamento delle infrastrutture, razionalizzazione dei sistemi informativi e interoperabilità tra le banche dati, anche al fine di conseguire gli obiettivi di cui al Regolamento (UE) 2021/240 del Parlamento europeo e del Consiglio del 10 febbraio 2021 e al Regolamento (UE) 2021/241 del Parlamento europeo e del Consiglio del 12 febbraio 2021 nonché quelli previsti dal decreto ministeriale di cui all'articolo 1, comma 7, del decreto-legge 6 maggio 2021, n. 59, il Ministero delle infrastrutture e delle mobilità sostenibili può avvalersi della Sogei S.p.A., per servizi informatici strumentali al raggiungimento dei propri obiettivi istituzionali e funzionali, nonché per la realizzazione di programmi e progetti da realizzare mediante piattaforme informatiche rivolte ai destinatari degli interventi, fermo quanto previsto dall'articolo 1, comma 1043, della legge 30 dicembre 2020, n. 178 e dal decreto legislativo 29 dicembre 2011, n. 229 relativamente al monitoraggio dello stato di attuazione delle opere pubbliche. L'oggetto e le condizioni dei servizi sono definiti mediante apposite convenzioni.</w:t>
      </w:r>
    </w:p>
    <w:p w14:paraId="7249EC4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dall'attuazione del comma 1 pari a 500.000 euro annui a decorrere dall'anno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18FA86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FB896D"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III</w:t>
      </w:r>
    </w:p>
    <w:p w14:paraId="15D4033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PROCEDURA SPECIALE PER ALCUNI PROGETTI PNRR</w:t>
      </w:r>
    </w:p>
    <w:p w14:paraId="018B84E3"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075A54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44.</w:t>
      </w:r>
    </w:p>
    <w:p w14:paraId="1C5239B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procedurali in materia di opere pubbliche di particolare complessità o di rilevante impatto)</w:t>
      </w:r>
    </w:p>
    <w:p w14:paraId="197DB5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A0C9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Ai fini della realizzazione degli interventi indicati nell'Allegato IV al presente decreto, prima dell'approvazione di cui all'articolo 27 del decreto legislativo 18 aprile 2016, n. 50, il progetto di fattibilità tecnica ed economica di cui all'articolo 23, commi 5 e 6, del medesimo decreto è trasmesso, a cura della stazione appaltante, al Consiglio superiore dei lavori pubblici per l'espressione del parere di cui all'articolo 48, comma 7, del presente decreto. Il Comitato speciale del Consiglio superiore dei lavori pubblici di cui all'articolo 45 verifica, entro quindici giorni dalla ricezione del progetto di fattibilità tecnico – economica, l'esistenza di evidenti carenze, di natura formale o sostanziale, ivi comprese quelle afferenti gli aspetti ambientali, paesaggistici e culturali, tali da non consentire l'espressione del parere e, in tal caso, provvede a restituirlo immediatamente alla stazione appaltante richiedente, con l'indicazione delle integrazioni </w:t>
      </w:r>
      <w:r w:rsidRPr="00EF5B01">
        <w:rPr>
          <w:rFonts w:asciiTheme="minorHAnsi" w:eastAsia="Times New Roman" w:hAnsiTheme="minorHAnsi" w:cs="Times New Roman"/>
          <w:bCs/>
          <w:iCs/>
          <w:color w:val="000000" w:themeColor="text1"/>
          <w:sz w:val="24"/>
          <w:szCs w:val="24"/>
        </w:rPr>
        <w:lastRenderedPageBreak/>
        <w:t>ovvero delle eventuali modifiche necessarie ai fini dell'espressione del parere in senso favorevole. La stazione appaltante procede alle modifiche e alle integrazioni richieste dal Comitato speciale, entro e non oltre il termine di quindici giorni dalla data di restituzione del progetto. Il Comitato speciale esprime il parere entro il termine massimo di trenta giorni dalla ricezione del progetto di fattibilità tecnica ed economica ovvero entro il termine massimo di venti giorni dalla ricezione del progetto modificato o integrato secondo quanto previsto dal presente comma. Decorsi tali termini, il parere si intende reso in senso favorevole.</w:t>
      </w:r>
    </w:p>
    <w:p w14:paraId="615E0EE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Ai fini della verifica preventiva dell'interesse archeologico di cui all'articolo 25 del decreto legislativo n. 50 del 2016, il progetto di fattibilità tecnica ed economica relativi agli interventi di cui all' Allegato IV al presente decreto è trasmesso dalla stazione appaltante alla competente soprintendenza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Il termine di cui al comma 3, secondo periodo, dell'articolo 25 del decreto legislativo n. 50 del 2016 è ridotto a quarantacinque giorni. Le risultanze della verifica preventiva sono acquisite nel corso della conferenza di servizi di cui al comma 4.</w:t>
      </w:r>
    </w:p>
    <w:p w14:paraId="706DCB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In relazione agli interventi di cui all'Allegato IV del presente decreto, il progetto di fattibilità tecnica ed economica è trasmesso all'autorità competente ai fini dell'espressione della valutazione di impatto ambientale di cui alla Parte seconda del decreto legislativo 3 agosto 2006, n. 152, unitamente alla documentazione di cui all'articolo 22, comma 1, del decreto legislativo 3 agosto 2006, n. 152, a cura della stazione appaltante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richiesti. Gli esiti della valutazione di impatto ambientale sono trasmessi e comunicati dall'autorità competente alle altre amministrazioni che partecipano alla conferenza di servizi di cui al comma 4. Qualora si sia svolto il dibattito pubblico di cui all'articolo 46, è escluso il ricorso all'inchiesta pubblica di cui all'articolo 24-bis del predetto decreto legislativo n. 152 del 2006.</w:t>
      </w:r>
    </w:p>
    <w:p w14:paraId="3F238C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  4. In relazione agli interventi di cui all'Allegato IV del presente decreto, decorsi quindici giorni dalla trasmissione al Consiglio superiore dei lavori pubblici del progetto di fattibilità tecnica ed economica, ove non sia stato restituito ai sensi del secondo periodo del comma 1, ovvero contestualmente alla trasmissione al citato Consiglio del progetto modificato nei termini dallo stesso richiesti, la stazione appaltante convoca la conferenza di servizi per l'approvazione del progetto ai sensi dell'articolo 27, comma 3, del decreto legislativo n. 50 del 2016. La conferenza di servizi è svolta in forma semplificata ai sensi dell'articolo 14-bis della legge 7 agosto 1990, n. 241 e nel corso di essa, ferme restando le prerogative dell'autorità competente in materia di VIA, sono acquisite e valutate le eventuali prescrizioni e direttive adottate dal Consiglio superiore dei lavori pubblici ai sensi del secondo periodo del comma 1, nonché gli esiti del dibattito pubblico e le osservazioni raccolte secondo le modalità di cui all'articolo47, della verifica preventiva dell'interesse archeologico e della valutazione di impatto ambientale. La </w:t>
      </w:r>
      <w:r w:rsidRPr="00EF5B01">
        <w:rPr>
          <w:rFonts w:asciiTheme="minorHAnsi" w:eastAsia="Times New Roman" w:hAnsiTheme="minorHAnsi" w:cs="Times New Roman"/>
          <w:bCs/>
          <w:iCs/>
          <w:color w:val="000000" w:themeColor="text1"/>
          <w:sz w:val="24"/>
          <w:szCs w:val="24"/>
        </w:rPr>
        <w:lastRenderedPageBreak/>
        <w:t>determinazione conclusiva della conferenza approva il progetto e tiene luogo dei pareri, nulla osta e autorizzazioni necessari ai fini della localizzazione dell'opera, della conformità urbanistica e paesaggistica dell'intervento, della risoluzione delle interferenze e delle relative opere mitigatrici e compensative. La determinazione conclusiva della conferenza perfeziona, ad ogni fine urbanistico ed edilizio, l'intesa tra Stato e regione o provincia autonoma, in ordine alla localizzazione dell'opera, ha effetto di variante degli strumenti urbanistici vigenti e comprende il provvedimento di VIA 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51D185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In caso di approvazione del progetto da parte della conferenza di servizi sulla base delle posizioni prevalenti ovvero qualora siano stati espressi dissensi qualificati ai sensi dell'articolo 14-quinquies, commi 1 e 2, della legge 7 agosto 1990, n. 241, la questione è posta all'esame del Comitato speciale del Consiglio superiore dei lavori pubblici e definita, anche in deroga alle previsioni di cui al medesimo articolo 14-quinquies, secondo le modalità di cui al comma 6.</w:t>
      </w:r>
    </w:p>
    <w:p w14:paraId="6E0612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Entro cinque giorni dalla conclusione della conferenza di servizi di cui al comma 4, il progetto è trasmesso unitamente alla determinazione conclusiva della conferenza e alla relativa documentazione al Comitato speciale del Consiglio superiore dei lavori pubblici, integrato, nei casi previsti dal comma 5, con la partecipazione dei rappresentanti delle amministrazioni che hanno espresso il dissenso e delle altre amministrazioni che hanno partecipato alla conferenza. Fatto salvo quanto previsto dal quarto periodo, entro e non oltre i quindici giorni successivi, il Comitato speciale adotta una determinazione motivata, comunicata senza indugio alla stazione appaltante, con la quale individua le eventuali integrazioni e modifiche al progetto di fattibilità tecnico-economica rese necessarie dalle prescrizioni e dai pareri acquisiti in sede di conferenza di servizi. Nei casi previsti dal comma 5 e fatto salvo quanto previsto dal quinto periodo del presente comma, la determinazione motivata del Comitato speciale individua altresì le integrazioni e modifiche occorrenti per pervenire, in attuazione del principio di leale collaborazione, ad una soluzione condivisa e sostituisce, con i medesimi effetti di cui al comma 4, quella della conferenza di servizi. In relazione alle eventuali integrazioni ovvero modifiche richieste dal Comitato speciale è acquisito, ove necessario, il parere dell'autorità che ha rilasciato il provvedimento di VIA, che si esprime entro venti giorni dalla richiesta e, in tal caso, il Comitato speciale adotta la determinazione motivata entro i successivi dieci. In presenza di dissensi qualificati ai sensi dell'articolo 14-quinquies, commi 1 e 2, della medesima legge n. 241 del 1990 e qualora non sia possibile pervenire ad una soluzione condivisa ai fini dell'adozione della determinazione motivata, il Comitato speciale, entro tre giorni dalla scadenza del termine di cui al secondo ovvero al quarto periodo, trasmette alla Segreteria tecnica di cui all'articolo 4 una relazione recante l'illustrazione degli esiti della conferenza dei servizi, delle ragioni del dissenso e </w:t>
      </w:r>
      <w:r w:rsidRPr="00EF5B01">
        <w:rPr>
          <w:rFonts w:asciiTheme="minorHAnsi" w:eastAsia="Times New Roman" w:hAnsiTheme="minorHAnsi" w:cs="Times New Roman"/>
          <w:bCs/>
          <w:iCs/>
          <w:color w:val="000000" w:themeColor="text1"/>
          <w:sz w:val="24"/>
          <w:szCs w:val="24"/>
        </w:rPr>
        <w:lastRenderedPageBreak/>
        <w:t xml:space="preserve">delle proposte dallo stesso formulate per il superamento del dissenso, compatibilmente con le preminenti esigenze di </w:t>
      </w:r>
      <w:proofErr w:type="spellStart"/>
      <w:r w:rsidRPr="00EF5B01">
        <w:rPr>
          <w:rFonts w:asciiTheme="minorHAnsi" w:eastAsia="Times New Roman" w:hAnsiTheme="minorHAnsi" w:cs="Times New Roman"/>
          <w:bCs/>
          <w:iCs/>
          <w:color w:val="000000" w:themeColor="text1"/>
          <w:sz w:val="24"/>
          <w:szCs w:val="24"/>
        </w:rPr>
        <w:t>appaltabilità</w:t>
      </w:r>
      <w:proofErr w:type="spellEnd"/>
      <w:r w:rsidRPr="00EF5B01">
        <w:rPr>
          <w:rFonts w:asciiTheme="minorHAnsi" w:eastAsia="Times New Roman" w:hAnsiTheme="minorHAnsi" w:cs="Times New Roman"/>
          <w:bCs/>
          <w:iCs/>
          <w:color w:val="000000" w:themeColor="text1"/>
          <w:sz w:val="24"/>
          <w:szCs w:val="24"/>
        </w:rPr>
        <w:t xml:space="preserve"> dell'opera e della sua realizzazione entro i termini previsti dal PNRR ovvero, in relazione agli interventi finanziati con le risorse del PNC dal decreto di cui al comma 7 dell'articolo 1 del decreto-legge 6 maggio 2021, n. 59 La Segreteria tecnica propone al Presidente del Consiglio dei ministri, entro quindici giorni dalla ricezione della relazione di cui al quinto periodo, di sottoporre la questione all'esame del Consiglio dei ministri per le conseguenti determinazioni. Il Consiglio dei ministri si pronuncia, entro i successivi dieci giorni, se del caso adottando una nuova determinazione conclusiva ai sensi del primo periodo del comma 6 del predetto articolo 14-quinquies della legge n. 241 del 1990 con i medesimi effetti di cui al comma 4, terzo, quarto e quinto periodo del presente articolo. Alle riunioni del Consiglio dei ministri possono partecipare senza diritto di voto i Presidenti delle regioni o delle province autonome interessate. Restano ferme le attribuzioni e le prerogative riconosciute alle regioni a statuto speciale e alle province autonome di Trento e Bolzano dagli statuti speciali di autonomia e dalle relative norme di attuazione. Le decisioni del Consiglio dei ministri sono immediatamente efficaci, non sono sottoposte al controllo preventivo di legittimità della Corte dei conti di cui all'articolo 3 della legge 14 gennaio 1994, n. 20, e sono pubblicate, per estratto, entro cinque giorni dalla data di adozione, nella Gazzetta ufficiale della Repubblica italiana.</w:t>
      </w:r>
    </w:p>
    <w:p w14:paraId="7A000E2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In deroga all'articolo 27 del decreto legislativo n. 50 del 2016, la verifica del progetto definitivo e del progetto esecutivo condotta ai sensi dell'articolo 26, comma 6, del predetto decreto accerta altresì l'ottemperanza alle prescrizioni impartite in sede di conferenza di servizi e di VIA, nonché di quelle impartite ai sensi del comma 6 ed all'esito della stessa la stazione appaltante procede direttamente all'approvazione del progetto definitivo ovvero del progetto esecutivo direttamente.</w:t>
      </w:r>
    </w:p>
    <w:p w14:paraId="6F2C49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La stazione appaltante provvede ad indire la procedura di aggiudicazione non oltre novanta giorni dalla data di comunicazione della determinazione motivata del Comitato speciale ai sensi del comma 6 ovvero dalla data di pubblicazione nella Gazzetta Ufficiale della decisione del Consiglio dei ministri di cui al medesimo comma 6, dandone contestuale comunicazione alla Cabina di regia di cui all'articolo 2, per il tramite della Segreteria tecnica di cui all'articolo 4, e al Ministero delle infrastrutture e della mobilità sostenibili. In caso di inosservanza del termine di cui al primo periodo, l'intervento sostitutivo è attuato nelle forme e secondo le modalità di cui all'articolo 12.</w:t>
      </w:r>
    </w:p>
    <w:p w14:paraId="110BE7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A9B37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45.</w:t>
      </w:r>
    </w:p>
    <w:p w14:paraId="59565BC8"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funzionalità del Consiglio Superiore dei lavori pubblici)</w:t>
      </w:r>
    </w:p>
    <w:p w14:paraId="610BDE0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525C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 fine di conseguire gli obbiettivi di cui al regolamento (UE) 2021/240 del Parlamento europeo e del Consiglio del 10 febbraio 2021 e al regolamento (UE) 2021/241 del Parlamento europeo e del Consiglio del 12 febbraio 2021, è istituito, fino al 31 dicembre 2026, presso il Consiglio superiore dei lavori pubblici per l'espressione dei pareri di cui all'articolo 44 del presente decreto, in relazione agli interventi </w:t>
      </w:r>
      <w:r w:rsidRPr="00EF5B01">
        <w:rPr>
          <w:rFonts w:asciiTheme="minorHAnsi" w:eastAsia="Times New Roman" w:hAnsiTheme="minorHAnsi" w:cs="Times New Roman"/>
          <w:bCs/>
          <w:iCs/>
          <w:color w:val="000000" w:themeColor="text1"/>
          <w:sz w:val="24"/>
          <w:szCs w:val="24"/>
        </w:rPr>
        <w:lastRenderedPageBreak/>
        <w:t>indicati nell'Allegato IV al presente decreto, un Comitato speciale presieduto dal Presidente del Consiglio superiore dei lavori pubblici e composto da:</w:t>
      </w:r>
    </w:p>
    <w:p w14:paraId="35BD55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8A71C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sei dirigenti di livello generale in servizio presso le amministrazioni dello Stato, designati dal Presidente del Consiglio dei Ministri e dai rispettivi Ministri, dei quali uno appartenente alla Presidenza del Consiglio dei ministri, uno appartenente al Ministero delle infrastrutture e della mobilità sostenibili, uno appartenente al Ministero della transizione ecologica, uno appartenente al Ministero della cultura, uno appartenente al Ministero dell'interno, uno appartenente al Ministero dell'economia e delle finanze;</w:t>
      </w:r>
    </w:p>
    <w:p w14:paraId="493ACD6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6F5E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tre rappresentanti designati dalla Conferenza unificata di cui all'articolo 8 del decreto legislativo 28 agosto 1997, n. 281, scelti tra soggetti in possesso di adeguate professionalità;</w:t>
      </w:r>
    </w:p>
    <w:p w14:paraId="0A73B6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2ECB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tre rappresentanti designati dagli Ordini professionali, di cui uno designato dall'Ordine professionale degli ingegneri, uno designato dall'Ordine professionale degli architetti ed uno designato dall'Ordine professionale dei geologi;</w:t>
      </w:r>
    </w:p>
    <w:p w14:paraId="623F52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4B83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tredici esperti scelti fra docenti universitari di chiara ed acclarata competenza;</w:t>
      </w:r>
    </w:p>
    <w:p w14:paraId="1608A6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F5A27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un magistrato amministrativo, con qualifica di consigliere, un consigliere della Corte dei conti e un avvocato dello Stato.</w:t>
      </w:r>
    </w:p>
    <w:p w14:paraId="3E6725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1FDA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Comitato possono essere invitati a partecipare, in qualità di esperti per la trattazione di speciali problemi, studiosi e tecnici anche non appartenenti a pubbliche amministrazioni, senza diritto di voto. Per la partecipazione alle attività del Comitato non spettano indennità, gettoni di presenza, rimborsi spese o altri emolumenti comunque denominati.</w:t>
      </w:r>
    </w:p>
    <w:p w14:paraId="5F195F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 componenti del Comitato speciale sono nominati con decreto del Presidente del Consiglio dei ministri, su proposta del Ministro delle infrastrutture e della mobilità sostenibili, durano in carica tre anni e possono essere confermati per un secondo triennio e comunque non oltre il 31 dicembre 2026. I componenti del Comitato speciale non possono farsi rappresentare. Ai componenti del Comitato speciale è corrisposta, anche in deroga alle previsioni di cui all'articolo 24, comma 3, del decreto legislativo 30 marzo 2001, n. 165, e fermo il limite di cui all'articolo 23-ter, comma 1, del decreto-legge 6 dicembre 2011, n. 201, convertito, con modificazioni, dalla legge 22 dicembre 2011, n. 214, un'indennità pari al 25 per cento dell'ammontare complessivo del trattamento economico percepito presso l'amministrazione di appartenenza e comunque non superiore alla somma omnicomprensiva di 35.000 euro annui comprensiva degli oneri a carico dell'Amministrazione.</w:t>
      </w:r>
    </w:p>
    <w:p w14:paraId="6B6D10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  4. Per lo svolgimento dell'attività istruttoria del Comitato speciale è istituita, presso il Consiglio Superiore dei lavori pubblici, nei limiti di una spesa pari a euro 391.490 per l'anno 2021 e pari a euro 782.979 per gli anni dal 2022 al 2026, una struttura di supporto di durata temporanea fino al 31 dicembre 2026, cui è preposto un dirigente di livello generale, in aggiunta all'attuale dotazione organica del Ministero delle infrastrutture e della mobilità sostenibili, e composta da un dirigente di livello non generale e da dieci unità di personale di livello non dirigenziale, individuate tra il personale di ruolo delle pubbliche amministrazioni di cui all'articolo 1, comma 2, del decreto legislativo 30 marzo 2001, n. 165 ad esclusione del personale docente, educativo, amministrativo, tecnico ed ausiliario delle istituzioni scolastiche. Il personale delle pubbliche amministrazioni è collocato, ai sensi dell'articolo 17, comma 14 della legge 15 maggio 1997, n. 127, in posizione di fuori ruolo, comando, distacco o altra analoga posizione, secondo i rispettivi ordinamenti. La struttura di supporto può altresì avvalersi, mediante apposite convenzioni e nel limite complessivo di spesa di euro 500.000 per l'anno 2021 e di euro 1 milione per ciascuno degli anni dal 2022 al 2026, di società controllate da Amministrazioni dello Stato specializzate nella progettazione o realizzazione di opere pubbliche.</w:t>
      </w:r>
    </w:p>
    <w:p w14:paraId="522F94F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Agli oneri derivanti dai commi da 1 a 4 quantificati in euro 1.381.490per l'anno 2021 e in euro 2.762.979per ciascuno degli anni dal 2022 fino al 2026,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067290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124DB6"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46.</w:t>
      </w:r>
    </w:p>
    <w:p w14:paraId="7D3C3BDF"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dibattito pubblico)</w:t>
      </w:r>
    </w:p>
    <w:p w14:paraId="0AD1C4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6BA73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Entro sessanta giorni dalla data di entrata in vigore del presente decreto, con decreto del Ministro delle infrastrutture e della mobilità sostenibili, adottato su proposta della Commissione nazionale per il dibattito pubblico di cui all'articolo 22, comma 2, del decreto legislativo 18 aprile 2016, n. 50, possono essere individuate, in relazione agli interventi di cui all'articolo 44, comma 1, nonché a quelli finanziati in tutto o in parte con le risorse del PNRR e del PNC, soglie dimensionali delle opere da sottoporre obbligatoriamente a dibattito pubblico inferiori a quelle previste dall'Allegato 1 del decreto del Presidente del Consiglio dei ministri 10 maggio 2018, n. 76. In relazione agli interventi di cui all'Allegato IV al presente decreto, il dibattito pubblico ha una durata massima di trenta giorni e tutti i termini previsti dal decreto n. 76 del 2018, sono ridotti della metà. Nei casi di obbligatorietà del dibattito pubblico, la stazione appaltante provvede ad avviare il relativo procedimento contestualmente alla trasmissione del progetto di fattibilità tecnica ed economica al Consiglio superiore dei lavori pubblici per l'acquisizione del parere di cui all'articolo 44, comma 1. In caso di restituzione del progetto ai sensi del secondo periodo dell'articolo 44, comma 1, il dibattito pubblico è sospeso con avviso pubblicato sul sito istituzionale della stazione appaltante e il termine di cui al secondo periodo del presente comma riprende a decorrere dalla </w:t>
      </w:r>
      <w:r w:rsidRPr="00EF5B01">
        <w:rPr>
          <w:rFonts w:asciiTheme="minorHAnsi" w:eastAsia="Times New Roman" w:hAnsiTheme="minorHAnsi" w:cs="Times New Roman"/>
          <w:bCs/>
          <w:iCs/>
          <w:color w:val="000000" w:themeColor="text1"/>
          <w:sz w:val="24"/>
          <w:szCs w:val="24"/>
        </w:rPr>
        <w:lastRenderedPageBreak/>
        <w:t xml:space="preserve">data di pubblicazione sul medesimo sito istituzionale dell'avviso di trasmissione del progetto di fattibilità tecnica ed economica integrato o modificato secondo le indicazioni rese dal Comitato speciale del Consiglio superiore di lavori pubblici. Gli esiti del dibattito pubblico e le osservazioni raccolte </w:t>
      </w:r>
      <w:proofErr w:type="gramStart"/>
      <w:r w:rsidRPr="00EF5B01">
        <w:rPr>
          <w:rFonts w:asciiTheme="minorHAnsi" w:eastAsia="Times New Roman" w:hAnsiTheme="minorHAnsi" w:cs="Times New Roman"/>
          <w:bCs/>
          <w:iCs/>
          <w:color w:val="000000" w:themeColor="text1"/>
          <w:sz w:val="24"/>
          <w:szCs w:val="24"/>
        </w:rPr>
        <w:t>sono valutate</w:t>
      </w:r>
      <w:proofErr w:type="gramEnd"/>
      <w:r w:rsidRPr="00EF5B01">
        <w:rPr>
          <w:rFonts w:asciiTheme="minorHAnsi" w:eastAsia="Times New Roman" w:hAnsiTheme="minorHAnsi" w:cs="Times New Roman"/>
          <w:bCs/>
          <w:iCs/>
          <w:color w:val="000000" w:themeColor="text1"/>
          <w:sz w:val="24"/>
          <w:szCs w:val="24"/>
        </w:rPr>
        <w:t xml:space="preserve"> nella conferenza di servizi di cui all'articolo 44, comma 4. Al fine di assicurare il rispetto dei termini di cui al secondo periodo del presente comma, la Commissione nazionale per il dibattito pubblico provvede ad istituire, entro il termine di sessanta giorni dalla data di entrata in vigore del presente decreto, un elenco di soggetti, in possesso di comprovata esperienza e competenza nella gestione dei processi partecipativi ovvero nella gestione ed esecuzione delle attività di programmazione e pianificazione in materia urbanistica o di opere pubbliche, cui conferire l'incarico di coordinatore del dibattito pubblico, come disciplinato dal decreto adottato in attuazione dell'articolo 22, comma 2, del citato decreto legislativo n. 50 del 2016. In caso di inosservanza da parte della stazione appaltante dei termini di svolgimento del dibattito pubblici previsti dal presente comma, la Commissione nazionale per il dibattito pubblico esercita, senza indugio, i necessari poteri sostitutivi. Ai componenti della Commissione nazionale è riconosciuto, per il periodo dal 2021 al 2026 in caso di esercizio dei poteri sostitutivi, il rimborso delle spese di missione nei limiti previsti per il personale del Ministero delle infrastrutture e della mobilità sostenibili, con oneri non superiori a 22,5 mila euro per l'anno 2021 e a 45 mila euro per ciascuno degli anni dal 2022 al 2026.</w:t>
      </w:r>
    </w:p>
    <w:p w14:paraId="38FB68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di cui al comma 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1FEA05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BEDC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IV</w:t>
      </w:r>
    </w:p>
    <w:p w14:paraId="490E6A6C"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CONTRATTI PUBBLICI</w:t>
      </w:r>
    </w:p>
    <w:p w14:paraId="49159DC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D53C93E"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47.</w:t>
      </w:r>
    </w:p>
    <w:p w14:paraId="725C2E74"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(Pari opportunità, generazionali e di genere, nei contratti pubblici PNRR e PNC)</w:t>
      </w:r>
    </w:p>
    <w:p w14:paraId="556F1D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D1D0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Per perseguire le finalità relative alle pari opportunità, generazionali e di genere,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w:t>
      </w:r>
    </w:p>
    <w:p w14:paraId="663CBF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Gli operatori economici tenuti alla redazione del rapporto sulla situazione del personale, ai sensi dell'articolo 46 del decreto legislativo 11 aprile 2006, n. 198, producono, a pena di esclusione, al </w:t>
      </w:r>
      <w:r w:rsidRPr="00EF5B01">
        <w:rPr>
          <w:rFonts w:asciiTheme="minorHAnsi" w:eastAsia="Times New Roman" w:hAnsiTheme="minorHAnsi" w:cs="Times New Roman"/>
          <w:bCs/>
          <w:iCs/>
          <w:color w:val="000000" w:themeColor="text1"/>
          <w:sz w:val="24"/>
          <w:szCs w:val="24"/>
        </w:rPr>
        <w:lastRenderedPageBreak/>
        <w:t>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439C877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tramessa alle rappresentanze sindacali aziendali e alla consigliera e al consigliere regionale di parità.</w:t>
      </w:r>
    </w:p>
    <w:p w14:paraId="6706F2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stazioni appaltanti prevedono, nei bandi di gara, negli avvisi e negli inviti, specifiche clausole dirette all'inserimento, come requisiti necessari e come ulteriori requisiti premiali dell'offerta, criteri orientati a promuovere l'imprenditoria giovanile, la parità di genere e l'assunzione di giovani, con età inferiore a trentasei anni, e donne. Il contenuto delle clausole è determinato tenendo, tra l'altro, conto dei princìpi di libera concorrenza, proporzionalità e non discriminazione, nonché dell'oggetto del contratto, della tipologia e della natura del singolo progetto in relazione ai profili occupazionali richiesti, dei princìpi dell'Unione europea, degli indicatori degli obiettivi attesi in termini di occupazione femminile e giovanile al 2026, anche in considerazione dei corrispondenti valori medi nonché dei corrispondenti indicatori medi settoriali europei in cui vengono svolti i progetti. Fermo restando quanto previsto al comma7, è requisito necessario dell'offerta l'assunzione dell'obbligo di assicurare una quota pari almeno al 30 per cento, delle assunzioni necessarie per l'esecuzione del contratto o per la realizzazione di attività ad esso connesse o strumentali, all'occupazione giovanile e femminile.</w:t>
      </w:r>
    </w:p>
    <w:p w14:paraId="10845B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Ulteriori misure premiali possono prevedere l'assegnazione di un punteggio aggiuntivo all'offerente o al candidato che:</w:t>
      </w:r>
    </w:p>
    <w:p w14:paraId="40B9B9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12CA7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quelle di cui all'articolo 3 della legge 1</w:t>
      </w:r>
      <w:r w:rsidR="00F6479F">
        <w:rPr>
          <w:rFonts w:asciiTheme="minorHAnsi" w:eastAsia="Times New Roman" w:hAnsiTheme="minorHAnsi" w:cs="Times New Roman"/>
          <w:bCs/>
          <w:iCs/>
          <w:color w:val="000000" w:themeColor="text1"/>
          <w:sz w:val="24"/>
          <w:szCs w:val="24"/>
        </w:rPr>
        <w:t>°</w:t>
      </w:r>
      <w:r w:rsidRPr="00EF5B01">
        <w:rPr>
          <w:rFonts w:asciiTheme="minorHAnsi" w:eastAsia="Times New Roman" w:hAnsiTheme="minorHAnsi" w:cs="Times New Roman"/>
          <w:bCs/>
          <w:iCs/>
          <w:color w:val="000000" w:themeColor="text1"/>
          <w:sz w:val="24"/>
          <w:szCs w:val="24"/>
        </w:rPr>
        <w:t xml:space="preserve"> marzo 2006, n. 67, quelle di cui agli articoli 35 e 55-quinquies del decreto legislativo 11 aprile 2006, n. 198, ovvero quelle di cui all'articolo 54 del decreto legislativo 26 marzo 2001, n. 151;</w:t>
      </w:r>
    </w:p>
    <w:p w14:paraId="5BEE69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48F8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utilizzi o si impegni a utilizzare specifici strumenti di conciliazione delle esigenze di cura, di vita e di lavoro per i propri dipendenti, nonché modalità innovative di organizzazione del lavoro;</w:t>
      </w:r>
    </w:p>
    <w:p w14:paraId="5E8517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DC5F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si impegni ad assumere, oltre alla soglia minima percentuale prevista come requisito di partecipazione, giovani, con età inferiore a trentasei anni, e donne per l'esecuzione del contratto o per la realizzazione di attività ad esso connesse o strumentali;</w:t>
      </w:r>
    </w:p>
    <w:p w14:paraId="4B4CADB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B097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abbia, nell'ultimo triennio, rispettato i princìpi della parità di genere e adottato specifiche misure per promuovere le pari opportunità generazionali e di genere, anche tenendo conto del rapporto tra uomini e donne nelle assunzioni, nei livelli retributivi e nel conferimento di incarichi apicali;</w:t>
      </w:r>
    </w:p>
    <w:p w14:paraId="2CB2C8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CE2C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3D8938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54760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I contratti di appalto prevedono l'applicazione di penali per l'inadempimento dell'appaltatore agli obblighi di cui al comma 3 ovvero del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di cui al comma 1.</w:t>
      </w:r>
    </w:p>
    <w:p w14:paraId="4740997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Le stazioni appaltanti possono escludere l'inserimento nei bandi di gara, negli avvisi e negli inviti delle previsioni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14:paraId="144B9F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e del Ministro del lavoro e delle politiche sociali, da adottarsi entro sessanta giorni dall'entrata in vigore del presente decreto, possono essere definite le modalità e i criteri applicativi delle misure previste dal presente articolo, indicate misure premiali e predisposti modelli di clausole da inserire nei bandi di gara differenziate per settore, tipologia e natura del contratto o del progetto.</w:t>
      </w:r>
    </w:p>
    <w:p w14:paraId="342E14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  9. I rapporti e le relazioni previste dai commi 2 e 3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p w14:paraId="66D41D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76024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48.</w:t>
      </w:r>
    </w:p>
    <w:p w14:paraId="3441FA57"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affidamento dei contratti pubblici PNRR e PNC)</w:t>
      </w:r>
    </w:p>
    <w:p w14:paraId="622DBD6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C75A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In relazione alle procedure afferenti </w:t>
      </w:r>
      <w:proofErr w:type="gramStart"/>
      <w:r w:rsidRPr="00EF5B01">
        <w:rPr>
          <w:rFonts w:asciiTheme="minorHAnsi" w:eastAsia="Times New Roman" w:hAnsiTheme="minorHAnsi" w:cs="Times New Roman"/>
          <w:bCs/>
          <w:iCs/>
          <w:color w:val="000000" w:themeColor="text1"/>
          <w:sz w:val="24"/>
          <w:szCs w:val="24"/>
        </w:rPr>
        <w:t>gli</w:t>
      </w:r>
      <w:proofErr w:type="gramEnd"/>
      <w:r w:rsidRPr="00EF5B01">
        <w:rPr>
          <w:rFonts w:asciiTheme="minorHAnsi" w:eastAsia="Times New Roman" w:hAnsiTheme="minorHAnsi" w:cs="Times New Roman"/>
          <w:bCs/>
          <w:iCs/>
          <w:color w:val="000000" w:themeColor="text1"/>
          <w:sz w:val="24"/>
          <w:szCs w:val="24"/>
        </w:rPr>
        <w:t xml:space="preserve"> investimenti pubblici finanziati, in tutto o in parte, con le risorse previste dal PNRR e dal PNC e dai programmi cofinanziati dai fondi strutturali dell'Unione europea, si applicano le disposizioni del presente titolo, l'articolo 207, comma 1, del decreto-legge 19 maggio 2020, n. 34, convertito, con modificazioni, dalla legge 17 luglio 2020, n. 77, nonché le disposizioni di cui al presente articolo.</w:t>
      </w:r>
    </w:p>
    <w:p w14:paraId="6DE305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È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n. 50 del 2016.</w:t>
      </w:r>
    </w:p>
    <w:p w14:paraId="39620C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stazioni appaltanti possono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w:t>
      </w:r>
    </w:p>
    <w:p w14:paraId="017F7C0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In caso di impugnazione degli atti relativi alle procedure di affidamento di cui al comma 1, relative ai lavori di cui al comma 7, primo periodo, si applica l'articolo 125 del codice del processo amministrativo di cui al decreto legislativo 2 luglio 2010, n. 104.</w:t>
      </w:r>
    </w:p>
    <w:p w14:paraId="12C61B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Per le finalità di cui al comma 1, in deroga a quanto previsto dall'articolo 59, commi 1, 1-bis e 1-ter, del decreto legislativo n. 50 del 2016, è ammesso l'affidamento di progettazione ed esecuzione dei relativi lavori anche sulla base del progetto di fattibilità tecnica ed economica di cui all'articolo 23, comma 5, del decreto legislativo n. 50 del 2016. Sul progetto di fattibilità tecnica ed economica posto a base di gara, è sempre convocata la conferenza di servizi di cui all'articolo 14, comma 3, della legge 7 agosto 1990, n. 241. L'affidamento avviene mediante acquisizione del progetto definitivo in sede di offerta ovvero, in 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In </w:t>
      </w:r>
      <w:r w:rsidRPr="00EF5B01">
        <w:rPr>
          <w:rFonts w:asciiTheme="minorHAnsi" w:eastAsia="Times New Roman" w:hAnsiTheme="minorHAnsi" w:cs="Times New Roman"/>
          <w:bCs/>
          <w:iCs/>
          <w:color w:val="000000" w:themeColor="text1"/>
          <w:sz w:val="24"/>
          <w:szCs w:val="24"/>
        </w:rPr>
        <w:lastRenderedPageBreak/>
        <w:t>ogni caso, alla conferenza di servizi indetta ai fini dell'approvazione del progetto definitivo partecipa anche l'affidatario dell'appalto, che provvede, ove necessario, ad adeguare il progetto alle eventuali prescrizioni susseguenti ai pareri resi in sede di conferenza di servizi. A tal fine, entro cinque giorni dall'aggiudicazione ovvero dalla presentazione del progetto definitivo da parte dell'affidatario, qualora lo stesso non sia stato acquisito in sede di gara, il responsabile unico del procedimento avvia le procedure per l'acquisizione dei pareri e degli atti di assenso necessari per l'approvazione del progetto.</w:t>
      </w:r>
    </w:p>
    <w:p w14:paraId="5514C48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w:t>
      </w:r>
    </w:p>
    <w:p w14:paraId="18C483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Per gli interventi di cui al comma 1, in deroga a quanto previsto dall'articolo 215 del decreto legislativo n. 50 del 2016, il parere del Consiglio Superiore dei lavori pubblici è reso esclusivamente sui progetti di fattibilità tecnica ed economica di lavori pubblici di competenza statale, o comunque finanziati per almeno il 50 per cento dallo Stato, di importo pari o superiore ai 100 milioni di euro. In tali casi, il parere reso dal Consiglio Superiore, in deroga a quanto previsto dall'articolo 1, comma 9, del decreto-legge 18 aprile 2019, n. 32, convertito, con modificazioni, dalla legge 14 giugno 2019, n. 55, non riguarda anche la valutazione di congruità del costo. In relazione agli investimenti di cui al primo periodo di importo inferiore ai 100 milioni di euro, dalla data di entrata in vigore della presente disposizione e fino al 31 dicembre 2026, si prescinde dall'acquisizione del parere di cui all'articolo 215, comma 3, del decreto legislativo n. 50 del 2016. Con provvedimento del Presidente del Consiglio Superiore dei lavori pubblici, adottato entro sessanta giorni dalla data di entrata in vigore della presente disposizione, sono individuate le modalità di presentazione delle richieste di parere di cui al presente comma, è indicato il contenuto essenziale dei documenti e degli elaborati di cui all'articolo 23, commi 5 e 6, del decreto legislativo n. 50 del 2016, occorrenti per l'espressione del parere, e sono altresì disciplinate, fermo quanto previsto dall'articolo 44 del presente decreto, procedure semplificate per la verifica della completezza della documentazione prodotta e, in caso positivo, per la conseguente definizione accelerata del procedimento.</w:t>
      </w:r>
    </w:p>
    <w:p w14:paraId="45F622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97DBD5"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49.</w:t>
      </w:r>
    </w:p>
    <w:p w14:paraId="72D929BB" w14:textId="77777777" w:rsidR="00EF5B01" w:rsidRPr="00EF5B01" w:rsidRDefault="00EF5B01" w:rsidP="00E20656">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subappalto)</w:t>
      </w:r>
    </w:p>
    <w:p w14:paraId="1022E35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787C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Dalla data di entrata in vigore del presente decreto:</w:t>
      </w:r>
    </w:p>
    <w:p w14:paraId="1A5CDD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E00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fino al 31 ottobre 2021, in deroga all'articolo 105, commi 2 e 5, del decreto legislativo 18 aprile 2016, n. 50, il subappalto non può superare la quota del 50 per cento dell'importo complessivo del contratto di lavori, servizi o forniture. È pertanto abrogato l'articolo 1, comma 18, primo periodo, del decreto-legge 18 aprile 2019, n. 32, convertito, con modificazioni, dalla legge 14 giugno 2019, n. 55;</w:t>
      </w:r>
    </w:p>
    <w:p w14:paraId="69462D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3D01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105 del decreto legislativo 18 aprile 2016, n. 50:</w:t>
      </w:r>
    </w:p>
    <w:p w14:paraId="736FA18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93C4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il secondo e il terzo periodo sono sostituiti dai seguenti: «A pena di nullità, fatto salvo quanto previsto dall'articolo 106, comma 1, lettera d), il contratto non può essere ceduto, non può essere affidata a terzi l'integrale esecuzione delle prestazioni o lavorazioni oggetto del contratto di appalto, nonché la prevalente esecuzione delle lavorazioni relative al complesso delle categorie prevalenti e dei contratti ad alta intensità di manodopera. È ammesso il subappalto secondo le disposizioni del presente articolo.»;</w:t>
      </w:r>
    </w:p>
    <w:p w14:paraId="6BE37F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9DA0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14, il primo periodo è sostituito dal seguente: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673602E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1AD8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Dal 1° novembre 2021, al citato articolo 105 del decreto legislativo 18 aprile 2016, n. 50:</w:t>
      </w:r>
    </w:p>
    <w:p w14:paraId="06F531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6B02B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   a) al comma 2, il terzo periodo è sostituito dal seguente: «Le stazioni appaltanti, nel rispetto dei princìpi di cui all'articolo 30, previa adeguata motivazione nella determina a contrarre, eventualmente avvalendosi del parere delle Prefetture competenti, indicano nei documenti di gara le prestazioni o le lavorazioni oggetto del contratto di appalto da eseguire a cura dell'aggiudicatario in ragione delle specifiche caratteristiche dell'appalto, ivi comprese quelle di cui all'articolo 89, comma 11, dell'esigenza,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w:t>
      </w:r>
      <w:r w:rsidRPr="00EF5B01">
        <w:rPr>
          <w:rFonts w:asciiTheme="minorHAnsi" w:eastAsia="Times New Roman" w:hAnsiTheme="minorHAnsi" w:cs="Times New Roman"/>
          <w:bCs/>
          <w:iCs/>
          <w:color w:val="000000" w:themeColor="text1"/>
          <w:sz w:val="24"/>
          <w:szCs w:val="24"/>
        </w:rPr>
        <w:lastRenderedPageBreak/>
        <w:t>prestatori di servizi ed esecutori di lavori di cui al comma 52 dell' articolo 1 della legge 6 novembre 2012, n. 190, ovvero nell'anagrafe antimafia degli esecutori istituita dall'articolo 30 del decreto-legge 17 ottobre 2016, n. 189, convertito, con modificazioni, dalla legge 15 dicembre 2016, n. 229.»;</w:t>
      </w:r>
    </w:p>
    <w:p w14:paraId="2F5377F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2D86D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5 è abrogato;</w:t>
      </w:r>
    </w:p>
    <w:p w14:paraId="5D9A86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1D1C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 comma 8, il primo periodo è sostituito dal seguente: «Il contraente principale e il subappaltatore sono responsabili in solido nei confronti della stazione appaltante in relazione alle prestazioni oggetto del contratto di subappalto.».</w:t>
      </w:r>
    </w:p>
    <w:p w14:paraId="53CE6C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14CF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amministrazioni competenti:</w:t>
      </w:r>
    </w:p>
    <w:p w14:paraId="065D97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7C221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assicurano la piena operatività della Banca Dati Nazionale dei Contratti Pubblici di cui all'articolo 81 del decreto legislativo n. 50 del 2016, come modificato dall'articolo 54 del presente decreto;</w:t>
      </w:r>
    </w:p>
    <w:p w14:paraId="68346F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B77B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adottano il documento relativo alla congruità dell'incidenza della manodopera, di cui all'articolo 105, comma 16, del citato decreto legislativo n. 50 del 2016 e all'articolo 8, comma 10-bis, del decreto-legge 16 luglio 2020, n. 76, convertito, con modificazioni, dalla legge 11 settembre 2020, n. 120;</w:t>
      </w:r>
    </w:p>
    <w:p w14:paraId="20087B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6EB7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adottano entro novanta giorni dalla data di entrata in vigore del presente decreto il regolamento di cui all'articolo 91, comma 7, del decreto legislativo 6 settembre 2011, n. 159.</w:t>
      </w:r>
    </w:p>
    <w:p w14:paraId="328D045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ED51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Per garantire la piena operatività e l'implementazione della banca dati di cui al comma 3, lettera a), è autorizzata la spesa di euro 1 milione per l'anno 2021 e di euro 2 milioni per ciascuno degli anni dal 2022 al 2026. Ai relativi oneri si provvede mediante corrispondente riduzione dell'autorizzazione di spesa di cui all'articolo 1, comma 200, della legge 23 dicembre 2014, n. 190.</w:t>
      </w:r>
    </w:p>
    <w:p w14:paraId="394A7E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EF6D5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50.</w:t>
      </w:r>
    </w:p>
    <w:p w14:paraId="7143826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esecuzione dei contratti pubblici PNRR e PNC)</w:t>
      </w:r>
    </w:p>
    <w:p w14:paraId="45EE2F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8F5E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Al fine di conseguire gli obbiettivi di cui al regolamento (UE) 2021/240 del Parlamento europeo e del Consiglio, del 10 febbraio 2021 e al regolamento (UE) 2021/241 del Parlamento europeo e del </w:t>
      </w:r>
      <w:r w:rsidRPr="00EF5B01">
        <w:rPr>
          <w:rFonts w:asciiTheme="minorHAnsi" w:eastAsia="Times New Roman" w:hAnsiTheme="minorHAnsi" w:cs="Times New Roman"/>
          <w:bCs/>
          <w:iCs/>
          <w:color w:val="000000" w:themeColor="text1"/>
          <w:sz w:val="24"/>
          <w:szCs w:val="24"/>
        </w:rPr>
        <w:lastRenderedPageBreak/>
        <w:t>Consiglio, del 12 febbraio 2021, in relazione alla esecuzione dei contratti pubblici finanziati, in tutto o in parte, con le risorse previste dai citati regolamenti, nonché dalle risorse del PNC, e dai programmi cofinanziati dai fondi strutturali dell'Unione Europea, si applicano le disposizioni del presente titolo, nonché le disposizioni del presente articolo.</w:t>
      </w:r>
    </w:p>
    <w:p w14:paraId="601948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Decorsi inutilmente i termini per la stipulazione del contratto, la consegna dei lavori, la costituzione del collegio consultivo tecnico, gli atti e le attività di cui all'articolo 5 del decreto-legge 16 luglio 2020 n. 76, convertito, con modificazioni, dalla legge 11 settembre 2020, n. 120, nonché gli altri termini, anche </w:t>
      </w:r>
      <w:proofErr w:type="spellStart"/>
      <w:r w:rsidRPr="00EF5B01">
        <w:rPr>
          <w:rFonts w:asciiTheme="minorHAnsi" w:eastAsia="Times New Roman" w:hAnsiTheme="minorHAnsi" w:cs="Times New Roman"/>
          <w:bCs/>
          <w:iCs/>
          <w:color w:val="000000" w:themeColor="text1"/>
          <w:sz w:val="24"/>
          <w:szCs w:val="24"/>
        </w:rPr>
        <w:t>endoprocedimentali</w:t>
      </w:r>
      <w:proofErr w:type="spellEnd"/>
      <w:r w:rsidRPr="00EF5B01">
        <w:rPr>
          <w:rFonts w:asciiTheme="minorHAnsi" w:eastAsia="Times New Roman" w:hAnsiTheme="minorHAnsi" w:cs="Times New Roman"/>
          <w:bCs/>
          <w:iCs/>
          <w:color w:val="000000" w:themeColor="text1"/>
          <w:sz w:val="24"/>
          <w:szCs w:val="24"/>
        </w:rPr>
        <w:t>, previsti dalla legge, dall'ordinamento della stazione appaltante o dal contratto per l'adozione delle determinazione relative all'esecuzione dei contratti pubblici PNRR e PNC, il responsabile o l'unità organizzativa di cui all'articolo 2, comma 9-bis, della legge 7 agosto 1990, n. 241, titolare del potere sostitutivo in caso di inerzia, d'ufficio o su richiesta dell'interessato, esercita il potere sostitutivo entro un termine pari alla metà di quello originariamente previsto, al fine di garantire il rispetto dei tempi di attuazione di cui al PNRR nonché al PNC e ai programmi cofinanziati dai fondi strutturali dell'Unione Europea.</w:t>
      </w:r>
    </w:p>
    <w:p w14:paraId="44FDA1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contratto diviene efficace con la stipulazione e non trova applicazione l'articolo 32, comma 12, del decreto legislativo 18 aprile 2016 n. 50.</w:t>
      </w:r>
    </w:p>
    <w:p w14:paraId="5137BB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La stazione appaltante prevede, nel bando o nell'avviso di indizione della gara, che, qualora l'ultimazione dei lavori avvenga in anticipo rispetto al termine ivi indicato, è riconosciuto, a seguito dell'approvazione da parte della stazione appaltante del certificato di collaudo o di verifica di conformità, un premio di accelerazione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conforme alle obbligazioni assunte. In deroga all'articolo 113-bis del decreto legislativo n. 50 del 2016,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p>
    <w:p w14:paraId="620F05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580EF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51.</w:t>
      </w:r>
    </w:p>
    <w:p w14:paraId="4E43D26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 decreto-legge 16 luglio 2020, n. 76)</w:t>
      </w:r>
    </w:p>
    <w:p w14:paraId="1AEBB9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2B9B3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16 luglio 2020, n. 76, convertito, con modificazioni, dalla legge 11 settembre 2020, n. 120, sono apportate le seguenti modificazioni:</w:t>
      </w:r>
    </w:p>
    <w:p w14:paraId="03EE32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0F32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w:t>
      </w:r>
    </w:p>
    <w:p w14:paraId="3610C64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93FF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comma 1, le parole «31 dicembre 2021» sono sostituite dalle seguenti: «30 giugno 2023»;</w:t>
      </w:r>
    </w:p>
    <w:p w14:paraId="14C7D7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B06A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w:t>
      </w:r>
    </w:p>
    <w:p w14:paraId="780246A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5C94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     2.1. la lettera a) è sostituita dalla seguente: «a)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princìpi di cui all'articolo 30 del codice dei contratti pubblici di cui al decreto legislativo 18 aprile 2016, n. 50;»;</w:t>
      </w:r>
    </w:p>
    <w:p w14:paraId="1CB844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61C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     2.2. alla lettera b), le parole «di importo pari o superiore a 75.000 euro e fino alle soglie di cui all'articolo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 sono sostituite dalle seguenti: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w:t>
      </w:r>
    </w:p>
    <w:p w14:paraId="3F4D6C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4ECB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2:</w:t>
      </w:r>
    </w:p>
    <w:p w14:paraId="21E62A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FF93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08C784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1FF8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«agli articoli 61 e 62» sono sostituite dalle seguenti: «all'articolo 62»;</w:t>
      </w:r>
    </w:p>
    <w:p w14:paraId="0A8099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9599E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3:</w:t>
      </w:r>
    </w:p>
    <w:p w14:paraId="403E3B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E782FB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53CB2A3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1E61C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«31 dicembre 2021» sono sostituite dalle seguenti: «30 giugno 2023»;</w:t>
      </w:r>
    </w:p>
    <w:p w14:paraId="0C9B0B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02FAA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5:</w:t>
      </w:r>
    </w:p>
    <w:p w14:paraId="14570D8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F79C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sono sostituite dalle seguenti: «30 giugno 2023»;</w:t>
      </w:r>
    </w:p>
    <w:p w14:paraId="68DF401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AAEE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le parole «su determinazione» sono sostituite dalle seguenti: «su parere»;</w:t>
      </w:r>
    </w:p>
    <w:p w14:paraId="538C82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6A3A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6:</w:t>
      </w:r>
    </w:p>
    <w:p w14:paraId="165A129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88A5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«31 dicembre 2021», ovunque ricorrano, sono sostituite dalle seguenti: «30 giugno 2023»;</w:t>
      </w:r>
    </w:p>
    <w:p w14:paraId="4D475C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B623C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2, secondo periodo, dopo le parole «ciascuna di esse nomini uno o due componenti» sono inserite le seguenti: «, individuati anche tra il proprio personale dipendente ovvero tra persone ad esse legate da rapporti di lavoro autonomo o di collaborazione anche continuativa in possesso dei requisiti previsti dal primo periodo,»;</w:t>
      </w:r>
    </w:p>
    <w:p w14:paraId="778756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12D6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è aggiunto, in fine, il seguente periodo: «Quando il provvedimento che definisce il giudizio corrisponde interamente al contenuto della determinazione della collegio consultivo, il giudice esclude la ripetizione delle spese sostenute dalla parte vincitrice che non ha osservato la determinazione, riferibili al periodo successivo alla formulazione della stessa, e la condanna al rimborso delle spese sostenute dalla parte soccombente relative allo stesso periodo, nonché al versamento all'entrata del bilancio dello Stato di un'ulteriore somma di importo corrispondente al contributo unificato dovuto. Resta ferma l'applicabilità degli articoli 92 e 96 del codice di procedura civile.»;</w:t>
      </w:r>
    </w:p>
    <w:p w14:paraId="53C068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8549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7, il secondo periodo è soppresso e, al quarto periodo, dopo le parole «fino a un quarto» sono inserite le seguenti: «e di quanto previsto dalle linee guida di cui al comma 8-ter»;</w:t>
      </w:r>
    </w:p>
    <w:p w14:paraId="6F58D6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325E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dopo il comma 8 è inserito il seguente: «8-bis. Entro sessanta giorni dalla data di entrata in vigore della presente disposizione, con provvedimento del Ministro delle infrastrutture e della mobilità sostenibili, previo parere del Consiglio superiore dei lavori pubblici, sono approvate apposite Linee guida volte a definire, nel rispetto di quanto stabilito dal presente articolo, i requisiti professionali e i casi di incompatibilità dei membri e del Presidente del collegio consultivo tecnico, i criteri preferenziali per la </w:t>
      </w:r>
      <w:r w:rsidRPr="00EF5B01">
        <w:rPr>
          <w:rFonts w:asciiTheme="minorHAnsi" w:eastAsia="Times New Roman" w:hAnsiTheme="minorHAnsi" w:cs="Times New Roman"/>
          <w:bCs/>
          <w:iCs/>
          <w:color w:val="000000" w:themeColor="text1"/>
          <w:sz w:val="24"/>
          <w:szCs w:val="24"/>
        </w:rPr>
        <w:lastRenderedPageBreak/>
        <w:t>loro scelta, i parametri per la determinazione dei compensi rapportati al valore e alla complessità dell'opera, nonché all'entità e alla durata dell'impegno richiesto ed al numero e alla qualità delle determinazioni assunte, le modalità di costituzione e funzionamento del collegio e il coordinamento con gli altri istituti consultivi, deflattivi e contenziosi esistenti. Con il medesimo decreto, è istituito presso il Consiglio superiore dei lavori pubblici, senza nuovi o maggiori oneri per la finanza pubblica, un Osservatorio permanente per assicurare il monitoraggio dell'attività dei collegi consultivi tecnici. A tale fine, i Presidenti dei collegi consultivi provvedono a trasmettere all'Osservatorio gli atti di costituzione del collegio e le determinazioni assunte dal collegio, entro cinque giorni dalla loro adozione. Ai componenti dell'osservatorio non spettano indennità, gettoni di presenza, rimborsi spese o altri emolumenti comunque denominati. Al funzionamento dell'Osservatorio si provvede nell'ambito delle risorse umane, strumentali e finanziarie del Consiglio superiore dei lavori pubblici disponibili a legislazione vigente»;</w:t>
      </w:r>
    </w:p>
    <w:p w14:paraId="2D58D42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CF41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8, comma 1, le parole «31 dicembre 2021» sono sostituite dalle seguenti: «30 giugno 2023»;</w:t>
      </w:r>
    </w:p>
    <w:p w14:paraId="0121A4B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B935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13, comma 1, le parole «31 dicembre 2021» sono sostituite dalle seguenti: «30 giugno 2023»;</w:t>
      </w:r>
    </w:p>
    <w:p w14:paraId="16520F8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2B994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all'articolo 21, comma 2, le parole «31 dicembre 2021» sono sostituite dalle seguenti: «30 giugno 2023».</w:t>
      </w:r>
    </w:p>
    <w:p w14:paraId="54A33B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3EC5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 proroga di cui al comma 1, lettera b), numero 1), non si applica alle disposizioni di cui al comma 4 dell'articolo 2 del decreto-legge n. 76 del 2020.</w:t>
      </w:r>
    </w:p>
    <w:p w14:paraId="241B12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Le modifiche apportate dal comma 1, lettera a), numero 2), numeri 2.1 e 2.2, all'articolo 1, comma 2, lettere a) e b), del decreto-legge n. 76 del 2020, si applicano alle procedure avviate dopo l'entrata in vigore del presente decreto. Per le procedure i cui bandi o avvisi di indizione della gara siano pubblicati prima dell'entrata in vigore del presente decreto ovvero i cui inviti a presentare le offerte o i preventivi siano inviati entro la medesima data continua ad applicarsi il citato articolo 1 del decreto-legge n. 76 del 2020 nella formulazione antecedente alle modifiche apportate con il presente decreto.</w:t>
      </w:r>
    </w:p>
    <w:p w14:paraId="3D9F36C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05D70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52</w:t>
      </w:r>
    </w:p>
    <w:p w14:paraId="1B15D8E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 decreto-legge 18 aprile 2019, n. 32 e prime misure di riduzione delle stazioni appaltanti)</w:t>
      </w:r>
    </w:p>
    <w:p w14:paraId="302E7E0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2A53B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decreto-legge 18 aprile 2019, n. 32, convertito, con modificazioni, dalla legge 14 giugno 2019, n. 55, sono apportate le seguenti modificazioni:</w:t>
      </w:r>
    </w:p>
    <w:p w14:paraId="17E720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8C9E69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1:</w:t>
      </w:r>
    </w:p>
    <w:p w14:paraId="14A01E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D01FE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w:t>
      </w:r>
    </w:p>
    <w:p w14:paraId="1465A42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57834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all'alinea, le parole «31 dicembre 2021» sono sostituite dalle seguenti: «30 giugno 2023»;</w:t>
      </w:r>
    </w:p>
    <w:p w14:paraId="2A54E2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86590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alla lettera a), sono aggiunte, in fine, le seguenti parole “, limitatamente alle procedure non afferenti gli investimenti pubblici finanziati, in tutto o in parte, con le risorse previste dal Regolamento (UE) 2021/240 del Parlamento europeo e del Consiglio del 10 febbraio 2021 e dal Regolamento (UE) 2021/241 del Parlamento europeo e del Consiglio del 12 febbraio 2021, nonché dalle risorse del Piano nazionale per gli investimenti complementari di cui all'articolo 1 del decreto-legge 6 maggio 2021, n. 59. Nelle more di una disciplina diretta ad assicurare la riduzione, il rafforzamento e la qualificazione delle stazioni appaltanti, per le procedure afferenti alle opere PNRR e PNC, i comuni non capoluogo di provincia procedono all'acquisizione di forniture, servizi e lavori, oltre che secondo le modalità indicate dal citato articolo 37, comma 4, attraverso le unioni di comuni, le province, le città metropolitane e i comuni capoluogo di province.</w:t>
      </w:r>
    </w:p>
    <w:p w14:paraId="5E116F8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EF70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abrogato;</w:t>
      </w:r>
    </w:p>
    <w:p w14:paraId="45AF06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6927C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le parole «31 dicembre 2021» sono sostituite dalle seguenti: «30 giugno 2023»;</w:t>
      </w:r>
    </w:p>
    <w:p w14:paraId="1CCA14A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87C24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 comma 4, le parole «Per gli anni 2019, 2020 e 2021» sono sostituite dalle seguenti: «Per gli anni dal 2019 al 2023»;</w:t>
      </w:r>
    </w:p>
    <w:p w14:paraId="6636108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254E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comma 6, le parole «Per gli anni 2019, 2020 e 2021» sono sostituite dalle seguenti: «Per gli anni dal 2019 al 2023»;</w:t>
      </w:r>
    </w:p>
    <w:p w14:paraId="09484D2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C529F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    6) al comma 7, le parole «31 dicembre 2021» sono sostituite dalle seguenti: «30 giugno 2023» ed è aggiunto, in fine, il seguente periodo: «Restano ferme le disposizioni relative all'acquisizione del parere </w:t>
      </w:r>
      <w:r w:rsidRPr="00EF5B01">
        <w:rPr>
          <w:rFonts w:asciiTheme="minorHAnsi" w:eastAsia="Times New Roman" w:hAnsiTheme="minorHAnsi" w:cs="Times New Roman"/>
          <w:bCs/>
          <w:iCs/>
          <w:color w:val="000000" w:themeColor="text1"/>
          <w:sz w:val="24"/>
          <w:szCs w:val="24"/>
        </w:rPr>
        <w:lastRenderedPageBreak/>
        <w:t>del Consiglio superiori dei lavori pubblici relativamente alla costruzione e all'esercizio delle dighe di ritenuta.»;</w:t>
      </w:r>
    </w:p>
    <w:p w14:paraId="67E6A2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EDFE3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al comma 10, le parole «Fino al 31 dicembre 2021» sono sostituite dalle seguenti: «Fino al 30 giugno 2023»;</w:t>
      </w:r>
    </w:p>
    <w:p w14:paraId="663EDA2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42DC6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 comma 15, le parole «Per gli anni dal 2019 al 2022» sono sostituite dalle seguenti: «Per gli anni dal 2019 al 2023»;</w:t>
      </w:r>
    </w:p>
    <w:p w14:paraId="640E79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A52E1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al comma 18, secondo periodo le parole «Fino al 31 dicembre 2021» sono sostituite dalle seguenti: «Fino al 31 dicembre 2023».</w:t>
      </w:r>
    </w:p>
    <w:p w14:paraId="789216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6E9E3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53.</w:t>
      </w:r>
    </w:p>
    <w:p w14:paraId="09B8121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degli acquisti di beni e servizi informatici strumentali alla realizzazione del PNRR e in materia di procedure di e-procurement e acquisto di beni e servizi informatici)</w:t>
      </w:r>
    </w:p>
    <w:p w14:paraId="759A2CE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BA91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Fermo restando, per l'acquisto dei beni e servizi di importo inferiore alle soglie di cui all'articolo 35 del decreto legislativo n. 50 del 2016, quanto previsto dall'articolo 1, comma 2, lettera a), del decreto-legge n. 76 del 2020, così come modificato dal presente decreto, le stazioni appaltanti possono ricorrere alla procedura di cui all'articolo 48, comma 3, in presenza dei presupposti ivi previsti, in relazione agli affidamenti di importo superiore alle predette soglie,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w:t>
      </w:r>
    </w:p>
    <w:p w14:paraId="2E7F3D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termine delle procedure di gara di cui al comma 1, le amministrazioni stipulano il contratto e avviano l'esecuzione dello stesso secondo le modalità di cui all'articolo 75, comma 3, del decreto-legge 17 marzo 2020, n. 18, convertito in legge 24 aprile 2020, n. 27, nel rispetto di quanto previsto dall'articolo 32, commi 9 e 10, del decreto legislativo n. 50 del 2016. Per le verifiche antimafia si applica l'articolo 3 del decreto legge 16 luglio 2020, n. 76, convertito in legge 11 settembre 2020, n. 120. L'autocertificazione consente di stipulare, approvare o autorizzare i contratti relativi ai beni, servizi e forniture, sotto condizione risolutiva, ferme restando le verifiche successive ai fini del comprovato possesso dei requisiti da completarsi entro sessanta giorni.</w:t>
      </w:r>
    </w:p>
    <w:p w14:paraId="625BA0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La struttura della Presidenza del Consiglio dei ministri competente per l'innovazione tecnologica e la transizione digitale esercita la funzione di cui all'articolo 14-bis, comma 2, lettera g), del decreto legislativo 7 marzo 2005, n. 82, sentita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in relazione alle procedure di affidamento di cui al comma 1 ritenute strategiche per assicurare il conseguimento degli specifici obiettivi di trasformazione digitale previsti dal Piano nazionale di ripresa e resilienza.</w:t>
      </w:r>
    </w:p>
    <w:p w14:paraId="70253E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Nell'esercizio della funzione di cui al comma 3, la struttura della Presidenza del Consiglio dei ministri competente per l'innovazione tecnologica e la transizione digitale detta anche prescrizioni, obbligatorie e vincolanti nei confronti delle amministrazioni aggiudicatrici, relative alle modalità organizzative e alla tempistica di svolgimento delle procedure di affidamento necessarie al fine di assicurare il conseguimento degli specifici obiettivi di trasformazione digitale previsti dal PNRR nel rispetto dei termini di attuazione individuati nel cronoprogramma relativo ai singoli progetti, nonché alla qualità e alla coerenza tecnologica complessiva delle architetture infrastrutturali.</w:t>
      </w:r>
    </w:p>
    <w:p w14:paraId="5FE8E3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 decreto legislativo 18 aprile 2016, n. 50, recante «Codice dei contratti pubblici» sono apportate le seguenti modificazioni:</w:t>
      </w:r>
    </w:p>
    <w:p w14:paraId="0479CD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D0871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29:</w:t>
      </w:r>
    </w:p>
    <w:p w14:paraId="0DDCA0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0EF20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primo periodo, dopo le parole «nonché alle procedure per l'affidamento» sono inserite le seguenti: «e l'esecuzione»;</w:t>
      </w:r>
    </w:p>
    <w:p w14:paraId="2C6918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D4DB5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Tutte le informazioni inerenti gli atti delle amministrazioni aggiudicatrici e degli enti aggiudicatori relativi alla programmazione, alla scelta del contraente, all'aggiudicazione e all'esecuzione di lavori, servizi e forniture relativi all'affidamento, inclusi i concorsi di progettazione e i concorsi di idee e di concessioni, compresi quelli di cui all'articolo 5, sono gestite e trasmesse tempestivamente alla Banca Dati Nazionale dei Contratti pubblici dell'ANAC attraverso le piattaforme telematiche ad essa interconnesse secondo le modalità indicate all'articolo 213, comma 9. L'ANAC garantisce, attraverso la Banca Dati Nazionale dei Contratti pubblici, la pubblicazione dei dati ricevuti, nel rispetto di quanto previsto dall'articolo 53 e ad eccezione di quelli che riguardano contratti secretati ai sensi dell'articolo 162, la trasmissione dei dati all'Ufficio delle pubblicazioni dell'Unione europea e la pubblicazione ai sensi dell'articolo 73. Gli effetti degli atti oggetto di pubblicazione ai sensi del presente comma decorrono dalla data di pubblicazione dei relativi dati nella Banca dati nazionale dei contratti pubblici.»;</w:t>
      </w:r>
    </w:p>
    <w:p w14:paraId="3EEF955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41D4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sono inserite, in fine, le seguenti parole: «anche attraverso la messa a disposizione di piattaforme telematiche interoperabili con la Banca dati nazionale dei contratti pubblici per la gestione di tutte le fasi della vita dei contratti pubblici secondo le modalità indicate all'articolo 213, comma 9»;</w:t>
      </w:r>
    </w:p>
    <w:p w14:paraId="608E53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2386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 è sostituito dal seguente: «4. Le stazioni appaltanti sono tenute ad utilizzare le piattaforme telematiche di cui al comma 2, aderenti alle regole di cui all'articolo 44.»;</w:t>
      </w:r>
    </w:p>
    <w:p w14:paraId="20E4A5B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B66AF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    5) il comma 4-bis è sostituito dal seguente: «4-bis. "L'interscambio dei dati e degli atti tra la Banca Dati Nazionale dei Contratti pubblici dell'ANAC, il sistema di cui al decreto legislativo 29 dicembre 2011, n. 229, e le piattaforme telematiche ad essa interconnesse avviene, nel rispetto del principio di unicità del luogo di pubblicazione e di unicità dell'invio delle informazioni, in conformità alle Linee guida </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in materia di interoperabilità. L'insieme dei dati e delle informazioni condivisi costituiscono fonte informativa prioritaria in materia di pianificazione e monitoraggio di contratti. Per le opere pubbliche si applica quanto previsto dall'articolo 8, comma 2, del decreto legislativo 29 dicembre 2011, n. 229.».</w:t>
      </w:r>
    </w:p>
    <w:p w14:paraId="37319D5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6E85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36, comma 6-bis, secondo periodo, la parola «decreto» è sostituita dalla seguente: «provvedimento» e, al terzo periodo, le parole «Banca dati nazionale degli operatori economici» sono sostituite dalle seguenti: «Banca dati nazionale dei contratti pubblici.»;</w:t>
      </w:r>
    </w:p>
    <w:p w14:paraId="7BF11B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BC385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all'articolo 77, comma 2, le parole «può lavorare» sono sostituite dalle seguenti: «di regola, lavora».</w:t>
      </w:r>
    </w:p>
    <w:p w14:paraId="46EFC6B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7F0F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all'articolo 81:</w:t>
      </w:r>
    </w:p>
    <w:p w14:paraId="00D4F9D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80B3F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 parole «Banca dati centralizzata gestita dal Ministero delle infrastrutture e dei trasporti, denominata Banca dati nazionale degli operatori economici» sono sostituite dalle seguenti: «Banca dati nazionale dei contratti pubblici, di cui all'articolo 213, comma 8»;</w:t>
      </w:r>
    </w:p>
    <w:p w14:paraId="35842F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296A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comma 2 è sostituito dal seguente: «2. Per le finalità di cui al comma 1, l'ANAC individua, con proprio provvedimento, adottato d'intesa con il Ministero delle infrastrutture e della mobilità sostenibili e con 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i dati concernenti la partecipazione alle gare e il loro esito, in relazione ai quali è obbligatoria la verifica attraverso la Banca dati nazionale dei contratti pubblici, i termini e le regole tecniche per l'acquisizione, l'aggiornamento e la consultazione dei predetti dati, anche mediante la piattaforma di cui all'articolo 50-ter del decreto legislativo 7 marzo 2005, n. 82, nonché i criteri e le modalità relative all'accesso e al funzionamento della Banca dati. L'interoperabilità tra le diverse banche dati gestite dagli enti certificanti coinvolte nel procedimento, nonché tra queste e le banche dati gestite dall'ANAC, è assicurata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w:t>
      </w:r>
    </w:p>
    <w:p w14:paraId="6EDEC1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B2C6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 comma 3, primo periodo, la parola «decreto» è sostituita dalla seguente: «provvedimento» e, al secondo periodo, le parole «, debitamente informata dal Ministero delle infrastrutture e dei trasporti,» sono soppresse;</w:t>
      </w:r>
    </w:p>
    <w:p w14:paraId="4F7EF5C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A7F1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4 è sostituito dal seguente: «4. Presso la Banca dati nazionale dei contratti pubblici è istituito il fascicolo virtuale dell'operatore economico nel quale sono presenti i dati di cui al comma 2 per la verifica dell'assenza di motivi di esclusione di cui all'articolo 80, l'attestazione di cui all'articolo 84, comma 1, per i soggetti esecutori di lavori pubblici, nonché i dati e documenti relativi ai criteri di selezione di cui all'articolo 83 che l'operatore economico carica. Il fascicolo virtuale dell'operatore economico è utilizzato per la partecipazione alle singole gare. I dati e documenti contenuti nel fascicolo virtuale, nei termini di efficacia di ciascuno di essi, possono essere utilizzati anche per gare diverse. In sede di partecipazione alle gare l'operatore economico indica i dati e i documenti relativi ai requisiti generali e speciali di cui agli articoli 80, 83 e 84, contenuti nel fascicolo virtuale per consentire la valutazione degli stessi alla stazione appaltante.»;</w:t>
      </w:r>
    </w:p>
    <w:p w14:paraId="49ED0CD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11A6A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4 è aggiunto il seguente: «4-bis. Le amministrazioni competenti al rilascio delle certificazioni di cui all'articolo 80 realizzano, mediante adozione delle necessarie misure organizzative, sistemi informatici atti a garantire alla Banca Dati Nazionale dei Contratti Pubblici la disponibilità in tempo reale delle dette certificazioni in formato digitale, mediante accesso alle proprie banche dati, con modalità automatizzate mediante interoperabilità secondo le modalità individuate dall'</w:t>
      </w:r>
      <w:proofErr w:type="spellStart"/>
      <w:r w:rsidRPr="00EF5B01">
        <w:rPr>
          <w:rFonts w:asciiTheme="minorHAnsi" w:eastAsia="Times New Roman" w:hAnsiTheme="minorHAnsi" w:cs="Times New Roman"/>
          <w:bCs/>
          <w:iCs/>
          <w:color w:val="000000" w:themeColor="text1"/>
          <w:sz w:val="24"/>
          <w:szCs w:val="24"/>
        </w:rPr>
        <w:t>AgID</w:t>
      </w:r>
      <w:proofErr w:type="spellEnd"/>
      <w:r w:rsidRPr="00EF5B01">
        <w:rPr>
          <w:rFonts w:asciiTheme="minorHAnsi" w:eastAsia="Times New Roman" w:hAnsiTheme="minorHAnsi" w:cs="Times New Roman"/>
          <w:bCs/>
          <w:iCs/>
          <w:color w:val="000000" w:themeColor="text1"/>
          <w:sz w:val="24"/>
          <w:szCs w:val="24"/>
        </w:rPr>
        <w:t xml:space="preserve"> con le linee guida in materia. L'ANAC garantisce l'accessibilità alla propria banca dati alle stazioni appaltanti e agli operatori economici, limitatamente ai loro dati. Fino alla data di entrata in vigore del provvedimento di cui al comma 2, l'ANAC può predisporre elenchi di operatori economici già accertati e le modalità per l'utilizzo degli accertamenti per gare diverse.»;</w:t>
      </w:r>
    </w:p>
    <w:p w14:paraId="0E3286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6244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all'articolo 85, comma 7, la parola «decreto» è sostituita dalla seguente: «provvedimento»;</w:t>
      </w:r>
    </w:p>
    <w:p w14:paraId="2BF315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9E9DB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all'articolo 213, comma 8, il quarto periodo è soppresso;</w:t>
      </w:r>
    </w:p>
    <w:p w14:paraId="0B1642E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11CA0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all'articolo 216, comma 13, la parola «decreto» è sostituita dalla seguente: «provvedimento»;</w:t>
      </w:r>
    </w:p>
    <w:p w14:paraId="758018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445B6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All'articolo 1 della legge 27 dicembre 2019, n. 160, sono apportate le seguenti modificazioni:</w:t>
      </w:r>
    </w:p>
    <w:p w14:paraId="2F7313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B924A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   a) al comma 593 è aggiunto, infine, il seguente periodo «Il superamento del limite di cui al comma 591 è altresì consentito per le spese per l'acquisto di beni e servizi del settore informatico finanziate con il PNRR»;</w:t>
      </w:r>
    </w:p>
    <w:p w14:paraId="15BF07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874A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 commi 610, 611, 612 e 613 sono abrogati.</w:t>
      </w:r>
    </w:p>
    <w:p w14:paraId="4D3ECE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971A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  7. L' ANAC provvede all'attuazione delle disposizioni del presente articolo con le risorse umane, strumentali e finanziarie disponibili a legislazione vigente, senza nuovi o maggiori oneri a carico della finanza pubblica.</w:t>
      </w:r>
    </w:p>
    <w:p w14:paraId="28D008CB"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4FEE2F1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54.</w:t>
      </w:r>
    </w:p>
    <w:p w14:paraId="7F91229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(Estensione dell'Anagrafe antimafia degli esecutori agli interventi per la ricostruzione nei comuni interessati dagli eventi sismici del mese di aprile 2009 nella regione Abruzzo)</w:t>
      </w:r>
    </w:p>
    <w:p w14:paraId="7DE85B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0993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favorire il più celere svolgimento delle procedure connesse all'affidamento e all'esecuzione dei contratti pubblici, per gli interventi di ricostruzione nei comuni interessati dagli eventi sismici del mese di aprile 2009 nella regione Abruzzo, a decorrere dalla data di entrata in vigore della legge di conversione del presente decreto, opera l'Anagrafe antimafia degli esecutori di cui all'articolo 30, comma 6, del decreto-legge 17 ottobre 2016, n. 189, convertito, con modificazioni, dalla legge 15 dicembre 2016, n. 229. Gli operatori economici interessati a partecipare, a qualunque titolo e per qualsiasi attività, agli interventi di ricostruzione di cui al primo periodo, devono essere iscritti, a domanda, nell'Anagrafe antimafia degli esecutori di cui al citato articolo 30, comma 6, del decreto-legge n. 189 del 2016. Sono abrogati i commi 1, 2 e 4 dell'articolo 16 del decreto-legge 28 aprile 2009, n. 39, convertito, con modificazioni, dalla legge 24 giugno 2009, n. 77.</w:t>
      </w:r>
    </w:p>
    <w:p w14:paraId="4872937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 decorrere dalla data di entrata in vigore della legge di conversione del presente decreto, il comma 33 dell'articolo 2-bis del decreto-legge 16 ottobre 2017, n. 148, convertito, con modificazioni, dalla legge 4 dicembre 2017, n. 172, è abrogato. Gli operatori economici già iscritti nella sezione speciale del citato comma 33 dell'articolo 2-bis del decreto-legge n. 148 del 2017, confluiscono, a cura della Prefettura-UTG dell'Aquila, nell'Anagrafe antimafia degli esecutori di cui al comma 1 del presente articolo.</w:t>
      </w:r>
    </w:p>
    <w:p w14:paraId="6E90D4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3F191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55.</w:t>
      </w:r>
    </w:p>
    <w:p w14:paraId="20B1DED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(Misure di semplificazione in materia di istruzione)</w:t>
      </w:r>
    </w:p>
    <w:p w14:paraId="62BDEDD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5B0D6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 fine di accelerare l'esecuzione degli interventi in materia di istruzione ricompresi nel PNRR e garantirne l'organicità, sono adottate le seguenti misure di semplificazione:</w:t>
      </w:r>
    </w:p>
    <w:p w14:paraId="5F1D10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18F0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per gli interventi di nuova costruzione, riqualificazione e messa in sicurezza degli edifici pubblici adibiti ad uso scolastico ed educativo da realizzare nell'ambito del PNRR:</w:t>
      </w:r>
    </w:p>
    <w:p w14:paraId="4CCDE7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227198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Ministero dell'istruzione predispone linee guida tecniche suddivise in base alle principali tipologie di interventi autorizzati con le quali individua anche i termini che gli enti locali rispettano per la progettazione, l'affidamento, l'esecuzione e il collaudo dei lavori, tenendo conto delle regole di monitoraggio e delle tempistiche definite dai regolamenti europei in materia;</w:t>
      </w:r>
    </w:p>
    <w:p w14:paraId="010AFE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C100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in caso di inerzia degli enti locali beneficiari nell'espletamento delle procedure per la progettazione e per l'affidamento dei lavori, nonché nelle attività legate all'esecuzione e al collaudo degli interventi, rilevata a seguito di attività di monitoraggio, al fine di rispettare le tempistiche e le condizioni poste dal Regolamento (UE) 2021/241 del Parlamento europeo e del Consiglio, del 12 febbraio 2021, e di assicurare il diritto allo studio in ambienti sicuri e adeguati, si applica l'articolo 12;</w:t>
      </w:r>
    </w:p>
    <w:p w14:paraId="103A4F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0061E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all'articolo 7-ter del decreto-legge 8 aprile 2020, n. 22, convertito, con modificazioni, dalla legge 6 giugno 2020, n. 41, le parole «31 dicembre 2021» sono sostituite dalle seguenti: «31 dicembre 2026»;</w:t>
      </w:r>
    </w:p>
    <w:p w14:paraId="31B883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994D2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gli enti locali che si trovano in esercizio provvisorio di bilancio sono autorizzati, per le annualità dal 2021 al 2026, ad iscrivere in bilancio i relativi finanziamenti concessi per l'edilizia scolastica nell'ambito del PNRR mediante apposita variazione, in deroga a quanto previsto dall'articolo 163 del decreto legislativo 18 agosto 2000, n. 267 e dall'allegato 4/2 al decreto legislativo 23 giugno 2011, n. 118;</w:t>
      </w:r>
    </w:p>
    <w:p w14:paraId="2A32BC1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6656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l'autorizzazione prevista dall'articolo 21 del decreto legislativo 22 gennaio 2004, n. 42, relativa agli interventi di edilizia scolastica autorizzati nell'ambito del PNRR, è resa dall'amministrazione competente entro sessanta giorni dalla richiesta, anche tramite conferenza di servizi. Il parere del soprintendente di cui all'articolo 146, comma 8, del decreto legislativo 22 gennaio 2004, n. 42, è reso entro trenta giorni;</w:t>
      </w:r>
    </w:p>
    <w:p w14:paraId="2C00C9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550ED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per le misure relative alla transizione digitale delle scuole, al contrasto alla dispersione scolastica e alla formazione del personale scolastico da realizzare nell'ambito del PNRR:</w:t>
      </w:r>
    </w:p>
    <w:p w14:paraId="7CBA39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3F73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rispettare le tempistiche e le condizioni poste dal Regolamento (UE) 2021/241 del Parlamento europeo e del Consiglio, del 12 febbraio 2021, le istituzioni scolastiche, qualora non possano far ricorso agli strumenti di cui all'articolo 1, commi 449 e 450, della legge 27 dicembre 2006, n. 296, possono procedere anche in deroga alla citata normativa nel rispetto delle disposizioni del presente titolo;</w:t>
      </w:r>
    </w:p>
    <w:p w14:paraId="103816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C568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 dirigenti scolastici, con riferimento all'attuazione degli interventi ricompresi nel complessivo PNRR, procedono agli affidamenti nel rispetto delle soglie di cui al decreto-legge n. 76 del 2020, come modificato dal presente decreto, anche in deroga a quanto previsto dall'articolo 45, comma 2, lettera a), del decreto del Ministro dell'istruzione, dell'università e della ricerca 28 agosto 2018, n. 129;</w:t>
      </w:r>
    </w:p>
    <w:p w14:paraId="7A42063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F52F9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fermo restando lo svolgimento dei compiti di controllo di regolarità amministrativa e contabile da parte dei revisori dei conti delle istituzioni scolastiche, come disciplinati dal decreto del Ministro dell'istruzione, dell'università e della ricerca n. 129 del 2018,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14:paraId="462EA18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F74E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p w14:paraId="7B9D70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E890F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56.</w:t>
      </w:r>
    </w:p>
    <w:p w14:paraId="320DDFF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in materia di semplificazione per l'attuazione dei programmi del Ministero della salute ricompresi nel Piano nazionale di ripresa e resilienza)</w:t>
      </w:r>
    </w:p>
    <w:p w14:paraId="595511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9497C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 Per i programmi di edilizia sanitaria indicati nel PNRR di competenza del Ministero della salute e riconducibili alle ipotesi di cui all'articolo 10, comma 1, del decreto del Presidente della Repubblica 6 giugno 2001, n. 380, il permesso di costruire può essere rilasciato in deroga alla disciplina urbanistica ed alle disposizioni di legge statali e regionali in materia di localizzazione delle opere pubbliche; i medesimi programmi, ove riconducibili alle ipotesi di cui all'articolo 22 del medesimo decreto del Presidente della Repubblica n. 380 del 2001, possono essere eseguiti in deroga alle disposizioni di cui al citato decreto del Presidente della Repubblica, delle leggi regionali, dei piani regolatori e dei regolamenti edilizi locali, fermo </w:t>
      </w:r>
      <w:r w:rsidRPr="00EF5B01">
        <w:rPr>
          <w:rFonts w:asciiTheme="minorHAnsi" w:eastAsia="Times New Roman" w:hAnsiTheme="minorHAnsi" w:cs="Times New Roman"/>
          <w:bCs/>
          <w:iCs/>
          <w:color w:val="000000" w:themeColor="text1"/>
          <w:sz w:val="24"/>
          <w:szCs w:val="24"/>
        </w:rPr>
        <w:lastRenderedPageBreak/>
        <w:t>restando il rispetto delle disposizioni, nazionali o regionali, igienico sanitarie, antisismiche, di prevenzione incendi e di statica degli edifici, di tutela del paesaggio e dei beni culturali, di quelle sui vincoli idrogeologici nonché di quelle sul risparmio energetico.</w:t>
      </w:r>
    </w:p>
    <w:p w14:paraId="728F9D6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Gli istituti della programmazione negoziata di cui all'articolo 2, comma 203, della legge 23 dicembre 1996, n. 662, nonché la disciplina del contratto istituzionale di sviluppo di cui agli articoli 1 e 6 del decreto legislativo 31 maggio 2011, n. 88 e all'articolo 7 del decreto-legge 20 giugno 2017, n. 91, convertito, con modificazioni, dalla legge 3 agosto 2017, n. 123, si applicano ai programmi indicati nel PNRR di competenza del Ministero della salute.</w:t>
      </w:r>
    </w:p>
    <w:p w14:paraId="0A95AE9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589A2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w:t>
      </w:r>
    </w:p>
    <w:p w14:paraId="011F5B5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SEMPLIFICAZIONI IN MATERIA DI INVESTIMENTI E INTERVENTI NEL MEZZOGIORNO</w:t>
      </w:r>
    </w:p>
    <w:p w14:paraId="2B0095F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84F6E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57.</w:t>
      </w:r>
    </w:p>
    <w:p w14:paraId="1800AB5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(Zone Economiche Speciali)</w:t>
      </w:r>
    </w:p>
    <w:p w14:paraId="6CB8DE7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B3AB91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decreto-legge 20 giugno 2017, n. 91, convertito, con modificazioni, dalla legge 3 agosto 2017, n. 123, sono apportate le seguenti modificazioni:</w:t>
      </w:r>
    </w:p>
    <w:p w14:paraId="66DAB28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00518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all'articolo 4:</w:t>
      </w:r>
    </w:p>
    <w:p w14:paraId="7A4418A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73C2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6, secondo periodo, le parole «, nominato ai sensi dell'articolo 11 della legge 23 agosto 1988, n. 400» sono soppresse e dopo le parole «Ministero delle infrastrutture e dei trasporti» sono aggiunte le seguenti: «, nonché da un rappresentante dei consorzi di sviluppo industriale, di cui all'articolo 36 della legge 5 ottobre 1991, n. 317, ovvero di quelli costituiti ai sensi della vigente legislazione delle regioni a statuto speciale, presenti sul territorio»;</w:t>
      </w:r>
    </w:p>
    <w:p w14:paraId="70F682C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03C2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    2) dopo il comma 6, è inserito il seguente: «6-bis. Il Commissario è nominato con decreto del Presidente del Consiglio dei ministri, adottato su proposta del Ministro per il Sud e la coesione territoriale, d'intesa con il Presidente della Regione interessata. Nel caso di mancato perfezionamento dell'intesa nel termine di sessanta giorni dalla formulazione della proposta, il Ministro per il sud e la coesione territoriale sottopone la questione al Consiglio dei ministri che provvede con deliberazione motivata. Nel decreto è stabilita la misura del compenso spettante al Commissario, previsto dal comma 6, nel rispetto dei limiti di cui all'articolo 13 del decreto-legge 24 aprile 2014, n. 66, convertito, con modificazioni, dalla legge 23 </w:t>
      </w:r>
      <w:r w:rsidRPr="00EF5B01">
        <w:rPr>
          <w:rFonts w:asciiTheme="minorHAnsi" w:eastAsia="Times New Roman" w:hAnsiTheme="minorHAnsi" w:cs="Times New Roman"/>
          <w:bCs/>
          <w:iCs/>
          <w:color w:val="000000" w:themeColor="text1"/>
          <w:sz w:val="24"/>
          <w:szCs w:val="24"/>
        </w:rPr>
        <w:lastRenderedPageBreak/>
        <w:t>giugno 2014, n. 89. I Commissari nominati prima della data di entrata in vigore della presente disposizione cessano, ove non confermati, entro sessanta giorni dalla medesima data.»;</w:t>
      </w:r>
    </w:p>
    <w:p w14:paraId="7739D6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E221E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il comma 7-quater è sostituto dal seguente: «7-quater. L'Agenzia per la Coesione territoriale supporta l'attività dei Commissari e garantisce, sulla base degli orientamenti della Cabina di regia sulle ZES di cui all'articolo 5, comma 1 a-quater, il coordinamento della loro azione nonché della pianificazione nazionale degli interventi nelle ZES, tramite proprio personale amministrativo e tecnico a ciò appositamente destinato, con le risorse umane e strumentali disponibili a legislazione vigente. L'Agenzia per la Coesione territoriale fornisce inoltre supporto ai singoli Commissari mediante personale tecnico e amministrativo individuato ai sensi dell'articolo 7, comma 6, del decreto legislativo 30 marzo 2001, n. 165, dotato di idonee competenze, al fine di garantire efficacia e operatività dell'azione commissariale, con oneri a carico del Programma operativo complementare al Programma nazionale Governance e capacità istituzionale 2014-2020, nel limite complessivo di 4,4 milioni di euro per l'anno 2021, 8,8 milioni di euro per l'anno 2022 e 4,4 milioni di euro per l'anno 2023. Il Commissario straordinario si avvale inoltre delle strutture delle amministrazioni centrali o territoriali, di società controllate dallo Stato o dalle regioni senza nuovi o maggiori oneri per la finanza pubblica.»;</w:t>
      </w:r>
    </w:p>
    <w:p w14:paraId="7E3B6CA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8C4961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dopo il comma 7-quater, è inserito il seguente: «7-quinquies. Al fine di assicurare la più efficace e tempestiva attuazione degli interventi del Piano nazionale di ripresa e resilienza relativi alla infrastrutturazione delle ZES, fino al 31 dicembre 2026, il Commissario straordinario può, a richiesta degli enti competenti, assumere le funzioni di stazione appaltante e operare in deroga alle disposizioni di legge in materia di contratti pubblici, fatto salvo il rispetto dei princìpi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2014/23/UE, 2014/ 24/UE e 2014/25/UE, del Parlamento europeo e del Consiglio, del 26 febbraio 2014. Per l'esercizio delle funzioni di cui al primo periodo, il Commissario straordinario provvede anche a mezzo di ordinanze.»;</w:t>
      </w:r>
    </w:p>
    <w:p w14:paraId="38BFD2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CE9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dopo il comma 8, è aggiunto il seguente:</w:t>
      </w:r>
    </w:p>
    <w:p w14:paraId="4E99866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C589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   «8-bis. Le Regioni adeguano la propria programmazione o la riprogrammazione dei fondi strutturali alle esigenze di funzionamento e sviluppo della ZES e concordano le relative linee strategiche con il Commissario, garantendo la massima sinergia delle risorse materiali e strumentali approntate per la piena realizzazione del piano strategico di sviluppo.»;</w:t>
      </w:r>
    </w:p>
    <w:p w14:paraId="1F498D5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BFEB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all'articolo 5:</w:t>
      </w:r>
    </w:p>
    <w:p w14:paraId="54B267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49B41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comma 1, lettera a-bis), sono apportate le seguenti modificazioni:</w:t>
      </w:r>
    </w:p>
    <w:p w14:paraId="358F54D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B583B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     1.1 prima delle parole «eventuali autorizzazioni sono inserite le seguenti: «nell'ambito del procedimento di cui all'articolo 5-bis,»;</w:t>
      </w:r>
    </w:p>
    <w:p w14:paraId="0C8A8F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C00A0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     1.2 sono aggiunte, infine, le seguenti parole: «e sono altresì ridotti alla metà i termini di cui all'articolo 17-bis, comma 1, della legge 7 agosto 1990 n. 241;»;</w:t>
      </w:r>
    </w:p>
    <w:p w14:paraId="744E933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71FC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comma 1, lettera a-ter), le parole da «e lo sportello unico di cui alla legge 28 gennaio 1994, n. 84» a «conclusione del procedimento» sono sostituite dalle seguenti: «e i procedimenti di cui all'articolo 5-bis».</w:t>
      </w:r>
    </w:p>
    <w:p w14:paraId="00F9F0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8DF7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dopo il comma 1, è inserito il seguente: «1-bis. I termini di cui al comma 1 previsti per il rilascio di autorizzazioni, approvazioni, intese, concerti, pareri, concessioni, accertamenti di conformità alle prescrizioni delle norme e dei piani urbanistici ed edilizi, nulla osta ed atti di assenso, comunque denominati, degli enti locali, regionali, delle amministrazioni centrali nonché di tutti gli altri competenti enti e agenzie sono da considerarsi perentori. Decorsi inutilmente tali termini, gli atti si intendono resi in senso favorevole.»;</w:t>
      </w:r>
    </w:p>
    <w:p w14:paraId="545A4F9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C394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il comma 2 è sostituito dal seguente: «2. In relazione agli investimenti effettuati nelle ZES, il credito d'imposta di cui all'articolo 1, commi 98 e seguenti, della legge 28 dicembre 2015, n. 208, è commisurato alla quota del costo complessivo dei beni acquisiti entro il 31 dicembre 2022 nel limite massimo, per ciascun progetto di investimento, di 100 milioni di euro. Si applicano, in quanto compatibili, le disposizioni di cui al medesimo articolo 1, commi 98 e seguenti, della legge 28 dicembre 2015, n. 208. Il credito d'imposta è esteso all'acquisto di immobili strumentali agli investimenti.»;</w:t>
      </w:r>
    </w:p>
    <w:p w14:paraId="151DF3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0C4FC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l'articolo 5, è inserito il seguente:</w:t>
      </w:r>
    </w:p>
    <w:p w14:paraId="285E62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F40D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 5-bis</w:t>
      </w:r>
    </w:p>
    <w:p w14:paraId="78B3F0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(Autorizzazione unica)</w:t>
      </w:r>
    </w:p>
    <w:p w14:paraId="2A10F5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95579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Fatto salvo quanto previsto dalle norme vigenti in materia di autorizzazione di impianti e infrastrutture energetiche ed in materia di opere ed altre attività ricadenti nella competenza territoriale delle Autorità di sistema portuale e degli aeroporti, le opere per la realizzazione di progetti infrastrutturali nelle zone economiche speciali (ZES) da parte di soggetti pubblici e privati sono di pubblica utilità, indifferibili ed urgenti.</w:t>
      </w:r>
    </w:p>
    <w:p w14:paraId="674F6A8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 progetti inerenti alle attività economiche ovvero all'insediamento di attività industriali, produttive e logistiche all'interno delle ZES, non soggetti a segnalazione certificata di inizio attività, sono soggetti ad autorizzazione unica, nel rispetto delle normative vigenti in materia di valutazione di impatto ambientale. L'autorizzazione unica, ove necessario, costituisce variante agli strumenti urbanistici e di pianificazione territoriale, ad eccezione del piano paesaggistico regionale.</w:t>
      </w:r>
    </w:p>
    <w:p w14:paraId="6CB7330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L'autorizzazione unica, nella quale confluiscono tutti gli atti di autorizzazione, assenso e nulla osta comunque denominati, previsti dalla vigente legislazione in relazione all'opera da eseguire, al progetto da approvare o all'attività da intraprendere, è rilasciata dal Commissario straordinario della ZES, di cui all'articolo 4, comma 6, in esito ad apposita conferenza di servizi, in applicazione dell'articolo 14-bis della legge 7 agosto 1990, n. 241.</w:t>
      </w:r>
    </w:p>
    <w:p w14:paraId="4B2DA04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 conferenza di servizi sono convocate tutte le amministrazioni competenti, anche per la tutela ambientale, paesaggistico-territoriale, dei beni culturali, demaniale, antincendio, della salute dei cittadini e preposte alla disciplina doganale.</w:t>
      </w:r>
    </w:p>
    <w:p w14:paraId="3069E2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Il rilascio dell'autorizzazione unica, sostituisce ogni altra autorizzazione, approvazione e parere comunque denominati e consente la realizzazione di tutte le opere, prestazioni e attività previste nel progetto.</w:t>
      </w:r>
    </w:p>
    <w:p w14:paraId="6927645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Le previsioni di cui ai commi da 2 a 5 si applicano altresì alle opere e altre attività all'interno delle ZES e ricadenti nella competenza territoriale delle Autorità di sistema portuali e, in tal caso, l'autorizzazione unica prevista di citati commi è rilasciata dall'Autorità di sistema portuale.».</w:t>
      </w:r>
    </w:p>
    <w:p w14:paraId="27407BF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E0E5A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L'efficacia del comma 1, lettera a), numero 4), da attuare con le risorse previste per la realizzazione di progetti compresi nel PNRR, resta subordinata alla definitiva approvazione del PNRR da parte del Consiglio dell'Unione europea.</w:t>
      </w:r>
    </w:p>
    <w:p w14:paraId="21D754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  3. Agli oneri derivanti dal comma 1, lettera a), numero 3, pari a 4,4 milioni di euro per il 2023 e 8,8 milioni di euro per ciascuno degli anni dal 2024 al 2034, si provvede mediante corrispondente riduzione dell'autorizzazione di spesa di cui all'articolo 1, comma 200, della legge 23 dicembre 2014, n. 190.</w:t>
      </w:r>
    </w:p>
    <w:p w14:paraId="5CE2859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Agli oneri derivanti dal comma 1, lettera b), numero 4, valutati in 45,2 milioni di euro per ciascuno degli anni 2021 e 2022, si provvede mediante corrispondente riduzione del Fondo per lo Sviluppo e la Coesione programmazione periodo di programmazione 2021-2027, di cui all'articolo 1, comma 177, della legge 30 dicembre 2020, n. 178.</w:t>
      </w:r>
    </w:p>
    <w:p w14:paraId="792B6B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C48386"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Articolo 58.</w:t>
      </w:r>
    </w:p>
    <w:p w14:paraId="3AF6603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(Accelerazione della Strategia nazionale per le aree interne)</w:t>
      </w:r>
    </w:p>
    <w:p w14:paraId="18D59165"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43795C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 della legge 27 dicembre 2013, n. 147, il comma 15 è sostituito dal seguente: «15. L'attuazione degli interventi individuati ai sensi del comma 14 è perseguita attraverso la cooperazione tra i livelli istituzionali interessati, con il coordinamento del Ministro per il sud e la coesione territoriale che si avvale, senza nuovi o maggiori oneri a carico della finanza pubblica, dell'Agenzia per la coesione territoriale, nelle forme e con le modalità definite con apposita delibera del Comitato interministeriale per la programmazione economica e lo sviluppo sostenibile. Nelle more dell'adozione della delibera, e comunque non oltre il termine del 31 dicembre 2021, la cooperazione è perseguita attraverso la sottoscrizione degli accordi di programma-quadro di cui all'articolo 2, comma 203, lettera c), della legge 23 dicembre 1996, n. 662, in quanto applicabile, con il coordinamento del Ministro per il sud e la coesione territoriale che si avvale dell'Agenzia per la coesione territoriale,».</w:t>
      </w:r>
    </w:p>
    <w:p w14:paraId="7378BA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8CDD84"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59.</w:t>
      </w:r>
    </w:p>
    <w:p w14:paraId="2C1B15C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perequazione infrastrutturale)</w:t>
      </w:r>
    </w:p>
    <w:p w14:paraId="2620354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CA8125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22 della legge 5 maggio 2009, n. 42, i commi da 1 a 1-sexies sono sostituiti dai seguenti:</w:t>
      </w:r>
    </w:p>
    <w:p w14:paraId="16D5A7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94E1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 fine di assicurare il recupero del divario infrastrutturale tra le diverse aree geografiche del territorio nazionale, anche infra-regionali, con decreto adottato entro e non oltre il 30 novembre 2021 il Ministero delle infrastrutture e della mobilità sostenibili, sentite le amministrazioni competenti, effettua, limitatamente alle infrastrutture statali la ricognizione del numero e della classificazione funzionale delle strutture sanitarie, assistenziali e scolastiche, nonché del numero e dell'estensione, con indicazione della relativa classificazione funzionale, delle infrastrutture stradali, autostradali, ferroviarie, portuali e aeroportuali. In relazione alle infrastrutture di cui al primo periodo non di competenza statale, la ricognizione è effettuata dagli enti territoriali, nonché dagli altri soggetti pubblici e privati competenti, entro e non oltre la data del 31 ottobre 2021. La ricognizione effettuata dagli enti territoriali è comunicata dalle singole Regioni e dalle Province autonome, entro e non oltre la data del 31 dicembre 2021, al Dipartimento per gli affari regionali e le autonomie della Presidenza del Consiglio dei ministri.</w:t>
      </w:r>
    </w:p>
    <w:p w14:paraId="739942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   1-bis. All'esito della ricognizione di cui al comma 1, con delibera del Comitato interministeriale per la programmazione economica e lo sviluppo sostenibile (CIPESS), su proposta del Ministro delle infrastrutture e della mobilità sostenibili, di concerto con i Ministri per gli affari regionali e le autonomie, dell'economia e delle finanze, e per il Sud e la coesione territoriale, sentiti i Ministri competenti, previa intesa in sede di Conferenza unificata di cui all'articolo 8 del decreto legislativo 28 agosto 1997, n. 281, da adottare entro il 31 marzo 2022, sono stabiliti i criteri di priorità e le azioni da perseguire per il </w:t>
      </w:r>
      <w:r w:rsidRPr="00EF5B01">
        <w:rPr>
          <w:rFonts w:asciiTheme="minorHAnsi" w:eastAsia="Times New Roman" w:hAnsiTheme="minorHAnsi" w:cs="Times New Roman"/>
          <w:bCs/>
          <w:iCs/>
          <w:color w:val="000000" w:themeColor="text1"/>
          <w:sz w:val="24"/>
          <w:szCs w:val="24"/>
        </w:rPr>
        <w:lastRenderedPageBreak/>
        <w:t>recupero del divario risultante dalla ricognizione predetta, avuto riguardo alle carenze della dotazione infrastrutturale sussistenti in ciascun territorio, all'estensione delle superfici territoriali e alla specificità insulare, alla densità della popolazione e delle unità produttive, e si individuano i Ministeri competenti e la quota di finanziamento con ripartizione annuale, tenuto conto di quanto già previsto dal PNRR e dal Piano complementare di cui al decreto-legge 6 maggio 2021, n. 59, a valere sulle risorse del fondo cui al comma 1-ter.</w:t>
      </w:r>
    </w:p>
    <w:p w14:paraId="599D01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   1-ter. Per il finanziamento degli interventi di cui al comma 1-quater,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 Il Dipartimento per gli affari regionali e le autonomie della Presidenza del Consiglio dei ministri per il supporto tecnico-operativo alle attività di competenza, può stipulare apposita convenzione ai sensi degli articoli 5 e 192 del decreto legislativo 18 aprile 2016, n. 50, nel limite massimo di 200.000 euro per l'anno 2021.</w:t>
      </w:r>
    </w:p>
    <w:p w14:paraId="77548F1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   1-quater. Entro trenta giorni dalla delibera CIPESS di cui al comma 1-bis, ciascun Ministero competente, assegnatario delle risorse di cui al comma 1-bis individua, in un apposito Piano da adottare con decreto del Ministro competente d'intesa con il Ministro dell'economia e delle finanze, gli interventi da realizzare, che non devono essere già oggetto di integrale finanziamento a valere su altri fondi nazionali o comunitari, l'importo del relativo finanziamento, i soggetti attuatori, in relazione al tipo e alla localizzazione dell'intervento, il cronoprogramma della spesa, con indicazione delle risorse annuali necessarie per la loro realizzazione, nonché le modalità di revoca e di eventuale riassegnazione delle risorse in caso di mancato avvio nei termini previsti dell'opera da finanziare. Gli interventi devono essere corredati, ai sensi dell'articolo 11, comma 2 bis, della legge 16 gennaio 2003, n. 3 del Codice unico di progetto. Il Piano di cui al primo periodo è comunicato alla Conferenza unificata di cui all'articolo 8 del decreto legislativo 28 agosto 1997, n. 281.</w:t>
      </w:r>
    </w:p>
    <w:p w14:paraId="0201A2F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   1-quinquies. Il monitoraggio della realizzazione degli interventi finanziati di cui al comma 1- quater è effettuato attraverso il sistema di cui al decreto legislativo 29 dicembre 2011, n. 229, classificando gli interventi sotto la voce “Interventi per il recupero del divario infrastrutturale legge di bilancio 2021.».</w:t>
      </w:r>
    </w:p>
    <w:p w14:paraId="13D5E0A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1766D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Agli oneri derivanti dal comma 1, pari a 200.000 euro per l'anno 2021, si provvede mediante corrispondente riduzione del Fondo di cui all'articolo 1, comma 200, della legge 23 dicembre 2014, n. 190.</w:t>
      </w:r>
    </w:p>
    <w:p w14:paraId="0FD13B9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E808D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60.</w:t>
      </w:r>
    </w:p>
    <w:p w14:paraId="28A8ED8A"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(Rafforzamento del ruolo dell'Agenzia per la coesione territoriale)</w:t>
      </w:r>
    </w:p>
    <w:p w14:paraId="73AD862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00306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12 settembre 2014, n. 133, convertito, con modificazioni, dalla legge 11 novembre 2014, n. 164, sono apportate le seguenti modificazioni:</w:t>
      </w:r>
    </w:p>
    <w:p w14:paraId="194EB08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D6BFD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2, dopo la parola «Ministri», sono inserite le seguenti: «o, su sua delega, il Ministro per il sud e la coesione territoriale» e le parole «anche avvalendosi» sono sostituite dalle seguenti: «avvalendosi dell'Agenzia per la coesione territoriale e»;</w:t>
      </w:r>
    </w:p>
    <w:p w14:paraId="1B8BBAE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8D471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al comma 3, dopo la parola «Ministri», sono inserite le seguenti: «o, su sua delega, il Ministro per il sud e la coesione territoriale» e sono aggiunte, in fine, le seguenti parole: «, per il tramite dell'Agenzia per la coesione territoriale. L'Agenzia può assumere le funzioni di soggetto attuatore, avvalendosi di una centrale di committenza ai fini dell'effettiva realizzazione degli interventi».</w:t>
      </w:r>
    </w:p>
    <w:p w14:paraId="78ED392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B5D04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w:t>
      </w:r>
    </w:p>
    <w:p w14:paraId="3D030DA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LEGGE 7 AGOSTO 1990 N. 241</w:t>
      </w:r>
    </w:p>
    <w:p w14:paraId="39308B4D"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65CE09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61.</w:t>
      </w:r>
    </w:p>
    <w:p w14:paraId="041FDB1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potere sostitutivo)</w:t>
      </w:r>
    </w:p>
    <w:p w14:paraId="5525C97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AEC3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 della legge 7 agosto 1990, n. 241, sono apportate le seguenti modificazioni:</w:t>
      </w:r>
    </w:p>
    <w:p w14:paraId="3C91ED7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4ED8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9-bis:</w:t>
      </w:r>
    </w:p>
    <w:p w14:paraId="7CCFA9E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B6B4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primo periodo è sostituito dal seguente: «L'organo di governo individua un soggetto nell'ambito delle figure apicali dell'amministrazione o una unità organizzativa cui attribuire il potere sostitutivo in caso di inerzia.»;</w:t>
      </w:r>
    </w:p>
    <w:p w14:paraId="0D41FB7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585DB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 terzo periodo, dopo le parole «l'indicazione del soggetto» sono inserite le seguenti: «o dell'unità organizzativa»”;</w:t>
      </w:r>
    </w:p>
    <w:p w14:paraId="541027B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D1A4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   b) il comma 9-ter è sostituito dal seguente: «9-ter. Decorso inutilmente il termine per la conclusione del procedimento o quello superiore di cui al comma 7, il responsabile o l'unità organizzativa di cui al comma 9-bis, d'ufficio o su richiesta dell'interessato, esercita il potere sostitutivo e, entro un termine pari alla metà di quello originariamente previsto, conclude il procedimento attraverso le strutture competenti o con la nomina di un commissario.».</w:t>
      </w:r>
    </w:p>
    <w:p w14:paraId="2798F69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39BA4E"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62.</w:t>
      </w:r>
    </w:p>
    <w:p w14:paraId="6BAD10E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(Modifiche alla disciplina del silenzio assenso)</w:t>
      </w:r>
    </w:p>
    <w:p w14:paraId="696F8F6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DDD99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20 della legge 7 agosto 1990, n. 241, dopo il comma 2, è inserito il seguente:</w:t>
      </w:r>
    </w:p>
    <w:p w14:paraId="14F1F2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E0393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   «2-bis. Nei casi in cui il silenzio dell'amministrazione equivale a provvedimento di accoglimento ai sensi del comma 1, fermi restando gli effetti comunque intervenuti del silenzio assenso, l'amministrazione è tenuta, su richiesta del privato, a rilasciare, in via telematica, un'attestazione circa il decorso dei termini del procedimento e pertanto dell'intervenuto accoglimento della domanda ai sensi del presente articolo. Decorsi inutilmente dieci giorni dalla richiesta, l'attestazione è sostituita da una dichiarazione del privato ai sensi dell'art. 47 del decreto del Presidente della Repubblica 28 dicembre 2000, n. 445.».</w:t>
      </w:r>
    </w:p>
    <w:p w14:paraId="5500A2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649541"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63.</w:t>
      </w:r>
    </w:p>
    <w:p w14:paraId="71BEAE09"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(Annullamento d'ufficio)</w:t>
      </w:r>
    </w:p>
    <w:p w14:paraId="3B277DC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11853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21-nonies, comma 1, della legge 7 agosto 1990, n. 241, la parola «diciotto» è sostituita dalla seguente: «dodici».</w:t>
      </w:r>
    </w:p>
    <w:p w14:paraId="3C30C98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B10B27"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TITOLO VII</w:t>
      </w:r>
    </w:p>
    <w:p w14:paraId="4105A458"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ULTERIORI MISURE DI RAFFORZAMENTO DELLA CAPACITÀ AMMINISTRATIVA</w:t>
      </w:r>
    </w:p>
    <w:p w14:paraId="107EA142"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4FD19E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64.</w:t>
      </w:r>
    </w:p>
    <w:p w14:paraId="5CD84E5F"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(Semplificazione delle procedure di valutazione dei progetti di ricerca ed ulteriori misure attuative del PNRR nel campo della ricerca)</w:t>
      </w:r>
    </w:p>
    <w:p w14:paraId="714371F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7820A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  1. All'articolo 20 della legge 30 dicembre 2010, n. 240, le parole «tramite appositi comitati,» e «, tenendo conto in particolare dei principi della tecnica di valutazione tra pari» sono soppresse.</w:t>
      </w:r>
    </w:p>
    <w:p w14:paraId="728A176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L'articolo 21 della legge 30 dicembre 2010, n. 240 è sostituito dal seguente:</w:t>
      </w:r>
    </w:p>
    <w:p w14:paraId="36B1087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9D7CB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   «Art. 21. (Comitato nazionale per la valutazione della ricerca) 1. Al fine di promuovere la qualità della ricerca e assicurare il buon funzionamento delle procedure di valutazione, è istituito il Comitato nazionale per la valutazione della ricerca (CNVR). Il CNVR è composto da quindici studiosi, italiani o stranieri, di elevata qualificazione scientifica internazionale, appartenenti a una pluralità di aree disciplinari, nominati con decreto del Ministro dell'università e della ricerca, tra i quali dieci componenti sono scelti dal Ministro dell'università e della ricerca nel rispetto del principio della parità di genere e gli altri cinque sono designati, uno ciascuno, dal presidente del Consiglio direttivo dell'ANVUR, dalla Conferenza dei rettori delle università italiane, dalla Consulta dei presidenti degli enti pubblici di ricerca,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Research</w:t>
      </w:r>
      <w:proofErr w:type="spellEnd"/>
      <w:r w:rsidRPr="00EF5B01">
        <w:rPr>
          <w:rFonts w:asciiTheme="minorHAnsi" w:eastAsia="Times New Roman" w:hAnsiTheme="minorHAnsi" w:cs="Times New Roman"/>
          <w:bCs/>
          <w:iCs/>
          <w:color w:val="000000" w:themeColor="text1"/>
          <w:sz w:val="24"/>
          <w:szCs w:val="24"/>
        </w:rPr>
        <w:t xml:space="preserve"> </w:t>
      </w:r>
      <w:proofErr w:type="spellStart"/>
      <w:r w:rsidRPr="00EF5B01">
        <w:rPr>
          <w:rFonts w:asciiTheme="minorHAnsi" w:eastAsia="Times New Roman" w:hAnsiTheme="minorHAnsi" w:cs="Times New Roman"/>
          <w:bCs/>
          <w:iCs/>
          <w:color w:val="000000" w:themeColor="text1"/>
          <w:sz w:val="24"/>
          <w:szCs w:val="24"/>
        </w:rPr>
        <w:t>Council</w:t>
      </w:r>
      <w:proofErr w:type="spellEnd"/>
      <w:r w:rsidRPr="00EF5B01">
        <w:rPr>
          <w:rFonts w:asciiTheme="minorHAnsi" w:eastAsia="Times New Roman" w:hAnsiTheme="minorHAnsi" w:cs="Times New Roman"/>
          <w:bCs/>
          <w:iCs/>
          <w:color w:val="000000" w:themeColor="text1"/>
          <w:sz w:val="24"/>
          <w:szCs w:val="24"/>
        </w:rPr>
        <w:t xml:space="preserve"> e dal presidente dell'</w:t>
      </w:r>
      <w:proofErr w:type="spellStart"/>
      <w:r w:rsidRPr="00EF5B01">
        <w:rPr>
          <w:rFonts w:asciiTheme="minorHAnsi" w:eastAsia="Times New Roman" w:hAnsiTheme="minorHAnsi" w:cs="Times New Roman"/>
          <w:bCs/>
          <w:iCs/>
          <w:color w:val="000000" w:themeColor="text1"/>
          <w:sz w:val="24"/>
          <w:szCs w:val="24"/>
        </w:rPr>
        <w:t>European</w:t>
      </w:r>
      <w:proofErr w:type="spellEnd"/>
      <w:r w:rsidRPr="00EF5B01">
        <w:rPr>
          <w:rFonts w:asciiTheme="minorHAnsi" w:eastAsia="Times New Roman" w:hAnsiTheme="minorHAnsi" w:cs="Times New Roman"/>
          <w:bCs/>
          <w:iCs/>
          <w:color w:val="000000" w:themeColor="text1"/>
          <w:sz w:val="24"/>
          <w:szCs w:val="24"/>
        </w:rPr>
        <w:t xml:space="preserve"> Science Foundation. Il Comitato è regolarmente costituito con almeno dieci componenti.</w:t>
      </w:r>
    </w:p>
    <w:p w14:paraId="74C746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Il CNVR, in particolare:</w:t>
      </w:r>
    </w:p>
    <w:p w14:paraId="1BE8DFF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E5C30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indica i criteri generali per le attività di selezione e valutazione dei progetti di ricerca, nel rispetto dei princìpi indicati dal decreto del Ministro dell'università e della ricerca di cui all'articolo 20, tenendo in massima considerazione le raccomandazioni approvate da organizzazioni internazionali cui l'Italia è parte;</w:t>
      </w:r>
    </w:p>
    <w:p w14:paraId="3C76CBE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78AB1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nomina i componenti dei comitati di valutazione, ove previsti dal decreto del Ministro dell'università e della ricerca di cui all'articolo 20;</w:t>
      </w:r>
    </w:p>
    <w:p w14:paraId="1448733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78C1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provvede allo svolgimento, anche parziale, delle procedure di selezione dei progetti o programmi di ricerca di altri enti, pubblici o privati, previo accordo o convenzione con essi;</w:t>
      </w:r>
    </w:p>
    <w:p w14:paraId="4590E36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71E94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definisce i criteri per la individuazione e l'aggiornamento di liste di esperti tecnico-scientifici e professionali per l'affidamento di incarichi di valutazione tecnico-scientifica dei progetti di ricerca, istituite con decreto del Ministro dell'università e della ricerca;</w:t>
      </w:r>
    </w:p>
    <w:p w14:paraId="470EF50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D9E149"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predispone rapporti specifici sull'attività svolta e una relazione annuale in materia di valutazione della ricerca, che trasmette al Ministro, il quale cura la pubblicazione e la diffusione dei rapporti e delle relazioni del CNVR.</w:t>
      </w:r>
    </w:p>
    <w:p w14:paraId="78A470A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82AD4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   3. Il CNVR definisce le proprie regole di organizzazione e funzionamento ed elegge al proprio interno il presidente, a maggioranza dei due terzi dei suoi componenti. I dipendenti pubblici possono essere collocati in aspettativa per la durata del mandato. L'incarico di componente del CNVR è di durata quinquennale, non rinnovabile. In caso di cessazione di un componente prima della scadenza del proprio mandato, il componente che viene nominato in sostituzione resta in carica per la durata residua del mandato. Il compenso dei componenti del Comitato è stabilito nel decreto di nomina, nel limite previsto dall'articolo 1, comma 551, della legge 30 dicembre 2020, n. 178.</w:t>
      </w:r>
    </w:p>
    <w:p w14:paraId="4B3E6B5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Nell'esercizio delle sue funzioni il CNVR si avvale delle risorse umane, strumentali e finanziarie del Ministero dell'università e della ricerca.».</w:t>
      </w:r>
    </w:p>
    <w:p w14:paraId="34A7B2D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8455E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  3. In sede di prima applicazione, il Comitato nazionale per la valutazione della ricerca di cui al comma 2 è composto dai componenti del Comitato nazionale dei garanti per la ricerca in carica alla data di entrata in vigore del presente decreto ed è integrato nella sua piena composizione dal Ministro dell'università e della ricerca nel rispetto del principio della parità di genere. Sono fatti salvi gli atti inerenti alle procedure valutative del Comitato nazionale dei garanti per la ricerca in essere alla data di entrata in vigore del presente decreto. Le </w:t>
      </w:r>
      <w:proofErr w:type="spellStart"/>
      <w:proofErr w:type="gramStart"/>
      <w:r w:rsidRPr="00EF5B01">
        <w:rPr>
          <w:rFonts w:asciiTheme="minorHAnsi" w:eastAsia="Times New Roman" w:hAnsiTheme="minorHAnsi" w:cs="Times New Roman"/>
          <w:bCs/>
          <w:iCs/>
          <w:color w:val="000000" w:themeColor="text1"/>
          <w:sz w:val="24"/>
          <w:szCs w:val="24"/>
        </w:rPr>
        <w:t>parole»Comitato</w:t>
      </w:r>
      <w:proofErr w:type="spellEnd"/>
      <w:proofErr w:type="gramEnd"/>
      <w:r w:rsidRPr="00EF5B01">
        <w:rPr>
          <w:rFonts w:asciiTheme="minorHAnsi" w:eastAsia="Times New Roman" w:hAnsiTheme="minorHAnsi" w:cs="Times New Roman"/>
          <w:bCs/>
          <w:iCs/>
          <w:color w:val="000000" w:themeColor="text1"/>
          <w:sz w:val="24"/>
          <w:szCs w:val="24"/>
        </w:rPr>
        <w:t xml:space="preserve"> nazionale dei garanti della ricerca» devono intendersi riferite, ovunque ricorrano, al «Comitato nazionale per la valutazione della ricerca».</w:t>
      </w:r>
    </w:p>
    <w:p w14:paraId="0FDFF4BB"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All'articolo 1, comma 551, della legge 30 dicembre 2020, n. 178, le parole «Comitato nazionale dei garanti per la ricerca» sono sostituite dalle seguenti: «Comitato nazionale per la valutazione della ricerca».</w:t>
      </w:r>
    </w:p>
    <w:p w14:paraId="1DBC68C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  5. All'articolo 1, comma 242, della legge 27 dicembre 2019, n. 160, la lettera b) è soppressa.</w:t>
      </w:r>
    </w:p>
    <w:p w14:paraId="600D432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  6. In relazione alle accresciute esigenze in tema di selezione e valutazione dei programmi e dei progetti di ricerca connessi all'attuazione del PNRR, il Fondo per la valutazione e la valorizzazione dei progetti di ricerca di cui all'articolo 1, comma 550, della legge 30 dicembre 2020, n. 178, è incrementato di 5 milioni di euro per l'anno 2021 e di 20 milioni di euro a decorrere dall'anno 2022. L'incremento di cui al presente comma e le somme eventualmente non impiegate per l'attivazione delle convenzioni di cui al primo periodo dell'articolo 1, comma 550, della legge 30 dicembre 2020, n. 178, sono finalizzate a promuovere l'attività di valutazione degli esperti tecnico-scientifici e professionali, anche in deroga al limite massimo del 7 per cento di cui al secondo periodo del citato articolo 1, comma 551, della legge n. 178 del 2020, nonché alla stipula di accordi o convenzioni con enti ed istituzioni, anche esteri, di riconosciuto prestigio nell'ambito della valutazione della ricerca, in ordine allo svolgimento di attività di supporto specialistico e di analisi, di valutazione economica e finanziaria ovvero di verifica, monitoraggio e controllo sugli interventi nel settore della ricerca, con particolare riferimento a quelli previsti dal PNRR. Agli oneri derivanti dall'attuazione del presente comma, pari a 5 milioni di euro per l'anno 2021 e di 20 milioni di euro a decorrere dall'anno 2022 si provvede mediante corrispondente riduzione dell'autorizzazione di spesa di cui all'articolo 1, comma 240, della legge 27 dicembre 2019, n. 160, relativamente alla quota destinata ai compiti dell'Agenzia Nazionale della ricerca in materia di valutazione dell'impatto di attività di ricerca.</w:t>
      </w:r>
    </w:p>
    <w:p w14:paraId="77D648B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  7. Al fine di realizzare interventi di investimento finalizzati alla rigenerazione delle periferie urbane disagiate attraverso la realizzazione di nuove sedi delle istituzioni dell'alta formazione, artistica musicale e coreutica, ovvero alla tutela di strutture di particolare rilievo storico ed architettonico delle medesime istituzioni è autorizzata la spesa di 12 milioni di euro per l'anno 2021 da assegnare alle istituzioni dell'alta formazione artistica musicale e coreutica a titolo di cofinanziamento degli interventi di cui al presente comma.</w:t>
      </w:r>
    </w:p>
    <w:p w14:paraId="72AFB57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  Agli oneri previsti dalla presente disposizione, pari a 12 milioni di euro per l'anno 2021, si provvede:</w:t>
      </w:r>
    </w:p>
    <w:p w14:paraId="59D1B08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6D451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8 milioni di euro mediante corrispondente riduzione dell'autorizzazione di spesa di cui all'articolo 1, comma 131, legge 30 dicembre 2004, n. 311, come rifinanziata dall'articolo 1, comma 14, della legge 27 dicembre 2019, n. 160;</w:t>
      </w:r>
    </w:p>
    <w:p w14:paraId="66FF6ED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4C5438"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 quanto a 4 milioni di euro mediante utilizzo delle somme, conservate nel conto dei residui, di cui all'articolo 1, comma 131, legge 30 dicembre 2004, n. 311, come rifinanziata dall'articolo 1, comma 14, della legge 27 dicembre 2019, n. 160. Il Ministro dell'economia e delle finanze è autorizzato ad apportare le occorrenti variazioni di bilancio anche in conto residui.</w:t>
      </w:r>
    </w:p>
    <w:p w14:paraId="3B47DCE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F388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  8. All'articolo 1 della legge 14 novembre 2000, n. 338, al comma 2, la parola «50» è sostituita dalla seguente «75».</w:t>
      </w:r>
    </w:p>
    <w:p w14:paraId="6FCB61BE" w14:textId="217124B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  9. L'efficacia della disposizione del comma 8, i cui oneri sono a carico delle risorse previste per l'attuazione di progetti compresi nel PNRR, resta subordinata alla definitiva approvazione del PNRR da parte del Consiglio dell'Unione europea.</w:t>
      </w:r>
    </w:p>
    <w:p w14:paraId="0C9A3469" w14:textId="12D94EE7" w:rsidR="000B580E" w:rsidRDefault="000B580E"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808899" w14:textId="77777777" w:rsidR="000B580E" w:rsidRPr="000D0B13" w:rsidRDefault="000B580E" w:rsidP="000B580E">
      <w:pPr>
        <w:jc w:val="center"/>
        <w:rPr>
          <w:b/>
          <w:bCs/>
          <w:color w:val="000000" w:themeColor="text1"/>
          <w:sz w:val="24"/>
          <w:szCs w:val="24"/>
        </w:rPr>
      </w:pPr>
      <w:r w:rsidRPr="000D0B13">
        <w:rPr>
          <w:b/>
          <w:bCs/>
          <w:color w:val="000000" w:themeColor="text1"/>
          <w:sz w:val="24"/>
          <w:szCs w:val="24"/>
        </w:rPr>
        <w:t>Art. 64-bis.</w:t>
      </w:r>
    </w:p>
    <w:p w14:paraId="0E0558EF" w14:textId="77777777" w:rsidR="000B580E" w:rsidRPr="000D0B13" w:rsidRDefault="000B580E" w:rsidP="000B580E">
      <w:pPr>
        <w:jc w:val="center"/>
        <w:rPr>
          <w:b/>
          <w:bCs/>
          <w:color w:val="000000" w:themeColor="text1"/>
          <w:sz w:val="24"/>
          <w:szCs w:val="24"/>
        </w:rPr>
      </w:pPr>
      <w:r w:rsidRPr="000D0B13">
        <w:rPr>
          <w:b/>
          <w:bCs/>
          <w:color w:val="000000" w:themeColor="text1"/>
          <w:sz w:val="24"/>
          <w:szCs w:val="24"/>
        </w:rPr>
        <w:t>(Proroga degli organi degli Enti parco nazionali)</w:t>
      </w:r>
    </w:p>
    <w:p w14:paraId="7E318C55" w14:textId="77777777" w:rsidR="000B580E" w:rsidRPr="000D0B13" w:rsidRDefault="000B580E" w:rsidP="000B580E">
      <w:pPr>
        <w:rPr>
          <w:b/>
          <w:bCs/>
          <w:color w:val="000000" w:themeColor="text1"/>
          <w:sz w:val="24"/>
          <w:szCs w:val="24"/>
        </w:rPr>
      </w:pPr>
    </w:p>
    <w:p w14:paraId="35B4B495" w14:textId="1C52A873" w:rsidR="000B580E" w:rsidRPr="00EF5B01" w:rsidRDefault="000B580E" w:rsidP="000B580E">
      <w:pPr>
        <w:rPr>
          <w:rFonts w:asciiTheme="minorHAnsi" w:eastAsia="Times New Roman" w:hAnsiTheme="minorHAnsi" w:cs="Times New Roman"/>
          <w:bCs/>
          <w:iCs/>
          <w:color w:val="000000" w:themeColor="text1"/>
          <w:sz w:val="24"/>
          <w:szCs w:val="24"/>
        </w:rPr>
      </w:pPr>
      <w:r w:rsidRPr="000D0B13">
        <w:rPr>
          <w:b/>
          <w:bCs/>
          <w:color w:val="000000" w:themeColor="text1"/>
          <w:sz w:val="24"/>
          <w:szCs w:val="24"/>
        </w:rPr>
        <w:t>  1. Al fine di agevolare la programmazione degli interventi del PNRR nelle aree protette, la durata in carica del presidente e del consiglio direttivo di ciascun Ente parco nazionale, ove il rispettivo mandato non risulti scaduto alla data di entrata in vigore della legge di conversione del presente decreto, è prorogata fino alla scadenza dell'organo nominato in data più recente.</w:t>
      </w:r>
      <w:r>
        <w:rPr>
          <w:rStyle w:val="Rimandonotaapidipagina"/>
          <w:b/>
          <w:bCs/>
          <w:color w:val="000000" w:themeColor="text1"/>
          <w:sz w:val="24"/>
          <w:szCs w:val="24"/>
        </w:rPr>
        <w:footnoteReference w:id="68"/>
      </w:r>
    </w:p>
    <w:p w14:paraId="687196E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B716E0"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65.</w:t>
      </w:r>
    </w:p>
    <w:p w14:paraId="52F56BF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di sicurezza delle ferrovie e delle infrastrutture stradali e autostradali)</w:t>
      </w:r>
    </w:p>
    <w:p w14:paraId="2C3C8FD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68120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12 del decreto-legge 28 settembre 2018, n. 109, convertito, con modificazioni, dalla legge 16 novembre 2018, n. 130, sono apportate le seguenti modificazioni:</w:t>
      </w:r>
    </w:p>
    <w:p w14:paraId="7587D92C"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A3764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al comma 1, il secondo periodo è sostituito dal seguente: «Fermi i compiti, gli obblighi e le responsabilità degli enti proprietari e dei soggetti gestori in materia di sicurezza, l'Agenzia promuove e assicura la vigilanza sulle condizioni di sicurezza del sistema ferroviario nazionale e delle infrastrutture stradali e autostradali, direttamente sulla base del programma annuale di attività di cui al comma 5-bis, nonché nelle forme e secondo le modalità indicate nei commi da 3 a 5.»;</w:t>
      </w:r>
    </w:p>
    <w:p w14:paraId="54FC6C7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D9C46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   b) il comma 4 è sostituito dal seguente:</w:t>
      </w:r>
    </w:p>
    <w:p w14:paraId="2750A5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FAF89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   «4. Con riferimento alla sicurezza delle infrastrutture stradali e autostradali e fermi restando i compiti e le responsabilità dei soggetti gestori, l'Agenzia, anche avvalendosi degli altri soggetti pubblici che operano in materia di sicurezza delle infrastrutture:</w:t>
      </w:r>
    </w:p>
    <w:p w14:paraId="461EFA1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D6C2FC6"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    a) esercita l'attività ispettiva finalizzata alla verifica dell'attività di manutenzione svolta dai gestori, dei relativi risultati e della corretta organizzazione dei processi di manutenzione, nonché l'attività ispettiva e di verifica a campione sulle infrastrutture, obbligando i gestori, in quanto responsabili dell'utilizzo sicuro delle stesse, a mettere in atto le necessarie misure di controllo del rischio, nonché all'esecuzione dei necessari interventi di messa in sicurezza, dandone comunicazione al Ministero delle infrastrutture e della mobilità sostenibili ed alla Commissione di cui all'articolo 4 del decreto legislativo 5 ottobre 2006, n. 264;</w:t>
      </w:r>
    </w:p>
    <w:p w14:paraId="2A71915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E1FC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xml:space="preserve">    b) promuove l'adozione da parte dei gestori delle reti stradali </w:t>
      </w:r>
      <w:proofErr w:type="spellStart"/>
      <w:r w:rsidRPr="00EF5B01">
        <w:rPr>
          <w:rFonts w:asciiTheme="minorHAnsi" w:eastAsia="Times New Roman" w:hAnsiTheme="minorHAnsi" w:cs="Times New Roman"/>
          <w:bCs/>
          <w:iCs/>
          <w:color w:val="000000" w:themeColor="text1"/>
          <w:sz w:val="24"/>
          <w:szCs w:val="24"/>
        </w:rPr>
        <w:t>ed</w:t>
      </w:r>
      <w:proofErr w:type="spellEnd"/>
      <w:r w:rsidRPr="00EF5B01">
        <w:rPr>
          <w:rFonts w:asciiTheme="minorHAnsi" w:eastAsia="Times New Roman" w:hAnsiTheme="minorHAnsi" w:cs="Times New Roman"/>
          <w:bCs/>
          <w:iCs/>
          <w:color w:val="000000" w:themeColor="text1"/>
          <w:sz w:val="24"/>
          <w:szCs w:val="24"/>
        </w:rPr>
        <w:t xml:space="preserve"> autostradali di Sistemi di Gestione della Sicurezza per le attività di verifica e manutenzione delle infrastrutture certificati da organismi di parte terza riconosciuti dall'Agenzia;</w:t>
      </w:r>
    </w:p>
    <w:p w14:paraId="358EFD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9B1B60"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    c) propone al Ministro delle infrastrutture e della mobilità sostenibili l'adozione, sentito il Consiglio superiore dei lavori pubblici, del decreto previsto dall'articolo 1, comma 3, del decreto legislativo 15 marzo 2011, n. 35;</w:t>
      </w:r>
    </w:p>
    <w:p w14:paraId="5E7600FF"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112FA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    d) stabilisce, con proprio provvedimento, modalità, contenuti e documenti costituenti la valutazione di impatto sulla sicurezza stradale per i progetti di infrastruttura di cui all'articolo 3 del citato decreto legislativo n. 35 del 2011;</w:t>
      </w:r>
    </w:p>
    <w:p w14:paraId="5E5DB43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BD6A15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    e) cura la tenuta dell'elenco dei soggetti che possono effettuare i controlli ai sensi dell'articolo 4 del citato decreto legislativo n. 35 del 2011 nonché la relativa attività di formazione, nel rispetto di quanto previsto dall'articolo 9 del medesimo decreto;</w:t>
      </w:r>
    </w:p>
    <w:p w14:paraId="03F7F214"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EA595"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    f) provvede alla classificazione dei tratti ad elevata concentrazione di incidenti nonché alla classificazione della sicurezza della rete esistente, secondo quanto previsto dall'articolo 5 del citato decreto legislativo n. 35 del 2011, anche al fine di definire, con proprio provvedimento, criteri e modalità per l'applicazione delle misure di sicurezza previste dal medesimo decreto;</w:t>
      </w:r>
    </w:p>
    <w:p w14:paraId="7EF3276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3CB327"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    g) effettua, in attuazione del programma annuale di attività di cui al comma 5-bis e comunque ogni qual volta ne ravvisi l'opportunità anche sulla base delle segnalazioni effettuate dal Ministero delle infrastrutture e della mobilità sostenibili o di altre pubbliche amministrazioni, le ispezioni di sicurezza previste dall'articolo 6 del citato decreto legislativo n. 35 del 2011, anche compiendo verifiche sulle attività di controllo già svolte dai gestori eventualmente effettuando ulteriori verifiche in sito;</w:t>
      </w:r>
    </w:p>
    <w:p w14:paraId="20B1B3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38DD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    h) adotta le misure di sicurezza temporanee da applicare ai tratti di rete stradale interessati da lavori stradali, fissando le modalità di svolgimento delle ispezioni volte ad assicurare la corretta applicazione delle stesse;</w:t>
      </w:r>
    </w:p>
    <w:p w14:paraId="0C8BD9C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2D993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 sovraintende alla gestione dei dati secondo quanto previsto dall'articolo 7 del citato decreto legislativo n. 35 del 2011;</w:t>
      </w:r>
    </w:p>
    <w:p w14:paraId="2C5C374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C1D70A"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    l) propone al Ministro delle infrastrutture e della mobilità sostenibili l'aggiornamento delle tariffe previste dall'articolo 10 del citato decreto legislativo n. 35 del 2011;</w:t>
      </w:r>
    </w:p>
    <w:p w14:paraId="6F638D9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3B0C4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lastRenderedPageBreak/>
        <w:t>    m) svolge attività di studio, ricerca e sperimentazione in materia di sicurezza delle infrastrutture stradali e autostradali»;</w:t>
      </w:r>
    </w:p>
    <w:p w14:paraId="4953E65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B7DDC3"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   c) dopo il comma 5, è inserito il seguente: «5-bis. L'Agenzia nazionale per la sicurezza delle ferrovie e delle infrastrutture stradali e autostradali adotta, entro il 31 dicembre di ciascun anno, il programma delle attività di vigilanza diretta dell'Agenzia sulle condizioni di sicurezza delle infrastrutture stradali e autostradali, da espletarsi nel corso dell'anno successivo, dandone comunicazione al Ministero delle infrastrutture e della mobilità sostenibili ed alla Commissione di cui all'articolo 4 del decreto legislativo 5 ottobre 2006, n. 264. Relativamente alle attività dell'anno 2021, il programma di cui al primo periodo è adottato entro il 31 agosto 2021. Entro il 31 gennaio di ciascun anno, l'Agenzia trasmette al Ministro delle infrastrutture e della mobilità sostenibile e alle competenti Commissioni parlamentari una relazione sulle attività previste dai commi da 3 a 5 e svolte nel corso dell'anno precedente.».</w:t>
      </w:r>
    </w:p>
    <w:p w14:paraId="52C352F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5382E3"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66.</w:t>
      </w:r>
    </w:p>
    <w:p w14:paraId="60D1032C"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(Disposizioni urgenti in materia politiche sociali)</w:t>
      </w:r>
    </w:p>
    <w:p w14:paraId="4D739E7A" w14:textId="77777777" w:rsidR="00EF5B01" w:rsidRPr="00EF5B01" w:rsidRDefault="00EF5B01" w:rsidP="005A2157">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79392F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All'articolo 101, comma 2, del codice del Terzo settore, di cui al decreto legislativo 3 luglio 2017, n. 117, le parole: «31 maggio 2021» sono sostituite dalle seguenti: «31 maggio 2022».</w:t>
      </w:r>
    </w:p>
    <w:p w14:paraId="23794BF2" w14:textId="21D0C65B"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  2. All'articolo 1, comma 563, della legge 30 dicembre 2018, n. 145, dopo il primo periodo sono aggiunti i seguenti: «Esclusivamente per le medesime finalità, l'INPS consente ai soggetti erogatori di beni o servizi in favore delle persone con disabilità, l'accesso, su richiesta dell'interessato, alle informazioni strettamente necessarie contenute nei verbali di accertamento dello stato invalidante di cui alla legge 15 ottobre 1990, n. 295, attraverso lo strumento della Carta. L'INPS, sentito il Garante per la protezione dei dati personali, individua la tipologia di dati soggetti al trattamento e le operazioni eseguibili necessarie al funzionamento della Carta e all'accesso alle predette informazioni nonché le misure necessarie alla tutela dei diritti fondamentali dell'interessato.».</w:t>
      </w:r>
    </w:p>
    <w:p w14:paraId="61564BE0" w14:textId="46A9C0C4" w:rsidR="00BC0C96" w:rsidRDefault="00BC0C96"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894E25" w14:textId="77777777" w:rsidR="00BC0C96" w:rsidRPr="0044542C" w:rsidRDefault="00BC0C96" w:rsidP="00BC0C96">
      <w:pPr>
        <w:jc w:val="center"/>
        <w:rPr>
          <w:b/>
          <w:bCs/>
          <w:color w:val="000000" w:themeColor="text1"/>
          <w:sz w:val="24"/>
          <w:szCs w:val="24"/>
        </w:rPr>
      </w:pPr>
      <w:r w:rsidRPr="0044542C">
        <w:rPr>
          <w:b/>
          <w:bCs/>
          <w:color w:val="000000" w:themeColor="text1"/>
          <w:sz w:val="24"/>
          <w:szCs w:val="24"/>
        </w:rPr>
        <w:t>Articolo 66-bis.</w:t>
      </w:r>
    </w:p>
    <w:p w14:paraId="0487D3DC" w14:textId="77777777" w:rsidR="00BC0C96" w:rsidRPr="0044542C" w:rsidRDefault="00BC0C96" w:rsidP="00BC0C96">
      <w:pPr>
        <w:jc w:val="center"/>
        <w:rPr>
          <w:b/>
          <w:bCs/>
          <w:color w:val="000000" w:themeColor="text1"/>
          <w:sz w:val="24"/>
          <w:szCs w:val="24"/>
        </w:rPr>
      </w:pPr>
      <w:r w:rsidRPr="0044542C">
        <w:rPr>
          <w:b/>
          <w:bCs/>
          <w:color w:val="000000" w:themeColor="text1"/>
          <w:sz w:val="24"/>
          <w:szCs w:val="24"/>
        </w:rPr>
        <w:t>(Modifiche di disposizioni legislative)</w:t>
      </w:r>
    </w:p>
    <w:p w14:paraId="069A6C8C" w14:textId="77777777" w:rsidR="00BC0C96" w:rsidRPr="00BC0C96" w:rsidRDefault="00BC0C96" w:rsidP="00BC0C96">
      <w:pPr>
        <w:jc w:val="both"/>
        <w:rPr>
          <w:b/>
          <w:bCs/>
          <w:color w:val="000000" w:themeColor="text1"/>
          <w:sz w:val="24"/>
          <w:szCs w:val="24"/>
        </w:rPr>
      </w:pPr>
      <w:r w:rsidRPr="00BC0C96">
        <w:rPr>
          <w:color w:val="000000" w:themeColor="text1"/>
          <w:sz w:val="24"/>
          <w:szCs w:val="24"/>
        </w:rPr>
        <w:t>  </w:t>
      </w:r>
      <w:r w:rsidRPr="00BC0C96">
        <w:rPr>
          <w:b/>
          <w:bCs/>
          <w:color w:val="000000" w:themeColor="text1"/>
          <w:sz w:val="24"/>
          <w:szCs w:val="24"/>
        </w:rPr>
        <w:t>1. Al primo periodo del comma 2 dell'articolo 5 della legge 15 dicembre 1990, n. 395, le parole: «individuate con decreto del Ministro» sono soppresse.</w:t>
      </w:r>
    </w:p>
    <w:p w14:paraId="6D42E683"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lastRenderedPageBreak/>
        <w:t>  2. Al secondo periodo del comma 1-bis dell'articolo 56 del decreto legislativo 30 ottobre 1992, n. 443, le parole da: «Con decreto del Ministro della giustizia» fino a: «che assicurano» sono sostituite dalle seguenti: «È assicurata».</w:t>
      </w:r>
    </w:p>
    <w:p w14:paraId="3A921D83"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  3. Il comma 3-bis dell'articolo 64 del codice dell'amministrazione digitale, di cui al decreto legislativo 7 marzo 2005, n. 82, è abrogato.</w:t>
      </w:r>
    </w:p>
    <w:p w14:paraId="1282F00D"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  4. Al comma 4-octies dell'articolo 241-bis del decreto legislativo 3 aprile 2006, n. 152, le parole: «, secondo le modalità definite con decreto del Ministro della difesa, di concerto con il Ministro dell'ambiente e della tutela del territorio e del mare» sono soppresse.</w:t>
      </w:r>
    </w:p>
    <w:p w14:paraId="443FE4CF"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  5. Il comma 343 dell'articolo 1 della legge 23 dicembre 2014, n. 190, è abrogato.</w:t>
      </w:r>
    </w:p>
    <w:p w14:paraId="6239BAFB"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  6. All'articolo 1 della legge 28 dicembre 2015, n. 208, il quarto periodo del comma 38 è soppresso e il comma 937 è abrogato.</w:t>
      </w:r>
    </w:p>
    <w:p w14:paraId="5BC70A98"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  7. Il comma 4 dell'articolo 19 della legge 28 luglio 2016, n. 154, è abrogato.</w:t>
      </w:r>
    </w:p>
    <w:p w14:paraId="7DEE5A22"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  8. Il comma 2 dell'articolo 17 del decreto legislativo 14 settembre 2015, n. 151, è abrogato.</w:t>
      </w:r>
    </w:p>
    <w:p w14:paraId="3C04C04A"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  9. La lettera a) del comma 4 dell'articolo 3 del decreto legislativo 29 maggio 2017, n. 95, è abrogata.</w:t>
      </w:r>
    </w:p>
    <w:p w14:paraId="1D51AD21"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  10. Il comma 3 dell'articolo 78 del codice del Terzo settore, di cui al decreto legislativo 3 luglio 2017, n. 117, è abrogato.</w:t>
      </w:r>
    </w:p>
    <w:p w14:paraId="616B8116"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  11. Il comma 3 dell'articolo 20 del decreto legislativo 21 maggio 2018, n. 74, è abrogato.</w:t>
      </w:r>
    </w:p>
    <w:p w14:paraId="7444085F"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  12. Il comma 20-ter dell'articolo 83 del decreto-legge 17 marzo 2020, n. 18, convertito, con modificazioni, dalla legge 24 aprile 2020, n. 27, è abrogato.</w:t>
      </w:r>
    </w:p>
    <w:p w14:paraId="71022D7A"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  13. Il comma 13 dell'articolo 19 del decreto legislativo 7 settembre 2018, n. 114, è abrogato.</w:t>
      </w:r>
    </w:p>
    <w:p w14:paraId="7B97A305"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  14. Il secondo periodo del comma 2 dell'articolo 15 del decreto-legge 28 settembre 2018, n. 109, convertito, con modificazioni, dalla legge 16 novembre 2018, n. 130, è soppresso.</w:t>
      </w:r>
    </w:p>
    <w:p w14:paraId="0355E0D8" w14:textId="77777777" w:rsidR="00BC0C96" w:rsidRPr="00BC0C96" w:rsidRDefault="00BC0C96" w:rsidP="00BC0C96">
      <w:pPr>
        <w:jc w:val="both"/>
        <w:rPr>
          <w:b/>
          <w:bCs/>
          <w:color w:val="000000" w:themeColor="text1"/>
          <w:sz w:val="24"/>
          <w:szCs w:val="24"/>
        </w:rPr>
      </w:pPr>
      <w:r w:rsidRPr="00BC0C96">
        <w:rPr>
          <w:b/>
          <w:bCs/>
          <w:color w:val="000000" w:themeColor="text1"/>
          <w:sz w:val="24"/>
          <w:szCs w:val="24"/>
        </w:rPr>
        <w:t>  15. Il numero 1) della lettera c) del comma 1 dell'articolo 6 del decreto legislativo 5 ottobre 2018, n. 126, è abrogato.</w:t>
      </w:r>
    </w:p>
    <w:p w14:paraId="79550AB9" w14:textId="245947C3" w:rsidR="00BC0C96" w:rsidRPr="00BC0C96" w:rsidRDefault="00BC0C96" w:rsidP="00BC0C9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BC0C96">
        <w:rPr>
          <w:b/>
          <w:bCs/>
          <w:color w:val="000000" w:themeColor="text1"/>
          <w:sz w:val="24"/>
          <w:szCs w:val="24"/>
        </w:rPr>
        <w:lastRenderedPageBreak/>
        <w:t>  16. Il secondo periodo del comma 373 dell'articolo 1 della legge 30 dicembre 2018, n. 145, è soppresso.</w:t>
      </w:r>
      <w:r>
        <w:rPr>
          <w:rStyle w:val="Rimandonotaapidipagina"/>
          <w:b/>
          <w:bCs/>
          <w:color w:val="000000" w:themeColor="text1"/>
          <w:sz w:val="24"/>
          <w:szCs w:val="24"/>
        </w:rPr>
        <w:footnoteReference w:id="69"/>
      </w:r>
    </w:p>
    <w:p w14:paraId="7F634A51"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27099A"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Articolo 67.</w:t>
      </w:r>
    </w:p>
    <w:p w14:paraId="37A81C4F" w14:textId="77777777" w:rsidR="00EF5B01" w:rsidRPr="00EF5B01" w:rsidRDefault="00EF5B01" w:rsidP="00855850">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(Entrata in vigore)</w:t>
      </w:r>
    </w:p>
    <w:p w14:paraId="4752C17D"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D5BA7E"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3E6044B2" w14:textId="77777777" w:rsidR="00EF5B01" w:rsidRP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38411A" w14:textId="77777777" w:rsidR="00EF5B01" w:rsidRDefault="00EF5B01"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F5B01">
        <w:rPr>
          <w:rFonts w:asciiTheme="minorHAnsi" w:eastAsia="Times New Roman" w:hAnsiTheme="minorHAnsi" w:cs="Times New Roman"/>
          <w:bCs/>
          <w:iCs/>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1F262D28"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9F1F8A"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89B9F6"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w:t>
      </w:r>
    </w:p>
    <w:p w14:paraId="4BB0017C"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17)</w:t>
      </w:r>
    </w:p>
    <w:p w14:paraId="3A35DA4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F037C4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«Allegati alla Parte Seconda</w:t>
      </w:r>
    </w:p>
    <w:p w14:paraId="03C4A41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I-bis</w:t>
      </w:r>
    </w:p>
    <w:p w14:paraId="29D8B5F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C99ED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Opere, impianti e infrastrutture necessarie al raggiungimento degli obiettivi fissati dal Piano Nazionale Integrato Energia e Clima (PNIEC), predisposto in attuazione del Regolamento (UE) 2018/1999.</w:t>
      </w:r>
    </w:p>
    <w:p w14:paraId="46E0983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3B7F3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1 Dimensione della decarbonizzazione:</w:t>
      </w:r>
    </w:p>
    <w:p w14:paraId="528C650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0BB32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 Infrastrutture per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della generazione elettrica alimentata a carbone:</w:t>
      </w:r>
    </w:p>
    <w:p w14:paraId="2EE4A63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C8D3D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   1.1.1 Riconversione e/o dismissione delle centrali alimentate a carbone;</w:t>
      </w:r>
    </w:p>
    <w:p w14:paraId="777476E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01C5B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   1.1.2 Nuovi impianti termoelettrici alimentati attraverso gas naturale per le esigenze di nuova potenza programmabile, con prevalente funzione di adeguatezza, regolazione e riserva connessi alle esigenze del sistema elettrico derivanti dalla chiusura delle centrali alimentate a carbone</w:t>
      </w:r>
    </w:p>
    <w:p w14:paraId="410BFDC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13FA3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   1.1.3 Infrastrutture di </w:t>
      </w:r>
      <w:proofErr w:type="spellStart"/>
      <w:r w:rsidRPr="00855850">
        <w:rPr>
          <w:rFonts w:asciiTheme="minorHAnsi" w:eastAsia="Times New Roman" w:hAnsiTheme="minorHAnsi" w:cs="Times New Roman"/>
          <w:bCs/>
          <w:iCs/>
          <w:color w:val="000000" w:themeColor="text1"/>
          <w:sz w:val="24"/>
          <w:szCs w:val="24"/>
        </w:rPr>
        <w:t>reloading</w:t>
      </w:r>
      <w:proofErr w:type="spellEnd"/>
      <w:r w:rsidRPr="00855850">
        <w:rPr>
          <w:rFonts w:asciiTheme="minorHAnsi" w:eastAsia="Times New Roman" w:hAnsiTheme="minorHAnsi" w:cs="Times New Roman"/>
          <w:bCs/>
          <w:iCs/>
          <w:color w:val="000000" w:themeColor="text1"/>
          <w:sz w:val="24"/>
          <w:szCs w:val="24"/>
        </w:rPr>
        <w:t xml:space="preserve">, trasporto via nave, stoccaggio e rigassificazione necessarie a consentire il </w:t>
      </w:r>
      <w:proofErr w:type="spellStart"/>
      <w:r w:rsidRPr="00855850">
        <w:rPr>
          <w:rFonts w:asciiTheme="minorHAnsi" w:eastAsia="Times New Roman" w:hAnsiTheme="minorHAnsi" w:cs="Times New Roman"/>
          <w:bCs/>
          <w:iCs/>
          <w:color w:val="000000" w:themeColor="text1"/>
          <w:sz w:val="24"/>
          <w:szCs w:val="24"/>
        </w:rPr>
        <w:t>phase</w:t>
      </w:r>
      <w:proofErr w:type="spellEnd"/>
      <w:r w:rsidRPr="00855850">
        <w:rPr>
          <w:rFonts w:asciiTheme="minorHAnsi" w:eastAsia="Times New Roman" w:hAnsiTheme="minorHAnsi" w:cs="Times New Roman"/>
          <w:bCs/>
          <w:iCs/>
          <w:color w:val="000000" w:themeColor="text1"/>
          <w:sz w:val="24"/>
          <w:szCs w:val="24"/>
        </w:rPr>
        <w:t xml:space="preserve"> out dalla generazione a carbone e la decarbonizzazione delle industrie in Sardegna.</w:t>
      </w:r>
    </w:p>
    <w:p w14:paraId="0D72BC9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B8BD1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 Nuovi impianti per la produzione di energia e vettori energetici da fonti rinnovabili, residui e rifiuti, nonché ammodernamento, integrali ricostruzioni, riconversione e incremento della capacità esistente, relativamente a:</w:t>
      </w:r>
    </w:p>
    <w:p w14:paraId="1B3A56C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20A23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   1.2.1 Generazione di energia elettrica: impianti idroelettrici, geotermici, eolici e fotovoltaici (in terraferma e in mare), solari a concentrazione, produzione di energia dal mare e produzione di bioenergia da biomasse solide, bioliquidi, biogas, residui e rifiuti;</w:t>
      </w:r>
    </w:p>
    <w:p w14:paraId="06FC8E4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EAC8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   1.2.2 Generazione di energia termica: impianti geotermici, solare termico e a concentrazione, produzione di energia da biomasse solide, bioliquidi, biogas, biometano, residui e rifiuti;</w:t>
      </w:r>
    </w:p>
    <w:p w14:paraId="472B207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892C1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   1.2.3 Produzione di carburanti sostenibili: biocarburanti e biocarburanti avanzati, biometano e biometano avanzato (compreso l'upgrading del biogas e la produzione di </w:t>
      </w:r>
      <w:proofErr w:type="spellStart"/>
      <w:r w:rsidRPr="00855850">
        <w:rPr>
          <w:rFonts w:asciiTheme="minorHAnsi" w:eastAsia="Times New Roman" w:hAnsiTheme="minorHAnsi" w:cs="Times New Roman"/>
          <w:bCs/>
          <w:iCs/>
          <w:color w:val="000000" w:themeColor="text1"/>
          <w:sz w:val="24"/>
          <w:szCs w:val="24"/>
        </w:rPr>
        <w:t>BioLNG</w:t>
      </w:r>
      <w:proofErr w:type="spellEnd"/>
      <w:r w:rsidRPr="00855850">
        <w:rPr>
          <w:rFonts w:asciiTheme="minorHAnsi" w:eastAsia="Times New Roman" w:hAnsiTheme="minorHAnsi" w:cs="Times New Roman"/>
          <w:bCs/>
          <w:iCs/>
          <w:color w:val="000000" w:themeColor="text1"/>
          <w:sz w:val="24"/>
          <w:szCs w:val="24"/>
        </w:rPr>
        <w:t xml:space="preserve"> da biometano), syngas,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156CD39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FEC11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 Infrastrutture e impianti per la produzione, il trasporto e lo stoccaggio di idrogeno:</w:t>
      </w:r>
    </w:p>
    <w:p w14:paraId="6A41884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F15391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   1.3.1 Impianti di produzione di idrogeno;</w:t>
      </w:r>
    </w:p>
    <w:p w14:paraId="1C3B535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F9D8F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   1.3.2 Impianti di Power-to-X;</w:t>
      </w:r>
    </w:p>
    <w:p w14:paraId="4E04A4A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2DE50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   1.3.3 Infrastrutture di trasporto di idrogeno;</w:t>
      </w:r>
    </w:p>
    <w:p w14:paraId="32B8EEA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A848B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   1.3.4 Infrastrutture di stoccaggio di idrogeno.</w:t>
      </w:r>
    </w:p>
    <w:p w14:paraId="01FAA2B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40573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 Altre opere funzionali alla decarbonizzazione del sistema energetico e dell'industria:</w:t>
      </w:r>
    </w:p>
    <w:p w14:paraId="4A5E969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C35BB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   1.4.1 Costruzione di impianti di rifornimento di combustibili alternativi (per il trasporto stradale, aereo e navale), nonché ristrutturazione totale o parziale di impianti esistenti con incluso l'annesso stoccaggio, per:</w:t>
      </w:r>
    </w:p>
    <w:p w14:paraId="46A2294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15C88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Ricarica elettrica;</w:t>
      </w:r>
    </w:p>
    <w:p w14:paraId="1CB9DC8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4EBEF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    b. Rifornimento Idrogeno (per utilizzo </w:t>
      </w:r>
      <w:proofErr w:type="spellStart"/>
      <w:r w:rsidRPr="00855850">
        <w:rPr>
          <w:rFonts w:asciiTheme="minorHAnsi" w:eastAsia="Times New Roman" w:hAnsiTheme="minorHAnsi" w:cs="Times New Roman"/>
          <w:bCs/>
          <w:iCs/>
          <w:color w:val="000000" w:themeColor="text1"/>
          <w:sz w:val="24"/>
          <w:szCs w:val="24"/>
        </w:rPr>
        <w:t>conFuel</w:t>
      </w:r>
      <w:proofErr w:type="spellEnd"/>
      <w:r w:rsidRPr="00855850">
        <w:rPr>
          <w:rFonts w:asciiTheme="minorHAnsi" w:eastAsia="Times New Roman" w:hAnsiTheme="minorHAnsi" w:cs="Times New Roman"/>
          <w:bCs/>
          <w:iCs/>
          <w:color w:val="000000" w:themeColor="text1"/>
          <w:sz w:val="24"/>
          <w:szCs w:val="24"/>
        </w:rPr>
        <w:t xml:space="preserve"> </w:t>
      </w:r>
      <w:proofErr w:type="spellStart"/>
      <w:r w:rsidRPr="00855850">
        <w:rPr>
          <w:rFonts w:asciiTheme="minorHAnsi" w:eastAsia="Times New Roman" w:hAnsiTheme="minorHAnsi" w:cs="Times New Roman"/>
          <w:bCs/>
          <w:iCs/>
          <w:color w:val="000000" w:themeColor="text1"/>
          <w:sz w:val="24"/>
          <w:szCs w:val="24"/>
        </w:rPr>
        <w:t>cell</w:t>
      </w:r>
      <w:proofErr w:type="spellEnd"/>
      <w:r w:rsidRPr="00855850">
        <w:rPr>
          <w:rFonts w:asciiTheme="minorHAnsi" w:eastAsia="Times New Roman" w:hAnsiTheme="minorHAnsi" w:cs="Times New Roman"/>
          <w:bCs/>
          <w:iCs/>
          <w:color w:val="000000" w:themeColor="text1"/>
          <w:sz w:val="24"/>
          <w:szCs w:val="24"/>
        </w:rPr>
        <w:t>, motori endotermici e vettori derivati, quali ammoniaca);</w:t>
      </w:r>
    </w:p>
    <w:p w14:paraId="650147A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277CE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Rifornimento Gas Naturale Compresso/Gas Naturale Compresso di origine Biologica;</w:t>
      </w:r>
    </w:p>
    <w:p w14:paraId="6EF0A26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0944C6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Rifornimento Gas Naturale Liquefatto/Gas Naturale Liquefatto di origine biologica;</w:t>
      </w:r>
    </w:p>
    <w:p w14:paraId="7444ABD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804FF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    e. Rifornimento Gas di Petrolio Liquefatto/Gas di Petrolio Liquefatto di origine biologica;</w:t>
      </w:r>
    </w:p>
    <w:p w14:paraId="1A8769F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F87F3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    f. Biocarburanti in purezza;</w:t>
      </w:r>
    </w:p>
    <w:p w14:paraId="73356F6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00412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   1.4.2 Impianti di riconversione del ciclo produttivo finalizzati a ridurre le emissioni da parte del settore industriale, ivi compresa la cattura, trasporto, utilizzo e/o stoccaggio della CO2.</w:t>
      </w:r>
    </w:p>
    <w:p w14:paraId="78D1250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A85600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2 Dimensione dell'efficienza energetica:</w:t>
      </w:r>
    </w:p>
    <w:p w14:paraId="39C2675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02D97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  2.1 Riqualificazione energetica profonda di zone industriali o produttive, aree portuali, urbane e commerciali;</w:t>
      </w:r>
    </w:p>
    <w:p w14:paraId="725E26F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099F2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  2.2 Reti di </w:t>
      </w:r>
      <w:proofErr w:type="spellStart"/>
      <w:r w:rsidRPr="00855850">
        <w:rPr>
          <w:rFonts w:asciiTheme="minorHAnsi" w:eastAsia="Times New Roman" w:hAnsiTheme="minorHAnsi" w:cs="Times New Roman"/>
          <w:bCs/>
          <w:iCs/>
          <w:color w:val="000000" w:themeColor="text1"/>
          <w:sz w:val="24"/>
          <w:szCs w:val="24"/>
        </w:rPr>
        <w:t>telecalore</w:t>
      </w:r>
      <w:proofErr w:type="spellEnd"/>
      <w:r w:rsidRPr="00855850">
        <w:rPr>
          <w:rFonts w:asciiTheme="minorHAnsi" w:eastAsia="Times New Roman" w:hAnsiTheme="minorHAnsi" w:cs="Times New Roman"/>
          <w:bCs/>
          <w:iCs/>
          <w:color w:val="000000" w:themeColor="text1"/>
          <w:sz w:val="24"/>
          <w:szCs w:val="24"/>
        </w:rPr>
        <w:t>/teleriscaldamento/</w:t>
      </w:r>
      <w:proofErr w:type="spellStart"/>
      <w:r w:rsidRPr="00855850">
        <w:rPr>
          <w:rFonts w:asciiTheme="minorHAnsi" w:eastAsia="Times New Roman" w:hAnsiTheme="minorHAnsi" w:cs="Times New Roman"/>
          <w:bCs/>
          <w:iCs/>
          <w:color w:val="000000" w:themeColor="text1"/>
          <w:sz w:val="24"/>
          <w:szCs w:val="24"/>
        </w:rPr>
        <w:t>teleraffrescamento</w:t>
      </w:r>
      <w:proofErr w:type="spellEnd"/>
      <w:r w:rsidRPr="00855850">
        <w:rPr>
          <w:rFonts w:asciiTheme="minorHAnsi" w:eastAsia="Times New Roman" w:hAnsiTheme="minorHAnsi" w:cs="Times New Roman"/>
          <w:bCs/>
          <w:iCs/>
          <w:color w:val="000000" w:themeColor="text1"/>
          <w:sz w:val="24"/>
          <w:szCs w:val="24"/>
        </w:rPr>
        <w:t>;</w:t>
      </w:r>
    </w:p>
    <w:p w14:paraId="092AA74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5F428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  2.3 Impianti di Cogenerazione ad Alto Rendimento (CAR);</w:t>
      </w:r>
    </w:p>
    <w:p w14:paraId="15880DB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81C7D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  2.4 Impianti di Recupero di calore di scarto.</w:t>
      </w:r>
    </w:p>
    <w:p w14:paraId="50DC781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F712C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3 Dimensione della sicurezza energetica:</w:t>
      </w:r>
    </w:p>
    <w:p w14:paraId="0597ED4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7785B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 Settore elettrico:</w:t>
      </w:r>
    </w:p>
    <w:p w14:paraId="745219D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B6552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   3.1.1 Sviluppo rete di trasmissione nazionale:</w:t>
      </w:r>
    </w:p>
    <w:p w14:paraId="49EE73C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DD016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    a. elettrodotti funzionali al collegamento internazionale e </w:t>
      </w:r>
      <w:proofErr w:type="spellStart"/>
      <w:r w:rsidRPr="00855850">
        <w:rPr>
          <w:rFonts w:asciiTheme="minorHAnsi" w:eastAsia="Times New Roman" w:hAnsiTheme="minorHAnsi" w:cs="Times New Roman"/>
          <w:bCs/>
          <w:iCs/>
          <w:color w:val="000000" w:themeColor="text1"/>
          <w:sz w:val="24"/>
          <w:szCs w:val="24"/>
        </w:rPr>
        <w:t>interconnector</w:t>
      </w:r>
      <w:proofErr w:type="spellEnd"/>
      <w:r w:rsidRPr="00855850">
        <w:rPr>
          <w:rFonts w:asciiTheme="minorHAnsi" w:eastAsia="Times New Roman" w:hAnsiTheme="minorHAnsi" w:cs="Times New Roman"/>
          <w:bCs/>
          <w:iCs/>
          <w:color w:val="000000" w:themeColor="text1"/>
          <w:sz w:val="24"/>
          <w:szCs w:val="24"/>
        </w:rPr>
        <w:t>;</w:t>
      </w:r>
    </w:p>
    <w:p w14:paraId="488C5B6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elettrodotti e opere funzionali al collegamento tra zone di mercato nazionali e alla riduzione delle congestioni intrazonali e dei vincoli di capacità produttiva;</w:t>
      </w:r>
    </w:p>
    <w:p w14:paraId="4B9C8AF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F8AFC5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    c. opere funzionali all'incremento dell'adeguatezza e della sicurezza del sistema e di regolazione dei parametri di frequenza, tensione e potenza di corto circuito;</w:t>
      </w:r>
    </w:p>
    <w:p w14:paraId="21FE952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ADD2D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    d. aumento della resilienza delle reti anche verso fenomeni meteorologici estremi a tutela della continuità delle forniture e della sicurezza di persone e cose;</w:t>
      </w:r>
    </w:p>
    <w:p w14:paraId="2D7D4BE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AD4DA2B"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   3.1.2 Riqualificazione delle reti di distribuzione:</w:t>
      </w:r>
    </w:p>
    <w:p w14:paraId="12C27EE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8A871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Cabine primarie e secondarie;</w:t>
      </w:r>
    </w:p>
    <w:p w14:paraId="3F6D087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4E9D2C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    b. Linee elettriche Bassa e Media Tensione;</w:t>
      </w:r>
    </w:p>
    <w:p w14:paraId="2947320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57BA7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    c. Telecontrollo e </w:t>
      </w:r>
      <w:proofErr w:type="spellStart"/>
      <w:r w:rsidRPr="00855850">
        <w:rPr>
          <w:rFonts w:asciiTheme="minorHAnsi" w:eastAsia="Times New Roman" w:hAnsiTheme="minorHAnsi" w:cs="Times New Roman"/>
          <w:bCs/>
          <w:iCs/>
          <w:color w:val="000000" w:themeColor="text1"/>
          <w:sz w:val="24"/>
          <w:szCs w:val="24"/>
        </w:rPr>
        <w:t>Metering</w:t>
      </w:r>
      <w:proofErr w:type="spellEnd"/>
      <w:r w:rsidRPr="00855850">
        <w:rPr>
          <w:rFonts w:asciiTheme="minorHAnsi" w:eastAsia="Times New Roman" w:hAnsiTheme="minorHAnsi" w:cs="Times New Roman"/>
          <w:bCs/>
          <w:iCs/>
          <w:color w:val="000000" w:themeColor="text1"/>
          <w:sz w:val="24"/>
          <w:szCs w:val="24"/>
        </w:rPr>
        <w:t>.</w:t>
      </w:r>
    </w:p>
    <w:p w14:paraId="5F996BB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C5B7A1"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lastRenderedPageBreak/>
        <w:t>   3.1.3 Sviluppo capacità di accumulo elettrochimico e pompaggio:</w:t>
      </w:r>
    </w:p>
    <w:p w14:paraId="0B2249CC"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75D45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    a. Installazione di sistemi di accumulo elettrochimici e pompaggi.</w:t>
      </w:r>
    </w:p>
    <w:p w14:paraId="6C5F5D5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8D207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 Settore gas:</w:t>
      </w:r>
    </w:p>
    <w:p w14:paraId="3E221AF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714B0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   3.2.1 Miglioramento della flessibilità della rete nazionale e regionale di </w:t>
      </w:r>
      <w:proofErr w:type="gramStart"/>
      <w:r w:rsidRPr="00855850">
        <w:rPr>
          <w:rFonts w:asciiTheme="minorHAnsi" w:eastAsia="Times New Roman" w:hAnsiTheme="minorHAnsi" w:cs="Times New Roman"/>
          <w:bCs/>
          <w:iCs/>
          <w:color w:val="000000" w:themeColor="text1"/>
          <w:sz w:val="24"/>
          <w:szCs w:val="24"/>
        </w:rPr>
        <w:t>trasporto,,</w:t>
      </w:r>
      <w:proofErr w:type="gramEnd"/>
      <w:r w:rsidRPr="00855850">
        <w:rPr>
          <w:rFonts w:asciiTheme="minorHAnsi" w:eastAsia="Times New Roman" w:hAnsiTheme="minorHAnsi" w:cs="Times New Roman"/>
          <w:bCs/>
          <w:iCs/>
          <w:color w:val="000000" w:themeColor="text1"/>
          <w:sz w:val="24"/>
          <w:szCs w:val="24"/>
        </w:rPr>
        <w:t xml:space="preserve"> e ammodernamento delle stesse reti finalizzato all'aumento degli standard di sicurezza e controllo;</w:t>
      </w:r>
    </w:p>
    <w:p w14:paraId="3E570D9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B1952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   3.2.2 Impianti per l'integrazione delle fonti di gas rinnovabili attraverso l'utilizzo delle infrastrutture esistenti del sistema gas per il relativo trasporto, stoccaggio e distribuzione;</w:t>
      </w:r>
    </w:p>
    <w:p w14:paraId="33B4BD1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C6B16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   3.2.3 Impianti per la diversificazione della capacità di importazione;</w:t>
      </w:r>
    </w:p>
    <w:p w14:paraId="5C8FE5E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72A41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   3.2.4 Infrastrutture di stoccaggio, trasporto e distribuzione di GNL di cui agli articoli 9 e 10 del decreto legislativo 16 dicembre 2016, n. 257, nonché impianti di liquefazione di GNL, finalizzati alla riduzione di emissioni di CO2 rispetto ad altre fonti fossili, e relative modifiche degli impianti esistenti;</w:t>
      </w:r>
    </w:p>
    <w:p w14:paraId="240D8E13"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103D9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   3.2.5 Infrastrutture di stoccaggio, trasporto e distribuzione di GPL di cui all'articolo 57 del Decreto-Legge del 9 febbraio 2012, n. 5, convertito con modificazioni dalla L. 4 aprile 2012, n. 35 finalizzate alla riduzione di emissioni di CO2 rispetto ad altre fonti fossili.</w:t>
      </w:r>
    </w:p>
    <w:p w14:paraId="051725F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84E5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 Settore dei prodotti petroliferi:</w:t>
      </w:r>
    </w:p>
    <w:p w14:paraId="1382691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06C9D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   3.3.1 Interventi per la riconversione delle raffinerie esistenti e nuovi impianti per la produzione di prodotti energetici derivanti da fonti rinnovabili, residui e rifiuti, nonché l'ammodernamento e l'incremento della capacità esistente anche finalizzata alla produzione di carburanti rinnovabili non biologici (idrogeno, e-</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 carburanti da carbonio riciclato (</w:t>
      </w:r>
      <w:proofErr w:type="spellStart"/>
      <w:r w:rsidRPr="00855850">
        <w:rPr>
          <w:rFonts w:asciiTheme="minorHAnsi" w:eastAsia="Times New Roman" w:hAnsiTheme="minorHAnsi" w:cs="Times New Roman"/>
          <w:bCs/>
          <w:iCs/>
          <w:color w:val="000000" w:themeColor="text1"/>
          <w:sz w:val="24"/>
          <w:szCs w:val="24"/>
        </w:rPr>
        <w:t>recycled</w:t>
      </w:r>
      <w:proofErr w:type="spellEnd"/>
      <w:r w:rsidRPr="00855850">
        <w:rPr>
          <w:rFonts w:asciiTheme="minorHAnsi" w:eastAsia="Times New Roman" w:hAnsiTheme="minorHAnsi" w:cs="Times New Roman"/>
          <w:bCs/>
          <w:iCs/>
          <w:color w:val="000000" w:themeColor="text1"/>
          <w:sz w:val="24"/>
          <w:szCs w:val="24"/>
        </w:rPr>
        <w:t xml:space="preserve"> carbon </w:t>
      </w:r>
      <w:proofErr w:type="spellStart"/>
      <w:r w:rsidRPr="00855850">
        <w:rPr>
          <w:rFonts w:asciiTheme="minorHAnsi" w:eastAsia="Times New Roman" w:hAnsiTheme="minorHAnsi" w:cs="Times New Roman"/>
          <w:bCs/>
          <w:iCs/>
          <w:color w:val="000000" w:themeColor="text1"/>
          <w:sz w:val="24"/>
          <w:szCs w:val="24"/>
        </w:rPr>
        <w:t>fuels</w:t>
      </w:r>
      <w:proofErr w:type="spellEnd"/>
      <w:r w:rsidRPr="00855850">
        <w:rPr>
          <w:rFonts w:asciiTheme="minorHAnsi" w:eastAsia="Times New Roman" w:hAnsiTheme="minorHAnsi" w:cs="Times New Roman"/>
          <w:bCs/>
          <w:iCs/>
          <w:color w:val="000000" w:themeColor="text1"/>
          <w:sz w:val="24"/>
          <w:szCs w:val="24"/>
        </w:rPr>
        <w:t>);</w:t>
      </w:r>
    </w:p>
    <w:p w14:paraId="5879E3D8"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26ABC9"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   3.3.2 Interventi di decommissioning delle piattaforme di coltivazione di idrocarburi ed infrastrutture connesse.».</w:t>
      </w:r>
    </w:p>
    <w:p w14:paraId="01992174" w14:textId="77777777" w:rsid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A5140A"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9FEA69D"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ALLEGATO II</w:t>
      </w:r>
    </w:p>
    <w:p w14:paraId="194AB851" w14:textId="77777777" w:rsidR="00855850" w:rsidRPr="00855850" w:rsidRDefault="00855850" w:rsidP="00855850">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5850">
        <w:rPr>
          <w:rFonts w:asciiTheme="minorHAnsi" w:eastAsia="Times New Roman" w:hAnsiTheme="minorHAnsi" w:cs="Arial"/>
          <w:i/>
          <w:iCs/>
          <w:color w:val="000000" w:themeColor="text1"/>
          <w:sz w:val="24"/>
          <w:szCs w:val="24"/>
        </w:rPr>
        <w:t>(Articolo 31)</w:t>
      </w:r>
    </w:p>
    <w:p w14:paraId="628DC8C0"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«Tabella A</w:t>
      </w:r>
    </w:p>
    <w:p w14:paraId="745B58F8" w14:textId="77777777" w:rsidR="00855850" w:rsidRPr="00855850" w:rsidRDefault="00855850" w:rsidP="00855850">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(Articolo 12)</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41"/>
        <w:gridCol w:w="2091"/>
      </w:tblGrid>
      <w:tr w:rsidR="00855850" w:rsidRPr="00855850" w14:paraId="7E870867"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11F85"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Fonte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D33437"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Soglie</w:t>
            </w:r>
          </w:p>
        </w:tc>
      </w:tr>
      <w:tr w:rsidR="00855850" w:rsidRPr="00855850" w14:paraId="53BC9882"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A633D"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1 Eolica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DCC8A"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60 kW</w:t>
            </w:r>
          </w:p>
        </w:tc>
      </w:tr>
      <w:tr w:rsidR="00855850" w:rsidRPr="00855850" w14:paraId="32960871"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338CEB"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2 Solare fotovoltaica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1D71C"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50 kW</w:t>
            </w:r>
          </w:p>
        </w:tc>
      </w:tr>
      <w:tr w:rsidR="00855850" w:rsidRPr="00855850" w14:paraId="2B6F83EE"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CEA487"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3 Idraulica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AA1D7"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100 kW</w:t>
            </w:r>
          </w:p>
        </w:tc>
      </w:tr>
      <w:tr w:rsidR="00855850" w:rsidRPr="00855850" w14:paraId="1BAC08AC"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51E98"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4 Biomasse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13A4F4" w14:textId="77777777" w:rsidR="00855850" w:rsidRPr="00855850" w:rsidRDefault="00855850" w:rsidP="00855850">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200 kW</w:t>
            </w:r>
          </w:p>
        </w:tc>
      </w:tr>
      <w:tr w:rsidR="00855850" w:rsidRPr="00855850" w14:paraId="0344E795" w14:textId="77777777" w:rsidTr="00855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574C5" w14:textId="77777777" w:rsidR="00855850" w:rsidRPr="00855850" w:rsidRDefault="00855850" w:rsidP="00855850">
            <w:pPr>
              <w:spacing w:before="100" w:beforeAutospacing="1" w:after="100" w:afterAutospacing="1" w:line="240" w:lineRule="auto"/>
              <w:rPr>
                <w:rFonts w:asciiTheme="minorHAnsi" w:eastAsia="Times New Roman" w:hAnsiTheme="minorHAnsi" w:cs="Arial"/>
                <w:color w:val="000000" w:themeColor="text1"/>
                <w:sz w:val="24"/>
                <w:szCs w:val="24"/>
              </w:rPr>
            </w:pP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 </w:t>
            </w:r>
            <w:r w:rsidRPr="00855850">
              <w:rPr>
                <w:rFonts w:asciiTheme="minorHAnsi" w:eastAsia="Times New Roman" w:hAnsiTheme="minorHAnsi" w:cs="Arial"/>
                <w:color w:val="000000" w:themeColor="text1"/>
                <w:sz w:val="24"/>
                <w:szCs w:val="24"/>
              </w:rPr>
              <w:t>5 Gas di discarica, gas residuati dai processi di depurazione e biogas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D6B94" w14:textId="4DDEDDFD" w:rsidR="00855850" w:rsidRPr="00246D28" w:rsidRDefault="00855850" w:rsidP="00855850">
            <w:pPr>
              <w:spacing w:before="100" w:beforeAutospacing="1" w:after="100" w:afterAutospacing="1" w:line="240" w:lineRule="auto"/>
              <w:jc w:val="center"/>
              <w:rPr>
                <w:rFonts w:asciiTheme="minorHAnsi" w:eastAsia="Times New Roman" w:hAnsiTheme="minorHAnsi" w:cs="Arial"/>
                <w:b/>
                <w:bCs/>
                <w:strike/>
                <w:color w:val="000000" w:themeColor="text1"/>
                <w:sz w:val="24"/>
                <w:szCs w:val="24"/>
              </w:rPr>
            </w:pPr>
            <w:r w:rsidRPr="00246D28">
              <w:rPr>
                <w:rFonts w:asciiTheme="minorHAnsi" w:eastAsia="Times New Roman" w:hAnsiTheme="minorHAnsi" w:cs="Arial"/>
                <w:strike/>
                <w:color w:val="000000" w:themeColor="text1"/>
                <w:sz w:val="24"/>
                <w:szCs w:val="24"/>
                <w:highlight w:val="yellow"/>
              </w:rPr>
              <w:t xml:space="preserve">250 </w:t>
            </w:r>
            <w:proofErr w:type="gramStart"/>
            <w:r w:rsidRPr="00246D28">
              <w:rPr>
                <w:rFonts w:asciiTheme="minorHAnsi" w:eastAsia="Times New Roman" w:hAnsiTheme="minorHAnsi" w:cs="Arial"/>
                <w:strike/>
                <w:color w:val="000000" w:themeColor="text1"/>
                <w:sz w:val="24"/>
                <w:szCs w:val="24"/>
                <w:highlight w:val="yellow"/>
              </w:rPr>
              <w:t>kW</w:t>
            </w:r>
            <w:r w:rsidR="00246D28">
              <w:rPr>
                <w:rFonts w:asciiTheme="minorHAnsi" w:eastAsia="Times New Roman" w:hAnsiTheme="minorHAnsi" w:cs="Arial"/>
                <w:strike/>
                <w:color w:val="000000" w:themeColor="text1"/>
                <w:sz w:val="24"/>
                <w:szCs w:val="24"/>
              </w:rPr>
              <w:t xml:space="preserve">  </w:t>
            </w:r>
            <w:r w:rsidR="00246D28" w:rsidRPr="00246D28">
              <w:rPr>
                <w:rFonts w:asciiTheme="minorHAnsi" w:eastAsia="Times New Roman" w:hAnsiTheme="minorHAnsi" w:cs="Arial"/>
                <w:b/>
                <w:bCs/>
                <w:color w:val="000000" w:themeColor="text1"/>
                <w:sz w:val="24"/>
                <w:szCs w:val="24"/>
              </w:rPr>
              <w:t>3</w:t>
            </w:r>
            <w:r w:rsidR="00246D28">
              <w:rPr>
                <w:rFonts w:asciiTheme="minorHAnsi" w:eastAsia="Times New Roman" w:hAnsiTheme="minorHAnsi" w:cs="Arial"/>
                <w:b/>
                <w:bCs/>
                <w:color w:val="000000" w:themeColor="text1"/>
                <w:sz w:val="24"/>
                <w:szCs w:val="24"/>
              </w:rPr>
              <w:t>0</w:t>
            </w:r>
            <w:r w:rsidR="00246D28" w:rsidRPr="00246D28">
              <w:rPr>
                <w:rFonts w:asciiTheme="minorHAnsi" w:eastAsia="Times New Roman" w:hAnsiTheme="minorHAnsi" w:cs="Arial"/>
                <w:b/>
                <w:bCs/>
                <w:color w:val="000000" w:themeColor="text1"/>
                <w:sz w:val="24"/>
                <w:szCs w:val="24"/>
              </w:rPr>
              <w:t>0</w:t>
            </w:r>
            <w:proofErr w:type="gramEnd"/>
            <w:r w:rsidR="00246D28" w:rsidRPr="00246D28">
              <w:rPr>
                <w:rFonts w:asciiTheme="minorHAnsi" w:eastAsia="Times New Roman" w:hAnsiTheme="minorHAnsi" w:cs="Arial"/>
                <w:b/>
                <w:bCs/>
                <w:color w:val="000000" w:themeColor="text1"/>
                <w:sz w:val="24"/>
                <w:szCs w:val="24"/>
              </w:rPr>
              <w:t>KW</w:t>
            </w:r>
            <w:r w:rsidR="00246D28">
              <w:rPr>
                <w:rStyle w:val="Rimandonotaapidipagina"/>
                <w:rFonts w:asciiTheme="minorHAnsi" w:eastAsia="Times New Roman" w:hAnsiTheme="minorHAnsi" w:cs="Arial"/>
                <w:b/>
                <w:bCs/>
                <w:color w:val="000000" w:themeColor="text1"/>
                <w:sz w:val="24"/>
                <w:szCs w:val="24"/>
              </w:rPr>
              <w:footnoteReference w:id="70"/>
            </w:r>
          </w:p>
        </w:tc>
      </w:tr>
    </w:tbl>
    <w:p w14:paraId="0574F84E"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666C27"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4FFE42" w14:textId="77777777" w:rsidR="00855850" w:rsidRDefault="00855850" w:rsidP="00EF5B0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D9FC7A"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ALLEGATO IV</w:t>
      </w:r>
    </w:p>
    <w:p w14:paraId="73B78745" w14:textId="77777777" w:rsidR="00855850" w:rsidRPr="00855850" w:rsidRDefault="00855850" w:rsidP="00855850">
      <w:pPr>
        <w:shd w:val="clear" w:color="auto" w:fill="FFFFFF"/>
        <w:tabs>
          <w:tab w:val="left" w:pos="993"/>
        </w:tabs>
        <w:spacing w:after="120" w:line="240" w:lineRule="auto"/>
        <w:jc w:val="right"/>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(articolo 44)</w:t>
      </w:r>
    </w:p>
    <w:p w14:paraId="62CD4FA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76E2E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 Realizzazione asse ferroviario Palermo-Catania-Messina;</w:t>
      </w:r>
    </w:p>
    <w:p w14:paraId="60EAF109"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2DC6B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  2) Potenziamento linea ferroviaria Verona – Brennero (opere di adduzione);</w:t>
      </w:r>
    </w:p>
    <w:p w14:paraId="672CB876"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AD753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  3) Realizzazione della linea ferroviaria Salerno-Reggio Calabria;</w:t>
      </w:r>
    </w:p>
    <w:p w14:paraId="4E776DF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C37207"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  4) Realizzazione della linea ferroviaria Battipaglia-Potenza-Taranto;</w:t>
      </w:r>
    </w:p>
    <w:p w14:paraId="22FA5EB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0F989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  5) Realizzazione della linea ferroviaria Roma-Pescara;</w:t>
      </w:r>
    </w:p>
    <w:p w14:paraId="435D04F0"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293343E"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  6) Potenziamento della linea ferroviaria Orte-Falconara;</w:t>
      </w:r>
    </w:p>
    <w:p w14:paraId="44480C2F"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0842D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  7) Realizzazione delle opere di derivazione della Diga di Campolattaro (Campania);</w:t>
      </w:r>
    </w:p>
    <w:p w14:paraId="26F9DF5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F907C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  8) Messa in sicurezza e ammodernamento del sistema idrico del Peschiera (Lazio);</w:t>
      </w:r>
    </w:p>
    <w:p w14:paraId="1EAB7572"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2C55355"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xml:space="preserve">  9) Interventi di potenziamento delle infrastrutture del Porto di Trieste (progetto </w:t>
      </w:r>
      <w:proofErr w:type="spellStart"/>
      <w:r w:rsidRPr="00855850">
        <w:rPr>
          <w:rFonts w:asciiTheme="minorHAnsi" w:eastAsia="Times New Roman" w:hAnsiTheme="minorHAnsi" w:cs="Times New Roman"/>
          <w:bCs/>
          <w:iCs/>
          <w:color w:val="000000" w:themeColor="text1"/>
          <w:sz w:val="24"/>
          <w:szCs w:val="24"/>
        </w:rPr>
        <w:t>Adriagateway</w:t>
      </w:r>
      <w:proofErr w:type="spellEnd"/>
      <w:r w:rsidRPr="00855850">
        <w:rPr>
          <w:rFonts w:asciiTheme="minorHAnsi" w:eastAsia="Times New Roman" w:hAnsiTheme="minorHAnsi" w:cs="Times New Roman"/>
          <w:bCs/>
          <w:iCs/>
          <w:color w:val="000000" w:themeColor="text1"/>
          <w:sz w:val="24"/>
          <w:szCs w:val="24"/>
        </w:rPr>
        <w:t>);</w:t>
      </w:r>
    </w:p>
    <w:p w14:paraId="571AB134"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0D031D" w14:textId="77777777" w:rsidR="00855850" w:rsidRPr="00855850" w:rsidRDefault="00855850" w:rsidP="00855850">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5850">
        <w:rPr>
          <w:rFonts w:asciiTheme="minorHAnsi" w:eastAsia="Times New Roman" w:hAnsiTheme="minorHAnsi" w:cs="Times New Roman"/>
          <w:bCs/>
          <w:iCs/>
          <w:color w:val="000000" w:themeColor="text1"/>
          <w:sz w:val="24"/>
          <w:szCs w:val="24"/>
        </w:rPr>
        <w:t>  10) Realizzazione della Diga foranea di Genova.</w:t>
      </w:r>
    </w:p>
    <w:sectPr w:rsidR="00855850" w:rsidRPr="00855850" w:rsidSect="00C973FC">
      <w:headerReference w:type="even" r:id="rId8"/>
      <w:headerReference w:type="default" r:id="rId9"/>
      <w:footerReference w:type="default" r:id="rId10"/>
      <w:headerReference w:type="firs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6E21" w14:textId="77777777" w:rsidR="005A2C33" w:rsidRDefault="005A2C33">
      <w:pPr>
        <w:spacing w:after="0" w:line="240" w:lineRule="auto"/>
      </w:pPr>
      <w:r>
        <w:separator/>
      </w:r>
    </w:p>
  </w:endnote>
  <w:endnote w:type="continuationSeparator" w:id="0">
    <w:p w14:paraId="1AA2FD43" w14:textId="77777777" w:rsidR="005A2C33" w:rsidRDefault="005A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DB7D" w14:textId="18FD5FD8" w:rsidR="002C7EA6" w:rsidRDefault="002C7EA6" w:rsidP="004532C6">
    <w:pPr>
      <w:pStyle w:val="Pidipagina"/>
      <w:tabs>
        <w:tab w:val="clear" w:pos="9638"/>
        <w:tab w:val="right" w:pos="10034"/>
      </w:tabs>
      <w:rPr>
        <w:rFonts w:asciiTheme="majorHAnsi" w:hAnsiTheme="majorHAnsi"/>
        <w:sz w:val="18"/>
        <w:szCs w:val="18"/>
      </w:rPr>
    </w:pPr>
  </w:p>
  <w:p w14:paraId="7A7E109D"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p>
  <w:p w14:paraId="51505ECE" w14:textId="77777777" w:rsidR="002C7EA6" w:rsidRPr="005F27F8" w:rsidRDefault="002C7EA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B864EF">
      <w:fldChar w:fldCharType="begin"/>
    </w:r>
    <w:r w:rsidR="00B864EF">
      <w:instrText>NUMPAGES  \* Arabic  \* MERGEFORMAT</w:instrText>
    </w:r>
    <w:r w:rsidR="00B864EF">
      <w:fldChar w:fldCharType="separate"/>
    </w:r>
    <w:r w:rsidRPr="004A5847">
      <w:rPr>
        <w:rFonts w:asciiTheme="majorHAnsi" w:hAnsiTheme="majorHAnsi"/>
        <w:noProof/>
        <w:color w:val="595959" w:themeColor="text1" w:themeTint="A6"/>
        <w:sz w:val="18"/>
        <w:szCs w:val="18"/>
      </w:rPr>
      <w:t>35</w:t>
    </w:r>
    <w:r w:rsidR="00B864EF">
      <w:rPr>
        <w:rFonts w:asciiTheme="majorHAnsi" w:hAnsiTheme="majorHAnsi"/>
        <w:noProof/>
        <w:color w:val="595959" w:themeColor="text1" w:themeTint="A6"/>
        <w:sz w:val="18"/>
        <w:szCs w:val="18"/>
      </w:rPr>
      <w:fldChar w:fldCharType="end"/>
    </w:r>
  </w:p>
  <w:p w14:paraId="1351E3C6" w14:textId="77777777" w:rsidR="002C7EA6" w:rsidRPr="002739D4" w:rsidRDefault="002C7EA6" w:rsidP="002739D4">
    <w:pPr>
      <w:pStyle w:val="Pidipagina"/>
      <w:spacing w:line="360"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01680"/>
      <w:docPartObj>
        <w:docPartGallery w:val="Page Numbers (Bottom of Page)"/>
        <w:docPartUnique/>
      </w:docPartObj>
    </w:sdtPr>
    <w:sdtContent>
      <w:p w14:paraId="3B185F8F" w14:textId="53712D6A" w:rsidR="00B864EF" w:rsidRDefault="00B864EF">
        <w:pPr>
          <w:pStyle w:val="Pidipagina"/>
          <w:jc w:val="center"/>
        </w:pPr>
        <w:r>
          <w:fldChar w:fldCharType="begin"/>
        </w:r>
        <w:r>
          <w:instrText>PAGE   \* MERGEFORMAT</w:instrText>
        </w:r>
        <w:r>
          <w:fldChar w:fldCharType="separate"/>
        </w:r>
        <w:r>
          <w:t>2</w:t>
        </w:r>
        <w:r>
          <w:fldChar w:fldCharType="end"/>
        </w:r>
      </w:p>
    </w:sdtContent>
  </w:sdt>
  <w:p w14:paraId="616DECCD" w14:textId="77777777" w:rsidR="002C7EA6" w:rsidRPr="002739D4" w:rsidRDefault="002C7EA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7CB1" w14:textId="77777777" w:rsidR="005A2C33" w:rsidRDefault="005A2C33">
      <w:pPr>
        <w:spacing w:after="0" w:line="240" w:lineRule="auto"/>
      </w:pPr>
      <w:r>
        <w:separator/>
      </w:r>
    </w:p>
  </w:footnote>
  <w:footnote w:type="continuationSeparator" w:id="0">
    <w:p w14:paraId="41C52622" w14:textId="77777777" w:rsidR="005A2C33" w:rsidRDefault="005A2C33">
      <w:pPr>
        <w:spacing w:after="0" w:line="240" w:lineRule="auto"/>
      </w:pPr>
      <w:r>
        <w:continuationSeparator/>
      </w:r>
    </w:p>
  </w:footnote>
  <w:footnote w:id="1">
    <w:p w14:paraId="12794E20" w14:textId="77777777" w:rsidR="008E13AB" w:rsidRPr="00FF4353" w:rsidRDefault="008E13AB" w:rsidP="008E13AB">
      <w:pPr>
        <w:jc w:val="both"/>
        <w:rPr>
          <w:rFonts w:asciiTheme="minorHAnsi" w:hAnsiTheme="minorHAnsi"/>
          <w:color w:val="000000" w:themeColor="text1"/>
        </w:rPr>
      </w:pPr>
      <w:r>
        <w:rPr>
          <w:rStyle w:val="Rimandonotaapidipagina"/>
        </w:rPr>
        <w:footnoteRef/>
      </w:r>
      <w:r>
        <w:t xml:space="preserve"> </w:t>
      </w:r>
      <w:r w:rsidRPr="00FF4353">
        <w:rPr>
          <w:rFonts w:asciiTheme="minorHAnsi" w:hAnsiTheme="minorHAnsi"/>
          <w:color w:val="000000" w:themeColor="text1"/>
        </w:rPr>
        <w:t>Dis.1.1. (Nuova formulazione) Ceccanti.</w:t>
      </w:r>
    </w:p>
    <w:p w14:paraId="52B6DD31" w14:textId="77777777" w:rsidR="008E13AB" w:rsidRDefault="008E13AB">
      <w:pPr>
        <w:pStyle w:val="Testonotaapidipagina"/>
      </w:pPr>
    </w:p>
  </w:footnote>
  <w:footnote w:id="2">
    <w:p w14:paraId="4C508A26"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 xml:space="preserve">2.24. (Nuova formulazione) </w:t>
      </w:r>
      <w:proofErr w:type="spellStart"/>
      <w:r w:rsidRPr="00141F00">
        <w:rPr>
          <w:rFonts w:asciiTheme="minorHAnsi" w:hAnsiTheme="minorHAnsi"/>
          <w:color w:val="000000" w:themeColor="text1"/>
        </w:rPr>
        <w:t>Badole</w:t>
      </w:r>
      <w:proofErr w:type="spellEnd"/>
      <w:r w:rsidRPr="00141F00">
        <w:rPr>
          <w:rFonts w:asciiTheme="minorHAnsi" w:hAnsiTheme="minorHAnsi"/>
          <w:color w:val="000000" w:themeColor="text1"/>
        </w:rPr>
        <w:t xml:space="preserve">, Benvenuto, D'Eramo, Dara, Eva Lorenzoni, Lucchini, </w:t>
      </w:r>
      <w:proofErr w:type="spellStart"/>
      <w:r w:rsidRPr="00141F00">
        <w:rPr>
          <w:rFonts w:asciiTheme="minorHAnsi" w:hAnsiTheme="minorHAnsi"/>
          <w:color w:val="000000" w:themeColor="text1"/>
        </w:rPr>
        <w:t>Patassini</w:t>
      </w:r>
      <w:proofErr w:type="spellEnd"/>
      <w:r w:rsidRPr="00141F00">
        <w:rPr>
          <w:rFonts w:asciiTheme="minorHAnsi" w:hAnsiTheme="minorHAnsi"/>
          <w:color w:val="000000" w:themeColor="text1"/>
        </w:rPr>
        <w:t xml:space="preserve">, Raffaelli, Valbusa, </w:t>
      </w:r>
      <w:proofErr w:type="spellStart"/>
      <w:r w:rsidRPr="00141F00">
        <w:rPr>
          <w:rFonts w:asciiTheme="minorHAnsi" w:hAnsiTheme="minorHAnsi"/>
          <w:color w:val="000000" w:themeColor="text1"/>
        </w:rPr>
        <w:t>Vallotto</w:t>
      </w:r>
      <w:proofErr w:type="spellEnd"/>
      <w:r w:rsidRPr="00141F00">
        <w:rPr>
          <w:color w:val="000000" w:themeColor="text1"/>
        </w:rPr>
        <w:t xml:space="preserve">; </w:t>
      </w:r>
      <w:r w:rsidRPr="00141F00">
        <w:rPr>
          <w:rFonts w:asciiTheme="minorHAnsi" w:hAnsiTheme="minorHAnsi"/>
          <w:color w:val="000000" w:themeColor="text1"/>
        </w:rPr>
        <w:t xml:space="preserve">2.44. (Nuova formulazione) </w:t>
      </w:r>
      <w:proofErr w:type="spellStart"/>
      <w:r w:rsidRPr="00141F00">
        <w:rPr>
          <w:rFonts w:asciiTheme="minorHAnsi" w:hAnsiTheme="minorHAnsi"/>
          <w:color w:val="000000" w:themeColor="text1"/>
        </w:rPr>
        <w:t>Milanato</w:t>
      </w:r>
      <w:proofErr w:type="spellEnd"/>
      <w:r w:rsidRPr="00141F00">
        <w:rPr>
          <w:rFonts w:asciiTheme="minorHAnsi" w:hAnsiTheme="minorHAnsi"/>
          <w:color w:val="000000" w:themeColor="text1"/>
        </w:rPr>
        <w:t>.</w:t>
      </w:r>
    </w:p>
    <w:p w14:paraId="48D0BC7B" w14:textId="77777777" w:rsidR="003C2650" w:rsidRDefault="003C2650">
      <w:pPr>
        <w:pStyle w:val="Testonotaapidipagina"/>
      </w:pPr>
    </w:p>
  </w:footnote>
  <w:footnote w:id="3">
    <w:p w14:paraId="0ADB8B03" w14:textId="77777777" w:rsidR="003C2650" w:rsidRPr="00141F00" w:rsidRDefault="003C2650" w:rsidP="003C2650">
      <w:pPr>
        <w:jc w:val="both"/>
        <w:rPr>
          <w:rFonts w:asciiTheme="minorHAnsi" w:hAnsiTheme="minorHAnsi"/>
          <w:color w:val="000000" w:themeColor="text1"/>
        </w:rPr>
      </w:pPr>
      <w:r>
        <w:rPr>
          <w:rStyle w:val="Rimandonotaapidipagina"/>
        </w:rPr>
        <w:footnoteRef/>
      </w:r>
      <w:r>
        <w:t xml:space="preserve"> </w:t>
      </w:r>
      <w:r w:rsidRPr="00141F00">
        <w:rPr>
          <w:rFonts w:asciiTheme="minorHAnsi" w:hAnsiTheme="minorHAnsi"/>
          <w:color w:val="000000" w:themeColor="text1"/>
        </w:rPr>
        <w:t>2.52. Paolo Russo, Ceccanti, Corneli, Dori.</w:t>
      </w:r>
    </w:p>
    <w:p w14:paraId="23709AC7" w14:textId="77777777" w:rsidR="003C2650" w:rsidRDefault="003C2650">
      <w:pPr>
        <w:pStyle w:val="Testonotaapidipagina"/>
      </w:pPr>
    </w:p>
  </w:footnote>
  <w:footnote w:id="4">
    <w:p w14:paraId="31EE8FF9" w14:textId="77777777" w:rsidR="00577838" w:rsidRPr="00294063" w:rsidRDefault="00577838" w:rsidP="00577838">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2.37. Galizia.</w:t>
      </w:r>
    </w:p>
    <w:p w14:paraId="28160878" w14:textId="77777777" w:rsidR="00577838" w:rsidRDefault="00577838">
      <w:pPr>
        <w:pStyle w:val="Testonotaapidipagina"/>
      </w:pPr>
    </w:p>
  </w:footnote>
  <w:footnote w:id="5">
    <w:p w14:paraId="704FA23B"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2.4. Marco Di Maio, </w:t>
      </w:r>
      <w:proofErr w:type="spellStart"/>
      <w:r w:rsidRPr="00294063">
        <w:rPr>
          <w:rFonts w:asciiTheme="minorHAnsi" w:hAnsiTheme="minorHAnsi"/>
          <w:color w:val="000000" w:themeColor="text1"/>
        </w:rPr>
        <w:t>Fregolent</w:t>
      </w:r>
      <w:proofErr w:type="spellEnd"/>
      <w:r w:rsidRPr="00294063">
        <w:rPr>
          <w:color w:val="000000" w:themeColor="text1"/>
        </w:rPr>
        <w:t xml:space="preserve">; </w:t>
      </w:r>
      <w:r w:rsidRPr="00294063">
        <w:rPr>
          <w:rFonts w:asciiTheme="minorHAnsi" w:hAnsiTheme="minorHAnsi"/>
          <w:color w:val="000000" w:themeColor="text1"/>
        </w:rPr>
        <w:t>2.5. Foti, Prisco, Butti, Donzelli, Rachele Silvestri</w:t>
      </w:r>
      <w:r w:rsidRPr="00294063">
        <w:rPr>
          <w:color w:val="000000" w:themeColor="text1"/>
        </w:rPr>
        <w:t xml:space="preserve">; </w:t>
      </w:r>
      <w:r w:rsidRPr="00294063">
        <w:rPr>
          <w:rFonts w:asciiTheme="minorHAnsi" w:hAnsiTheme="minorHAnsi"/>
          <w:color w:val="000000" w:themeColor="text1"/>
        </w:rPr>
        <w:t>2.36. Lupi</w:t>
      </w:r>
      <w:r w:rsidRPr="00294063">
        <w:rPr>
          <w:color w:val="000000" w:themeColor="text1"/>
        </w:rPr>
        <w:t xml:space="preserve">; </w:t>
      </w:r>
      <w:r w:rsidRPr="00294063">
        <w:rPr>
          <w:rFonts w:asciiTheme="minorHAnsi" w:hAnsiTheme="minorHAnsi"/>
          <w:color w:val="000000" w:themeColor="text1"/>
        </w:rPr>
        <w:t xml:space="preserve">2.46. Cortelazzo, Squeri, Mazzetti, Labriola, Ferraioli, Casino, Paolo Russo, </w:t>
      </w:r>
      <w:proofErr w:type="spellStart"/>
      <w:r w:rsidRPr="00294063">
        <w:rPr>
          <w:rFonts w:asciiTheme="minorHAnsi" w:hAnsiTheme="minorHAnsi"/>
          <w:color w:val="000000" w:themeColor="text1"/>
        </w:rPr>
        <w:t>Milanato</w:t>
      </w:r>
      <w:proofErr w:type="spellEnd"/>
      <w:r w:rsidRPr="00294063">
        <w:rPr>
          <w:rFonts w:asciiTheme="minorHAnsi" w:hAnsiTheme="minorHAnsi"/>
          <w:color w:val="000000" w:themeColor="text1"/>
        </w:rPr>
        <w:t>, Sarro, Tartaglione.</w:t>
      </w:r>
    </w:p>
    <w:p w14:paraId="3A0FABF1" w14:textId="77777777" w:rsidR="00422F9D" w:rsidRDefault="00422F9D">
      <w:pPr>
        <w:pStyle w:val="Testonotaapidipagina"/>
      </w:pPr>
    </w:p>
  </w:footnote>
  <w:footnote w:id="6">
    <w:p w14:paraId="064415CB" w14:textId="77777777" w:rsidR="00422F9D" w:rsidRPr="00294063" w:rsidRDefault="00422F9D" w:rsidP="00422F9D">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 xml:space="preserve">2.1. (Nuova formulazione) De </w:t>
      </w:r>
      <w:proofErr w:type="spellStart"/>
      <w:r w:rsidRPr="00294063">
        <w:rPr>
          <w:rFonts w:asciiTheme="minorHAnsi" w:hAnsiTheme="minorHAnsi"/>
          <w:color w:val="000000" w:themeColor="text1"/>
        </w:rPr>
        <w:t>Menech</w:t>
      </w:r>
      <w:proofErr w:type="spellEnd"/>
      <w:r w:rsidRPr="00294063">
        <w:rPr>
          <w:rFonts w:asciiTheme="minorHAnsi" w:hAnsiTheme="minorHAnsi"/>
          <w:color w:val="000000" w:themeColor="text1"/>
        </w:rPr>
        <w:t>, Cenni</w:t>
      </w:r>
      <w:r w:rsidRPr="00294063">
        <w:rPr>
          <w:color w:val="000000" w:themeColor="text1"/>
        </w:rPr>
        <w:t xml:space="preserve">; </w:t>
      </w:r>
      <w:r w:rsidRPr="00294063">
        <w:rPr>
          <w:rFonts w:asciiTheme="minorHAnsi" w:hAnsiTheme="minorHAnsi"/>
          <w:color w:val="000000" w:themeColor="text1"/>
        </w:rPr>
        <w:t>2.9. (Nuova formulazione) Ruffino</w:t>
      </w:r>
      <w:r w:rsidRPr="00294063">
        <w:rPr>
          <w:color w:val="000000" w:themeColor="text1"/>
        </w:rPr>
        <w:t xml:space="preserve">; </w:t>
      </w:r>
      <w:r w:rsidRPr="00294063">
        <w:rPr>
          <w:rFonts w:asciiTheme="minorHAnsi" w:hAnsiTheme="minorHAnsi"/>
          <w:color w:val="000000" w:themeColor="text1"/>
        </w:rPr>
        <w:t>2.19. (Nuova formulazione) Gagliardi</w:t>
      </w:r>
      <w:r w:rsidRPr="00294063">
        <w:rPr>
          <w:color w:val="000000" w:themeColor="text1"/>
        </w:rPr>
        <w:t xml:space="preserve">; </w:t>
      </w:r>
      <w:r w:rsidRPr="00294063">
        <w:rPr>
          <w:rFonts w:asciiTheme="minorHAnsi" w:hAnsiTheme="minorHAnsi"/>
          <w:color w:val="000000" w:themeColor="text1"/>
        </w:rPr>
        <w:t>2.21. (Nuova formulazione) Bordonali, Di Muro, Fogliani, Invernizzi, Ravetto, Stefani, Tonelli, Ziello, Iezzi</w:t>
      </w:r>
      <w:r w:rsidRPr="00294063">
        <w:rPr>
          <w:color w:val="000000" w:themeColor="text1"/>
        </w:rPr>
        <w:t xml:space="preserve">; </w:t>
      </w:r>
      <w:r w:rsidRPr="00294063">
        <w:rPr>
          <w:rFonts w:asciiTheme="minorHAnsi" w:hAnsiTheme="minorHAnsi"/>
          <w:color w:val="000000" w:themeColor="text1"/>
        </w:rPr>
        <w:t>2.41. (Nuova formulazione) Paolo Russo, Sarro, Cortelazzo, Mazzetti, Tartaglione</w:t>
      </w:r>
      <w:r w:rsidRPr="00294063">
        <w:rPr>
          <w:color w:val="000000" w:themeColor="text1"/>
        </w:rPr>
        <w:t xml:space="preserve">; </w:t>
      </w:r>
      <w:r w:rsidRPr="00294063">
        <w:rPr>
          <w:rFonts w:asciiTheme="minorHAnsi" w:hAnsiTheme="minorHAnsi"/>
          <w:color w:val="000000" w:themeColor="text1"/>
        </w:rPr>
        <w:t xml:space="preserve">2.48. (Nuova formulazione) Pella, </w:t>
      </w:r>
      <w:proofErr w:type="spellStart"/>
      <w:r w:rsidRPr="00294063">
        <w:rPr>
          <w:rFonts w:asciiTheme="minorHAnsi" w:hAnsiTheme="minorHAnsi"/>
          <w:color w:val="000000" w:themeColor="text1"/>
        </w:rPr>
        <w:t>Milanato</w:t>
      </w:r>
      <w:proofErr w:type="spellEnd"/>
      <w:r w:rsidRPr="00294063">
        <w:rPr>
          <w:rFonts w:asciiTheme="minorHAnsi" w:hAnsiTheme="minorHAnsi"/>
          <w:color w:val="000000" w:themeColor="text1"/>
        </w:rPr>
        <w:t>, Cortelazzo</w:t>
      </w:r>
      <w:r w:rsidRPr="00294063">
        <w:rPr>
          <w:color w:val="000000" w:themeColor="text1"/>
        </w:rPr>
        <w:t xml:space="preserve">; </w:t>
      </w:r>
      <w:r w:rsidRPr="00294063">
        <w:rPr>
          <w:rFonts w:asciiTheme="minorHAnsi" w:hAnsiTheme="minorHAnsi"/>
          <w:color w:val="000000" w:themeColor="text1"/>
        </w:rPr>
        <w:t>2.29. (Nuova formulazione) Elisa Tripodi.</w:t>
      </w:r>
    </w:p>
    <w:p w14:paraId="7D04CD08" w14:textId="77777777" w:rsidR="00422F9D" w:rsidRDefault="00422F9D">
      <w:pPr>
        <w:pStyle w:val="Testonotaapidipagina"/>
      </w:pPr>
    </w:p>
  </w:footnote>
  <w:footnote w:id="7">
    <w:p w14:paraId="181AF7E2" w14:textId="562637A2" w:rsidR="003012C8" w:rsidRDefault="003012C8" w:rsidP="003012C8">
      <w:pPr>
        <w:shd w:val="clear" w:color="auto" w:fill="FFFFFF"/>
        <w:tabs>
          <w:tab w:val="left" w:pos="993"/>
        </w:tabs>
        <w:spacing w:after="120" w:line="240" w:lineRule="auto"/>
        <w:jc w:val="both"/>
      </w:pPr>
      <w:r>
        <w:rPr>
          <w:rStyle w:val="Rimandonotaapidipagina"/>
        </w:rPr>
        <w:footnoteRef/>
      </w:r>
      <w:r>
        <w:t xml:space="preserve"> </w:t>
      </w:r>
      <w:r w:rsidRPr="003012C8">
        <w:rPr>
          <w:rFonts w:asciiTheme="minorHAnsi" w:eastAsia="Times New Roman" w:hAnsiTheme="minorHAnsi" w:cs="Times New Roman"/>
          <w:bCs/>
          <w:iCs/>
          <w:color w:val="000000" w:themeColor="text1"/>
        </w:rPr>
        <w:t xml:space="preserve">*2.18. Rachele Silvestri, Foti, Prisco, Butti, Donzelli; *2.25. </w:t>
      </w:r>
      <w:proofErr w:type="spellStart"/>
      <w:r w:rsidRPr="003012C8">
        <w:rPr>
          <w:rFonts w:asciiTheme="minorHAnsi" w:eastAsia="Times New Roman" w:hAnsiTheme="minorHAnsi" w:cs="Times New Roman"/>
          <w:bCs/>
          <w:iCs/>
          <w:color w:val="000000" w:themeColor="text1"/>
        </w:rPr>
        <w:t>Gebhard</w:t>
      </w:r>
      <w:proofErr w:type="spellEnd"/>
      <w:r w:rsidRPr="003012C8">
        <w:rPr>
          <w:rFonts w:asciiTheme="minorHAnsi" w:eastAsia="Times New Roman" w:hAnsiTheme="minorHAnsi" w:cs="Times New Roman"/>
          <w:bCs/>
          <w:iCs/>
          <w:color w:val="000000" w:themeColor="text1"/>
        </w:rPr>
        <w:t xml:space="preserve">, </w:t>
      </w:r>
      <w:proofErr w:type="spellStart"/>
      <w:r w:rsidRPr="003012C8">
        <w:rPr>
          <w:rFonts w:asciiTheme="minorHAnsi" w:eastAsia="Times New Roman" w:hAnsiTheme="minorHAnsi" w:cs="Times New Roman"/>
          <w:bCs/>
          <w:iCs/>
          <w:color w:val="000000" w:themeColor="text1"/>
        </w:rPr>
        <w:t>Plangger</w:t>
      </w:r>
      <w:proofErr w:type="spellEnd"/>
      <w:r w:rsidRPr="003012C8">
        <w:rPr>
          <w:rFonts w:asciiTheme="minorHAnsi" w:eastAsia="Times New Roman" w:hAnsiTheme="minorHAnsi" w:cs="Times New Roman"/>
          <w:bCs/>
          <w:iCs/>
          <w:color w:val="000000" w:themeColor="text1"/>
        </w:rPr>
        <w:t xml:space="preserve">, </w:t>
      </w:r>
      <w:proofErr w:type="spellStart"/>
      <w:r w:rsidRPr="003012C8">
        <w:rPr>
          <w:rFonts w:asciiTheme="minorHAnsi" w:eastAsia="Times New Roman" w:hAnsiTheme="minorHAnsi" w:cs="Times New Roman"/>
          <w:bCs/>
          <w:iCs/>
          <w:color w:val="000000" w:themeColor="text1"/>
        </w:rPr>
        <w:t>Schullian</w:t>
      </w:r>
      <w:proofErr w:type="spellEnd"/>
      <w:r w:rsidRPr="003012C8">
        <w:rPr>
          <w:rFonts w:asciiTheme="minorHAnsi" w:eastAsia="Times New Roman" w:hAnsiTheme="minorHAnsi" w:cs="Times New Roman"/>
          <w:bCs/>
          <w:iCs/>
          <w:color w:val="000000" w:themeColor="text1"/>
        </w:rPr>
        <w:t xml:space="preserve">, Emanuela Rossini; *2.35. Timbro, </w:t>
      </w:r>
      <w:proofErr w:type="spellStart"/>
      <w:r w:rsidRPr="003012C8">
        <w:rPr>
          <w:rFonts w:asciiTheme="minorHAnsi" w:eastAsia="Times New Roman" w:hAnsiTheme="minorHAnsi" w:cs="Times New Roman"/>
          <w:bCs/>
          <w:iCs/>
          <w:color w:val="000000" w:themeColor="text1"/>
        </w:rPr>
        <w:t>Fornaro.ntano</w:t>
      </w:r>
      <w:proofErr w:type="spellEnd"/>
      <w:r w:rsidRPr="003012C8">
        <w:rPr>
          <w:rFonts w:asciiTheme="minorHAnsi" w:eastAsia="Times New Roman" w:hAnsiTheme="minorHAnsi" w:cs="Times New Roman"/>
          <w:bCs/>
          <w:iCs/>
          <w:color w:val="000000" w:themeColor="text1"/>
        </w:rPr>
        <w:t xml:space="preserve"> uno specifico interesse, ai predetti Comitati partecipa anche il Presidente della Conferenza delle regioni e delle province autonome.</w:t>
      </w:r>
    </w:p>
  </w:footnote>
  <w:footnote w:id="8">
    <w:p w14:paraId="0B40635F" w14:textId="0477712F" w:rsidR="003012C8" w:rsidRDefault="003012C8" w:rsidP="003012C8">
      <w:r>
        <w:rPr>
          <w:rStyle w:val="Rimandonotaapidipagina"/>
        </w:rPr>
        <w:footnoteRef/>
      </w:r>
      <w:r>
        <w:t xml:space="preserve"> </w:t>
      </w:r>
      <w:r w:rsidRPr="003012C8">
        <w:rPr>
          <w:color w:val="000000" w:themeColor="text1"/>
        </w:rPr>
        <w:t>2.53. (Nuova formulazione) Paolo Russo, Ceccanti, Corneli, Dori, Pezzopane, Iezzi, Labriola, D'Ettore.</w:t>
      </w:r>
    </w:p>
  </w:footnote>
  <w:footnote w:id="9">
    <w:p w14:paraId="5B54F8A5" w14:textId="77777777" w:rsidR="00480879" w:rsidRPr="00316160" w:rsidRDefault="00480879" w:rsidP="00480879">
      <w:pPr>
        <w:jc w:val="both"/>
        <w:rPr>
          <w:color w:val="000000" w:themeColor="text1"/>
        </w:rPr>
      </w:pPr>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p w14:paraId="44329BC5" w14:textId="65D3BEF6" w:rsidR="00480879" w:rsidRDefault="00480879">
      <w:pPr>
        <w:pStyle w:val="Testonotaapidipagina"/>
      </w:pPr>
    </w:p>
  </w:footnote>
  <w:footnote w:id="10">
    <w:p w14:paraId="28B29D8E" w14:textId="357221B8" w:rsidR="00480879" w:rsidRDefault="00480879" w:rsidP="00480879">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footnote>
  <w:footnote w:id="11">
    <w:p w14:paraId="7702B11B" w14:textId="13666C37" w:rsidR="00480879" w:rsidRDefault="00480879" w:rsidP="00480879">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footnote>
  <w:footnote w:id="12">
    <w:p w14:paraId="4583E1F7" w14:textId="376FAF5F" w:rsidR="00480879" w:rsidRDefault="00480879" w:rsidP="00480879">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footnote>
  <w:footnote w:id="13">
    <w:p w14:paraId="64FEFD0C" w14:textId="2B8B9BB1" w:rsidR="00480879" w:rsidRDefault="00480879">
      <w:pPr>
        <w:pStyle w:val="Testonotaapidipagina"/>
      </w:pPr>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footnote>
  <w:footnote w:id="14">
    <w:p w14:paraId="3C3AA644" w14:textId="77777777" w:rsidR="00F7321E" w:rsidRPr="00294063" w:rsidRDefault="00F7321E" w:rsidP="00F7321E">
      <w:pPr>
        <w:jc w:val="both"/>
        <w:rPr>
          <w:rFonts w:asciiTheme="minorHAnsi" w:hAnsiTheme="minorHAnsi"/>
          <w:color w:val="000000" w:themeColor="text1"/>
        </w:rPr>
      </w:pPr>
      <w:r>
        <w:rPr>
          <w:rStyle w:val="Rimandonotaapidipagina"/>
        </w:rPr>
        <w:footnoteRef/>
      </w:r>
      <w:r>
        <w:t xml:space="preserve"> </w:t>
      </w:r>
      <w:r w:rsidRPr="00294063">
        <w:rPr>
          <w:rFonts w:asciiTheme="minorHAnsi" w:hAnsiTheme="minorHAnsi"/>
          <w:color w:val="000000" w:themeColor="text1"/>
        </w:rPr>
        <w:t>7.14. Alaimo.</w:t>
      </w:r>
    </w:p>
    <w:p w14:paraId="31094A02" w14:textId="77777777" w:rsidR="00F7321E" w:rsidRDefault="00F7321E">
      <w:pPr>
        <w:pStyle w:val="Testonotaapidipagina"/>
      </w:pPr>
    </w:p>
  </w:footnote>
  <w:footnote w:id="15">
    <w:p w14:paraId="4C68F742" w14:textId="77777777" w:rsidR="00FC334C" w:rsidRPr="00177953" w:rsidRDefault="00FC334C" w:rsidP="00FC334C">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 xml:space="preserve">7.6. Pellicani, Braga, Pezzopane, Buratti, </w:t>
      </w:r>
      <w:proofErr w:type="spellStart"/>
      <w:r w:rsidRPr="00177953">
        <w:rPr>
          <w:rFonts w:asciiTheme="minorHAnsi" w:hAnsiTheme="minorHAnsi"/>
          <w:color w:val="000000" w:themeColor="text1"/>
        </w:rPr>
        <w:t>Morgoni</w:t>
      </w:r>
      <w:proofErr w:type="spellEnd"/>
      <w:r w:rsidRPr="00177953">
        <w:rPr>
          <w:rFonts w:asciiTheme="minorHAnsi" w:hAnsiTheme="minorHAnsi"/>
          <w:color w:val="000000" w:themeColor="text1"/>
        </w:rPr>
        <w:t>, Rotta</w:t>
      </w:r>
      <w:r>
        <w:rPr>
          <w:color w:val="000000" w:themeColor="text1"/>
        </w:rPr>
        <w:t xml:space="preserve">; </w:t>
      </w:r>
      <w:r w:rsidRPr="00177953">
        <w:rPr>
          <w:rFonts w:asciiTheme="minorHAnsi" w:hAnsiTheme="minorHAnsi"/>
          <w:color w:val="000000" w:themeColor="text1"/>
        </w:rPr>
        <w:t xml:space="preserve">7.16. Baldino, Alaimo, Azzolina, Brescia, Maurizio </w:t>
      </w:r>
      <w:proofErr w:type="spellStart"/>
      <w:r w:rsidRPr="00177953">
        <w:rPr>
          <w:rFonts w:asciiTheme="minorHAnsi" w:hAnsiTheme="minorHAnsi"/>
          <w:color w:val="000000" w:themeColor="text1"/>
        </w:rPr>
        <w:t>Cattoi</w:t>
      </w:r>
      <w:proofErr w:type="spellEnd"/>
      <w:r w:rsidRPr="00177953">
        <w:rPr>
          <w:rFonts w:asciiTheme="minorHAnsi" w:hAnsiTheme="minorHAnsi"/>
          <w:color w:val="000000" w:themeColor="text1"/>
        </w:rPr>
        <w:t>, Corneli, De Carlo, Dieni, Giordano, Francesco Silvestri, Elisa Tripodi, Ferraresi.</w:t>
      </w:r>
    </w:p>
    <w:p w14:paraId="71E27238" w14:textId="77777777" w:rsidR="00FC334C" w:rsidRDefault="00FC334C">
      <w:pPr>
        <w:pStyle w:val="Testonotaapidipagina"/>
      </w:pPr>
    </w:p>
  </w:footnote>
  <w:footnote w:id="16">
    <w:p w14:paraId="0E972B6A" w14:textId="7EFAF78C" w:rsidR="00480879" w:rsidRDefault="00480879" w:rsidP="00480879">
      <w:r>
        <w:rPr>
          <w:rStyle w:val="Rimandonotaapidipagina"/>
        </w:rPr>
        <w:footnoteRef/>
      </w:r>
      <w:r>
        <w:t xml:space="preserve"> </w:t>
      </w:r>
      <w:r w:rsidRPr="00316160">
        <w:rPr>
          <w:color w:val="000000" w:themeColor="text1"/>
        </w:rPr>
        <w:t xml:space="preserve">*7.12. (Nuova formulazione) </w:t>
      </w:r>
      <w:proofErr w:type="spellStart"/>
      <w:r w:rsidRPr="00316160">
        <w:rPr>
          <w:color w:val="000000" w:themeColor="text1"/>
        </w:rPr>
        <w:t>Badole</w:t>
      </w:r>
      <w:proofErr w:type="spellEnd"/>
      <w:r w:rsidRPr="00316160">
        <w:rPr>
          <w:color w:val="000000" w:themeColor="text1"/>
        </w:rPr>
        <w:t xml:space="preserve">, Benvenuto, D'Eramo, Dara, Eva Lorenzoni, Lucchini, </w:t>
      </w:r>
      <w:proofErr w:type="spellStart"/>
      <w:r w:rsidRPr="00316160">
        <w:rPr>
          <w:color w:val="000000" w:themeColor="text1"/>
        </w:rPr>
        <w:t>Patassini</w:t>
      </w:r>
      <w:proofErr w:type="spellEnd"/>
      <w:r w:rsidRPr="00316160">
        <w:rPr>
          <w:color w:val="000000" w:themeColor="text1"/>
        </w:rPr>
        <w:t xml:space="preserve">, Raffaelli, Valbusa, </w:t>
      </w:r>
      <w:proofErr w:type="spellStart"/>
      <w:r w:rsidRPr="00316160">
        <w:rPr>
          <w:color w:val="000000" w:themeColor="text1"/>
        </w:rPr>
        <w:t>Vallotto</w:t>
      </w:r>
      <w:proofErr w:type="spellEnd"/>
      <w:r w:rsidRPr="00316160">
        <w:rPr>
          <w:color w:val="000000" w:themeColor="text1"/>
        </w:rPr>
        <w:t xml:space="preserve">; *7.18. (Nuova formulazione) </w:t>
      </w:r>
      <w:proofErr w:type="spellStart"/>
      <w:r w:rsidRPr="00316160">
        <w:rPr>
          <w:color w:val="000000" w:themeColor="text1"/>
        </w:rPr>
        <w:t>Milanato</w:t>
      </w:r>
      <w:proofErr w:type="spellEnd"/>
      <w:r w:rsidRPr="00316160">
        <w:rPr>
          <w:color w:val="000000" w:themeColor="text1"/>
        </w:rPr>
        <w:t>.</w:t>
      </w:r>
    </w:p>
  </w:footnote>
  <w:footnote w:id="17">
    <w:p w14:paraId="42A01FF4" w14:textId="77777777" w:rsidR="00480879" w:rsidRPr="00316160" w:rsidRDefault="00480879" w:rsidP="00480879">
      <w:pPr>
        <w:jc w:val="both"/>
        <w:rPr>
          <w:color w:val="000000" w:themeColor="text1"/>
        </w:rPr>
      </w:pPr>
      <w:r>
        <w:rPr>
          <w:rStyle w:val="Rimandonotaapidipagina"/>
        </w:rPr>
        <w:footnoteRef/>
      </w:r>
      <w:r>
        <w:t xml:space="preserve"> </w:t>
      </w:r>
      <w:r w:rsidRPr="00316160">
        <w:rPr>
          <w:color w:val="000000" w:themeColor="text1"/>
        </w:rPr>
        <w:t xml:space="preserve">*8.1. (Nuova formulazione) Bordonali, Comaroli, Vanessa </w:t>
      </w:r>
      <w:proofErr w:type="spellStart"/>
      <w:r w:rsidRPr="00316160">
        <w:rPr>
          <w:color w:val="000000" w:themeColor="text1"/>
        </w:rPr>
        <w:t>Cattoi</w:t>
      </w:r>
      <w:proofErr w:type="spellEnd"/>
      <w:r w:rsidRPr="00316160">
        <w:rPr>
          <w:color w:val="000000" w:themeColor="text1"/>
        </w:rPr>
        <w:t xml:space="preserve">, Frassini; *8.6. (Nuova formulazione) </w:t>
      </w:r>
      <w:proofErr w:type="spellStart"/>
      <w:r w:rsidRPr="00316160">
        <w:rPr>
          <w:color w:val="000000" w:themeColor="text1"/>
        </w:rPr>
        <w:t>Lacarra</w:t>
      </w:r>
      <w:proofErr w:type="spellEnd"/>
      <w:r w:rsidRPr="00316160">
        <w:rPr>
          <w:color w:val="000000" w:themeColor="text1"/>
        </w:rPr>
        <w:t>; *8.7. (Nuova formulazione) Gagliardi.</w:t>
      </w:r>
    </w:p>
    <w:p w14:paraId="13F6A6F7" w14:textId="77777777" w:rsidR="00480879" w:rsidRPr="00316160" w:rsidRDefault="00480879" w:rsidP="00480879">
      <w:pPr>
        <w:jc w:val="both"/>
        <w:rPr>
          <w:color w:val="000000" w:themeColor="text1"/>
        </w:rPr>
      </w:pPr>
      <w:r w:rsidRPr="00316160">
        <w:rPr>
          <w:color w:val="000000" w:themeColor="text1"/>
        </w:rPr>
        <w:t xml:space="preserve">*8.13. (Nuova formulazione) Cortelazzo, Tartaglione, Labriola; </w:t>
      </w:r>
    </w:p>
    <w:p w14:paraId="6C68ED07" w14:textId="7870049B" w:rsidR="00480879" w:rsidRDefault="00480879">
      <w:pPr>
        <w:pStyle w:val="Testonotaapidipagina"/>
      </w:pPr>
    </w:p>
  </w:footnote>
  <w:footnote w:id="18">
    <w:p w14:paraId="6D891035" w14:textId="5B71EA82" w:rsidR="00BC0C96" w:rsidRDefault="00BC0C96" w:rsidP="00BC0C96">
      <w:r>
        <w:rPr>
          <w:rStyle w:val="Rimandonotaapidipagina"/>
        </w:rPr>
        <w:footnoteRef/>
      </w:r>
      <w:r>
        <w:t xml:space="preserve"> </w:t>
      </w:r>
      <w:r w:rsidRPr="0044542C">
        <w:rPr>
          <w:color w:val="000000" w:themeColor="text1"/>
        </w:rPr>
        <w:t>8.14. (Nuova formulazione) Brescia, Ceccanti.</w:t>
      </w:r>
    </w:p>
  </w:footnote>
  <w:footnote w:id="19">
    <w:p w14:paraId="1744C6FB" w14:textId="77777777" w:rsidR="00725940" w:rsidRPr="00177953" w:rsidRDefault="00725940" w:rsidP="00725940">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10.13. (Nuova formulazione) Braga.</w:t>
      </w:r>
    </w:p>
    <w:p w14:paraId="44924FBE" w14:textId="77777777" w:rsidR="00725940" w:rsidRDefault="00725940">
      <w:pPr>
        <w:pStyle w:val="Testonotaapidipagina"/>
      </w:pPr>
    </w:p>
  </w:footnote>
  <w:footnote w:id="20">
    <w:p w14:paraId="3C0A0D95" w14:textId="77777777" w:rsidR="00151A07" w:rsidRPr="00177953" w:rsidRDefault="00151A07" w:rsidP="00151A07">
      <w:pPr>
        <w:jc w:val="both"/>
        <w:rPr>
          <w:rFonts w:asciiTheme="minorHAnsi" w:hAnsiTheme="minorHAnsi"/>
          <w:color w:val="000000" w:themeColor="text1"/>
        </w:rPr>
      </w:pPr>
      <w:r>
        <w:rPr>
          <w:rStyle w:val="Rimandonotaapidipagina"/>
        </w:rPr>
        <w:footnoteRef/>
      </w:r>
      <w:r>
        <w:t xml:space="preserve"> </w:t>
      </w:r>
      <w:r w:rsidRPr="00177953">
        <w:rPr>
          <w:rFonts w:asciiTheme="minorHAnsi" w:hAnsiTheme="minorHAnsi"/>
          <w:color w:val="000000" w:themeColor="text1"/>
        </w:rPr>
        <w:t>12.1. (Nuova formulazione) Ceccanti.</w:t>
      </w:r>
    </w:p>
    <w:p w14:paraId="68B7D3A2" w14:textId="77777777" w:rsidR="00151A07" w:rsidRDefault="00151A07">
      <w:pPr>
        <w:pStyle w:val="Testonotaapidipagina"/>
      </w:pPr>
    </w:p>
  </w:footnote>
  <w:footnote w:id="21">
    <w:p w14:paraId="011D169C" w14:textId="72F714B4" w:rsidR="00782860" w:rsidRDefault="00782860" w:rsidP="00782860">
      <w:pPr>
        <w:jc w:val="both"/>
      </w:pPr>
      <w:r>
        <w:rPr>
          <w:rStyle w:val="Rimandonotaapidipagina"/>
        </w:rPr>
        <w:footnoteRef/>
      </w:r>
      <w:r>
        <w:t xml:space="preserve"> </w:t>
      </w:r>
      <w:r w:rsidRPr="00782860">
        <w:rPr>
          <w:color w:val="000000" w:themeColor="text1"/>
        </w:rPr>
        <w:t>14.11. Paolo Russo, Labriola.</w:t>
      </w:r>
    </w:p>
  </w:footnote>
  <w:footnote w:id="22">
    <w:p w14:paraId="0D2CC01D" w14:textId="65830B1C" w:rsidR="00782860" w:rsidRDefault="00782860" w:rsidP="00782860">
      <w:r>
        <w:rPr>
          <w:rStyle w:val="Rimandonotaapidipagina"/>
        </w:rPr>
        <w:footnoteRef/>
      </w:r>
      <w:r>
        <w:t xml:space="preserve"> </w:t>
      </w:r>
      <w:r w:rsidRPr="00317A3D">
        <w:rPr>
          <w:color w:val="000000" w:themeColor="text1"/>
        </w:rPr>
        <w:t>15.20. Varrica.</w:t>
      </w:r>
    </w:p>
  </w:footnote>
  <w:footnote w:id="23">
    <w:p w14:paraId="1212620D" w14:textId="77777777" w:rsidR="00782860" w:rsidRPr="00317A3D" w:rsidRDefault="00782860" w:rsidP="00782860">
      <w:pPr>
        <w:rPr>
          <w:color w:val="000000" w:themeColor="text1"/>
        </w:rPr>
      </w:pPr>
      <w:r>
        <w:rPr>
          <w:rStyle w:val="Rimandonotaapidipagina"/>
        </w:rPr>
        <w:footnoteRef/>
      </w:r>
      <w:r>
        <w:t xml:space="preserve"> </w:t>
      </w:r>
      <w:r w:rsidRPr="00317A3D">
        <w:rPr>
          <w:color w:val="000000" w:themeColor="text1"/>
        </w:rPr>
        <w:t xml:space="preserve">15.03. (Nuova formulazione) Lazzarini, Stefani, Gusmeroli, </w:t>
      </w:r>
      <w:proofErr w:type="spellStart"/>
      <w:r w:rsidRPr="00317A3D">
        <w:rPr>
          <w:color w:val="000000" w:themeColor="text1"/>
        </w:rPr>
        <w:t>Badole</w:t>
      </w:r>
      <w:proofErr w:type="spellEnd"/>
      <w:r w:rsidRPr="00317A3D">
        <w:rPr>
          <w:color w:val="000000" w:themeColor="text1"/>
        </w:rPr>
        <w:t xml:space="preserve">, Benvenuto, D'Eramo, Dara, Eva Lorenzoni, Lucchini, </w:t>
      </w:r>
      <w:proofErr w:type="spellStart"/>
      <w:r w:rsidRPr="00317A3D">
        <w:rPr>
          <w:color w:val="000000" w:themeColor="text1"/>
        </w:rPr>
        <w:t>Patassini</w:t>
      </w:r>
      <w:proofErr w:type="spellEnd"/>
      <w:r w:rsidRPr="00317A3D">
        <w:rPr>
          <w:color w:val="000000" w:themeColor="text1"/>
        </w:rPr>
        <w:t xml:space="preserve">, Raffaelli, Valbusa, </w:t>
      </w:r>
      <w:proofErr w:type="spellStart"/>
      <w:r w:rsidRPr="00317A3D">
        <w:rPr>
          <w:color w:val="000000" w:themeColor="text1"/>
        </w:rPr>
        <w:t>Vallotto</w:t>
      </w:r>
      <w:proofErr w:type="spellEnd"/>
      <w:r w:rsidRPr="00317A3D">
        <w:rPr>
          <w:color w:val="000000" w:themeColor="text1"/>
        </w:rPr>
        <w:t>, Bordonali, Di Muro, Fogliani, Iezzi, Invernizzi, Ravetto, Tonelli, Ziello, Bianchi.</w:t>
      </w:r>
    </w:p>
    <w:p w14:paraId="18A15DD1" w14:textId="664859BF" w:rsidR="00782860" w:rsidRDefault="00782860">
      <w:pPr>
        <w:pStyle w:val="Testonotaapidipagina"/>
      </w:pPr>
    </w:p>
  </w:footnote>
  <w:footnote w:id="24">
    <w:p w14:paraId="4D8CE9C0" w14:textId="77777777" w:rsidR="00612FE9" w:rsidRPr="00317A3D" w:rsidRDefault="00612FE9" w:rsidP="00612FE9">
      <w:r>
        <w:rPr>
          <w:rStyle w:val="Rimandonotaapidipagina"/>
        </w:rPr>
        <w:footnoteRef/>
      </w:r>
      <w:r>
        <w:t xml:space="preserve"> </w:t>
      </w:r>
      <w:r w:rsidRPr="00317A3D">
        <w:t xml:space="preserve">17.88. (ex 17.01.) </w:t>
      </w:r>
      <w:proofErr w:type="spellStart"/>
      <w:r w:rsidRPr="00317A3D">
        <w:t>Zolezzi</w:t>
      </w:r>
      <w:proofErr w:type="spellEnd"/>
      <w:r w:rsidRPr="00317A3D">
        <w:t>, Ferraresi.</w:t>
      </w:r>
    </w:p>
    <w:p w14:paraId="183D5506" w14:textId="31F04A36" w:rsidR="00612FE9" w:rsidRDefault="00612FE9">
      <w:pPr>
        <w:pStyle w:val="Testonotaapidipagina"/>
      </w:pPr>
    </w:p>
  </w:footnote>
  <w:footnote w:id="25">
    <w:p w14:paraId="40670C89" w14:textId="3CDE7BFF" w:rsidR="00782860" w:rsidRDefault="00782860" w:rsidP="00782860">
      <w:r>
        <w:rPr>
          <w:rStyle w:val="Rimandonotaapidipagina"/>
        </w:rPr>
        <w:footnoteRef/>
      </w:r>
      <w:r>
        <w:t xml:space="preserve"> </w:t>
      </w:r>
      <w:r w:rsidRPr="00317A3D">
        <w:rPr>
          <w:color w:val="000000" w:themeColor="text1"/>
        </w:rPr>
        <w:t>17.28. (Nuova formulazione) Timbro, Fornaro.</w:t>
      </w:r>
    </w:p>
  </w:footnote>
  <w:footnote w:id="26">
    <w:p w14:paraId="14CC40C8" w14:textId="77777777" w:rsidR="00782860" w:rsidRPr="00317A3D" w:rsidRDefault="00782860" w:rsidP="00782860">
      <w:r>
        <w:rPr>
          <w:rStyle w:val="Rimandonotaapidipagina"/>
        </w:rPr>
        <w:footnoteRef/>
      </w:r>
      <w:r>
        <w:t xml:space="preserve"> </w:t>
      </w:r>
      <w:r w:rsidRPr="00317A3D">
        <w:t xml:space="preserve">17.88. (ex 17.01.) </w:t>
      </w:r>
      <w:proofErr w:type="spellStart"/>
      <w:r w:rsidRPr="00317A3D">
        <w:t>Zolezzi</w:t>
      </w:r>
      <w:proofErr w:type="spellEnd"/>
      <w:r w:rsidRPr="00317A3D">
        <w:t>, Ferraresi.</w:t>
      </w:r>
    </w:p>
    <w:p w14:paraId="2CB03224" w14:textId="7ADDFC2A" w:rsidR="00782860" w:rsidRDefault="00782860">
      <w:pPr>
        <w:pStyle w:val="Testonotaapidipagina"/>
      </w:pPr>
    </w:p>
  </w:footnote>
  <w:footnote w:id="27">
    <w:p w14:paraId="7B415624" w14:textId="70B5EA39" w:rsidR="00D36141" w:rsidRDefault="00D36141" w:rsidP="00D36141">
      <w:r>
        <w:rPr>
          <w:rStyle w:val="Rimandonotaapidipagina"/>
        </w:rPr>
        <w:footnoteRef/>
      </w:r>
      <w:r>
        <w:t xml:space="preserve"> </w:t>
      </w:r>
      <w:r w:rsidRPr="002D5130">
        <w:rPr>
          <w:color w:val="000000" w:themeColor="text1"/>
        </w:rPr>
        <w:t xml:space="preserve">*18.01. </w:t>
      </w:r>
      <w:proofErr w:type="spellStart"/>
      <w:r w:rsidRPr="002D5130">
        <w:rPr>
          <w:color w:val="000000" w:themeColor="text1"/>
        </w:rPr>
        <w:t>Fregolent</w:t>
      </w:r>
      <w:proofErr w:type="spellEnd"/>
      <w:r w:rsidRPr="002D5130">
        <w:rPr>
          <w:color w:val="000000" w:themeColor="text1"/>
        </w:rPr>
        <w:t>, Marco Di Maio; *18.04. Cortelazzo, Tartaglione.</w:t>
      </w:r>
    </w:p>
  </w:footnote>
  <w:footnote w:id="28">
    <w:p w14:paraId="622D04CA" w14:textId="396C866A" w:rsidR="00D36141" w:rsidRDefault="00D36141">
      <w:pPr>
        <w:pStyle w:val="Testonotaapidipagina"/>
      </w:pPr>
      <w:r>
        <w:rPr>
          <w:rStyle w:val="Rimandonotaapidipagina"/>
        </w:rPr>
        <w:footnoteRef/>
      </w:r>
      <w:r>
        <w:t xml:space="preserve"> </w:t>
      </w:r>
      <w:r w:rsidRPr="002D5130">
        <w:rPr>
          <w:color w:val="000000" w:themeColor="text1"/>
        </w:rPr>
        <w:t xml:space="preserve">19.12. (Nuova formulazione) Maraia, D'Ippolito, Deiana, Di Lauro, </w:t>
      </w:r>
      <w:proofErr w:type="spellStart"/>
      <w:r w:rsidRPr="002D5130">
        <w:rPr>
          <w:color w:val="000000" w:themeColor="text1"/>
        </w:rPr>
        <w:t>Licatini</w:t>
      </w:r>
      <w:proofErr w:type="spellEnd"/>
      <w:r w:rsidRPr="002D5130">
        <w:rPr>
          <w:color w:val="000000" w:themeColor="text1"/>
        </w:rPr>
        <w:t xml:space="preserve">, Micillo, Terzoni, Varrica, Vianello, </w:t>
      </w:r>
      <w:proofErr w:type="spellStart"/>
      <w:r w:rsidRPr="002D5130">
        <w:rPr>
          <w:color w:val="000000" w:themeColor="text1"/>
        </w:rPr>
        <w:t>Zolezzi</w:t>
      </w:r>
      <w:proofErr w:type="spellEnd"/>
      <w:r w:rsidRPr="002D5130">
        <w:rPr>
          <w:color w:val="000000" w:themeColor="text1"/>
        </w:rPr>
        <w:t>, Traversi.</w:t>
      </w:r>
    </w:p>
  </w:footnote>
  <w:footnote w:id="29">
    <w:p w14:paraId="253C3C88" w14:textId="70FF3930" w:rsidR="00D36141" w:rsidRDefault="00D36141" w:rsidP="00D36141">
      <w:r>
        <w:rPr>
          <w:rStyle w:val="Rimandonotaapidipagina"/>
        </w:rPr>
        <w:footnoteRef/>
      </w:r>
      <w:r>
        <w:t xml:space="preserve"> </w:t>
      </w:r>
      <w:r w:rsidRPr="002D5130">
        <w:rPr>
          <w:color w:val="000000" w:themeColor="text1"/>
        </w:rPr>
        <w:t xml:space="preserve">20.24. (Nuova formulazione) Maraia, D'Ippolito, Deiana, Di Lauro, Traversi, </w:t>
      </w:r>
      <w:proofErr w:type="spellStart"/>
      <w:r w:rsidRPr="002D5130">
        <w:rPr>
          <w:color w:val="000000" w:themeColor="text1"/>
        </w:rPr>
        <w:t>Licatini</w:t>
      </w:r>
      <w:proofErr w:type="spellEnd"/>
      <w:r w:rsidRPr="002D5130">
        <w:rPr>
          <w:color w:val="000000" w:themeColor="text1"/>
        </w:rPr>
        <w:t xml:space="preserve">, Micillo, Terzoni, Varrica, Vianello, </w:t>
      </w:r>
      <w:proofErr w:type="spellStart"/>
      <w:r w:rsidRPr="002D5130">
        <w:rPr>
          <w:color w:val="000000" w:themeColor="text1"/>
        </w:rPr>
        <w:t>Zolezzi</w:t>
      </w:r>
      <w:proofErr w:type="spellEnd"/>
      <w:r w:rsidRPr="002D5130">
        <w:rPr>
          <w:color w:val="000000" w:themeColor="text1"/>
        </w:rPr>
        <w:t>.</w:t>
      </w:r>
    </w:p>
  </w:footnote>
  <w:footnote w:id="30">
    <w:p w14:paraId="46C0ABA0" w14:textId="27F6C251" w:rsidR="000B580E" w:rsidRPr="00715F66" w:rsidRDefault="000B580E" w:rsidP="000B580E">
      <w:pPr>
        <w:rPr>
          <w:color w:val="000000" w:themeColor="text1"/>
        </w:rPr>
      </w:pPr>
      <w:r>
        <w:rPr>
          <w:rStyle w:val="Rimandonotaapidipagina"/>
        </w:rPr>
        <w:footnoteRef/>
      </w:r>
      <w:r>
        <w:t xml:space="preserve"> </w:t>
      </w:r>
      <w:r w:rsidRPr="002D5130">
        <w:rPr>
          <w:color w:val="000000" w:themeColor="text1"/>
        </w:rPr>
        <w:t>*24.03. (Nuova formulazione) Foti, Prisco, Butti, Rachele Silvestri, Zucconi, Donzelli; *24.04. (Nuova formulazione) Lucchini, Ben</w:t>
      </w:r>
      <w:r w:rsidRPr="00715F66">
        <w:rPr>
          <w:color w:val="000000" w:themeColor="text1"/>
        </w:rPr>
        <w:t xml:space="preserve">venuto, </w:t>
      </w:r>
      <w:proofErr w:type="spellStart"/>
      <w:r w:rsidRPr="00715F66">
        <w:rPr>
          <w:color w:val="000000" w:themeColor="text1"/>
        </w:rPr>
        <w:t>Badole</w:t>
      </w:r>
      <w:proofErr w:type="spellEnd"/>
      <w:r w:rsidRPr="00715F66">
        <w:rPr>
          <w:color w:val="000000" w:themeColor="text1"/>
        </w:rPr>
        <w:t xml:space="preserve">, Dara, D'Eramo, Eva Lorenzoni, </w:t>
      </w:r>
      <w:proofErr w:type="spellStart"/>
      <w:r w:rsidRPr="00715F66">
        <w:rPr>
          <w:color w:val="000000" w:themeColor="text1"/>
        </w:rPr>
        <w:t>Patassini</w:t>
      </w:r>
      <w:proofErr w:type="spellEnd"/>
      <w:r w:rsidRPr="00715F66">
        <w:rPr>
          <w:color w:val="000000" w:themeColor="text1"/>
        </w:rPr>
        <w:t xml:space="preserve">, Raffaelli, Valbusa, </w:t>
      </w:r>
      <w:proofErr w:type="spellStart"/>
      <w:r w:rsidRPr="00715F66">
        <w:rPr>
          <w:color w:val="000000" w:themeColor="text1"/>
        </w:rPr>
        <w:t>Vallotto</w:t>
      </w:r>
      <w:proofErr w:type="spellEnd"/>
      <w:r w:rsidRPr="00715F66">
        <w:rPr>
          <w:color w:val="000000" w:themeColor="text1"/>
        </w:rPr>
        <w:t xml:space="preserve">; *24.05. (Nuova formulazione) Pezzopane; *24.06. (Nuova formulazione) Gagliardi; *24.07. (Nuova formulazione) Zucconi; *24.08. (Nuova formulazione) Marco Di Maio, </w:t>
      </w:r>
      <w:proofErr w:type="spellStart"/>
      <w:r w:rsidRPr="00715F66">
        <w:rPr>
          <w:color w:val="000000" w:themeColor="text1"/>
        </w:rPr>
        <w:t>Fregolent</w:t>
      </w:r>
      <w:proofErr w:type="spellEnd"/>
      <w:r w:rsidRPr="00715F66">
        <w:rPr>
          <w:color w:val="000000" w:themeColor="text1"/>
        </w:rPr>
        <w:t>; *24.09. (Nuova formulazione) Micheli.</w:t>
      </w:r>
    </w:p>
  </w:footnote>
  <w:footnote w:id="31">
    <w:p w14:paraId="5BECCB89" w14:textId="06BD7101" w:rsidR="000B580E" w:rsidRPr="00715F66" w:rsidRDefault="000B580E" w:rsidP="000B580E">
      <w:pPr>
        <w:rPr>
          <w:color w:val="000000" w:themeColor="text1"/>
        </w:rPr>
      </w:pPr>
      <w:r w:rsidRPr="00715F66">
        <w:rPr>
          <w:rStyle w:val="Rimandonotaapidipagina"/>
          <w:color w:val="000000" w:themeColor="text1"/>
        </w:rPr>
        <w:footnoteRef/>
      </w:r>
      <w:r w:rsidRPr="00715F66">
        <w:rPr>
          <w:color w:val="000000" w:themeColor="text1"/>
        </w:rPr>
        <w:t xml:space="preserve"> 27.10. (Nuova formulazione) Berardini.</w:t>
      </w:r>
    </w:p>
  </w:footnote>
  <w:footnote w:id="32">
    <w:p w14:paraId="2F6C7E44" w14:textId="4665DA12" w:rsidR="000B580E" w:rsidRPr="00715F66" w:rsidRDefault="000B580E" w:rsidP="000B580E">
      <w:pPr>
        <w:rPr>
          <w:color w:val="000000" w:themeColor="text1"/>
        </w:rPr>
      </w:pPr>
      <w:r w:rsidRPr="00715F66">
        <w:rPr>
          <w:rStyle w:val="Rimandonotaapidipagina"/>
          <w:color w:val="000000" w:themeColor="text1"/>
        </w:rPr>
        <w:footnoteRef/>
      </w:r>
      <w:r w:rsidRPr="00715F66">
        <w:rPr>
          <w:color w:val="000000" w:themeColor="text1"/>
        </w:rPr>
        <w:t xml:space="preserve"> *30.11. (Nuova formulazione) </w:t>
      </w:r>
      <w:proofErr w:type="spellStart"/>
      <w:r w:rsidRPr="00715F66">
        <w:rPr>
          <w:color w:val="000000" w:themeColor="text1"/>
        </w:rPr>
        <w:t>Patassini</w:t>
      </w:r>
      <w:proofErr w:type="spellEnd"/>
      <w:r w:rsidRPr="00715F66">
        <w:rPr>
          <w:color w:val="000000" w:themeColor="text1"/>
        </w:rPr>
        <w:t xml:space="preserve">, Lucchini, Benvenuto, </w:t>
      </w:r>
      <w:proofErr w:type="spellStart"/>
      <w:r w:rsidRPr="00715F66">
        <w:rPr>
          <w:color w:val="000000" w:themeColor="text1"/>
        </w:rPr>
        <w:t>Furgiuele</w:t>
      </w:r>
      <w:proofErr w:type="spellEnd"/>
      <w:r w:rsidRPr="00715F66">
        <w:rPr>
          <w:color w:val="000000" w:themeColor="text1"/>
        </w:rPr>
        <w:t xml:space="preserve">, </w:t>
      </w:r>
      <w:proofErr w:type="spellStart"/>
      <w:r w:rsidRPr="00715F66">
        <w:rPr>
          <w:color w:val="000000" w:themeColor="text1"/>
        </w:rPr>
        <w:t>Badole</w:t>
      </w:r>
      <w:proofErr w:type="spellEnd"/>
      <w:r w:rsidRPr="00715F66">
        <w:rPr>
          <w:color w:val="000000" w:themeColor="text1"/>
        </w:rPr>
        <w:t xml:space="preserve">, Dara, D'Eramo, Eva Lorenzoni, Raffaelli, Valbusa, </w:t>
      </w:r>
      <w:proofErr w:type="spellStart"/>
      <w:r w:rsidRPr="00715F66">
        <w:rPr>
          <w:color w:val="000000" w:themeColor="text1"/>
        </w:rPr>
        <w:t>Vallotto</w:t>
      </w:r>
      <w:proofErr w:type="spellEnd"/>
      <w:r w:rsidRPr="00715F66">
        <w:rPr>
          <w:color w:val="000000" w:themeColor="text1"/>
        </w:rPr>
        <w:t xml:space="preserve">; *30.26. (Nuova formulazione) Squeri, Cortelazzo, Mazzetti, Labriola, Ferraioli, Casino, Paolo Russo, </w:t>
      </w:r>
      <w:proofErr w:type="spellStart"/>
      <w:r w:rsidRPr="00715F66">
        <w:rPr>
          <w:color w:val="000000" w:themeColor="text1"/>
        </w:rPr>
        <w:t>Milanato</w:t>
      </w:r>
      <w:proofErr w:type="spellEnd"/>
      <w:r w:rsidRPr="00715F66">
        <w:rPr>
          <w:color w:val="000000" w:themeColor="text1"/>
        </w:rPr>
        <w:t>, Sarro, Tartaglione.</w:t>
      </w:r>
    </w:p>
  </w:footnote>
  <w:footnote w:id="33">
    <w:p w14:paraId="2291CA7F" w14:textId="77777777" w:rsidR="00715F66" w:rsidRPr="00715F66" w:rsidRDefault="00715F66" w:rsidP="00715F66">
      <w:pPr>
        <w:rPr>
          <w:color w:val="000000" w:themeColor="text1"/>
          <w:sz w:val="24"/>
          <w:szCs w:val="24"/>
        </w:rPr>
      </w:pPr>
      <w:r w:rsidRPr="00715F66">
        <w:rPr>
          <w:rStyle w:val="Rimandonotaapidipagina"/>
          <w:color w:val="000000" w:themeColor="text1"/>
        </w:rPr>
        <w:footnoteRef/>
      </w:r>
      <w:r w:rsidRPr="00715F66">
        <w:rPr>
          <w:color w:val="000000" w:themeColor="text1"/>
        </w:rPr>
        <w:t xml:space="preserve"> *31.14. (Nuova formulazione) </w:t>
      </w:r>
      <w:proofErr w:type="spellStart"/>
      <w:r w:rsidRPr="00715F66">
        <w:rPr>
          <w:color w:val="000000" w:themeColor="text1"/>
        </w:rPr>
        <w:t>Fregolent</w:t>
      </w:r>
      <w:proofErr w:type="spellEnd"/>
      <w:r w:rsidRPr="00715F66">
        <w:rPr>
          <w:color w:val="000000" w:themeColor="text1"/>
        </w:rPr>
        <w:t xml:space="preserve">, Marco Di Maio; *31.23. (Nuova formulazione) Foti, Prisco, Butti, Donzelli, Rachele Silvestri; *31.27. (Nuova formulazione) Pezzopane, Braga, Buratti, </w:t>
      </w:r>
      <w:proofErr w:type="spellStart"/>
      <w:r w:rsidRPr="00715F66">
        <w:rPr>
          <w:color w:val="000000" w:themeColor="text1"/>
        </w:rPr>
        <w:t>Morgoni</w:t>
      </w:r>
      <w:proofErr w:type="spellEnd"/>
      <w:r w:rsidRPr="00715F66">
        <w:rPr>
          <w:color w:val="000000" w:themeColor="text1"/>
        </w:rPr>
        <w:t xml:space="preserve">, Pellicani, Rotta; *31.37. (Nuova formulazione) Lucchini, Benvenuto, </w:t>
      </w:r>
      <w:proofErr w:type="spellStart"/>
      <w:r w:rsidRPr="00715F66">
        <w:rPr>
          <w:color w:val="000000" w:themeColor="text1"/>
        </w:rPr>
        <w:t>Badole</w:t>
      </w:r>
      <w:proofErr w:type="spellEnd"/>
      <w:r w:rsidRPr="00715F66">
        <w:rPr>
          <w:color w:val="000000" w:themeColor="text1"/>
        </w:rPr>
        <w:t xml:space="preserve">, Dara, D'Eramo, Eva Lorenzoni, </w:t>
      </w:r>
      <w:proofErr w:type="spellStart"/>
      <w:r w:rsidRPr="00715F66">
        <w:rPr>
          <w:color w:val="000000" w:themeColor="text1"/>
        </w:rPr>
        <w:t>Patassini</w:t>
      </w:r>
      <w:proofErr w:type="spellEnd"/>
      <w:r w:rsidRPr="00715F66">
        <w:rPr>
          <w:color w:val="000000" w:themeColor="text1"/>
        </w:rPr>
        <w:t xml:space="preserve">, Raffaelli, Valbusa, </w:t>
      </w:r>
      <w:proofErr w:type="spellStart"/>
      <w:r w:rsidRPr="00715F66">
        <w:rPr>
          <w:color w:val="000000" w:themeColor="text1"/>
        </w:rPr>
        <w:t>Vallotto</w:t>
      </w:r>
      <w:proofErr w:type="spellEnd"/>
      <w:r w:rsidRPr="00715F66">
        <w:rPr>
          <w:color w:val="000000" w:themeColor="text1"/>
        </w:rPr>
        <w:t>; *31.48. (Nuova formulazione) Gagliardi.</w:t>
      </w:r>
    </w:p>
    <w:p w14:paraId="49683876" w14:textId="4E122794" w:rsidR="00715F66" w:rsidRDefault="00715F66">
      <w:pPr>
        <w:pStyle w:val="Testonotaapidipagina"/>
      </w:pPr>
    </w:p>
  </w:footnote>
  <w:footnote w:id="34">
    <w:p w14:paraId="68FCEC11" w14:textId="77777777" w:rsidR="00715F66" w:rsidRPr="00316160" w:rsidRDefault="00715F66" w:rsidP="00715F66">
      <w:pPr>
        <w:rPr>
          <w:sz w:val="24"/>
          <w:szCs w:val="24"/>
        </w:rPr>
      </w:pPr>
      <w:r>
        <w:rPr>
          <w:rStyle w:val="Rimandonotaapidipagina"/>
        </w:rPr>
        <w:footnoteRef/>
      </w:r>
      <w:r>
        <w:t xml:space="preserve"> </w:t>
      </w:r>
    </w:p>
    <w:p w14:paraId="5926D41E" w14:textId="120C35F7" w:rsidR="00715F66" w:rsidRDefault="00715F66" w:rsidP="00715F66">
      <w:r w:rsidRPr="00FF2E37">
        <w:rPr>
          <w:color w:val="000000" w:themeColor="text1"/>
        </w:rPr>
        <w:t xml:space="preserve">**31.26. Buratti, Braga, </w:t>
      </w:r>
      <w:proofErr w:type="spellStart"/>
      <w:r w:rsidRPr="00FF2E37">
        <w:rPr>
          <w:color w:val="000000" w:themeColor="text1"/>
        </w:rPr>
        <w:t>Morgoni</w:t>
      </w:r>
      <w:proofErr w:type="spellEnd"/>
      <w:r w:rsidRPr="00FF2E37">
        <w:rPr>
          <w:color w:val="000000" w:themeColor="text1"/>
        </w:rPr>
        <w:t xml:space="preserve">, Pellicani, Pezzopane, Rotta; **31.5. (Nuova formulazione) Benamati; **31.34. (Nuova formulazione) Nobili, </w:t>
      </w:r>
      <w:proofErr w:type="spellStart"/>
      <w:r w:rsidRPr="00FF2E37">
        <w:rPr>
          <w:color w:val="000000" w:themeColor="text1"/>
        </w:rPr>
        <w:t>Fregolent</w:t>
      </w:r>
      <w:proofErr w:type="spellEnd"/>
      <w:r w:rsidRPr="00FF2E37">
        <w:rPr>
          <w:color w:val="000000" w:themeColor="text1"/>
        </w:rPr>
        <w:t xml:space="preserve">, Marco Di Maio; **31.52. (Nuova formulazione) Muroni, </w:t>
      </w:r>
      <w:proofErr w:type="spellStart"/>
      <w:r w:rsidRPr="00FF2E37">
        <w:rPr>
          <w:color w:val="000000" w:themeColor="text1"/>
        </w:rPr>
        <w:t>Fioramonti</w:t>
      </w:r>
      <w:proofErr w:type="spellEnd"/>
      <w:r w:rsidRPr="00FF2E37">
        <w:rPr>
          <w:color w:val="000000" w:themeColor="text1"/>
        </w:rPr>
        <w:t>, Fusacchia, Cecconi, Lombardo; **31.73. (Nuova formulazione) Marco Di Maio, Del Barba; **31.82. (Nuova formulazione) Magi.</w:t>
      </w:r>
    </w:p>
  </w:footnote>
  <w:footnote w:id="35">
    <w:p w14:paraId="71817C0F" w14:textId="51A3DC17" w:rsidR="00715F66" w:rsidRDefault="00715F66" w:rsidP="00715F66">
      <w:r>
        <w:rPr>
          <w:rStyle w:val="Rimandonotaapidipagina"/>
        </w:rPr>
        <w:footnoteRef/>
      </w:r>
      <w:r>
        <w:t xml:space="preserve"> </w:t>
      </w:r>
      <w:r w:rsidRPr="00FF2E37">
        <w:rPr>
          <w:color w:val="000000" w:themeColor="text1"/>
        </w:rPr>
        <w:t>31.1. Bordo.</w:t>
      </w:r>
    </w:p>
  </w:footnote>
  <w:footnote w:id="36">
    <w:p w14:paraId="452C0F2D" w14:textId="67DE7F94" w:rsidR="00246D28" w:rsidRDefault="00246D28" w:rsidP="00246D28">
      <w:r>
        <w:rPr>
          <w:rStyle w:val="Rimandonotaapidipagina"/>
        </w:rPr>
        <w:footnoteRef/>
      </w:r>
      <w:r>
        <w:t xml:space="preserve"> </w:t>
      </w:r>
      <w:r w:rsidRPr="00221832">
        <w:rPr>
          <w:color w:val="000000" w:themeColor="text1"/>
        </w:rPr>
        <w:t xml:space="preserve">**31.03. (Nuova formulazione) Foti, Prisco, Butti, Donzelli, Rachele Silvestri; **31.07. (Nuova formulazione) Gadda, </w:t>
      </w:r>
      <w:proofErr w:type="spellStart"/>
      <w:r w:rsidRPr="00221832">
        <w:rPr>
          <w:color w:val="000000" w:themeColor="text1"/>
        </w:rPr>
        <w:t>Fregolent</w:t>
      </w:r>
      <w:proofErr w:type="spellEnd"/>
      <w:r w:rsidRPr="00221832">
        <w:rPr>
          <w:color w:val="000000" w:themeColor="text1"/>
        </w:rPr>
        <w:t xml:space="preserve">, Marco Di Maio; **31.09. (Nuova formulazione) </w:t>
      </w:r>
      <w:proofErr w:type="spellStart"/>
      <w:r w:rsidRPr="00221832">
        <w:rPr>
          <w:color w:val="000000" w:themeColor="text1"/>
        </w:rPr>
        <w:t>Patassini</w:t>
      </w:r>
      <w:proofErr w:type="spellEnd"/>
      <w:r w:rsidRPr="00221832">
        <w:rPr>
          <w:color w:val="000000" w:themeColor="text1"/>
        </w:rPr>
        <w:t xml:space="preserve">, Lucchini, Benvenuto, </w:t>
      </w:r>
      <w:proofErr w:type="spellStart"/>
      <w:r w:rsidRPr="00221832">
        <w:rPr>
          <w:color w:val="000000" w:themeColor="text1"/>
        </w:rPr>
        <w:t>Furgiuele</w:t>
      </w:r>
      <w:proofErr w:type="spellEnd"/>
      <w:r w:rsidRPr="00221832">
        <w:rPr>
          <w:color w:val="000000" w:themeColor="text1"/>
        </w:rPr>
        <w:t xml:space="preserve">, </w:t>
      </w:r>
      <w:proofErr w:type="spellStart"/>
      <w:r w:rsidRPr="00221832">
        <w:rPr>
          <w:color w:val="000000" w:themeColor="text1"/>
        </w:rPr>
        <w:t>Badole</w:t>
      </w:r>
      <w:proofErr w:type="spellEnd"/>
      <w:r w:rsidRPr="00221832">
        <w:rPr>
          <w:color w:val="000000" w:themeColor="text1"/>
        </w:rPr>
        <w:t xml:space="preserve">, Dara, D'Eramo, Eva Lorenzoni, Raffaelli, Valbusa, </w:t>
      </w:r>
      <w:proofErr w:type="spellStart"/>
      <w:r w:rsidRPr="00221832">
        <w:rPr>
          <w:color w:val="000000" w:themeColor="text1"/>
        </w:rPr>
        <w:t>Vallotto</w:t>
      </w:r>
      <w:proofErr w:type="spellEnd"/>
      <w:r w:rsidRPr="00221832">
        <w:rPr>
          <w:color w:val="000000" w:themeColor="text1"/>
        </w:rPr>
        <w:t xml:space="preserve">; **31.012. (Nuova formulazione) Golinelli, Viviani, </w:t>
      </w:r>
      <w:proofErr w:type="spellStart"/>
      <w:r w:rsidRPr="00221832">
        <w:rPr>
          <w:color w:val="000000" w:themeColor="text1"/>
        </w:rPr>
        <w:t>Bubisutti</w:t>
      </w:r>
      <w:proofErr w:type="spellEnd"/>
      <w:r w:rsidRPr="00221832">
        <w:rPr>
          <w:color w:val="000000" w:themeColor="text1"/>
        </w:rPr>
        <w:t xml:space="preserve">, Gastaldi, </w:t>
      </w:r>
      <w:proofErr w:type="spellStart"/>
      <w:r w:rsidRPr="00221832">
        <w:rPr>
          <w:color w:val="000000" w:themeColor="text1"/>
        </w:rPr>
        <w:t>Germanà</w:t>
      </w:r>
      <w:proofErr w:type="spellEnd"/>
      <w:r w:rsidRPr="00221832">
        <w:rPr>
          <w:color w:val="000000" w:themeColor="text1"/>
        </w:rPr>
        <w:t xml:space="preserve">, </w:t>
      </w:r>
      <w:proofErr w:type="spellStart"/>
      <w:r w:rsidRPr="00221832">
        <w:rPr>
          <w:color w:val="000000" w:themeColor="text1"/>
        </w:rPr>
        <w:t>Liuni</w:t>
      </w:r>
      <w:proofErr w:type="spellEnd"/>
      <w:r w:rsidRPr="00221832">
        <w:rPr>
          <w:color w:val="000000" w:themeColor="text1"/>
        </w:rPr>
        <w:t xml:space="preserve">, </w:t>
      </w:r>
      <w:proofErr w:type="spellStart"/>
      <w:r w:rsidRPr="00221832">
        <w:rPr>
          <w:color w:val="000000" w:themeColor="text1"/>
        </w:rPr>
        <w:t>Lolini</w:t>
      </w:r>
      <w:proofErr w:type="spellEnd"/>
      <w:r w:rsidRPr="00221832">
        <w:rPr>
          <w:color w:val="000000" w:themeColor="text1"/>
        </w:rPr>
        <w:t xml:space="preserve">, Loss, Manzato, Tarantino; **31.017. (Nuova formulazione) </w:t>
      </w:r>
      <w:proofErr w:type="spellStart"/>
      <w:r w:rsidRPr="00221832">
        <w:rPr>
          <w:color w:val="000000" w:themeColor="text1"/>
        </w:rPr>
        <w:t>Cassese</w:t>
      </w:r>
      <w:proofErr w:type="spellEnd"/>
      <w:r w:rsidRPr="00221832">
        <w:rPr>
          <w:color w:val="000000" w:themeColor="text1"/>
        </w:rPr>
        <w:t xml:space="preserve">, Gallinella, Bilotti, Cadeddu, </w:t>
      </w:r>
      <w:proofErr w:type="spellStart"/>
      <w:r w:rsidRPr="00221832">
        <w:rPr>
          <w:color w:val="000000" w:themeColor="text1"/>
        </w:rPr>
        <w:t>Cillis</w:t>
      </w:r>
      <w:proofErr w:type="spellEnd"/>
      <w:r w:rsidRPr="00221832">
        <w:rPr>
          <w:color w:val="000000" w:themeColor="text1"/>
        </w:rPr>
        <w:t xml:space="preserve">, </w:t>
      </w:r>
      <w:proofErr w:type="spellStart"/>
      <w:r w:rsidRPr="00221832">
        <w:rPr>
          <w:color w:val="000000" w:themeColor="text1"/>
        </w:rPr>
        <w:t>Gagnarli</w:t>
      </w:r>
      <w:proofErr w:type="spellEnd"/>
      <w:r w:rsidRPr="00221832">
        <w:rPr>
          <w:color w:val="000000" w:themeColor="text1"/>
        </w:rPr>
        <w:t xml:space="preserve">, L'Abbate, Maglione, Alberto Manca, Marzana, Parentela, Pignatone, Galizia; **31.020. (Nuova formulazione) Squeri, Cortelazzo, Mazzetti, Labriola, Ferraioli, Casino, Paolo Russo, </w:t>
      </w:r>
      <w:proofErr w:type="spellStart"/>
      <w:r w:rsidRPr="00221832">
        <w:rPr>
          <w:color w:val="000000" w:themeColor="text1"/>
        </w:rPr>
        <w:t>Milanato</w:t>
      </w:r>
      <w:proofErr w:type="spellEnd"/>
      <w:r w:rsidRPr="00221832">
        <w:rPr>
          <w:color w:val="000000" w:themeColor="text1"/>
        </w:rPr>
        <w:t xml:space="preserve">, Sarro, Tartaglione; **31.011. (Nuova formulazione) Incerti, Cenni, Avossa, Cappellani, Critelli, </w:t>
      </w:r>
      <w:proofErr w:type="spellStart"/>
      <w:r w:rsidRPr="00221832">
        <w:rPr>
          <w:color w:val="000000" w:themeColor="text1"/>
        </w:rPr>
        <w:t>Frailis</w:t>
      </w:r>
      <w:proofErr w:type="spellEnd"/>
      <w:r w:rsidRPr="00221832">
        <w:rPr>
          <w:color w:val="000000" w:themeColor="text1"/>
        </w:rPr>
        <w:t>.</w:t>
      </w:r>
    </w:p>
  </w:footnote>
  <w:footnote w:id="37">
    <w:p w14:paraId="075D468B" w14:textId="3452D854" w:rsidR="00246D28" w:rsidRDefault="00246D28" w:rsidP="00246D28">
      <w:r>
        <w:rPr>
          <w:rStyle w:val="Rimandonotaapidipagina"/>
        </w:rPr>
        <w:footnoteRef/>
      </w:r>
      <w:r>
        <w:t xml:space="preserve"> </w:t>
      </w:r>
      <w:r w:rsidRPr="00221832">
        <w:rPr>
          <w:color w:val="000000" w:themeColor="text1"/>
        </w:rPr>
        <w:t xml:space="preserve">31.015. </w:t>
      </w:r>
      <w:proofErr w:type="spellStart"/>
      <w:r w:rsidRPr="00221832">
        <w:rPr>
          <w:color w:val="000000" w:themeColor="text1"/>
        </w:rPr>
        <w:t>Cassese</w:t>
      </w:r>
      <w:proofErr w:type="spellEnd"/>
      <w:r w:rsidRPr="00221832">
        <w:rPr>
          <w:color w:val="000000" w:themeColor="text1"/>
        </w:rPr>
        <w:t xml:space="preserve">, Gallinella, Bilotti, Cadeddu, </w:t>
      </w:r>
      <w:proofErr w:type="spellStart"/>
      <w:r w:rsidRPr="00221832">
        <w:rPr>
          <w:color w:val="000000" w:themeColor="text1"/>
        </w:rPr>
        <w:t>Cillis</w:t>
      </w:r>
      <w:proofErr w:type="spellEnd"/>
      <w:r w:rsidRPr="00221832">
        <w:rPr>
          <w:color w:val="000000" w:themeColor="text1"/>
        </w:rPr>
        <w:t xml:space="preserve">, </w:t>
      </w:r>
      <w:proofErr w:type="spellStart"/>
      <w:r w:rsidRPr="00221832">
        <w:rPr>
          <w:color w:val="000000" w:themeColor="text1"/>
        </w:rPr>
        <w:t>Gagnarli</w:t>
      </w:r>
      <w:proofErr w:type="spellEnd"/>
      <w:r w:rsidRPr="00221832">
        <w:rPr>
          <w:color w:val="000000" w:themeColor="text1"/>
        </w:rPr>
        <w:t>, L'Abbate, Maglione, Alberto Manca, Marzana, Parentela, Pignatone, Galizia.</w:t>
      </w:r>
    </w:p>
  </w:footnote>
  <w:footnote w:id="38">
    <w:p w14:paraId="0AB12B67" w14:textId="3CC4C5E1" w:rsidR="00246D28" w:rsidRDefault="00246D28" w:rsidP="00246D28">
      <w:r>
        <w:rPr>
          <w:rStyle w:val="Rimandonotaapidipagina"/>
        </w:rPr>
        <w:footnoteRef/>
      </w:r>
      <w:r>
        <w:t xml:space="preserve"> </w:t>
      </w:r>
      <w:r w:rsidRPr="00221832">
        <w:rPr>
          <w:color w:val="000000" w:themeColor="text1"/>
        </w:rPr>
        <w:t>*32.3. (Nuova formulazione) Benamati; *32.32. (Nuova formulazione) Foti, Prisco, Butti, Donzelli, Rachele Silvestri.</w:t>
      </w:r>
    </w:p>
  </w:footnote>
  <w:footnote w:id="39">
    <w:p w14:paraId="16905614" w14:textId="79BC3023" w:rsidR="008B3AE9" w:rsidRDefault="008B3AE9" w:rsidP="008B3AE9">
      <w:r>
        <w:rPr>
          <w:rStyle w:val="Rimandonotaapidipagina"/>
        </w:rPr>
        <w:footnoteRef/>
      </w:r>
      <w:r>
        <w:t xml:space="preserve"> </w:t>
      </w:r>
      <w:r w:rsidRPr="00221832">
        <w:rPr>
          <w:color w:val="000000" w:themeColor="text1"/>
        </w:rPr>
        <w:t xml:space="preserve">**32.017. (Nuova formulazione) </w:t>
      </w:r>
      <w:proofErr w:type="spellStart"/>
      <w:r w:rsidRPr="00221832">
        <w:rPr>
          <w:color w:val="000000" w:themeColor="text1"/>
        </w:rPr>
        <w:t>Patassini</w:t>
      </w:r>
      <w:proofErr w:type="spellEnd"/>
      <w:r w:rsidRPr="00221832">
        <w:rPr>
          <w:color w:val="000000" w:themeColor="text1"/>
        </w:rPr>
        <w:t xml:space="preserve">, Lucchini, Benvenuto, </w:t>
      </w:r>
      <w:proofErr w:type="spellStart"/>
      <w:r w:rsidRPr="00221832">
        <w:rPr>
          <w:color w:val="000000" w:themeColor="text1"/>
        </w:rPr>
        <w:t>Furgiuele</w:t>
      </w:r>
      <w:proofErr w:type="spellEnd"/>
      <w:r w:rsidRPr="00221832">
        <w:rPr>
          <w:color w:val="000000" w:themeColor="text1"/>
        </w:rPr>
        <w:t xml:space="preserve">, </w:t>
      </w:r>
      <w:proofErr w:type="spellStart"/>
      <w:r w:rsidRPr="00221832">
        <w:rPr>
          <w:color w:val="000000" w:themeColor="text1"/>
        </w:rPr>
        <w:t>Badole</w:t>
      </w:r>
      <w:proofErr w:type="spellEnd"/>
      <w:r w:rsidRPr="00221832">
        <w:rPr>
          <w:color w:val="000000" w:themeColor="text1"/>
        </w:rPr>
        <w:t xml:space="preserve">, Dara, D'Eramo, Eva Lorenzoni, Raffaelli, Valbusa, </w:t>
      </w:r>
      <w:proofErr w:type="spellStart"/>
      <w:r w:rsidRPr="00221832">
        <w:rPr>
          <w:color w:val="000000" w:themeColor="text1"/>
        </w:rPr>
        <w:t>Vallotto</w:t>
      </w:r>
      <w:proofErr w:type="spellEnd"/>
      <w:r w:rsidRPr="00221832">
        <w:rPr>
          <w:color w:val="000000" w:themeColor="text1"/>
        </w:rPr>
        <w:t>; **32.035. (Nuova formulazione) Mazzetti, Cortelazzo, Tartaglione, Labriola.</w:t>
      </w:r>
    </w:p>
  </w:footnote>
  <w:footnote w:id="40">
    <w:p w14:paraId="0905D082" w14:textId="3213E18E" w:rsidR="008B3AE9" w:rsidRDefault="008B3AE9" w:rsidP="008B3AE9">
      <w:r>
        <w:rPr>
          <w:rStyle w:val="Rimandonotaapidipagina"/>
        </w:rPr>
        <w:footnoteRef/>
      </w:r>
      <w:r>
        <w:t xml:space="preserve"> </w:t>
      </w:r>
      <w:r w:rsidRPr="008B3AE9">
        <w:rPr>
          <w:color w:val="000000" w:themeColor="text1"/>
        </w:rPr>
        <w:t xml:space="preserve">*32.06. Braga, Pezzopane, Buratti, </w:t>
      </w:r>
      <w:proofErr w:type="spellStart"/>
      <w:r w:rsidRPr="008B3AE9">
        <w:rPr>
          <w:color w:val="000000" w:themeColor="text1"/>
        </w:rPr>
        <w:t>Morgoni</w:t>
      </w:r>
      <w:proofErr w:type="spellEnd"/>
      <w:r w:rsidRPr="008B3AE9">
        <w:rPr>
          <w:color w:val="000000" w:themeColor="text1"/>
        </w:rPr>
        <w:t xml:space="preserve">, Pellicani, Rotta, Zardini; *32.07. Lucchini, Benvenuto, </w:t>
      </w:r>
      <w:proofErr w:type="spellStart"/>
      <w:r w:rsidRPr="008B3AE9">
        <w:rPr>
          <w:color w:val="000000" w:themeColor="text1"/>
        </w:rPr>
        <w:t>Badole</w:t>
      </w:r>
      <w:proofErr w:type="spellEnd"/>
      <w:r w:rsidRPr="008B3AE9">
        <w:rPr>
          <w:color w:val="000000" w:themeColor="text1"/>
        </w:rPr>
        <w:t xml:space="preserve">, Dara, D'Eramo, Eva Lorenzoni, </w:t>
      </w:r>
      <w:proofErr w:type="spellStart"/>
      <w:r w:rsidRPr="008B3AE9">
        <w:rPr>
          <w:color w:val="000000" w:themeColor="text1"/>
        </w:rPr>
        <w:t>Patassini</w:t>
      </w:r>
      <w:proofErr w:type="spellEnd"/>
      <w:r w:rsidRPr="008B3AE9">
        <w:rPr>
          <w:color w:val="000000" w:themeColor="text1"/>
        </w:rPr>
        <w:t xml:space="preserve">, Raffaelli, Valbusa, </w:t>
      </w:r>
      <w:proofErr w:type="spellStart"/>
      <w:r w:rsidRPr="008B3AE9">
        <w:rPr>
          <w:color w:val="000000" w:themeColor="text1"/>
        </w:rPr>
        <w:t>Vallotto</w:t>
      </w:r>
      <w:proofErr w:type="spellEnd"/>
      <w:r w:rsidRPr="008B3AE9">
        <w:rPr>
          <w:color w:val="000000" w:themeColor="text1"/>
        </w:rPr>
        <w:t xml:space="preserve">; *32.031. Cortelazzo, Mazzetti, Labriola, Ferraioli, Casino, Paolo Russo, </w:t>
      </w:r>
      <w:proofErr w:type="spellStart"/>
      <w:r w:rsidRPr="008B3AE9">
        <w:rPr>
          <w:color w:val="000000" w:themeColor="text1"/>
        </w:rPr>
        <w:t>Milanato</w:t>
      </w:r>
      <w:proofErr w:type="spellEnd"/>
      <w:r w:rsidRPr="008B3AE9">
        <w:rPr>
          <w:color w:val="000000" w:themeColor="text1"/>
        </w:rPr>
        <w:t>, Sarro, Tartaglione.</w:t>
      </w:r>
    </w:p>
  </w:footnote>
  <w:footnote w:id="41">
    <w:p w14:paraId="277A5BA1" w14:textId="286F44BD" w:rsidR="008B3AE9" w:rsidRDefault="008B3AE9" w:rsidP="008B3AE9">
      <w:r>
        <w:rPr>
          <w:rStyle w:val="Rimandonotaapidipagina"/>
        </w:rPr>
        <w:footnoteRef/>
      </w:r>
      <w:r>
        <w:t xml:space="preserve"> </w:t>
      </w:r>
      <w:r w:rsidRPr="008F768F">
        <w:rPr>
          <w:color w:val="000000" w:themeColor="text1"/>
        </w:rPr>
        <w:t xml:space="preserve">*34.1. (Nuova formulazione) </w:t>
      </w:r>
      <w:proofErr w:type="spellStart"/>
      <w:r w:rsidRPr="008F768F">
        <w:rPr>
          <w:color w:val="000000" w:themeColor="text1"/>
        </w:rPr>
        <w:t>Fregolent</w:t>
      </w:r>
      <w:proofErr w:type="spellEnd"/>
      <w:r w:rsidRPr="008F768F">
        <w:rPr>
          <w:color w:val="000000" w:themeColor="text1"/>
        </w:rPr>
        <w:t xml:space="preserve">, Marco Di Maio; *34.12. (Nuova formulazione) Rachele Silvestri, Foti, Prisco, Butti, Donzelli; *35.88. (Nuova formulazione) Maraia; *35.22. (Nuova formulazione) Eva Lorenzoni, Lucchini, Benvenuto, </w:t>
      </w:r>
      <w:proofErr w:type="spellStart"/>
      <w:r w:rsidRPr="008F768F">
        <w:rPr>
          <w:color w:val="000000" w:themeColor="text1"/>
        </w:rPr>
        <w:t>Badole</w:t>
      </w:r>
      <w:proofErr w:type="spellEnd"/>
      <w:r w:rsidRPr="008F768F">
        <w:rPr>
          <w:color w:val="000000" w:themeColor="text1"/>
        </w:rPr>
        <w:t xml:space="preserve">, </w:t>
      </w:r>
      <w:proofErr w:type="spellStart"/>
      <w:r w:rsidRPr="008F768F">
        <w:rPr>
          <w:color w:val="000000" w:themeColor="text1"/>
        </w:rPr>
        <w:t>Patassini</w:t>
      </w:r>
      <w:proofErr w:type="spellEnd"/>
      <w:r w:rsidRPr="008F768F">
        <w:rPr>
          <w:color w:val="000000" w:themeColor="text1"/>
        </w:rPr>
        <w:t xml:space="preserve">, </w:t>
      </w:r>
      <w:proofErr w:type="spellStart"/>
      <w:r w:rsidRPr="008F768F">
        <w:rPr>
          <w:color w:val="000000" w:themeColor="text1"/>
        </w:rPr>
        <w:t>Vallotto</w:t>
      </w:r>
      <w:proofErr w:type="spellEnd"/>
      <w:r w:rsidRPr="008F768F">
        <w:rPr>
          <w:color w:val="000000" w:themeColor="text1"/>
        </w:rPr>
        <w:t>, Dara, D'Eramo, Raffaelli, Valbusa.</w:t>
      </w:r>
      <w:r>
        <w:rPr>
          <w:color w:val="000000" w:themeColor="text1"/>
        </w:rPr>
        <w:t xml:space="preserve"> </w:t>
      </w:r>
    </w:p>
  </w:footnote>
  <w:footnote w:id="42">
    <w:p w14:paraId="791CEAD7" w14:textId="081C115F" w:rsidR="008B3AE9" w:rsidRDefault="008B3AE9" w:rsidP="008B3AE9">
      <w:r>
        <w:rPr>
          <w:rStyle w:val="Rimandonotaapidipagina"/>
        </w:rPr>
        <w:footnoteRef/>
      </w:r>
      <w:r>
        <w:t xml:space="preserve"> </w:t>
      </w:r>
      <w:r w:rsidRPr="008F768F">
        <w:rPr>
          <w:color w:val="000000" w:themeColor="text1"/>
        </w:rPr>
        <w:t xml:space="preserve">*35.27. (Nuova formulazione) Lucchini, Benvenuto, </w:t>
      </w:r>
      <w:proofErr w:type="spellStart"/>
      <w:r w:rsidRPr="008F768F">
        <w:rPr>
          <w:color w:val="000000" w:themeColor="text1"/>
        </w:rPr>
        <w:t>Badole</w:t>
      </w:r>
      <w:proofErr w:type="spellEnd"/>
      <w:r w:rsidRPr="008F768F">
        <w:rPr>
          <w:color w:val="000000" w:themeColor="text1"/>
        </w:rPr>
        <w:t xml:space="preserve">, Dara, D'Eramo, Eva Lorenzoni, </w:t>
      </w:r>
      <w:proofErr w:type="spellStart"/>
      <w:r w:rsidRPr="008F768F">
        <w:rPr>
          <w:color w:val="000000" w:themeColor="text1"/>
        </w:rPr>
        <w:t>Patassini</w:t>
      </w:r>
      <w:proofErr w:type="spellEnd"/>
      <w:r w:rsidRPr="008F768F">
        <w:rPr>
          <w:color w:val="000000" w:themeColor="text1"/>
        </w:rPr>
        <w:t xml:space="preserve">, Raffaelli, Valbusa, </w:t>
      </w:r>
      <w:proofErr w:type="spellStart"/>
      <w:r w:rsidRPr="008F768F">
        <w:rPr>
          <w:color w:val="000000" w:themeColor="text1"/>
        </w:rPr>
        <w:t>Vallotto</w:t>
      </w:r>
      <w:proofErr w:type="spellEnd"/>
      <w:r w:rsidRPr="008F768F">
        <w:rPr>
          <w:color w:val="000000" w:themeColor="text1"/>
        </w:rPr>
        <w:t xml:space="preserve">; *35.99. (Nuova formulazione) Cortelazzo, Mazzetti, Labriola, Ferraioli, Casino, Paolo Russo, </w:t>
      </w:r>
      <w:proofErr w:type="spellStart"/>
      <w:r w:rsidRPr="008F768F">
        <w:rPr>
          <w:color w:val="000000" w:themeColor="text1"/>
        </w:rPr>
        <w:t>Milanato</w:t>
      </w:r>
      <w:proofErr w:type="spellEnd"/>
      <w:r w:rsidRPr="008F768F">
        <w:rPr>
          <w:color w:val="000000" w:themeColor="text1"/>
        </w:rPr>
        <w:t>, Sarro, Tartaglione.</w:t>
      </w:r>
    </w:p>
  </w:footnote>
  <w:footnote w:id="43">
    <w:p w14:paraId="1BE03911" w14:textId="1669245A" w:rsidR="005162C7" w:rsidRDefault="005162C7" w:rsidP="005162C7">
      <w:r>
        <w:rPr>
          <w:rStyle w:val="Rimandonotaapidipagina"/>
        </w:rPr>
        <w:footnoteRef/>
      </w:r>
      <w:r>
        <w:t xml:space="preserve"> </w:t>
      </w:r>
      <w:r w:rsidRPr="005162C7">
        <w:rPr>
          <w:color w:val="000000" w:themeColor="text1"/>
        </w:rPr>
        <w:t xml:space="preserve">**35.7. Braga; **35.29. Benvenuto, Lucchini, </w:t>
      </w:r>
      <w:proofErr w:type="spellStart"/>
      <w:r w:rsidRPr="005162C7">
        <w:rPr>
          <w:color w:val="000000" w:themeColor="text1"/>
        </w:rPr>
        <w:t>Badole</w:t>
      </w:r>
      <w:proofErr w:type="spellEnd"/>
      <w:r w:rsidRPr="005162C7">
        <w:rPr>
          <w:color w:val="000000" w:themeColor="text1"/>
        </w:rPr>
        <w:t xml:space="preserve">, Dara, D'Eramo, Eva Lorenzoni, </w:t>
      </w:r>
      <w:proofErr w:type="spellStart"/>
      <w:r w:rsidRPr="005162C7">
        <w:rPr>
          <w:color w:val="000000" w:themeColor="text1"/>
        </w:rPr>
        <w:t>Patassini</w:t>
      </w:r>
      <w:proofErr w:type="spellEnd"/>
      <w:r w:rsidRPr="005162C7">
        <w:rPr>
          <w:color w:val="000000" w:themeColor="text1"/>
        </w:rPr>
        <w:t xml:space="preserve">, Raffaelli, Valbusa, </w:t>
      </w:r>
      <w:proofErr w:type="spellStart"/>
      <w:proofErr w:type="gramStart"/>
      <w:r w:rsidRPr="005162C7">
        <w:rPr>
          <w:color w:val="000000" w:themeColor="text1"/>
        </w:rPr>
        <w:t>Vallotto</w:t>
      </w:r>
      <w:proofErr w:type="spellEnd"/>
      <w:r w:rsidRPr="005162C7">
        <w:rPr>
          <w:color w:val="000000" w:themeColor="text1"/>
        </w:rPr>
        <w:t>;*</w:t>
      </w:r>
      <w:proofErr w:type="gramEnd"/>
      <w:r w:rsidRPr="005162C7">
        <w:rPr>
          <w:color w:val="000000" w:themeColor="text1"/>
        </w:rPr>
        <w:t xml:space="preserve">*35.37. Gagliardi; **35.50. Zucconi; **35.80. Deiana; **35.100. Squeri, Cortelazzo, Mazzetti, Labriola, Ferraioli, Casino, Paolo Russo, </w:t>
      </w:r>
      <w:proofErr w:type="spellStart"/>
      <w:r w:rsidRPr="005162C7">
        <w:rPr>
          <w:color w:val="000000" w:themeColor="text1"/>
        </w:rPr>
        <w:t>Milanato</w:t>
      </w:r>
      <w:proofErr w:type="spellEnd"/>
      <w:r w:rsidRPr="005162C7">
        <w:rPr>
          <w:color w:val="000000" w:themeColor="text1"/>
        </w:rPr>
        <w:t xml:space="preserve">, Sarro, Tartaglione; **35.102. Mazzetti, Cortelazzo, Labriola, Tartaglione, Ferraioli, </w:t>
      </w:r>
      <w:proofErr w:type="spellStart"/>
      <w:r w:rsidRPr="005162C7">
        <w:rPr>
          <w:color w:val="000000" w:themeColor="text1"/>
        </w:rPr>
        <w:t>Milanato</w:t>
      </w:r>
      <w:proofErr w:type="spellEnd"/>
      <w:r w:rsidRPr="005162C7">
        <w:rPr>
          <w:color w:val="000000" w:themeColor="text1"/>
        </w:rPr>
        <w:t>, Casino, Sarro, D'Attis, Paolo Russo.</w:t>
      </w:r>
    </w:p>
  </w:footnote>
  <w:footnote w:id="44">
    <w:p w14:paraId="62870E46" w14:textId="30DCF443" w:rsidR="005162C7" w:rsidRDefault="005162C7" w:rsidP="005162C7">
      <w:r>
        <w:rPr>
          <w:rStyle w:val="Rimandonotaapidipagina"/>
        </w:rPr>
        <w:footnoteRef/>
      </w:r>
      <w:r>
        <w:t xml:space="preserve"> </w:t>
      </w:r>
      <w:r w:rsidRPr="00CF470B">
        <w:rPr>
          <w:color w:val="000000" w:themeColor="text1"/>
        </w:rPr>
        <w:t xml:space="preserve">35.15. (Nuova formulazione) Invernizzi, Lucchini, Benvenuto, </w:t>
      </w:r>
      <w:proofErr w:type="spellStart"/>
      <w:r w:rsidRPr="00CF470B">
        <w:rPr>
          <w:color w:val="000000" w:themeColor="text1"/>
        </w:rPr>
        <w:t>Badole</w:t>
      </w:r>
      <w:proofErr w:type="spellEnd"/>
      <w:r w:rsidRPr="00CF470B">
        <w:rPr>
          <w:color w:val="000000" w:themeColor="text1"/>
        </w:rPr>
        <w:t xml:space="preserve">, </w:t>
      </w:r>
      <w:proofErr w:type="spellStart"/>
      <w:r w:rsidRPr="00CF470B">
        <w:rPr>
          <w:color w:val="000000" w:themeColor="text1"/>
        </w:rPr>
        <w:t>Patassini</w:t>
      </w:r>
      <w:proofErr w:type="spellEnd"/>
      <w:r w:rsidRPr="00CF470B">
        <w:rPr>
          <w:color w:val="000000" w:themeColor="text1"/>
        </w:rPr>
        <w:t xml:space="preserve">, Dara, D'Eramo, Eva Lorenzoni, Raffaelli, Valbusa, </w:t>
      </w:r>
      <w:proofErr w:type="spellStart"/>
      <w:r w:rsidRPr="00CF470B">
        <w:rPr>
          <w:color w:val="000000" w:themeColor="text1"/>
        </w:rPr>
        <w:t>Vallotto</w:t>
      </w:r>
      <w:proofErr w:type="spellEnd"/>
      <w:r w:rsidRPr="00CF470B">
        <w:rPr>
          <w:color w:val="000000" w:themeColor="text1"/>
        </w:rPr>
        <w:t>.</w:t>
      </w:r>
    </w:p>
  </w:footnote>
  <w:footnote w:id="45">
    <w:p w14:paraId="78C2054E" w14:textId="3661E7DF" w:rsidR="005162C7" w:rsidRDefault="005162C7" w:rsidP="005162C7">
      <w:pPr>
        <w:jc w:val="both"/>
      </w:pPr>
      <w:r>
        <w:rPr>
          <w:rStyle w:val="Rimandonotaapidipagina"/>
        </w:rPr>
        <w:footnoteRef/>
      </w:r>
      <w:r>
        <w:t xml:space="preserve"> </w:t>
      </w:r>
      <w:r w:rsidRPr="00CF470B">
        <w:rPr>
          <w:color w:val="000000" w:themeColor="text1"/>
        </w:rPr>
        <w:t xml:space="preserve">*35.5. (Nuova formulazione) Foti, Prisco, Butti, Donzelli, Rachele Silvestri; *35.12. (Nuova formulazione) Pezzopane, Braga, Rotta, Buratti, </w:t>
      </w:r>
      <w:proofErr w:type="spellStart"/>
      <w:r w:rsidRPr="00CF470B">
        <w:rPr>
          <w:color w:val="000000" w:themeColor="text1"/>
        </w:rPr>
        <w:t>Morgoni</w:t>
      </w:r>
      <w:proofErr w:type="spellEnd"/>
      <w:r w:rsidRPr="00CF470B">
        <w:rPr>
          <w:color w:val="000000" w:themeColor="text1"/>
        </w:rPr>
        <w:t xml:space="preserve">, Pellicani; *35.31. (Nuova formulazione) Lucchini, Benvenuto, </w:t>
      </w:r>
      <w:proofErr w:type="spellStart"/>
      <w:r w:rsidRPr="00CF470B">
        <w:rPr>
          <w:color w:val="000000" w:themeColor="text1"/>
        </w:rPr>
        <w:t>Badole</w:t>
      </w:r>
      <w:proofErr w:type="spellEnd"/>
      <w:r w:rsidRPr="00CF470B">
        <w:rPr>
          <w:color w:val="000000" w:themeColor="text1"/>
        </w:rPr>
        <w:t xml:space="preserve">, Dara, D'Eramo, Eva Lorenzoni, </w:t>
      </w:r>
      <w:proofErr w:type="spellStart"/>
      <w:r w:rsidRPr="00CF470B">
        <w:rPr>
          <w:color w:val="000000" w:themeColor="text1"/>
        </w:rPr>
        <w:t>Patassini</w:t>
      </w:r>
      <w:proofErr w:type="spellEnd"/>
      <w:r w:rsidRPr="00CF470B">
        <w:rPr>
          <w:color w:val="000000" w:themeColor="text1"/>
        </w:rPr>
        <w:t xml:space="preserve">, Raffaelli, Valbusa, </w:t>
      </w:r>
      <w:proofErr w:type="spellStart"/>
      <w:r w:rsidRPr="00CF470B">
        <w:rPr>
          <w:color w:val="000000" w:themeColor="text1"/>
        </w:rPr>
        <w:t>Vallotto</w:t>
      </w:r>
      <w:proofErr w:type="spellEnd"/>
      <w:r w:rsidRPr="00CF470B">
        <w:rPr>
          <w:color w:val="000000" w:themeColor="text1"/>
        </w:rPr>
        <w:t xml:space="preserve">; *35.55. (Nuova formulazione) Marco Di Maio, </w:t>
      </w:r>
      <w:proofErr w:type="spellStart"/>
      <w:r w:rsidRPr="00CF470B">
        <w:rPr>
          <w:color w:val="000000" w:themeColor="text1"/>
        </w:rPr>
        <w:t>Fregolent</w:t>
      </w:r>
      <w:proofErr w:type="spellEnd"/>
      <w:r w:rsidRPr="00CF470B">
        <w:rPr>
          <w:color w:val="000000" w:themeColor="text1"/>
        </w:rPr>
        <w:t xml:space="preserve">; *35.71. (Nuova formulazione) Mazzetti, Cortelazzo, Cattaneo, </w:t>
      </w:r>
      <w:proofErr w:type="spellStart"/>
      <w:r w:rsidRPr="00CF470B">
        <w:rPr>
          <w:color w:val="000000" w:themeColor="text1"/>
        </w:rPr>
        <w:t>Milanato</w:t>
      </w:r>
      <w:proofErr w:type="spellEnd"/>
      <w:r w:rsidRPr="00CF470B">
        <w:rPr>
          <w:color w:val="000000" w:themeColor="text1"/>
        </w:rPr>
        <w:t xml:space="preserve">, Sarro, Tartaglione, </w:t>
      </w:r>
      <w:proofErr w:type="spellStart"/>
      <w:r w:rsidRPr="00CF470B">
        <w:rPr>
          <w:color w:val="000000" w:themeColor="text1"/>
        </w:rPr>
        <w:t>Porchietto</w:t>
      </w:r>
      <w:proofErr w:type="spellEnd"/>
      <w:r w:rsidRPr="00CF470B">
        <w:rPr>
          <w:color w:val="000000" w:themeColor="text1"/>
        </w:rPr>
        <w:t>, Barelli, Giacomoni, Mandelli, Labriola, Marrocco; *35.92. (Nuova formulazione) Maraia.</w:t>
      </w:r>
    </w:p>
  </w:footnote>
  <w:footnote w:id="46">
    <w:p w14:paraId="75A61BA7" w14:textId="2533B278" w:rsidR="005162C7" w:rsidRDefault="005162C7" w:rsidP="005162C7">
      <w:r>
        <w:rPr>
          <w:rStyle w:val="Rimandonotaapidipagina"/>
        </w:rPr>
        <w:footnoteRef/>
      </w:r>
      <w:r>
        <w:t xml:space="preserve"> </w:t>
      </w:r>
      <w:r w:rsidRPr="00CF470B">
        <w:rPr>
          <w:color w:val="000000" w:themeColor="text1"/>
        </w:rPr>
        <w:t>35.1. (Nuova formulazione) Benamati.</w:t>
      </w:r>
    </w:p>
  </w:footnote>
  <w:footnote w:id="47">
    <w:p w14:paraId="71AB5253" w14:textId="368ECEC2" w:rsidR="005162C7" w:rsidRDefault="005162C7" w:rsidP="005162C7">
      <w:r>
        <w:rPr>
          <w:rStyle w:val="Rimandonotaapidipagina"/>
        </w:rPr>
        <w:footnoteRef/>
      </w:r>
      <w:r>
        <w:t xml:space="preserve"> </w:t>
      </w:r>
      <w:r w:rsidRPr="005162C7">
        <w:rPr>
          <w:color w:val="000000" w:themeColor="text1"/>
        </w:rPr>
        <w:t xml:space="preserve">*35.03. Pezzopane; *35.012. Muroni, </w:t>
      </w:r>
      <w:proofErr w:type="spellStart"/>
      <w:r w:rsidRPr="005162C7">
        <w:rPr>
          <w:color w:val="000000" w:themeColor="text1"/>
        </w:rPr>
        <w:t>Fioramonti</w:t>
      </w:r>
      <w:proofErr w:type="spellEnd"/>
      <w:r w:rsidRPr="005162C7">
        <w:rPr>
          <w:color w:val="000000" w:themeColor="text1"/>
        </w:rPr>
        <w:t xml:space="preserve">, Fusacchia, Cecconi, Lombardo; *35.015. Marco Di Maio, </w:t>
      </w:r>
      <w:proofErr w:type="spellStart"/>
      <w:r w:rsidRPr="005162C7">
        <w:rPr>
          <w:color w:val="000000" w:themeColor="text1"/>
        </w:rPr>
        <w:t>Fregolent</w:t>
      </w:r>
      <w:proofErr w:type="spellEnd"/>
      <w:r w:rsidRPr="005162C7">
        <w:rPr>
          <w:color w:val="000000" w:themeColor="text1"/>
        </w:rPr>
        <w:t xml:space="preserve">; *35.017. Maurizio </w:t>
      </w:r>
      <w:proofErr w:type="spellStart"/>
      <w:r w:rsidRPr="005162C7">
        <w:rPr>
          <w:color w:val="000000" w:themeColor="text1"/>
        </w:rPr>
        <w:t>Cattoi</w:t>
      </w:r>
      <w:proofErr w:type="spellEnd"/>
      <w:r w:rsidRPr="005162C7">
        <w:rPr>
          <w:color w:val="000000" w:themeColor="text1"/>
        </w:rPr>
        <w:t xml:space="preserve">, Bilotti, Cadeddu, </w:t>
      </w:r>
      <w:proofErr w:type="spellStart"/>
      <w:r w:rsidRPr="005162C7">
        <w:rPr>
          <w:color w:val="000000" w:themeColor="text1"/>
        </w:rPr>
        <w:t>Cassese</w:t>
      </w:r>
      <w:proofErr w:type="spellEnd"/>
      <w:r w:rsidRPr="005162C7">
        <w:rPr>
          <w:color w:val="000000" w:themeColor="text1"/>
        </w:rPr>
        <w:t xml:space="preserve">, </w:t>
      </w:r>
      <w:proofErr w:type="spellStart"/>
      <w:r w:rsidRPr="005162C7">
        <w:rPr>
          <w:color w:val="000000" w:themeColor="text1"/>
        </w:rPr>
        <w:t>Cillis</w:t>
      </w:r>
      <w:proofErr w:type="spellEnd"/>
      <w:r w:rsidRPr="005162C7">
        <w:rPr>
          <w:color w:val="000000" w:themeColor="text1"/>
        </w:rPr>
        <w:t xml:space="preserve">, </w:t>
      </w:r>
      <w:proofErr w:type="spellStart"/>
      <w:r w:rsidRPr="005162C7">
        <w:rPr>
          <w:color w:val="000000" w:themeColor="text1"/>
        </w:rPr>
        <w:t>Gagnarli</w:t>
      </w:r>
      <w:proofErr w:type="spellEnd"/>
      <w:r w:rsidRPr="005162C7">
        <w:rPr>
          <w:color w:val="000000" w:themeColor="text1"/>
        </w:rPr>
        <w:t xml:space="preserve">, Gallinella, L'Abbate, Maglione, Alberto Manca, Marzana, Parentela, Pignatone; *35.032. Giacometto, Cortelazzo, Mazzetti, </w:t>
      </w:r>
      <w:proofErr w:type="spellStart"/>
      <w:r w:rsidRPr="005162C7">
        <w:rPr>
          <w:color w:val="000000" w:themeColor="text1"/>
        </w:rPr>
        <w:t>Milanato</w:t>
      </w:r>
      <w:proofErr w:type="spellEnd"/>
      <w:r w:rsidRPr="005162C7">
        <w:rPr>
          <w:color w:val="000000" w:themeColor="text1"/>
        </w:rPr>
        <w:t>, Tartaglione, Sarro, Cattaneo, Labriola, Marrocco.</w:t>
      </w:r>
    </w:p>
  </w:footnote>
  <w:footnote w:id="48">
    <w:p w14:paraId="79C269BC" w14:textId="22BE6719" w:rsidR="005162C7" w:rsidRDefault="005162C7" w:rsidP="005162C7">
      <w:r>
        <w:rPr>
          <w:rStyle w:val="Rimandonotaapidipagina"/>
        </w:rPr>
        <w:footnoteRef/>
      </w:r>
      <w:r>
        <w:t xml:space="preserve"> </w:t>
      </w:r>
      <w:r w:rsidRPr="00CF470B">
        <w:rPr>
          <w:color w:val="000000" w:themeColor="text1"/>
        </w:rPr>
        <w:t xml:space="preserve">*36.9. (Nuova formulazione) Braga; *36.26. (Nuova formulazione) Cortelazzo, Mazzetti, </w:t>
      </w:r>
      <w:proofErr w:type="spellStart"/>
      <w:r w:rsidRPr="00CF470B">
        <w:rPr>
          <w:color w:val="000000" w:themeColor="text1"/>
        </w:rPr>
        <w:t>Milanato</w:t>
      </w:r>
      <w:proofErr w:type="spellEnd"/>
      <w:r w:rsidRPr="00CF470B">
        <w:rPr>
          <w:color w:val="000000" w:themeColor="text1"/>
        </w:rPr>
        <w:t>, Sarro, Tartaglione, Labriola.</w:t>
      </w:r>
    </w:p>
  </w:footnote>
  <w:footnote w:id="49">
    <w:p w14:paraId="3E1B6F9A" w14:textId="0725DCB5" w:rsidR="00C745E5" w:rsidRDefault="00C745E5" w:rsidP="00C745E5">
      <w:r>
        <w:rPr>
          <w:rStyle w:val="Rimandonotaapidipagina"/>
        </w:rPr>
        <w:footnoteRef/>
      </w:r>
      <w:r>
        <w:t xml:space="preserve"> </w:t>
      </w:r>
      <w:r w:rsidRPr="00345C0D">
        <w:rPr>
          <w:color w:val="000000" w:themeColor="text1"/>
        </w:rPr>
        <w:t>36.6. (Nuova formulazione) Enrico Borghi.</w:t>
      </w:r>
    </w:p>
  </w:footnote>
  <w:footnote w:id="50">
    <w:p w14:paraId="16649D47" w14:textId="545370C1" w:rsidR="00C745E5" w:rsidRDefault="00C745E5" w:rsidP="00C745E5">
      <w:r>
        <w:rPr>
          <w:rStyle w:val="Rimandonotaapidipagina"/>
        </w:rPr>
        <w:footnoteRef/>
      </w:r>
      <w:r>
        <w:t xml:space="preserve"> </w:t>
      </w:r>
      <w:r w:rsidRPr="00345C0D">
        <w:rPr>
          <w:color w:val="000000" w:themeColor="text1"/>
        </w:rPr>
        <w:t xml:space="preserve">36.031. (Nuova formulazione) Occhiuto, Cannizzaro, D'Ettore, </w:t>
      </w:r>
      <w:proofErr w:type="spellStart"/>
      <w:r w:rsidRPr="00345C0D">
        <w:rPr>
          <w:color w:val="000000" w:themeColor="text1"/>
        </w:rPr>
        <w:t>Lucaselli</w:t>
      </w:r>
      <w:proofErr w:type="spellEnd"/>
      <w:r w:rsidRPr="00345C0D">
        <w:rPr>
          <w:color w:val="000000" w:themeColor="text1"/>
        </w:rPr>
        <w:t xml:space="preserve">, Meloni, Prisco, Donzelli, Butti, Rachele Silvestri, Foti, Baldino, Pezzopane, Iezzi, Lucchini, Ziello, </w:t>
      </w:r>
      <w:proofErr w:type="spellStart"/>
      <w:r w:rsidRPr="00345C0D">
        <w:rPr>
          <w:color w:val="000000" w:themeColor="text1"/>
        </w:rPr>
        <w:t>Fregolent</w:t>
      </w:r>
      <w:proofErr w:type="spellEnd"/>
      <w:r w:rsidRPr="00345C0D">
        <w:rPr>
          <w:color w:val="000000" w:themeColor="text1"/>
        </w:rPr>
        <w:t>, Forciniti, Labriola, Marrocco.</w:t>
      </w:r>
      <w:r>
        <w:rPr>
          <w:color w:val="000000" w:themeColor="text1"/>
        </w:rPr>
        <w:t xml:space="preserve"> </w:t>
      </w:r>
    </w:p>
  </w:footnote>
  <w:footnote w:id="51">
    <w:p w14:paraId="64CB05A5" w14:textId="3AC7A9AA" w:rsidR="00D36141" w:rsidRDefault="00D36141" w:rsidP="00D36141">
      <w:r>
        <w:rPr>
          <w:rStyle w:val="Rimandonotaapidipagina"/>
        </w:rPr>
        <w:footnoteRef/>
      </w:r>
      <w:r>
        <w:t xml:space="preserve"> </w:t>
      </w:r>
      <w:r w:rsidRPr="002D5130">
        <w:rPr>
          <w:color w:val="000000" w:themeColor="text1"/>
        </w:rPr>
        <w:t xml:space="preserve">*21.2. (Nuova formulazione) Braga; *21.12. (Nuova formulazione) Cortelazzo, Mazzetti, </w:t>
      </w:r>
      <w:proofErr w:type="spellStart"/>
      <w:r w:rsidRPr="002D5130">
        <w:rPr>
          <w:color w:val="000000" w:themeColor="text1"/>
        </w:rPr>
        <w:t>Milanato</w:t>
      </w:r>
      <w:proofErr w:type="spellEnd"/>
      <w:r w:rsidRPr="002D5130">
        <w:rPr>
          <w:color w:val="000000" w:themeColor="text1"/>
        </w:rPr>
        <w:t>, Sarro, Tartaglione, Labriola.</w:t>
      </w:r>
    </w:p>
  </w:footnote>
  <w:footnote w:id="52">
    <w:p w14:paraId="6F3EEB21" w14:textId="77777777" w:rsidR="00B3301A" w:rsidRPr="00AA6695" w:rsidRDefault="00B3301A" w:rsidP="00B3301A">
      <w:pPr>
        <w:jc w:val="both"/>
        <w:rPr>
          <w:rFonts w:asciiTheme="minorHAnsi" w:hAnsiTheme="minorHAnsi"/>
          <w:color w:val="000000" w:themeColor="text1"/>
        </w:rPr>
      </w:pPr>
      <w:r>
        <w:rPr>
          <w:rStyle w:val="Rimandonotaapidipagina"/>
        </w:rPr>
        <w:footnoteRef/>
      </w:r>
      <w:r>
        <w:t xml:space="preserve"> </w:t>
      </w:r>
      <w:r w:rsidRPr="00AA6695">
        <w:rPr>
          <w:rFonts w:asciiTheme="minorHAnsi" w:hAnsiTheme="minorHAnsi"/>
          <w:color w:val="000000" w:themeColor="text1"/>
        </w:rPr>
        <w:t>38.13. (Nuova formulazione) Ceccanti, Navarra, Bruno Bossio, Ciampi, Fiano, Giorgis, Mauri, Pollastrini, Raciti</w:t>
      </w:r>
      <w:r w:rsidRPr="00AA6695">
        <w:rPr>
          <w:color w:val="000000" w:themeColor="text1"/>
        </w:rPr>
        <w:t xml:space="preserve">; </w:t>
      </w:r>
      <w:r w:rsidRPr="00AA6695">
        <w:rPr>
          <w:rFonts w:asciiTheme="minorHAnsi" w:hAnsiTheme="minorHAnsi"/>
          <w:color w:val="000000" w:themeColor="text1"/>
        </w:rPr>
        <w:t xml:space="preserve">38.25. (Nuova formulazione) </w:t>
      </w:r>
      <w:proofErr w:type="spellStart"/>
      <w:r w:rsidRPr="00AA6695">
        <w:rPr>
          <w:rFonts w:asciiTheme="minorHAnsi" w:hAnsiTheme="minorHAnsi"/>
          <w:color w:val="000000" w:themeColor="text1"/>
        </w:rPr>
        <w:t>Carabetta</w:t>
      </w:r>
      <w:proofErr w:type="spellEnd"/>
      <w:r w:rsidRPr="00AA6695">
        <w:rPr>
          <w:rFonts w:asciiTheme="minorHAnsi" w:hAnsiTheme="minorHAnsi"/>
          <w:color w:val="000000" w:themeColor="text1"/>
        </w:rPr>
        <w:t>.</w:t>
      </w:r>
    </w:p>
    <w:p w14:paraId="5BCF45CD" w14:textId="77777777" w:rsidR="00B3301A" w:rsidRDefault="00B3301A">
      <w:pPr>
        <w:pStyle w:val="Testonotaapidipagina"/>
      </w:pPr>
    </w:p>
  </w:footnote>
  <w:footnote w:id="53">
    <w:p w14:paraId="4A52EECF" w14:textId="77777777" w:rsidR="00C745E5" w:rsidRPr="00345C0D" w:rsidRDefault="00C745E5" w:rsidP="00C745E5">
      <w:pPr>
        <w:rPr>
          <w:color w:val="000000" w:themeColor="text1"/>
        </w:rPr>
      </w:pPr>
      <w:r>
        <w:rPr>
          <w:rStyle w:val="Rimandonotaapidipagina"/>
        </w:rPr>
        <w:footnoteRef/>
      </w:r>
      <w:r>
        <w:t xml:space="preserve"> </w:t>
      </w:r>
      <w:r w:rsidRPr="00345C0D">
        <w:rPr>
          <w:color w:val="000000" w:themeColor="text1"/>
        </w:rPr>
        <w:t xml:space="preserve">*38.16. (Nuova formulazione) Navarra, Ceccanti, Bruno Bossio, Ciampi, Fiano, Giorgis, Mauri, Pollastrini, Raciti; *38.28. (Nuova formulazione) </w:t>
      </w:r>
      <w:proofErr w:type="spellStart"/>
      <w:r w:rsidRPr="00345C0D">
        <w:rPr>
          <w:color w:val="000000" w:themeColor="text1"/>
        </w:rPr>
        <w:t>Carabetta</w:t>
      </w:r>
      <w:proofErr w:type="spellEnd"/>
      <w:r w:rsidRPr="00345C0D">
        <w:rPr>
          <w:color w:val="000000" w:themeColor="text1"/>
        </w:rPr>
        <w:t>.</w:t>
      </w:r>
    </w:p>
    <w:p w14:paraId="27E05BCC" w14:textId="6AA044C7" w:rsidR="00C745E5" w:rsidRDefault="00C745E5">
      <w:pPr>
        <w:pStyle w:val="Testonotaapidipagina"/>
      </w:pPr>
    </w:p>
  </w:footnote>
  <w:footnote w:id="54">
    <w:p w14:paraId="4901E4A1" w14:textId="77777777" w:rsidR="00FE6EBF" w:rsidRDefault="00FE6EBF">
      <w:pPr>
        <w:pStyle w:val="Testonotaapidipagina"/>
      </w:pPr>
      <w:r>
        <w:rPr>
          <w:rStyle w:val="Rimandonotaapidipagina"/>
        </w:rPr>
        <w:footnoteRef/>
      </w:r>
      <w:r>
        <w:t xml:space="preserve"> </w:t>
      </w:r>
      <w:r w:rsidRPr="002E0F01">
        <w:rPr>
          <w:rFonts w:asciiTheme="minorHAnsi" w:hAnsiTheme="minorHAnsi"/>
          <w:color w:val="000000" w:themeColor="text1"/>
        </w:rPr>
        <w:t xml:space="preserve">38.34. </w:t>
      </w:r>
      <w:proofErr w:type="spellStart"/>
      <w:r w:rsidRPr="002E0F01">
        <w:rPr>
          <w:rFonts w:asciiTheme="minorHAnsi" w:hAnsiTheme="minorHAnsi"/>
          <w:color w:val="000000" w:themeColor="text1"/>
        </w:rPr>
        <w:t>Zanettin</w:t>
      </w:r>
      <w:proofErr w:type="spellEnd"/>
      <w:r w:rsidRPr="002E0F01">
        <w:rPr>
          <w:rFonts w:asciiTheme="minorHAnsi" w:hAnsiTheme="minorHAnsi"/>
          <w:color w:val="000000" w:themeColor="text1"/>
        </w:rPr>
        <w:t>, Cassinelli, Cristina, Pittalis, Siracusano, Giannone.</w:t>
      </w:r>
    </w:p>
  </w:footnote>
  <w:footnote w:id="55">
    <w:p w14:paraId="68ACBED1" w14:textId="77777777" w:rsidR="00BA0CCD" w:rsidRPr="002E0F01" w:rsidRDefault="00BA0CCD" w:rsidP="00BA0CCD">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38.35. </w:t>
      </w:r>
      <w:proofErr w:type="spellStart"/>
      <w:r w:rsidRPr="002E0F01">
        <w:rPr>
          <w:rFonts w:asciiTheme="minorHAnsi" w:hAnsiTheme="minorHAnsi"/>
          <w:color w:val="000000" w:themeColor="text1"/>
        </w:rPr>
        <w:t>Zanettin</w:t>
      </w:r>
      <w:proofErr w:type="spellEnd"/>
      <w:r w:rsidRPr="002E0F01">
        <w:rPr>
          <w:rFonts w:asciiTheme="minorHAnsi" w:hAnsiTheme="minorHAnsi"/>
          <w:color w:val="000000" w:themeColor="text1"/>
        </w:rPr>
        <w:t>, Cassinelli, Cristina, Pittalis, Siracusano, Giannone.</w:t>
      </w:r>
    </w:p>
    <w:p w14:paraId="462138F5" w14:textId="77777777" w:rsidR="00BA0CCD" w:rsidRDefault="00BA0CCD">
      <w:pPr>
        <w:pStyle w:val="Testonotaapidipagina"/>
      </w:pPr>
    </w:p>
  </w:footnote>
  <w:footnote w:id="56">
    <w:p w14:paraId="0392F177" w14:textId="77777777" w:rsidR="00256907" w:rsidRPr="002E0F01" w:rsidRDefault="00256907" w:rsidP="00256907">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38.026. (Nuova formulazione). Baldino, Ceccanti, Gregorio Fontana, Fornaro, </w:t>
      </w:r>
      <w:proofErr w:type="spellStart"/>
      <w:r w:rsidRPr="002E0F01">
        <w:rPr>
          <w:rFonts w:asciiTheme="minorHAnsi" w:hAnsiTheme="minorHAnsi"/>
          <w:color w:val="000000" w:themeColor="text1"/>
        </w:rPr>
        <w:t>Gebhard</w:t>
      </w:r>
      <w:proofErr w:type="spellEnd"/>
      <w:r w:rsidRPr="002E0F01">
        <w:rPr>
          <w:rFonts w:asciiTheme="minorHAnsi" w:hAnsiTheme="minorHAnsi"/>
          <w:color w:val="000000" w:themeColor="text1"/>
        </w:rPr>
        <w:t>, Iezzi, Brescia, Prisco, Ferro.</w:t>
      </w:r>
    </w:p>
    <w:p w14:paraId="37460945" w14:textId="77777777" w:rsidR="00256907" w:rsidRDefault="00256907">
      <w:pPr>
        <w:pStyle w:val="Testonotaapidipagina"/>
      </w:pPr>
    </w:p>
    <w:p w14:paraId="14DE67E6" w14:textId="77777777" w:rsidR="00160E2F" w:rsidRDefault="00160E2F">
      <w:pPr>
        <w:pStyle w:val="Testonotaapidipagina"/>
      </w:pPr>
    </w:p>
  </w:footnote>
  <w:footnote w:id="57">
    <w:p w14:paraId="33448F23" w14:textId="77777777" w:rsidR="00160E2F" w:rsidRPr="002E0F01" w:rsidRDefault="00160E2F" w:rsidP="00160E2F">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38.07. (Nuova formulazione) Butti, Foti, Rachele Silvestri, </w:t>
      </w:r>
      <w:proofErr w:type="spellStart"/>
      <w:r w:rsidRPr="002E0F01">
        <w:rPr>
          <w:rFonts w:asciiTheme="minorHAnsi" w:hAnsiTheme="minorHAnsi"/>
          <w:color w:val="000000" w:themeColor="text1"/>
        </w:rPr>
        <w:t>Silvestroni</w:t>
      </w:r>
      <w:proofErr w:type="spellEnd"/>
      <w:r w:rsidRPr="002E0F01">
        <w:rPr>
          <w:rFonts w:asciiTheme="minorHAnsi" w:hAnsiTheme="minorHAnsi"/>
          <w:color w:val="000000" w:themeColor="text1"/>
        </w:rPr>
        <w:t>, Mollicone, Rotelli, Prisco, Donzelli.</w:t>
      </w:r>
    </w:p>
    <w:p w14:paraId="68340E79" w14:textId="77777777" w:rsidR="00160E2F" w:rsidRDefault="00160E2F">
      <w:pPr>
        <w:pStyle w:val="Testonotaapidipagina"/>
      </w:pPr>
    </w:p>
  </w:footnote>
  <w:footnote w:id="58">
    <w:p w14:paraId="301C3337" w14:textId="77777777" w:rsidR="00390CF5" w:rsidRPr="002E0F01" w:rsidRDefault="00390CF5" w:rsidP="00390CF5">
      <w:pPr>
        <w:jc w:val="both"/>
        <w:rPr>
          <w:rFonts w:asciiTheme="minorHAnsi" w:hAnsiTheme="minorHAnsi"/>
          <w:color w:val="000000" w:themeColor="text1"/>
        </w:rPr>
      </w:pPr>
      <w:r>
        <w:rPr>
          <w:rStyle w:val="Rimandonotaapidipagina"/>
        </w:rPr>
        <w:footnoteRef/>
      </w:r>
      <w:r>
        <w:t xml:space="preserve"> </w:t>
      </w:r>
      <w:r w:rsidRPr="002E0F01">
        <w:rPr>
          <w:rFonts w:asciiTheme="minorHAnsi" w:hAnsiTheme="minorHAnsi"/>
          <w:color w:val="000000" w:themeColor="text1"/>
        </w:rPr>
        <w:t xml:space="preserve">39.35. (Nuova formulazione) </w:t>
      </w:r>
      <w:proofErr w:type="spellStart"/>
      <w:r w:rsidRPr="002E0F01">
        <w:rPr>
          <w:rFonts w:asciiTheme="minorHAnsi" w:hAnsiTheme="minorHAnsi"/>
          <w:color w:val="000000" w:themeColor="text1"/>
        </w:rPr>
        <w:t>Giuliodori</w:t>
      </w:r>
      <w:proofErr w:type="spellEnd"/>
      <w:r w:rsidRPr="002E0F01">
        <w:rPr>
          <w:rFonts w:asciiTheme="minorHAnsi" w:hAnsiTheme="minorHAnsi"/>
          <w:color w:val="000000" w:themeColor="text1"/>
        </w:rPr>
        <w:t>, Forciniti, Colletti, Sapia, Spessotto, Leda Volpi.</w:t>
      </w:r>
    </w:p>
    <w:p w14:paraId="44E5971A" w14:textId="77777777" w:rsidR="00390CF5" w:rsidRDefault="00390CF5">
      <w:pPr>
        <w:pStyle w:val="Testonotaapidipagina"/>
      </w:pPr>
    </w:p>
  </w:footnote>
  <w:footnote w:id="59">
    <w:p w14:paraId="36E29D48" w14:textId="77777777" w:rsidR="00424301" w:rsidRPr="00D506C3" w:rsidRDefault="00424301" w:rsidP="00424301">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39.022. (Nuova formulazione) Iezzi, Magi.</w:t>
      </w:r>
    </w:p>
    <w:p w14:paraId="2EB8AF05" w14:textId="77777777" w:rsidR="00424301" w:rsidRDefault="00424301">
      <w:pPr>
        <w:pStyle w:val="Testonotaapidipagina"/>
      </w:pPr>
    </w:p>
  </w:footnote>
  <w:footnote w:id="60">
    <w:p w14:paraId="7E1F20D0" w14:textId="77777777" w:rsidR="00A8330A" w:rsidRPr="00D506C3" w:rsidRDefault="00A8330A" w:rsidP="00A8330A">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39.012. Ferrari, Iezzi, Bordonali, Di Muro, Fogliani, Invernizzi, Ravetto, Stefani, Tonelli, Ziello.</w:t>
      </w:r>
    </w:p>
    <w:p w14:paraId="0B3ACF24" w14:textId="77777777" w:rsidR="00A8330A" w:rsidRDefault="00A8330A">
      <w:pPr>
        <w:pStyle w:val="Testonotaapidipagina"/>
      </w:pPr>
    </w:p>
  </w:footnote>
  <w:footnote w:id="61">
    <w:p w14:paraId="6A294A0E" w14:textId="77777777" w:rsidR="009F4248" w:rsidRPr="00D506C3" w:rsidRDefault="009F4248" w:rsidP="009F4248">
      <w:pPr>
        <w:jc w:val="both"/>
        <w:rPr>
          <w:rFonts w:asciiTheme="minorHAnsi" w:hAnsiTheme="minorHAnsi"/>
          <w:color w:val="000000" w:themeColor="text1"/>
        </w:rPr>
      </w:pPr>
      <w:r>
        <w:rPr>
          <w:rStyle w:val="Rimandonotaapidipagina"/>
        </w:rPr>
        <w:footnoteRef/>
      </w:r>
      <w:r>
        <w:t xml:space="preserve"> </w:t>
      </w:r>
      <w:bookmarkStart w:id="0" w:name="_Hlk77147721"/>
      <w:r w:rsidRPr="00D506C3">
        <w:rPr>
          <w:rFonts w:asciiTheme="minorHAnsi" w:hAnsiTheme="minorHAnsi"/>
          <w:color w:val="000000" w:themeColor="text1"/>
        </w:rPr>
        <w:t xml:space="preserve">40.11. Butti, Foti, Rachele Silvestri, </w:t>
      </w:r>
      <w:proofErr w:type="spellStart"/>
      <w:r w:rsidRPr="00D506C3">
        <w:rPr>
          <w:rFonts w:asciiTheme="minorHAnsi" w:hAnsiTheme="minorHAnsi"/>
          <w:color w:val="000000" w:themeColor="text1"/>
        </w:rPr>
        <w:t>Silvestroni</w:t>
      </w:r>
      <w:proofErr w:type="spellEnd"/>
      <w:r w:rsidRPr="00D506C3">
        <w:rPr>
          <w:rFonts w:asciiTheme="minorHAnsi" w:hAnsiTheme="minorHAnsi"/>
          <w:color w:val="000000" w:themeColor="text1"/>
        </w:rPr>
        <w:t>, Mollicone, Rotelli, Prisco, Donzelli</w:t>
      </w:r>
      <w:r w:rsidRPr="00D506C3">
        <w:rPr>
          <w:color w:val="000000" w:themeColor="text1"/>
        </w:rPr>
        <w:t xml:space="preserve">; </w:t>
      </w:r>
      <w:r w:rsidRPr="00D506C3">
        <w:rPr>
          <w:rFonts w:asciiTheme="minorHAnsi" w:hAnsiTheme="minorHAnsi"/>
          <w:color w:val="000000" w:themeColor="text1"/>
        </w:rPr>
        <w:t>40.52. Ceccanti, Bruno Bossio, Navarra, Ciampi, Fiano, Giorgis, Mauri, Pollastrini, Raciti</w:t>
      </w:r>
      <w:r w:rsidRPr="00D506C3">
        <w:rPr>
          <w:color w:val="000000" w:themeColor="text1"/>
        </w:rPr>
        <w:t xml:space="preserve">; </w:t>
      </w:r>
      <w:r w:rsidRPr="00D506C3">
        <w:rPr>
          <w:rFonts w:asciiTheme="minorHAnsi" w:hAnsiTheme="minorHAnsi"/>
          <w:color w:val="000000" w:themeColor="text1"/>
        </w:rPr>
        <w:t xml:space="preserve">40.42. Capitanio, Lucchini, </w:t>
      </w:r>
      <w:proofErr w:type="spellStart"/>
      <w:r w:rsidRPr="00D506C3">
        <w:rPr>
          <w:rFonts w:asciiTheme="minorHAnsi" w:hAnsiTheme="minorHAnsi"/>
          <w:color w:val="000000" w:themeColor="text1"/>
        </w:rPr>
        <w:t>Badole</w:t>
      </w:r>
      <w:proofErr w:type="spellEnd"/>
      <w:r w:rsidRPr="00D506C3">
        <w:rPr>
          <w:rFonts w:asciiTheme="minorHAnsi" w:hAnsiTheme="minorHAnsi"/>
          <w:color w:val="000000" w:themeColor="text1"/>
        </w:rPr>
        <w:t>, Benvenuto, D'Eramo, Dara, Eva Lorenzoni,</w:t>
      </w:r>
      <w:r w:rsidRPr="00D506C3">
        <w:rPr>
          <w:color w:val="000000" w:themeColor="text1"/>
        </w:rPr>
        <w:t xml:space="preserve"> </w:t>
      </w:r>
      <w:proofErr w:type="spellStart"/>
      <w:r w:rsidRPr="00D506C3">
        <w:rPr>
          <w:rFonts w:asciiTheme="minorHAnsi" w:hAnsiTheme="minorHAnsi"/>
          <w:color w:val="000000" w:themeColor="text1"/>
        </w:rPr>
        <w:t>Patassini</w:t>
      </w:r>
      <w:proofErr w:type="spellEnd"/>
      <w:r w:rsidRPr="00D506C3">
        <w:rPr>
          <w:rFonts w:asciiTheme="minorHAnsi" w:hAnsiTheme="minorHAnsi"/>
          <w:color w:val="000000" w:themeColor="text1"/>
        </w:rPr>
        <w:t xml:space="preserve">, Raffaelli, Valbusa, </w:t>
      </w:r>
      <w:proofErr w:type="spellStart"/>
      <w:r w:rsidRPr="00D506C3">
        <w:rPr>
          <w:rFonts w:asciiTheme="minorHAnsi" w:hAnsiTheme="minorHAnsi"/>
          <w:color w:val="000000" w:themeColor="text1"/>
        </w:rPr>
        <w:t>Vallotto</w:t>
      </w:r>
      <w:proofErr w:type="spellEnd"/>
      <w:r w:rsidRPr="00D506C3">
        <w:rPr>
          <w:rFonts w:asciiTheme="minorHAnsi" w:hAnsiTheme="minorHAnsi"/>
          <w:color w:val="000000" w:themeColor="text1"/>
        </w:rPr>
        <w:t>, Bordonali, Di Muro, Iezzi, Invernizzi, Ravetto, Stefani, Tonelli, Ziello, Fogliani, Giacometti, Tombolato, Zanella, Zordan</w:t>
      </w:r>
      <w:r w:rsidRPr="00D506C3">
        <w:rPr>
          <w:color w:val="000000" w:themeColor="text1"/>
        </w:rPr>
        <w:t xml:space="preserve">; </w:t>
      </w:r>
      <w:r w:rsidRPr="00D506C3">
        <w:rPr>
          <w:rFonts w:asciiTheme="minorHAnsi" w:hAnsiTheme="minorHAnsi"/>
          <w:color w:val="000000" w:themeColor="text1"/>
        </w:rPr>
        <w:t>40.65. Liuzzi</w:t>
      </w:r>
      <w:r w:rsidRPr="00D506C3">
        <w:rPr>
          <w:color w:val="000000" w:themeColor="text1"/>
        </w:rPr>
        <w:t xml:space="preserve">; </w:t>
      </w:r>
      <w:r w:rsidRPr="00D506C3">
        <w:rPr>
          <w:rFonts w:asciiTheme="minorHAnsi" w:hAnsiTheme="minorHAnsi"/>
          <w:color w:val="000000" w:themeColor="text1"/>
        </w:rPr>
        <w:t>40.72. Cortelazzo, Tartaglione.</w:t>
      </w:r>
    </w:p>
    <w:bookmarkEnd w:id="0"/>
    <w:p w14:paraId="4D0ADAD8" w14:textId="77777777" w:rsidR="009F4248" w:rsidRDefault="009F4248">
      <w:pPr>
        <w:pStyle w:val="Testonotaapidipagina"/>
      </w:pPr>
    </w:p>
  </w:footnote>
  <w:footnote w:id="62">
    <w:p w14:paraId="347A6F8E" w14:textId="77777777" w:rsidR="00A8330A" w:rsidRPr="00D506C3" w:rsidRDefault="00A8330A" w:rsidP="00A8330A">
      <w:pPr>
        <w:jc w:val="both"/>
        <w:rPr>
          <w:rFonts w:asciiTheme="minorHAnsi" w:hAnsiTheme="minorHAnsi"/>
          <w:color w:val="000000" w:themeColor="text1"/>
        </w:rPr>
      </w:pPr>
      <w:r>
        <w:rPr>
          <w:rStyle w:val="Rimandonotaapidipagina"/>
        </w:rPr>
        <w:footnoteRef/>
      </w:r>
      <w:r>
        <w:t xml:space="preserve"> </w:t>
      </w:r>
      <w:r w:rsidRPr="00D506C3">
        <w:rPr>
          <w:rFonts w:asciiTheme="minorHAnsi" w:hAnsiTheme="minorHAnsi"/>
          <w:color w:val="000000" w:themeColor="text1"/>
        </w:rPr>
        <w:t xml:space="preserve">40.11. Butti, Foti, Rachele Silvestri, </w:t>
      </w:r>
      <w:proofErr w:type="spellStart"/>
      <w:r w:rsidRPr="00D506C3">
        <w:rPr>
          <w:rFonts w:asciiTheme="minorHAnsi" w:hAnsiTheme="minorHAnsi"/>
          <w:color w:val="000000" w:themeColor="text1"/>
        </w:rPr>
        <w:t>Silvestroni</w:t>
      </w:r>
      <w:proofErr w:type="spellEnd"/>
      <w:r w:rsidRPr="00D506C3">
        <w:rPr>
          <w:rFonts w:asciiTheme="minorHAnsi" w:hAnsiTheme="minorHAnsi"/>
          <w:color w:val="000000" w:themeColor="text1"/>
        </w:rPr>
        <w:t>, Mollicone, Rotelli, Prisco, Donzelli</w:t>
      </w:r>
      <w:r w:rsidRPr="00D506C3">
        <w:rPr>
          <w:color w:val="000000" w:themeColor="text1"/>
        </w:rPr>
        <w:t xml:space="preserve">; </w:t>
      </w:r>
      <w:r w:rsidRPr="00D506C3">
        <w:rPr>
          <w:rFonts w:asciiTheme="minorHAnsi" w:hAnsiTheme="minorHAnsi"/>
          <w:color w:val="000000" w:themeColor="text1"/>
        </w:rPr>
        <w:t>40.52. Ceccanti, Bruno Bossio, Navarra, Ciampi, Fiano, Giorgis, Mauri, Pollastrini, Raciti</w:t>
      </w:r>
      <w:r w:rsidRPr="00D506C3">
        <w:rPr>
          <w:color w:val="000000" w:themeColor="text1"/>
        </w:rPr>
        <w:t xml:space="preserve">; </w:t>
      </w:r>
      <w:r w:rsidRPr="00D506C3">
        <w:rPr>
          <w:rFonts w:asciiTheme="minorHAnsi" w:hAnsiTheme="minorHAnsi"/>
          <w:color w:val="000000" w:themeColor="text1"/>
        </w:rPr>
        <w:t xml:space="preserve">40.42. Capitanio, Lucchini, </w:t>
      </w:r>
      <w:proofErr w:type="spellStart"/>
      <w:r w:rsidRPr="00D506C3">
        <w:rPr>
          <w:rFonts w:asciiTheme="minorHAnsi" w:hAnsiTheme="minorHAnsi"/>
          <w:color w:val="000000" w:themeColor="text1"/>
        </w:rPr>
        <w:t>Badole</w:t>
      </w:r>
      <w:proofErr w:type="spellEnd"/>
      <w:r w:rsidRPr="00D506C3">
        <w:rPr>
          <w:rFonts w:asciiTheme="minorHAnsi" w:hAnsiTheme="minorHAnsi"/>
          <w:color w:val="000000" w:themeColor="text1"/>
        </w:rPr>
        <w:t>, Benvenuto, D'Eramo, Dara, Eva Lorenzoni,</w:t>
      </w:r>
      <w:r w:rsidRPr="00D506C3">
        <w:rPr>
          <w:color w:val="000000" w:themeColor="text1"/>
        </w:rPr>
        <w:t xml:space="preserve"> </w:t>
      </w:r>
      <w:proofErr w:type="spellStart"/>
      <w:r w:rsidRPr="00D506C3">
        <w:rPr>
          <w:rFonts w:asciiTheme="minorHAnsi" w:hAnsiTheme="minorHAnsi"/>
          <w:color w:val="000000" w:themeColor="text1"/>
        </w:rPr>
        <w:t>Patassini</w:t>
      </w:r>
      <w:proofErr w:type="spellEnd"/>
      <w:r w:rsidRPr="00D506C3">
        <w:rPr>
          <w:rFonts w:asciiTheme="minorHAnsi" w:hAnsiTheme="minorHAnsi"/>
          <w:color w:val="000000" w:themeColor="text1"/>
        </w:rPr>
        <w:t xml:space="preserve">, Raffaelli, Valbusa, </w:t>
      </w:r>
      <w:proofErr w:type="spellStart"/>
      <w:r w:rsidRPr="00D506C3">
        <w:rPr>
          <w:rFonts w:asciiTheme="minorHAnsi" w:hAnsiTheme="minorHAnsi"/>
          <w:color w:val="000000" w:themeColor="text1"/>
        </w:rPr>
        <w:t>Vallotto</w:t>
      </w:r>
      <w:proofErr w:type="spellEnd"/>
      <w:r w:rsidRPr="00D506C3">
        <w:rPr>
          <w:rFonts w:asciiTheme="minorHAnsi" w:hAnsiTheme="minorHAnsi"/>
          <w:color w:val="000000" w:themeColor="text1"/>
        </w:rPr>
        <w:t>, Bordonali, Di Muro, Iezzi, Invernizzi, Ravetto, Stefani, Tonelli, Ziello, Fogliani, Giacometti, Tombolato, Zanella, Zordan</w:t>
      </w:r>
      <w:r w:rsidRPr="00D506C3">
        <w:rPr>
          <w:color w:val="000000" w:themeColor="text1"/>
        </w:rPr>
        <w:t xml:space="preserve">; </w:t>
      </w:r>
      <w:r w:rsidRPr="00D506C3">
        <w:rPr>
          <w:rFonts w:asciiTheme="minorHAnsi" w:hAnsiTheme="minorHAnsi"/>
          <w:color w:val="000000" w:themeColor="text1"/>
        </w:rPr>
        <w:t>40.65. Liuzzi</w:t>
      </w:r>
      <w:r w:rsidRPr="00D506C3">
        <w:rPr>
          <w:color w:val="000000" w:themeColor="text1"/>
        </w:rPr>
        <w:t xml:space="preserve">; </w:t>
      </w:r>
      <w:r w:rsidRPr="00D506C3">
        <w:rPr>
          <w:rFonts w:asciiTheme="minorHAnsi" w:hAnsiTheme="minorHAnsi"/>
          <w:color w:val="000000" w:themeColor="text1"/>
        </w:rPr>
        <w:t>40.72. Cortelazzo, Tartaglione.</w:t>
      </w:r>
    </w:p>
    <w:p w14:paraId="58166151" w14:textId="77777777" w:rsidR="00A8330A" w:rsidRDefault="00A8330A">
      <w:pPr>
        <w:pStyle w:val="Testonotaapidipagina"/>
      </w:pPr>
    </w:p>
  </w:footnote>
  <w:footnote w:id="63">
    <w:p w14:paraId="6DA04C3F" w14:textId="77777777" w:rsidR="000018F1" w:rsidRPr="00CE0903" w:rsidRDefault="000018F1" w:rsidP="000018F1">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40.5. (Nuova formulazione) Pizzetti</w:t>
      </w:r>
      <w:r w:rsidRPr="00CE0903">
        <w:rPr>
          <w:color w:val="000000" w:themeColor="text1"/>
        </w:rPr>
        <w:t xml:space="preserve">; </w:t>
      </w:r>
      <w:r w:rsidRPr="00CE0903">
        <w:rPr>
          <w:rFonts w:asciiTheme="minorHAnsi" w:hAnsiTheme="minorHAnsi"/>
          <w:color w:val="000000" w:themeColor="text1"/>
        </w:rPr>
        <w:t xml:space="preserve">40.16. (Nuova formulazione)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40.25. (Nuova formulazione)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r w:rsidRPr="00CE0903">
        <w:rPr>
          <w:color w:val="000000" w:themeColor="text1"/>
        </w:rPr>
        <w:t xml:space="preserve">; </w:t>
      </w:r>
      <w:r w:rsidRPr="00CE0903">
        <w:rPr>
          <w:rFonts w:asciiTheme="minorHAnsi" w:hAnsiTheme="minorHAnsi"/>
          <w:color w:val="000000" w:themeColor="text1"/>
        </w:rPr>
        <w:t xml:space="preserve">40.37. (Nuova formulazione) Lucchini, Capitanio, Donina, </w:t>
      </w:r>
      <w:proofErr w:type="spellStart"/>
      <w:r w:rsidRPr="00CE0903">
        <w:rPr>
          <w:rFonts w:asciiTheme="minorHAnsi" w:hAnsiTheme="minorHAnsi"/>
          <w:color w:val="000000" w:themeColor="text1"/>
        </w:rPr>
        <w:t>Furgiuele</w:t>
      </w:r>
      <w:proofErr w:type="spellEnd"/>
      <w:r w:rsidRPr="00CE0903">
        <w:rPr>
          <w:rFonts w:asciiTheme="minorHAnsi" w:hAnsiTheme="minorHAnsi"/>
          <w:color w:val="000000" w:themeColor="text1"/>
        </w:rPr>
        <w:t xml:space="preserve">, Giacometti, Maccanti, </w:t>
      </w:r>
      <w:proofErr w:type="spellStart"/>
      <w:r w:rsidRPr="00CE0903">
        <w:rPr>
          <w:rFonts w:asciiTheme="minorHAnsi" w:hAnsiTheme="minorHAnsi"/>
          <w:color w:val="000000" w:themeColor="text1"/>
        </w:rPr>
        <w:t>Rixi</w:t>
      </w:r>
      <w:proofErr w:type="spellEnd"/>
      <w:r w:rsidRPr="00CE0903">
        <w:rPr>
          <w:rFonts w:asciiTheme="minorHAnsi" w:hAnsiTheme="minorHAnsi"/>
          <w:color w:val="000000" w:themeColor="text1"/>
        </w:rPr>
        <w:t xml:space="preserve">, Tombolato, Zanella, Zordan, Bordonali, Di Muro, Iezzi, Invernizzi, Ravetto, Stefani, Tonelli, Ziello, </w:t>
      </w:r>
      <w:proofErr w:type="spellStart"/>
      <w:r w:rsidRPr="00CE0903">
        <w:rPr>
          <w:rFonts w:asciiTheme="minorHAnsi" w:hAnsiTheme="minorHAnsi"/>
          <w:color w:val="000000" w:themeColor="text1"/>
        </w:rPr>
        <w:t>Badole</w:t>
      </w:r>
      <w:proofErr w:type="spellEnd"/>
      <w:r w:rsidRPr="00CE0903">
        <w:rPr>
          <w:rFonts w:asciiTheme="minorHAnsi" w:hAnsiTheme="minorHAnsi"/>
          <w:color w:val="000000" w:themeColor="text1"/>
        </w:rPr>
        <w:t xml:space="preserve">, Benvenuto, D'Eramo, Dara, Eva Lorenzoni, </w:t>
      </w:r>
      <w:proofErr w:type="spellStart"/>
      <w:r w:rsidRPr="00CE0903">
        <w:rPr>
          <w:rFonts w:asciiTheme="minorHAnsi" w:hAnsiTheme="minorHAnsi"/>
          <w:color w:val="000000" w:themeColor="text1"/>
        </w:rPr>
        <w:t>Patassini</w:t>
      </w:r>
      <w:proofErr w:type="spellEnd"/>
      <w:r w:rsidRPr="00CE0903">
        <w:rPr>
          <w:rFonts w:asciiTheme="minorHAnsi" w:hAnsiTheme="minorHAnsi"/>
          <w:color w:val="000000" w:themeColor="text1"/>
        </w:rPr>
        <w:t xml:space="preserve">, Raffaelli, Valbusa, </w:t>
      </w:r>
      <w:proofErr w:type="spellStart"/>
      <w:r w:rsidRPr="00CE0903">
        <w:rPr>
          <w:rFonts w:asciiTheme="minorHAnsi" w:hAnsiTheme="minorHAnsi"/>
          <w:color w:val="000000" w:themeColor="text1"/>
        </w:rPr>
        <w:t>Vallotto</w:t>
      </w:r>
      <w:proofErr w:type="spellEnd"/>
      <w:r w:rsidRPr="00CE0903">
        <w:rPr>
          <w:color w:val="000000" w:themeColor="text1"/>
        </w:rPr>
        <w:t xml:space="preserve">; </w:t>
      </w:r>
      <w:r w:rsidRPr="00CE0903">
        <w:rPr>
          <w:rFonts w:asciiTheme="minorHAnsi" w:hAnsiTheme="minorHAnsi"/>
          <w:color w:val="000000" w:themeColor="text1"/>
        </w:rPr>
        <w:t>40.60. (Nuova formulazione) Stumpo, Fornaro, Timbro.</w:t>
      </w:r>
    </w:p>
    <w:p w14:paraId="3999F556" w14:textId="77777777" w:rsidR="000018F1" w:rsidRDefault="000018F1">
      <w:pPr>
        <w:pStyle w:val="Testonotaapidipagina"/>
      </w:pPr>
    </w:p>
  </w:footnote>
  <w:footnote w:id="64">
    <w:p w14:paraId="6265C62C" w14:textId="77777777" w:rsidR="00FE60F3" w:rsidRPr="00CE0903" w:rsidRDefault="00FE60F3" w:rsidP="00FE60F3">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p w14:paraId="75706F55" w14:textId="77777777" w:rsidR="00FE60F3" w:rsidRDefault="00FE60F3">
      <w:pPr>
        <w:pStyle w:val="Testonotaapidipagina"/>
      </w:pPr>
    </w:p>
  </w:footnote>
  <w:footnote w:id="65">
    <w:p w14:paraId="756BF88D"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bookmarkStart w:id="1" w:name="_Hlk77149781"/>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bookmarkEnd w:id="1"/>
    <w:p w14:paraId="4A2B2FFC" w14:textId="77777777" w:rsidR="004241FF" w:rsidRDefault="004241FF">
      <w:pPr>
        <w:pStyle w:val="Testonotaapidipagina"/>
      </w:pPr>
    </w:p>
  </w:footnote>
  <w:footnote w:id="66">
    <w:p w14:paraId="75DCACA3"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40.17.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40.26. </w:t>
      </w:r>
      <w:proofErr w:type="spellStart"/>
      <w:r w:rsidRPr="00CE0903">
        <w:rPr>
          <w:rFonts w:asciiTheme="minorHAnsi" w:hAnsiTheme="minorHAnsi"/>
          <w:color w:val="000000" w:themeColor="text1"/>
        </w:rPr>
        <w:t>Paita</w:t>
      </w:r>
      <w:proofErr w:type="spellEnd"/>
      <w:r w:rsidRPr="00CE0903">
        <w:rPr>
          <w:rFonts w:asciiTheme="minorHAnsi" w:hAnsiTheme="minorHAnsi"/>
          <w:color w:val="000000" w:themeColor="text1"/>
        </w:rPr>
        <w:t xml:space="preserve">, </w:t>
      </w:r>
      <w:proofErr w:type="spellStart"/>
      <w:r w:rsidRPr="00CE0903">
        <w:rPr>
          <w:rFonts w:asciiTheme="minorHAnsi" w:hAnsiTheme="minorHAnsi"/>
          <w:color w:val="000000" w:themeColor="text1"/>
        </w:rPr>
        <w:t>Fregolent</w:t>
      </w:r>
      <w:proofErr w:type="spellEnd"/>
      <w:r w:rsidRPr="00CE0903">
        <w:rPr>
          <w:rFonts w:asciiTheme="minorHAnsi" w:hAnsiTheme="minorHAnsi"/>
          <w:color w:val="000000" w:themeColor="text1"/>
        </w:rPr>
        <w:t>, Marco Di Maio.</w:t>
      </w:r>
    </w:p>
    <w:p w14:paraId="2DD7DE1B" w14:textId="77777777" w:rsidR="004241FF" w:rsidRDefault="004241FF">
      <w:pPr>
        <w:pStyle w:val="Testonotaapidipagina"/>
      </w:pPr>
    </w:p>
  </w:footnote>
  <w:footnote w:id="67">
    <w:p w14:paraId="4D707312" w14:textId="77777777" w:rsidR="004241FF" w:rsidRPr="00CE0903" w:rsidRDefault="004241FF" w:rsidP="004241FF">
      <w:pPr>
        <w:jc w:val="both"/>
        <w:rPr>
          <w:rFonts w:asciiTheme="minorHAnsi" w:hAnsiTheme="minorHAnsi"/>
          <w:color w:val="000000" w:themeColor="text1"/>
        </w:rPr>
      </w:pPr>
      <w:r>
        <w:rPr>
          <w:rStyle w:val="Rimandonotaapidipagina"/>
        </w:rPr>
        <w:footnoteRef/>
      </w:r>
      <w:r>
        <w:t xml:space="preserve"> </w:t>
      </w:r>
      <w:r w:rsidRPr="00CE0903">
        <w:rPr>
          <w:rFonts w:asciiTheme="minorHAnsi" w:hAnsiTheme="minorHAnsi"/>
          <w:color w:val="000000" w:themeColor="text1"/>
        </w:rPr>
        <w:t xml:space="preserve">40.13. (Nuova formulazione) Butti, Foti, Rachele Silvestri, </w:t>
      </w:r>
      <w:proofErr w:type="spellStart"/>
      <w:r w:rsidRPr="00CE0903">
        <w:rPr>
          <w:rFonts w:asciiTheme="minorHAnsi" w:hAnsiTheme="minorHAnsi"/>
          <w:color w:val="000000" w:themeColor="text1"/>
        </w:rPr>
        <w:t>Silvestroni</w:t>
      </w:r>
      <w:proofErr w:type="spellEnd"/>
      <w:r w:rsidRPr="00CE0903">
        <w:rPr>
          <w:rFonts w:asciiTheme="minorHAnsi" w:hAnsiTheme="minorHAnsi"/>
          <w:color w:val="000000" w:themeColor="text1"/>
        </w:rPr>
        <w:t>, Mollicone, Rotelli, Prisco, Donzelli</w:t>
      </w:r>
      <w:r w:rsidRPr="00CE0903">
        <w:rPr>
          <w:color w:val="000000" w:themeColor="text1"/>
        </w:rPr>
        <w:t xml:space="preserve">; </w:t>
      </w:r>
      <w:r w:rsidRPr="00CE0903">
        <w:rPr>
          <w:rFonts w:asciiTheme="minorHAnsi" w:hAnsiTheme="minorHAnsi"/>
          <w:color w:val="000000" w:themeColor="text1"/>
        </w:rPr>
        <w:t xml:space="preserve">40.44. (Nuova formulazione) Capitanio, Lucchini, </w:t>
      </w:r>
      <w:proofErr w:type="spellStart"/>
      <w:r w:rsidRPr="00CE0903">
        <w:rPr>
          <w:rFonts w:asciiTheme="minorHAnsi" w:hAnsiTheme="minorHAnsi"/>
          <w:color w:val="000000" w:themeColor="text1"/>
        </w:rPr>
        <w:t>Badole</w:t>
      </w:r>
      <w:proofErr w:type="spellEnd"/>
      <w:r w:rsidRPr="00CE0903">
        <w:rPr>
          <w:rFonts w:asciiTheme="minorHAnsi" w:hAnsiTheme="minorHAnsi"/>
          <w:color w:val="000000" w:themeColor="text1"/>
        </w:rPr>
        <w:t xml:space="preserve">, Benvenuto, D'Eramo, Dara, Eva Lorenzoni, </w:t>
      </w:r>
      <w:proofErr w:type="spellStart"/>
      <w:r w:rsidRPr="00CE0903">
        <w:rPr>
          <w:rFonts w:asciiTheme="minorHAnsi" w:hAnsiTheme="minorHAnsi"/>
          <w:color w:val="000000" w:themeColor="text1"/>
        </w:rPr>
        <w:t>Patassini</w:t>
      </w:r>
      <w:proofErr w:type="spellEnd"/>
      <w:r w:rsidRPr="00CE0903">
        <w:rPr>
          <w:rFonts w:asciiTheme="minorHAnsi" w:hAnsiTheme="minorHAnsi"/>
          <w:color w:val="000000" w:themeColor="text1"/>
        </w:rPr>
        <w:t xml:space="preserve">, Raffaelli, Valbusa, </w:t>
      </w:r>
      <w:proofErr w:type="spellStart"/>
      <w:r w:rsidRPr="00CE0903">
        <w:rPr>
          <w:rFonts w:asciiTheme="minorHAnsi" w:hAnsiTheme="minorHAnsi"/>
          <w:color w:val="000000" w:themeColor="text1"/>
        </w:rPr>
        <w:t>Vallotto</w:t>
      </w:r>
      <w:proofErr w:type="spellEnd"/>
      <w:r w:rsidRPr="00CE0903">
        <w:rPr>
          <w:rFonts w:asciiTheme="minorHAnsi" w:hAnsiTheme="minorHAnsi"/>
          <w:color w:val="000000" w:themeColor="text1"/>
        </w:rPr>
        <w:t>, Bordonali, Di Muro, Iezzi, Invernizzi, Ravetto, Stefani, Tonelli, Ziello, Fogliani, Giacometti, Tombolato, Zanella, Zordan</w:t>
      </w:r>
      <w:r w:rsidRPr="00CE0903">
        <w:rPr>
          <w:color w:val="000000" w:themeColor="text1"/>
        </w:rPr>
        <w:t xml:space="preserve">; </w:t>
      </w:r>
      <w:r w:rsidRPr="00CE0903">
        <w:rPr>
          <w:rFonts w:asciiTheme="minorHAnsi" w:hAnsiTheme="minorHAnsi"/>
          <w:color w:val="000000" w:themeColor="text1"/>
        </w:rPr>
        <w:t>40.54. (Nuova formulazione) Bruno Bossio, Navarra, Ceccanti, Ciampi, Fiano, Giorgis, Mauri, Pollastrini, Raciti</w:t>
      </w:r>
      <w:r w:rsidRPr="00CE0903">
        <w:rPr>
          <w:color w:val="000000" w:themeColor="text1"/>
        </w:rPr>
        <w:t xml:space="preserve">; </w:t>
      </w:r>
      <w:r w:rsidRPr="00CE0903">
        <w:rPr>
          <w:rFonts w:asciiTheme="minorHAnsi" w:hAnsiTheme="minorHAnsi"/>
          <w:color w:val="000000" w:themeColor="text1"/>
        </w:rPr>
        <w:t>40.74. (Nuova formulazione) Cortelazzo, Tartaglione.</w:t>
      </w:r>
    </w:p>
    <w:p w14:paraId="6DFB5B65" w14:textId="77777777" w:rsidR="004241FF" w:rsidRDefault="004241FF">
      <w:pPr>
        <w:pStyle w:val="Testonotaapidipagina"/>
      </w:pPr>
    </w:p>
  </w:footnote>
  <w:footnote w:id="68">
    <w:p w14:paraId="2A14F30F" w14:textId="27A24C85" w:rsidR="000B580E" w:rsidRDefault="000B580E">
      <w:pPr>
        <w:pStyle w:val="Testonotaapidipagina"/>
      </w:pPr>
      <w:r>
        <w:rPr>
          <w:rStyle w:val="Rimandonotaapidipagina"/>
        </w:rPr>
        <w:footnoteRef/>
      </w:r>
      <w:r>
        <w:t xml:space="preserve"> </w:t>
      </w:r>
      <w:r w:rsidRPr="000D0B13">
        <w:rPr>
          <w:color w:val="000000" w:themeColor="text1"/>
        </w:rPr>
        <w:t xml:space="preserve">*64.020. (ex 28.01.) (Nuova formulazione) Elisa Tripodi; *64.018. (Nuova formulazione) Pezzopane, Braga, Buratti, </w:t>
      </w:r>
      <w:proofErr w:type="spellStart"/>
      <w:r w:rsidRPr="000D0B13">
        <w:rPr>
          <w:color w:val="000000" w:themeColor="text1"/>
        </w:rPr>
        <w:t>Morgoni</w:t>
      </w:r>
      <w:proofErr w:type="spellEnd"/>
      <w:r w:rsidRPr="000D0B13">
        <w:rPr>
          <w:color w:val="000000" w:themeColor="text1"/>
        </w:rPr>
        <w:t>, Pellicani, Rotta.</w:t>
      </w:r>
    </w:p>
  </w:footnote>
  <w:footnote w:id="69">
    <w:p w14:paraId="55B683D3" w14:textId="77777777" w:rsidR="00BC0C96" w:rsidRPr="0044542C" w:rsidRDefault="00BC0C96" w:rsidP="00BC0C96">
      <w:pPr>
        <w:rPr>
          <w:color w:val="000000" w:themeColor="text1"/>
        </w:rPr>
      </w:pPr>
      <w:r>
        <w:rPr>
          <w:rStyle w:val="Rimandonotaapidipagina"/>
        </w:rPr>
        <w:footnoteRef/>
      </w:r>
      <w:r>
        <w:t xml:space="preserve"> </w:t>
      </w:r>
      <w:r w:rsidRPr="0044542C">
        <w:rPr>
          <w:color w:val="000000" w:themeColor="text1"/>
        </w:rPr>
        <w:t>8.14. (Nuova formulazione) Brescia, Ceccanti.</w:t>
      </w:r>
    </w:p>
    <w:p w14:paraId="1022CBB4" w14:textId="55EC2585" w:rsidR="00BC0C96" w:rsidRDefault="00BC0C96">
      <w:pPr>
        <w:pStyle w:val="Testonotaapidipagina"/>
      </w:pPr>
    </w:p>
  </w:footnote>
  <w:footnote w:id="70">
    <w:p w14:paraId="12103D5D" w14:textId="5EBF16B0" w:rsidR="00246D28" w:rsidRDefault="00246D28" w:rsidP="00246D28">
      <w:r>
        <w:rPr>
          <w:rStyle w:val="Rimandonotaapidipagina"/>
        </w:rPr>
        <w:footnoteRef/>
      </w:r>
      <w:r>
        <w:t xml:space="preserve"> </w:t>
      </w:r>
      <w:r w:rsidRPr="00221832">
        <w:rPr>
          <w:color w:val="000000" w:themeColor="text1"/>
        </w:rPr>
        <w:t xml:space="preserve">*31.19. Foti, Prisco, Butti, Donzelli, Rachele Silvestri; *31.32. Gadda, Marco Di Maio, </w:t>
      </w:r>
      <w:proofErr w:type="spellStart"/>
      <w:r w:rsidRPr="00221832">
        <w:rPr>
          <w:color w:val="000000" w:themeColor="text1"/>
        </w:rPr>
        <w:t>Fregolent</w:t>
      </w:r>
      <w:proofErr w:type="spellEnd"/>
      <w:r w:rsidRPr="00221832">
        <w:rPr>
          <w:color w:val="000000" w:themeColor="text1"/>
        </w:rPr>
        <w:t xml:space="preserve">; *31.67. Incerti, Cenni, Avossa, Cappellani, Critelli, </w:t>
      </w:r>
      <w:proofErr w:type="spellStart"/>
      <w:r w:rsidRPr="00221832">
        <w:rPr>
          <w:color w:val="000000" w:themeColor="text1"/>
        </w:rPr>
        <w:t>Frailis</w:t>
      </w:r>
      <w:proofErr w:type="spellEnd"/>
      <w:r w:rsidRPr="00221832">
        <w:rPr>
          <w:color w:val="000000" w:themeColor="text1"/>
        </w:rPr>
        <w:t xml:space="preserve">; *31.68. Golinelli, Viviani, </w:t>
      </w:r>
      <w:proofErr w:type="spellStart"/>
      <w:r w:rsidRPr="00221832">
        <w:rPr>
          <w:color w:val="000000" w:themeColor="text1"/>
        </w:rPr>
        <w:t>Bubisutti</w:t>
      </w:r>
      <w:proofErr w:type="spellEnd"/>
      <w:r w:rsidRPr="00221832">
        <w:rPr>
          <w:color w:val="000000" w:themeColor="text1"/>
        </w:rPr>
        <w:t xml:space="preserve">, Gastaldi, </w:t>
      </w:r>
      <w:proofErr w:type="spellStart"/>
      <w:r w:rsidRPr="00221832">
        <w:rPr>
          <w:color w:val="000000" w:themeColor="text1"/>
        </w:rPr>
        <w:t>Germanà</w:t>
      </w:r>
      <w:proofErr w:type="spellEnd"/>
      <w:r w:rsidRPr="00221832">
        <w:rPr>
          <w:color w:val="000000" w:themeColor="text1"/>
        </w:rPr>
        <w:t xml:space="preserve">, </w:t>
      </w:r>
      <w:proofErr w:type="spellStart"/>
      <w:r w:rsidRPr="00221832">
        <w:rPr>
          <w:color w:val="000000" w:themeColor="text1"/>
        </w:rPr>
        <w:t>Liuni</w:t>
      </w:r>
      <w:proofErr w:type="spellEnd"/>
      <w:r w:rsidRPr="00221832">
        <w:rPr>
          <w:color w:val="000000" w:themeColor="text1"/>
        </w:rPr>
        <w:t xml:space="preserve">, </w:t>
      </w:r>
      <w:proofErr w:type="spellStart"/>
      <w:r w:rsidRPr="00221832">
        <w:rPr>
          <w:color w:val="000000" w:themeColor="text1"/>
        </w:rPr>
        <w:t>Lolini</w:t>
      </w:r>
      <w:proofErr w:type="spellEnd"/>
      <w:r w:rsidRPr="00221832">
        <w:rPr>
          <w:color w:val="000000" w:themeColor="text1"/>
        </w:rPr>
        <w:t xml:space="preserve">, Loss, Manzato, Tarantino; *31.111. Nevi, D'Attis, Mazzetti, Labriola, Ferraioli, Cortelazzo, Casino, Paolo Russo, </w:t>
      </w:r>
      <w:proofErr w:type="spellStart"/>
      <w:r w:rsidRPr="00221832">
        <w:rPr>
          <w:color w:val="000000" w:themeColor="text1"/>
        </w:rPr>
        <w:t>Milanato</w:t>
      </w:r>
      <w:proofErr w:type="spellEnd"/>
      <w:r w:rsidRPr="00221832">
        <w:rPr>
          <w:color w:val="000000" w:themeColor="text1"/>
        </w:rPr>
        <w:t>, Sarro, Tartaglione.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8AA7" w14:textId="22B5CEDB" w:rsidR="002C7EA6" w:rsidRDefault="002C7EA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6624" w14:textId="79464CCD" w:rsidR="002C7EA6" w:rsidRPr="00A82891" w:rsidRDefault="002C7EA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3C45" w14:textId="4F664D71" w:rsidR="002C7EA6" w:rsidRDefault="002C7EA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18F1"/>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80E"/>
    <w:rsid w:val="000B5D07"/>
    <w:rsid w:val="000C3A15"/>
    <w:rsid w:val="000C45FD"/>
    <w:rsid w:val="000C5070"/>
    <w:rsid w:val="000C50F1"/>
    <w:rsid w:val="000C61B5"/>
    <w:rsid w:val="000D3441"/>
    <w:rsid w:val="000D6B51"/>
    <w:rsid w:val="000D78D2"/>
    <w:rsid w:val="000E2A19"/>
    <w:rsid w:val="000E58CB"/>
    <w:rsid w:val="000F2249"/>
    <w:rsid w:val="000F292C"/>
    <w:rsid w:val="000F53CD"/>
    <w:rsid w:val="000F5D28"/>
    <w:rsid w:val="000F5ED8"/>
    <w:rsid w:val="000F7413"/>
    <w:rsid w:val="000F774A"/>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1A07"/>
    <w:rsid w:val="001533B3"/>
    <w:rsid w:val="0015538C"/>
    <w:rsid w:val="0015730E"/>
    <w:rsid w:val="00160E2F"/>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4096"/>
    <w:rsid w:val="00236326"/>
    <w:rsid w:val="0024185D"/>
    <w:rsid w:val="0024213A"/>
    <w:rsid w:val="00245260"/>
    <w:rsid w:val="00246D28"/>
    <w:rsid w:val="00246D60"/>
    <w:rsid w:val="00251FEF"/>
    <w:rsid w:val="002565F2"/>
    <w:rsid w:val="00256907"/>
    <w:rsid w:val="00257BDB"/>
    <w:rsid w:val="002620AF"/>
    <w:rsid w:val="00262F41"/>
    <w:rsid w:val="00264750"/>
    <w:rsid w:val="002739D4"/>
    <w:rsid w:val="00276E23"/>
    <w:rsid w:val="0028362B"/>
    <w:rsid w:val="00283714"/>
    <w:rsid w:val="00283BD7"/>
    <w:rsid w:val="002846E6"/>
    <w:rsid w:val="002857B8"/>
    <w:rsid w:val="00285E36"/>
    <w:rsid w:val="0029104D"/>
    <w:rsid w:val="00294ADF"/>
    <w:rsid w:val="0029625E"/>
    <w:rsid w:val="002971FC"/>
    <w:rsid w:val="002A02BE"/>
    <w:rsid w:val="002A0A24"/>
    <w:rsid w:val="002A406B"/>
    <w:rsid w:val="002B44C9"/>
    <w:rsid w:val="002B4832"/>
    <w:rsid w:val="002B4AB3"/>
    <w:rsid w:val="002C1B13"/>
    <w:rsid w:val="002C7E0D"/>
    <w:rsid w:val="002C7EA6"/>
    <w:rsid w:val="002D243B"/>
    <w:rsid w:val="002D68BA"/>
    <w:rsid w:val="002D6ED1"/>
    <w:rsid w:val="002D7712"/>
    <w:rsid w:val="002D7720"/>
    <w:rsid w:val="002F07F7"/>
    <w:rsid w:val="002F18B4"/>
    <w:rsid w:val="002F1EE7"/>
    <w:rsid w:val="002F2BAA"/>
    <w:rsid w:val="002F506C"/>
    <w:rsid w:val="002F779C"/>
    <w:rsid w:val="003012C8"/>
    <w:rsid w:val="003063A8"/>
    <w:rsid w:val="003078B7"/>
    <w:rsid w:val="0031282F"/>
    <w:rsid w:val="00312DBA"/>
    <w:rsid w:val="003140B3"/>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0CF5"/>
    <w:rsid w:val="0039147F"/>
    <w:rsid w:val="00395798"/>
    <w:rsid w:val="003A2813"/>
    <w:rsid w:val="003A7318"/>
    <w:rsid w:val="003B1F9C"/>
    <w:rsid w:val="003B55CF"/>
    <w:rsid w:val="003B6094"/>
    <w:rsid w:val="003B618F"/>
    <w:rsid w:val="003C13CE"/>
    <w:rsid w:val="003C2650"/>
    <w:rsid w:val="003C2822"/>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1CF4"/>
    <w:rsid w:val="004033D2"/>
    <w:rsid w:val="004035C7"/>
    <w:rsid w:val="004041F4"/>
    <w:rsid w:val="00410BE0"/>
    <w:rsid w:val="00410C42"/>
    <w:rsid w:val="004123DB"/>
    <w:rsid w:val="0041329E"/>
    <w:rsid w:val="0041357C"/>
    <w:rsid w:val="00415E3A"/>
    <w:rsid w:val="004162E1"/>
    <w:rsid w:val="004165E3"/>
    <w:rsid w:val="00420460"/>
    <w:rsid w:val="004226BC"/>
    <w:rsid w:val="00422E52"/>
    <w:rsid w:val="00422F9D"/>
    <w:rsid w:val="004241FF"/>
    <w:rsid w:val="00424301"/>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10BB"/>
    <w:rsid w:val="00462AE5"/>
    <w:rsid w:val="00465F1C"/>
    <w:rsid w:val="00473B76"/>
    <w:rsid w:val="00474D47"/>
    <w:rsid w:val="004764A8"/>
    <w:rsid w:val="0048054C"/>
    <w:rsid w:val="00480879"/>
    <w:rsid w:val="00481C8C"/>
    <w:rsid w:val="004832BA"/>
    <w:rsid w:val="0048371F"/>
    <w:rsid w:val="004850A2"/>
    <w:rsid w:val="00485D5D"/>
    <w:rsid w:val="00487615"/>
    <w:rsid w:val="00496E31"/>
    <w:rsid w:val="00497358"/>
    <w:rsid w:val="00497BC7"/>
    <w:rsid w:val="004A4EDA"/>
    <w:rsid w:val="004A5805"/>
    <w:rsid w:val="004A5847"/>
    <w:rsid w:val="004B288A"/>
    <w:rsid w:val="004B4327"/>
    <w:rsid w:val="004C16CF"/>
    <w:rsid w:val="004C7110"/>
    <w:rsid w:val="004C7ECF"/>
    <w:rsid w:val="004D04A9"/>
    <w:rsid w:val="004D07BE"/>
    <w:rsid w:val="004D0F93"/>
    <w:rsid w:val="004D4F42"/>
    <w:rsid w:val="004D533E"/>
    <w:rsid w:val="004D588C"/>
    <w:rsid w:val="004D72A3"/>
    <w:rsid w:val="004D7FDD"/>
    <w:rsid w:val="004E014F"/>
    <w:rsid w:val="004E1D80"/>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2C7"/>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77838"/>
    <w:rsid w:val="0058489B"/>
    <w:rsid w:val="00590380"/>
    <w:rsid w:val="00592362"/>
    <w:rsid w:val="005926F7"/>
    <w:rsid w:val="005928D0"/>
    <w:rsid w:val="005934CD"/>
    <w:rsid w:val="00594BB4"/>
    <w:rsid w:val="005A0F9A"/>
    <w:rsid w:val="005A2157"/>
    <w:rsid w:val="005A2C33"/>
    <w:rsid w:val="005A7736"/>
    <w:rsid w:val="005A7A5D"/>
    <w:rsid w:val="005B18A9"/>
    <w:rsid w:val="005B2D6B"/>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0EE6"/>
    <w:rsid w:val="00612FE9"/>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4D29"/>
    <w:rsid w:val="00677E92"/>
    <w:rsid w:val="00682580"/>
    <w:rsid w:val="006825BC"/>
    <w:rsid w:val="006839D6"/>
    <w:rsid w:val="00684DE6"/>
    <w:rsid w:val="0068767B"/>
    <w:rsid w:val="00690660"/>
    <w:rsid w:val="0069179E"/>
    <w:rsid w:val="00693D52"/>
    <w:rsid w:val="00695884"/>
    <w:rsid w:val="0069655C"/>
    <w:rsid w:val="006968E2"/>
    <w:rsid w:val="006973EE"/>
    <w:rsid w:val="006A1DE0"/>
    <w:rsid w:val="006A26C8"/>
    <w:rsid w:val="006A2914"/>
    <w:rsid w:val="006A579B"/>
    <w:rsid w:val="006A5C67"/>
    <w:rsid w:val="006A7CC3"/>
    <w:rsid w:val="006B110D"/>
    <w:rsid w:val="006B30B2"/>
    <w:rsid w:val="006B616A"/>
    <w:rsid w:val="006C4125"/>
    <w:rsid w:val="006C4C74"/>
    <w:rsid w:val="006C5BD1"/>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15F66"/>
    <w:rsid w:val="007207DA"/>
    <w:rsid w:val="0072446D"/>
    <w:rsid w:val="00725940"/>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2860"/>
    <w:rsid w:val="00783AF0"/>
    <w:rsid w:val="00784015"/>
    <w:rsid w:val="00786639"/>
    <w:rsid w:val="00787EEB"/>
    <w:rsid w:val="00790DC5"/>
    <w:rsid w:val="00791340"/>
    <w:rsid w:val="00792ADB"/>
    <w:rsid w:val="00793B10"/>
    <w:rsid w:val="00793CC1"/>
    <w:rsid w:val="0079622F"/>
    <w:rsid w:val="0079677F"/>
    <w:rsid w:val="007A1606"/>
    <w:rsid w:val="007A35B6"/>
    <w:rsid w:val="007A3ECE"/>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57C7"/>
    <w:rsid w:val="007F6AB0"/>
    <w:rsid w:val="007F755E"/>
    <w:rsid w:val="00800796"/>
    <w:rsid w:val="00800D74"/>
    <w:rsid w:val="008018CC"/>
    <w:rsid w:val="0080396B"/>
    <w:rsid w:val="00804187"/>
    <w:rsid w:val="0081046E"/>
    <w:rsid w:val="008127A8"/>
    <w:rsid w:val="00814947"/>
    <w:rsid w:val="00814BD1"/>
    <w:rsid w:val="00816A2D"/>
    <w:rsid w:val="00821E66"/>
    <w:rsid w:val="00822FD9"/>
    <w:rsid w:val="008246C0"/>
    <w:rsid w:val="00830635"/>
    <w:rsid w:val="00836945"/>
    <w:rsid w:val="00841A50"/>
    <w:rsid w:val="0084772D"/>
    <w:rsid w:val="00853022"/>
    <w:rsid w:val="00854469"/>
    <w:rsid w:val="00855850"/>
    <w:rsid w:val="0086411D"/>
    <w:rsid w:val="00873812"/>
    <w:rsid w:val="0088040D"/>
    <w:rsid w:val="00881817"/>
    <w:rsid w:val="008819A9"/>
    <w:rsid w:val="008826E5"/>
    <w:rsid w:val="00882933"/>
    <w:rsid w:val="00882993"/>
    <w:rsid w:val="008857CB"/>
    <w:rsid w:val="00885EE4"/>
    <w:rsid w:val="0089166C"/>
    <w:rsid w:val="00891EE5"/>
    <w:rsid w:val="008925E7"/>
    <w:rsid w:val="00892983"/>
    <w:rsid w:val="0089371A"/>
    <w:rsid w:val="00897768"/>
    <w:rsid w:val="008A08A2"/>
    <w:rsid w:val="008A15BB"/>
    <w:rsid w:val="008A5034"/>
    <w:rsid w:val="008A6AFA"/>
    <w:rsid w:val="008A7373"/>
    <w:rsid w:val="008B2177"/>
    <w:rsid w:val="008B2FFB"/>
    <w:rsid w:val="008B3AE9"/>
    <w:rsid w:val="008B4FC2"/>
    <w:rsid w:val="008B5AA6"/>
    <w:rsid w:val="008C18C2"/>
    <w:rsid w:val="008C1950"/>
    <w:rsid w:val="008C4C14"/>
    <w:rsid w:val="008C6A11"/>
    <w:rsid w:val="008D0E7A"/>
    <w:rsid w:val="008D18BC"/>
    <w:rsid w:val="008D24AE"/>
    <w:rsid w:val="008D3ABD"/>
    <w:rsid w:val="008D5A12"/>
    <w:rsid w:val="008E0122"/>
    <w:rsid w:val="008E13AB"/>
    <w:rsid w:val="008E2800"/>
    <w:rsid w:val="008E3353"/>
    <w:rsid w:val="008E3C4F"/>
    <w:rsid w:val="008E6485"/>
    <w:rsid w:val="008F0156"/>
    <w:rsid w:val="008F1B4E"/>
    <w:rsid w:val="008F1F46"/>
    <w:rsid w:val="008F586D"/>
    <w:rsid w:val="008F7901"/>
    <w:rsid w:val="00900942"/>
    <w:rsid w:val="00902675"/>
    <w:rsid w:val="00903114"/>
    <w:rsid w:val="009060BA"/>
    <w:rsid w:val="00906464"/>
    <w:rsid w:val="00906668"/>
    <w:rsid w:val="00906B80"/>
    <w:rsid w:val="00906D72"/>
    <w:rsid w:val="00912E2A"/>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5832"/>
    <w:rsid w:val="009E014F"/>
    <w:rsid w:val="009E3E56"/>
    <w:rsid w:val="009F006D"/>
    <w:rsid w:val="009F11A4"/>
    <w:rsid w:val="009F160C"/>
    <w:rsid w:val="009F26AF"/>
    <w:rsid w:val="009F3802"/>
    <w:rsid w:val="009F3C67"/>
    <w:rsid w:val="009F4248"/>
    <w:rsid w:val="009F54CA"/>
    <w:rsid w:val="009F5949"/>
    <w:rsid w:val="009F6350"/>
    <w:rsid w:val="00A00765"/>
    <w:rsid w:val="00A03B51"/>
    <w:rsid w:val="00A0680E"/>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330A"/>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C72A5"/>
    <w:rsid w:val="00AD1B0C"/>
    <w:rsid w:val="00AD4292"/>
    <w:rsid w:val="00AD5AFD"/>
    <w:rsid w:val="00AD7E0E"/>
    <w:rsid w:val="00AE708D"/>
    <w:rsid w:val="00AF590A"/>
    <w:rsid w:val="00B0286F"/>
    <w:rsid w:val="00B04A5E"/>
    <w:rsid w:val="00B0631B"/>
    <w:rsid w:val="00B07423"/>
    <w:rsid w:val="00B1101B"/>
    <w:rsid w:val="00B13F9F"/>
    <w:rsid w:val="00B14E53"/>
    <w:rsid w:val="00B159D2"/>
    <w:rsid w:val="00B16393"/>
    <w:rsid w:val="00B20235"/>
    <w:rsid w:val="00B2344F"/>
    <w:rsid w:val="00B23C5F"/>
    <w:rsid w:val="00B2603D"/>
    <w:rsid w:val="00B26435"/>
    <w:rsid w:val="00B26C50"/>
    <w:rsid w:val="00B32CFF"/>
    <w:rsid w:val="00B32F3D"/>
    <w:rsid w:val="00B3301A"/>
    <w:rsid w:val="00B35D8F"/>
    <w:rsid w:val="00B42702"/>
    <w:rsid w:val="00B42FCB"/>
    <w:rsid w:val="00B43235"/>
    <w:rsid w:val="00B44950"/>
    <w:rsid w:val="00B4529F"/>
    <w:rsid w:val="00B45315"/>
    <w:rsid w:val="00B51638"/>
    <w:rsid w:val="00B520D6"/>
    <w:rsid w:val="00B5230B"/>
    <w:rsid w:val="00B52F6C"/>
    <w:rsid w:val="00B54B25"/>
    <w:rsid w:val="00B56801"/>
    <w:rsid w:val="00B56886"/>
    <w:rsid w:val="00B61054"/>
    <w:rsid w:val="00B62016"/>
    <w:rsid w:val="00B6344D"/>
    <w:rsid w:val="00B64370"/>
    <w:rsid w:val="00B645F5"/>
    <w:rsid w:val="00B67116"/>
    <w:rsid w:val="00B67C39"/>
    <w:rsid w:val="00B702BD"/>
    <w:rsid w:val="00B71A33"/>
    <w:rsid w:val="00B76C9A"/>
    <w:rsid w:val="00B76F42"/>
    <w:rsid w:val="00B778D4"/>
    <w:rsid w:val="00B80E82"/>
    <w:rsid w:val="00B82448"/>
    <w:rsid w:val="00B82DA5"/>
    <w:rsid w:val="00B864EF"/>
    <w:rsid w:val="00B935CC"/>
    <w:rsid w:val="00B93B12"/>
    <w:rsid w:val="00B97B64"/>
    <w:rsid w:val="00BA0CCD"/>
    <w:rsid w:val="00BA0EF2"/>
    <w:rsid w:val="00BA3423"/>
    <w:rsid w:val="00BA3669"/>
    <w:rsid w:val="00BB14DB"/>
    <w:rsid w:val="00BB608C"/>
    <w:rsid w:val="00BB62AF"/>
    <w:rsid w:val="00BB79A6"/>
    <w:rsid w:val="00BC0C9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BF642C"/>
    <w:rsid w:val="00C025B8"/>
    <w:rsid w:val="00C02901"/>
    <w:rsid w:val="00C051A0"/>
    <w:rsid w:val="00C0623F"/>
    <w:rsid w:val="00C06430"/>
    <w:rsid w:val="00C07BB7"/>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6220E"/>
    <w:rsid w:val="00C66E77"/>
    <w:rsid w:val="00C71E1B"/>
    <w:rsid w:val="00C730AC"/>
    <w:rsid w:val="00C745E5"/>
    <w:rsid w:val="00C76E5E"/>
    <w:rsid w:val="00C82114"/>
    <w:rsid w:val="00C8378B"/>
    <w:rsid w:val="00C86438"/>
    <w:rsid w:val="00C86C0D"/>
    <w:rsid w:val="00C87005"/>
    <w:rsid w:val="00C8754B"/>
    <w:rsid w:val="00C908BC"/>
    <w:rsid w:val="00C91B38"/>
    <w:rsid w:val="00C91B6A"/>
    <w:rsid w:val="00C9381B"/>
    <w:rsid w:val="00C96A12"/>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36141"/>
    <w:rsid w:val="00D41117"/>
    <w:rsid w:val="00D41C2F"/>
    <w:rsid w:val="00D43152"/>
    <w:rsid w:val="00D455DA"/>
    <w:rsid w:val="00D52D9C"/>
    <w:rsid w:val="00D55161"/>
    <w:rsid w:val="00D62F5B"/>
    <w:rsid w:val="00D6531E"/>
    <w:rsid w:val="00D66E90"/>
    <w:rsid w:val="00D6709B"/>
    <w:rsid w:val="00D6751A"/>
    <w:rsid w:val="00D71CEA"/>
    <w:rsid w:val="00D727AF"/>
    <w:rsid w:val="00D76A6D"/>
    <w:rsid w:val="00D80B36"/>
    <w:rsid w:val="00D83DA1"/>
    <w:rsid w:val="00D854D2"/>
    <w:rsid w:val="00D90935"/>
    <w:rsid w:val="00D90D1C"/>
    <w:rsid w:val="00D93D0F"/>
    <w:rsid w:val="00D946FA"/>
    <w:rsid w:val="00DA1D50"/>
    <w:rsid w:val="00DB2AA9"/>
    <w:rsid w:val="00DB5538"/>
    <w:rsid w:val="00DC03D0"/>
    <w:rsid w:val="00DC0921"/>
    <w:rsid w:val="00DC19C1"/>
    <w:rsid w:val="00DC3B6D"/>
    <w:rsid w:val="00DC77AE"/>
    <w:rsid w:val="00DD12C4"/>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229"/>
    <w:rsid w:val="00E12D33"/>
    <w:rsid w:val="00E12DC7"/>
    <w:rsid w:val="00E149B5"/>
    <w:rsid w:val="00E15C6E"/>
    <w:rsid w:val="00E20656"/>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4ABF"/>
    <w:rsid w:val="00EB6C23"/>
    <w:rsid w:val="00EC0CF6"/>
    <w:rsid w:val="00EC1DCD"/>
    <w:rsid w:val="00EC58C7"/>
    <w:rsid w:val="00EC58EB"/>
    <w:rsid w:val="00EC6F13"/>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5B01"/>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79F"/>
    <w:rsid w:val="00F64885"/>
    <w:rsid w:val="00F65A63"/>
    <w:rsid w:val="00F66284"/>
    <w:rsid w:val="00F6661B"/>
    <w:rsid w:val="00F679DD"/>
    <w:rsid w:val="00F70338"/>
    <w:rsid w:val="00F70679"/>
    <w:rsid w:val="00F7321E"/>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1B88"/>
    <w:rsid w:val="00FB5F11"/>
    <w:rsid w:val="00FB6FCB"/>
    <w:rsid w:val="00FC1D7E"/>
    <w:rsid w:val="00FC334C"/>
    <w:rsid w:val="00FC3D6D"/>
    <w:rsid w:val="00FC5C2F"/>
    <w:rsid w:val="00FC6D35"/>
    <w:rsid w:val="00FD1CFE"/>
    <w:rsid w:val="00FD4993"/>
    <w:rsid w:val="00FE60F3"/>
    <w:rsid w:val="00FE6EBF"/>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50A0F"/>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82813777">
      <w:bodyDiv w:val="1"/>
      <w:marLeft w:val="0"/>
      <w:marRight w:val="0"/>
      <w:marTop w:val="0"/>
      <w:marBottom w:val="0"/>
      <w:divBdr>
        <w:top w:val="none" w:sz="0" w:space="0" w:color="auto"/>
        <w:left w:val="none" w:sz="0" w:space="0" w:color="auto"/>
        <w:bottom w:val="none" w:sz="0" w:space="0" w:color="auto"/>
        <w:right w:val="none" w:sz="0" w:space="0" w:color="auto"/>
      </w:divBdr>
    </w:div>
    <w:div w:id="504977814">
      <w:bodyDiv w:val="1"/>
      <w:marLeft w:val="0"/>
      <w:marRight w:val="0"/>
      <w:marTop w:val="0"/>
      <w:marBottom w:val="0"/>
      <w:divBdr>
        <w:top w:val="none" w:sz="0" w:space="0" w:color="auto"/>
        <w:left w:val="none" w:sz="0" w:space="0" w:color="auto"/>
        <w:bottom w:val="none" w:sz="0" w:space="0" w:color="auto"/>
        <w:right w:val="none" w:sz="0" w:space="0" w:color="auto"/>
      </w:divBdr>
      <w:divsChild>
        <w:div w:id="1143616593">
          <w:marLeft w:val="0"/>
          <w:marRight w:val="0"/>
          <w:marTop w:val="0"/>
          <w:marBottom w:val="0"/>
          <w:divBdr>
            <w:top w:val="none" w:sz="0" w:space="0" w:color="auto"/>
            <w:left w:val="none" w:sz="0" w:space="0" w:color="auto"/>
            <w:bottom w:val="none" w:sz="0" w:space="0" w:color="auto"/>
            <w:right w:val="none" w:sz="0" w:space="0" w:color="auto"/>
          </w:divBdr>
          <w:divsChild>
            <w:div w:id="499002699">
              <w:marLeft w:val="0"/>
              <w:marRight w:val="0"/>
              <w:marTop w:val="0"/>
              <w:marBottom w:val="0"/>
              <w:divBdr>
                <w:top w:val="none" w:sz="0" w:space="0" w:color="auto"/>
                <w:left w:val="none" w:sz="0" w:space="0" w:color="auto"/>
                <w:bottom w:val="none" w:sz="0" w:space="0" w:color="auto"/>
                <w:right w:val="none" w:sz="0" w:space="0" w:color="auto"/>
              </w:divBdr>
              <w:divsChild>
                <w:div w:id="593562320">
                  <w:marLeft w:val="0"/>
                  <w:marRight w:val="0"/>
                  <w:marTop w:val="0"/>
                  <w:marBottom w:val="0"/>
                  <w:divBdr>
                    <w:top w:val="none" w:sz="0" w:space="0" w:color="auto"/>
                    <w:left w:val="none" w:sz="0" w:space="0" w:color="auto"/>
                    <w:bottom w:val="none" w:sz="0" w:space="0" w:color="auto"/>
                    <w:right w:val="none" w:sz="0" w:space="0" w:color="auto"/>
                  </w:divBdr>
                </w:div>
                <w:div w:id="1639148763">
                  <w:marLeft w:val="0"/>
                  <w:marRight w:val="0"/>
                  <w:marTop w:val="0"/>
                  <w:marBottom w:val="0"/>
                  <w:divBdr>
                    <w:top w:val="none" w:sz="0" w:space="0" w:color="auto"/>
                    <w:left w:val="none" w:sz="0" w:space="0" w:color="auto"/>
                    <w:bottom w:val="none" w:sz="0" w:space="0" w:color="auto"/>
                    <w:right w:val="none" w:sz="0" w:space="0" w:color="auto"/>
                  </w:divBdr>
                </w:div>
                <w:div w:id="36125961">
                  <w:marLeft w:val="0"/>
                  <w:marRight w:val="0"/>
                  <w:marTop w:val="0"/>
                  <w:marBottom w:val="0"/>
                  <w:divBdr>
                    <w:top w:val="none" w:sz="0" w:space="0" w:color="auto"/>
                    <w:left w:val="none" w:sz="0" w:space="0" w:color="auto"/>
                    <w:bottom w:val="none" w:sz="0" w:space="0" w:color="auto"/>
                    <w:right w:val="none" w:sz="0" w:space="0" w:color="auto"/>
                  </w:divBdr>
                </w:div>
                <w:div w:id="757672699">
                  <w:marLeft w:val="0"/>
                  <w:marRight w:val="0"/>
                  <w:marTop w:val="0"/>
                  <w:marBottom w:val="0"/>
                  <w:divBdr>
                    <w:top w:val="none" w:sz="0" w:space="0" w:color="auto"/>
                    <w:left w:val="none" w:sz="0" w:space="0" w:color="auto"/>
                    <w:bottom w:val="none" w:sz="0" w:space="0" w:color="auto"/>
                    <w:right w:val="none" w:sz="0" w:space="0" w:color="auto"/>
                  </w:divBdr>
                </w:div>
                <w:div w:id="51469498">
                  <w:marLeft w:val="0"/>
                  <w:marRight w:val="0"/>
                  <w:marTop w:val="0"/>
                  <w:marBottom w:val="0"/>
                  <w:divBdr>
                    <w:top w:val="none" w:sz="0" w:space="0" w:color="auto"/>
                    <w:left w:val="none" w:sz="0" w:space="0" w:color="auto"/>
                    <w:bottom w:val="none" w:sz="0" w:space="0" w:color="auto"/>
                    <w:right w:val="none" w:sz="0" w:space="0" w:color="auto"/>
                  </w:divBdr>
                </w:div>
                <w:div w:id="1650983845">
                  <w:marLeft w:val="0"/>
                  <w:marRight w:val="0"/>
                  <w:marTop w:val="0"/>
                  <w:marBottom w:val="0"/>
                  <w:divBdr>
                    <w:top w:val="none" w:sz="0" w:space="0" w:color="auto"/>
                    <w:left w:val="none" w:sz="0" w:space="0" w:color="auto"/>
                    <w:bottom w:val="none" w:sz="0" w:space="0" w:color="auto"/>
                    <w:right w:val="none" w:sz="0" w:space="0" w:color="auto"/>
                  </w:divBdr>
                </w:div>
                <w:div w:id="1406762607">
                  <w:marLeft w:val="0"/>
                  <w:marRight w:val="0"/>
                  <w:marTop w:val="0"/>
                  <w:marBottom w:val="0"/>
                  <w:divBdr>
                    <w:top w:val="none" w:sz="0" w:space="0" w:color="auto"/>
                    <w:left w:val="none" w:sz="0" w:space="0" w:color="auto"/>
                    <w:bottom w:val="none" w:sz="0" w:space="0" w:color="auto"/>
                    <w:right w:val="none" w:sz="0" w:space="0" w:color="auto"/>
                  </w:divBdr>
                </w:div>
                <w:div w:id="211499205">
                  <w:marLeft w:val="0"/>
                  <w:marRight w:val="0"/>
                  <w:marTop w:val="0"/>
                  <w:marBottom w:val="0"/>
                  <w:divBdr>
                    <w:top w:val="none" w:sz="0" w:space="0" w:color="auto"/>
                    <w:left w:val="none" w:sz="0" w:space="0" w:color="auto"/>
                    <w:bottom w:val="none" w:sz="0" w:space="0" w:color="auto"/>
                    <w:right w:val="none" w:sz="0" w:space="0" w:color="auto"/>
                  </w:divBdr>
                </w:div>
                <w:div w:id="38827794">
                  <w:marLeft w:val="0"/>
                  <w:marRight w:val="0"/>
                  <w:marTop w:val="0"/>
                  <w:marBottom w:val="0"/>
                  <w:divBdr>
                    <w:top w:val="none" w:sz="0" w:space="0" w:color="auto"/>
                    <w:left w:val="none" w:sz="0" w:space="0" w:color="auto"/>
                    <w:bottom w:val="none" w:sz="0" w:space="0" w:color="auto"/>
                    <w:right w:val="none" w:sz="0" w:space="0" w:color="auto"/>
                  </w:divBdr>
                </w:div>
                <w:div w:id="565454880">
                  <w:marLeft w:val="0"/>
                  <w:marRight w:val="0"/>
                  <w:marTop w:val="0"/>
                  <w:marBottom w:val="0"/>
                  <w:divBdr>
                    <w:top w:val="none" w:sz="0" w:space="0" w:color="auto"/>
                    <w:left w:val="none" w:sz="0" w:space="0" w:color="auto"/>
                    <w:bottom w:val="none" w:sz="0" w:space="0" w:color="auto"/>
                    <w:right w:val="none" w:sz="0" w:space="0" w:color="auto"/>
                  </w:divBdr>
                </w:div>
                <w:div w:id="1620991433">
                  <w:marLeft w:val="0"/>
                  <w:marRight w:val="0"/>
                  <w:marTop w:val="0"/>
                  <w:marBottom w:val="0"/>
                  <w:divBdr>
                    <w:top w:val="none" w:sz="0" w:space="0" w:color="auto"/>
                    <w:left w:val="none" w:sz="0" w:space="0" w:color="auto"/>
                    <w:bottom w:val="none" w:sz="0" w:space="0" w:color="auto"/>
                    <w:right w:val="none" w:sz="0" w:space="0" w:color="auto"/>
                  </w:divBdr>
                </w:div>
              </w:divsChild>
            </w:div>
            <w:div w:id="1657758086">
              <w:marLeft w:val="0"/>
              <w:marRight w:val="0"/>
              <w:marTop w:val="0"/>
              <w:marBottom w:val="0"/>
              <w:divBdr>
                <w:top w:val="none" w:sz="0" w:space="0" w:color="auto"/>
                <w:left w:val="none" w:sz="0" w:space="0" w:color="auto"/>
                <w:bottom w:val="none" w:sz="0" w:space="0" w:color="auto"/>
                <w:right w:val="none" w:sz="0" w:space="0" w:color="auto"/>
              </w:divBdr>
              <w:divsChild>
                <w:div w:id="931426612">
                  <w:marLeft w:val="0"/>
                  <w:marRight w:val="0"/>
                  <w:marTop w:val="0"/>
                  <w:marBottom w:val="0"/>
                  <w:divBdr>
                    <w:top w:val="none" w:sz="0" w:space="0" w:color="auto"/>
                    <w:left w:val="none" w:sz="0" w:space="0" w:color="auto"/>
                    <w:bottom w:val="none" w:sz="0" w:space="0" w:color="auto"/>
                    <w:right w:val="none" w:sz="0" w:space="0" w:color="auto"/>
                  </w:divBdr>
                </w:div>
                <w:div w:id="1985965275">
                  <w:marLeft w:val="0"/>
                  <w:marRight w:val="0"/>
                  <w:marTop w:val="0"/>
                  <w:marBottom w:val="0"/>
                  <w:divBdr>
                    <w:top w:val="none" w:sz="0" w:space="0" w:color="auto"/>
                    <w:left w:val="none" w:sz="0" w:space="0" w:color="auto"/>
                    <w:bottom w:val="none" w:sz="0" w:space="0" w:color="auto"/>
                    <w:right w:val="none" w:sz="0" w:space="0" w:color="auto"/>
                  </w:divBdr>
                </w:div>
                <w:div w:id="1052119930">
                  <w:marLeft w:val="0"/>
                  <w:marRight w:val="0"/>
                  <w:marTop w:val="0"/>
                  <w:marBottom w:val="0"/>
                  <w:divBdr>
                    <w:top w:val="none" w:sz="0" w:space="0" w:color="auto"/>
                    <w:left w:val="none" w:sz="0" w:space="0" w:color="auto"/>
                    <w:bottom w:val="none" w:sz="0" w:space="0" w:color="auto"/>
                    <w:right w:val="none" w:sz="0" w:space="0" w:color="auto"/>
                  </w:divBdr>
                </w:div>
                <w:div w:id="886181640">
                  <w:marLeft w:val="0"/>
                  <w:marRight w:val="0"/>
                  <w:marTop w:val="0"/>
                  <w:marBottom w:val="0"/>
                  <w:divBdr>
                    <w:top w:val="none" w:sz="0" w:space="0" w:color="auto"/>
                    <w:left w:val="none" w:sz="0" w:space="0" w:color="auto"/>
                    <w:bottom w:val="none" w:sz="0" w:space="0" w:color="auto"/>
                    <w:right w:val="none" w:sz="0" w:space="0" w:color="auto"/>
                  </w:divBdr>
                </w:div>
                <w:div w:id="760375154">
                  <w:marLeft w:val="0"/>
                  <w:marRight w:val="0"/>
                  <w:marTop w:val="0"/>
                  <w:marBottom w:val="0"/>
                  <w:divBdr>
                    <w:top w:val="none" w:sz="0" w:space="0" w:color="auto"/>
                    <w:left w:val="none" w:sz="0" w:space="0" w:color="auto"/>
                    <w:bottom w:val="none" w:sz="0" w:space="0" w:color="auto"/>
                    <w:right w:val="none" w:sz="0" w:space="0" w:color="auto"/>
                  </w:divBdr>
                </w:div>
                <w:div w:id="907619194">
                  <w:marLeft w:val="0"/>
                  <w:marRight w:val="0"/>
                  <w:marTop w:val="0"/>
                  <w:marBottom w:val="0"/>
                  <w:divBdr>
                    <w:top w:val="none" w:sz="0" w:space="0" w:color="auto"/>
                    <w:left w:val="none" w:sz="0" w:space="0" w:color="auto"/>
                    <w:bottom w:val="none" w:sz="0" w:space="0" w:color="auto"/>
                    <w:right w:val="none" w:sz="0" w:space="0" w:color="auto"/>
                  </w:divBdr>
                </w:div>
                <w:div w:id="1924560073">
                  <w:marLeft w:val="0"/>
                  <w:marRight w:val="0"/>
                  <w:marTop w:val="0"/>
                  <w:marBottom w:val="0"/>
                  <w:divBdr>
                    <w:top w:val="none" w:sz="0" w:space="0" w:color="auto"/>
                    <w:left w:val="none" w:sz="0" w:space="0" w:color="auto"/>
                    <w:bottom w:val="none" w:sz="0" w:space="0" w:color="auto"/>
                    <w:right w:val="none" w:sz="0" w:space="0" w:color="auto"/>
                  </w:divBdr>
                </w:div>
                <w:div w:id="1662275579">
                  <w:marLeft w:val="0"/>
                  <w:marRight w:val="0"/>
                  <w:marTop w:val="0"/>
                  <w:marBottom w:val="0"/>
                  <w:divBdr>
                    <w:top w:val="none" w:sz="0" w:space="0" w:color="auto"/>
                    <w:left w:val="none" w:sz="0" w:space="0" w:color="auto"/>
                    <w:bottom w:val="none" w:sz="0" w:space="0" w:color="auto"/>
                    <w:right w:val="none" w:sz="0" w:space="0" w:color="auto"/>
                  </w:divBdr>
                </w:div>
                <w:div w:id="17045963">
                  <w:marLeft w:val="0"/>
                  <w:marRight w:val="0"/>
                  <w:marTop w:val="0"/>
                  <w:marBottom w:val="0"/>
                  <w:divBdr>
                    <w:top w:val="none" w:sz="0" w:space="0" w:color="auto"/>
                    <w:left w:val="none" w:sz="0" w:space="0" w:color="auto"/>
                    <w:bottom w:val="none" w:sz="0" w:space="0" w:color="auto"/>
                    <w:right w:val="none" w:sz="0" w:space="0" w:color="auto"/>
                  </w:divBdr>
                </w:div>
                <w:div w:id="282999532">
                  <w:marLeft w:val="0"/>
                  <w:marRight w:val="0"/>
                  <w:marTop w:val="0"/>
                  <w:marBottom w:val="0"/>
                  <w:divBdr>
                    <w:top w:val="none" w:sz="0" w:space="0" w:color="auto"/>
                    <w:left w:val="none" w:sz="0" w:space="0" w:color="auto"/>
                    <w:bottom w:val="none" w:sz="0" w:space="0" w:color="auto"/>
                    <w:right w:val="none" w:sz="0" w:space="0" w:color="auto"/>
                  </w:divBdr>
                </w:div>
                <w:div w:id="92634120">
                  <w:marLeft w:val="0"/>
                  <w:marRight w:val="0"/>
                  <w:marTop w:val="0"/>
                  <w:marBottom w:val="0"/>
                  <w:divBdr>
                    <w:top w:val="none" w:sz="0" w:space="0" w:color="auto"/>
                    <w:left w:val="none" w:sz="0" w:space="0" w:color="auto"/>
                    <w:bottom w:val="none" w:sz="0" w:space="0" w:color="auto"/>
                    <w:right w:val="none" w:sz="0" w:space="0" w:color="auto"/>
                  </w:divBdr>
                </w:div>
                <w:div w:id="2105950073">
                  <w:marLeft w:val="0"/>
                  <w:marRight w:val="0"/>
                  <w:marTop w:val="0"/>
                  <w:marBottom w:val="0"/>
                  <w:divBdr>
                    <w:top w:val="none" w:sz="0" w:space="0" w:color="auto"/>
                    <w:left w:val="none" w:sz="0" w:space="0" w:color="auto"/>
                    <w:bottom w:val="none" w:sz="0" w:space="0" w:color="auto"/>
                    <w:right w:val="none" w:sz="0" w:space="0" w:color="auto"/>
                  </w:divBdr>
                </w:div>
                <w:div w:id="815489027">
                  <w:marLeft w:val="0"/>
                  <w:marRight w:val="0"/>
                  <w:marTop w:val="0"/>
                  <w:marBottom w:val="0"/>
                  <w:divBdr>
                    <w:top w:val="none" w:sz="0" w:space="0" w:color="auto"/>
                    <w:left w:val="none" w:sz="0" w:space="0" w:color="auto"/>
                    <w:bottom w:val="none" w:sz="0" w:space="0" w:color="auto"/>
                    <w:right w:val="none" w:sz="0" w:space="0" w:color="auto"/>
                  </w:divBdr>
                </w:div>
                <w:div w:id="2111393410">
                  <w:marLeft w:val="0"/>
                  <w:marRight w:val="0"/>
                  <w:marTop w:val="0"/>
                  <w:marBottom w:val="0"/>
                  <w:divBdr>
                    <w:top w:val="none" w:sz="0" w:space="0" w:color="auto"/>
                    <w:left w:val="none" w:sz="0" w:space="0" w:color="auto"/>
                    <w:bottom w:val="none" w:sz="0" w:space="0" w:color="auto"/>
                    <w:right w:val="none" w:sz="0" w:space="0" w:color="auto"/>
                  </w:divBdr>
                </w:div>
              </w:divsChild>
            </w:div>
            <w:div w:id="1864397540">
              <w:marLeft w:val="0"/>
              <w:marRight w:val="0"/>
              <w:marTop w:val="0"/>
              <w:marBottom w:val="0"/>
              <w:divBdr>
                <w:top w:val="none" w:sz="0" w:space="0" w:color="auto"/>
                <w:left w:val="none" w:sz="0" w:space="0" w:color="auto"/>
                <w:bottom w:val="none" w:sz="0" w:space="0" w:color="auto"/>
                <w:right w:val="none" w:sz="0" w:space="0" w:color="auto"/>
              </w:divBdr>
              <w:divsChild>
                <w:div w:id="100497969">
                  <w:marLeft w:val="0"/>
                  <w:marRight w:val="0"/>
                  <w:marTop w:val="0"/>
                  <w:marBottom w:val="0"/>
                  <w:divBdr>
                    <w:top w:val="none" w:sz="0" w:space="0" w:color="auto"/>
                    <w:left w:val="none" w:sz="0" w:space="0" w:color="auto"/>
                    <w:bottom w:val="none" w:sz="0" w:space="0" w:color="auto"/>
                    <w:right w:val="none" w:sz="0" w:space="0" w:color="auto"/>
                  </w:divBdr>
                </w:div>
                <w:div w:id="1442803825">
                  <w:marLeft w:val="0"/>
                  <w:marRight w:val="0"/>
                  <w:marTop w:val="0"/>
                  <w:marBottom w:val="0"/>
                  <w:divBdr>
                    <w:top w:val="none" w:sz="0" w:space="0" w:color="auto"/>
                    <w:left w:val="none" w:sz="0" w:space="0" w:color="auto"/>
                    <w:bottom w:val="none" w:sz="0" w:space="0" w:color="auto"/>
                    <w:right w:val="none" w:sz="0" w:space="0" w:color="auto"/>
                  </w:divBdr>
                </w:div>
                <w:div w:id="937054890">
                  <w:marLeft w:val="0"/>
                  <w:marRight w:val="0"/>
                  <w:marTop w:val="0"/>
                  <w:marBottom w:val="0"/>
                  <w:divBdr>
                    <w:top w:val="none" w:sz="0" w:space="0" w:color="auto"/>
                    <w:left w:val="none" w:sz="0" w:space="0" w:color="auto"/>
                    <w:bottom w:val="none" w:sz="0" w:space="0" w:color="auto"/>
                    <w:right w:val="none" w:sz="0" w:space="0" w:color="auto"/>
                  </w:divBdr>
                </w:div>
                <w:div w:id="1994723303">
                  <w:marLeft w:val="0"/>
                  <w:marRight w:val="0"/>
                  <w:marTop w:val="0"/>
                  <w:marBottom w:val="0"/>
                  <w:divBdr>
                    <w:top w:val="none" w:sz="0" w:space="0" w:color="auto"/>
                    <w:left w:val="none" w:sz="0" w:space="0" w:color="auto"/>
                    <w:bottom w:val="none" w:sz="0" w:space="0" w:color="auto"/>
                    <w:right w:val="none" w:sz="0" w:space="0" w:color="auto"/>
                  </w:divBdr>
                </w:div>
                <w:div w:id="812720123">
                  <w:marLeft w:val="0"/>
                  <w:marRight w:val="0"/>
                  <w:marTop w:val="0"/>
                  <w:marBottom w:val="0"/>
                  <w:divBdr>
                    <w:top w:val="none" w:sz="0" w:space="0" w:color="auto"/>
                    <w:left w:val="none" w:sz="0" w:space="0" w:color="auto"/>
                    <w:bottom w:val="none" w:sz="0" w:space="0" w:color="auto"/>
                    <w:right w:val="none" w:sz="0" w:space="0" w:color="auto"/>
                  </w:divBdr>
                </w:div>
                <w:div w:id="1677534339">
                  <w:marLeft w:val="0"/>
                  <w:marRight w:val="0"/>
                  <w:marTop w:val="0"/>
                  <w:marBottom w:val="0"/>
                  <w:divBdr>
                    <w:top w:val="none" w:sz="0" w:space="0" w:color="auto"/>
                    <w:left w:val="none" w:sz="0" w:space="0" w:color="auto"/>
                    <w:bottom w:val="none" w:sz="0" w:space="0" w:color="auto"/>
                    <w:right w:val="none" w:sz="0" w:space="0" w:color="auto"/>
                  </w:divBdr>
                </w:div>
                <w:div w:id="1151211552">
                  <w:marLeft w:val="0"/>
                  <w:marRight w:val="0"/>
                  <w:marTop w:val="0"/>
                  <w:marBottom w:val="0"/>
                  <w:divBdr>
                    <w:top w:val="none" w:sz="0" w:space="0" w:color="auto"/>
                    <w:left w:val="none" w:sz="0" w:space="0" w:color="auto"/>
                    <w:bottom w:val="none" w:sz="0" w:space="0" w:color="auto"/>
                    <w:right w:val="none" w:sz="0" w:space="0" w:color="auto"/>
                  </w:divBdr>
                </w:div>
                <w:div w:id="20010273">
                  <w:marLeft w:val="0"/>
                  <w:marRight w:val="0"/>
                  <w:marTop w:val="0"/>
                  <w:marBottom w:val="0"/>
                  <w:divBdr>
                    <w:top w:val="none" w:sz="0" w:space="0" w:color="auto"/>
                    <w:left w:val="none" w:sz="0" w:space="0" w:color="auto"/>
                    <w:bottom w:val="none" w:sz="0" w:space="0" w:color="auto"/>
                    <w:right w:val="none" w:sz="0" w:space="0" w:color="auto"/>
                  </w:divBdr>
                </w:div>
                <w:div w:id="1967152449">
                  <w:marLeft w:val="0"/>
                  <w:marRight w:val="0"/>
                  <w:marTop w:val="0"/>
                  <w:marBottom w:val="0"/>
                  <w:divBdr>
                    <w:top w:val="none" w:sz="0" w:space="0" w:color="auto"/>
                    <w:left w:val="none" w:sz="0" w:space="0" w:color="auto"/>
                    <w:bottom w:val="none" w:sz="0" w:space="0" w:color="auto"/>
                    <w:right w:val="none" w:sz="0" w:space="0" w:color="auto"/>
                  </w:divBdr>
                </w:div>
                <w:div w:id="778916049">
                  <w:marLeft w:val="0"/>
                  <w:marRight w:val="0"/>
                  <w:marTop w:val="0"/>
                  <w:marBottom w:val="0"/>
                  <w:divBdr>
                    <w:top w:val="none" w:sz="0" w:space="0" w:color="auto"/>
                    <w:left w:val="none" w:sz="0" w:space="0" w:color="auto"/>
                    <w:bottom w:val="none" w:sz="0" w:space="0" w:color="auto"/>
                    <w:right w:val="none" w:sz="0" w:space="0" w:color="auto"/>
                  </w:divBdr>
                </w:div>
              </w:divsChild>
            </w:div>
            <w:div w:id="2097241912">
              <w:marLeft w:val="0"/>
              <w:marRight w:val="0"/>
              <w:marTop w:val="0"/>
              <w:marBottom w:val="0"/>
              <w:divBdr>
                <w:top w:val="none" w:sz="0" w:space="0" w:color="auto"/>
                <w:left w:val="none" w:sz="0" w:space="0" w:color="auto"/>
                <w:bottom w:val="none" w:sz="0" w:space="0" w:color="auto"/>
                <w:right w:val="none" w:sz="0" w:space="0" w:color="auto"/>
              </w:divBdr>
              <w:divsChild>
                <w:div w:id="750547557">
                  <w:marLeft w:val="0"/>
                  <w:marRight w:val="0"/>
                  <w:marTop w:val="0"/>
                  <w:marBottom w:val="0"/>
                  <w:divBdr>
                    <w:top w:val="none" w:sz="0" w:space="0" w:color="auto"/>
                    <w:left w:val="none" w:sz="0" w:space="0" w:color="auto"/>
                    <w:bottom w:val="none" w:sz="0" w:space="0" w:color="auto"/>
                    <w:right w:val="none" w:sz="0" w:space="0" w:color="auto"/>
                  </w:divBdr>
                </w:div>
                <w:div w:id="617025307">
                  <w:marLeft w:val="0"/>
                  <w:marRight w:val="0"/>
                  <w:marTop w:val="0"/>
                  <w:marBottom w:val="0"/>
                  <w:divBdr>
                    <w:top w:val="none" w:sz="0" w:space="0" w:color="auto"/>
                    <w:left w:val="none" w:sz="0" w:space="0" w:color="auto"/>
                    <w:bottom w:val="none" w:sz="0" w:space="0" w:color="auto"/>
                    <w:right w:val="none" w:sz="0" w:space="0" w:color="auto"/>
                  </w:divBdr>
                </w:div>
                <w:div w:id="2034110523">
                  <w:marLeft w:val="0"/>
                  <w:marRight w:val="0"/>
                  <w:marTop w:val="0"/>
                  <w:marBottom w:val="0"/>
                  <w:divBdr>
                    <w:top w:val="none" w:sz="0" w:space="0" w:color="auto"/>
                    <w:left w:val="none" w:sz="0" w:space="0" w:color="auto"/>
                    <w:bottom w:val="none" w:sz="0" w:space="0" w:color="auto"/>
                    <w:right w:val="none" w:sz="0" w:space="0" w:color="auto"/>
                  </w:divBdr>
                </w:div>
                <w:div w:id="1041175042">
                  <w:marLeft w:val="0"/>
                  <w:marRight w:val="0"/>
                  <w:marTop w:val="0"/>
                  <w:marBottom w:val="0"/>
                  <w:divBdr>
                    <w:top w:val="none" w:sz="0" w:space="0" w:color="auto"/>
                    <w:left w:val="none" w:sz="0" w:space="0" w:color="auto"/>
                    <w:bottom w:val="none" w:sz="0" w:space="0" w:color="auto"/>
                    <w:right w:val="none" w:sz="0" w:space="0" w:color="auto"/>
                  </w:divBdr>
                </w:div>
                <w:div w:id="1386375734">
                  <w:marLeft w:val="0"/>
                  <w:marRight w:val="0"/>
                  <w:marTop w:val="0"/>
                  <w:marBottom w:val="0"/>
                  <w:divBdr>
                    <w:top w:val="none" w:sz="0" w:space="0" w:color="auto"/>
                    <w:left w:val="none" w:sz="0" w:space="0" w:color="auto"/>
                    <w:bottom w:val="none" w:sz="0" w:space="0" w:color="auto"/>
                    <w:right w:val="none" w:sz="0" w:space="0" w:color="auto"/>
                  </w:divBdr>
                </w:div>
                <w:div w:id="993140469">
                  <w:marLeft w:val="0"/>
                  <w:marRight w:val="0"/>
                  <w:marTop w:val="0"/>
                  <w:marBottom w:val="0"/>
                  <w:divBdr>
                    <w:top w:val="none" w:sz="0" w:space="0" w:color="auto"/>
                    <w:left w:val="none" w:sz="0" w:space="0" w:color="auto"/>
                    <w:bottom w:val="none" w:sz="0" w:space="0" w:color="auto"/>
                    <w:right w:val="none" w:sz="0" w:space="0" w:color="auto"/>
                  </w:divBdr>
                </w:div>
                <w:div w:id="1070078223">
                  <w:marLeft w:val="0"/>
                  <w:marRight w:val="0"/>
                  <w:marTop w:val="0"/>
                  <w:marBottom w:val="0"/>
                  <w:divBdr>
                    <w:top w:val="none" w:sz="0" w:space="0" w:color="auto"/>
                    <w:left w:val="none" w:sz="0" w:space="0" w:color="auto"/>
                    <w:bottom w:val="none" w:sz="0" w:space="0" w:color="auto"/>
                    <w:right w:val="none" w:sz="0" w:space="0" w:color="auto"/>
                  </w:divBdr>
                </w:div>
                <w:div w:id="1580168924">
                  <w:marLeft w:val="0"/>
                  <w:marRight w:val="0"/>
                  <w:marTop w:val="0"/>
                  <w:marBottom w:val="0"/>
                  <w:divBdr>
                    <w:top w:val="none" w:sz="0" w:space="0" w:color="auto"/>
                    <w:left w:val="none" w:sz="0" w:space="0" w:color="auto"/>
                    <w:bottom w:val="none" w:sz="0" w:space="0" w:color="auto"/>
                    <w:right w:val="none" w:sz="0" w:space="0" w:color="auto"/>
                  </w:divBdr>
                </w:div>
                <w:div w:id="2073848034">
                  <w:marLeft w:val="0"/>
                  <w:marRight w:val="0"/>
                  <w:marTop w:val="0"/>
                  <w:marBottom w:val="0"/>
                  <w:divBdr>
                    <w:top w:val="none" w:sz="0" w:space="0" w:color="auto"/>
                    <w:left w:val="none" w:sz="0" w:space="0" w:color="auto"/>
                    <w:bottom w:val="none" w:sz="0" w:space="0" w:color="auto"/>
                    <w:right w:val="none" w:sz="0" w:space="0" w:color="auto"/>
                  </w:divBdr>
                </w:div>
                <w:div w:id="1048804087">
                  <w:marLeft w:val="0"/>
                  <w:marRight w:val="0"/>
                  <w:marTop w:val="0"/>
                  <w:marBottom w:val="0"/>
                  <w:divBdr>
                    <w:top w:val="none" w:sz="0" w:space="0" w:color="auto"/>
                    <w:left w:val="none" w:sz="0" w:space="0" w:color="auto"/>
                    <w:bottom w:val="none" w:sz="0" w:space="0" w:color="auto"/>
                    <w:right w:val="none" w:sz="0" w:space="0" w:color="auto"/>
                  </w:divBdr>
                </w:div>
                <w:div w:id="292714005">
                  <w:marLeft w:val="0"/>
                  <w:marRight w:val="0"/>
                  <w:marTop w:val="0"/>
                  <w:marBottom w:val="0"/>
                  <w:divBdr>
                    <w:top w:val="none" w:sz="0" w:space="0" w:color="auto"/>
                    <w:left w:val="none" w:sz="0" w:space="0" w:color="auto"/>
                    <w:bottom w:val="none" w:sz="0" w:space="0" w:color="auto"/>
                    <w:right w:val="none" w:sz="0" w:space="0" w:color="auto"/>
                  </w:divBdr>
                </w:div>
                <w:div w:id="825361711">
                  <w:marLeft w:val="0"/>
                  <w:marRight w:val="0"/>
                  <w:marTop w:val="0"/>
                  <w:marBottom w:val="0"/>
                  <w:divBdr>
                    <w:top w:val="none" w:sz="0" w:space="0" w:color="auto"/>
                    <w:left w:val="none" w:sz="0" w:space="0" w:color="auto"/>
                    <w:bottom w:val="none" w:sz="0" w:space="0" w:color="auto"/>
                    <w:right w:val="none" w:sz="0" w:space="0" w:color="auto"/>
                  </w:divBdr>
                </w:div>
                <w:div w:id="1919243077">
                  <w:marLeft w:val="0"/>
                  <w:marRight w:val="0"/>
                  <w:marTop w:val="0"/>
                  <w:marBottom w:val="0"/>
                  <w:divBdr>
                    <w:top w:val="none" w:sz="0" w:space="0" w:color="auto"/>
                    <w:left w:val="none" w:sz="0" w:space="0" w:color="auto"/>
                    <w:bottom w:val="none" w:sz="0" w:space="0" w:color="auto"/>
                    <w:right w:val="none" w:sz="0" w:space="0" w:color="auto"/>
                  </w:divBdr>
                </w:div>
                <w:div w:id="717318143">
                  <w:marLeft w:val="0"/>
                  <w:marRight w:val="0"/>
                  <w:marTop w:val="0"/>
                  <w:marBottom w:val="0"/>
                  <w:divBdr>
                    <w:top w:val="none" w:sz="0" w:space="0" w:color="auto"/>
                    <w:left w:val="none" w:sz="0" w:space="0" w:color="auto"/>
                    <w:bottom w:val="none" w:sz="0" w:space="0" w:color="auto"/>
                    <w:right w:val="none" w:sz="0" w:space="0" w:color="auto"/>
                  </w:divBdr>
                </w:div>
                <w:div w:id="1408650215">
                  <w:marLeft w:val="0"/>
                  <w:marRight w:val="0"/>
                  <w:marTop w:val="0"/>
                  <w:marBottom w:val="0"/>
                  <w:divBdr>
                    <w:top w:val="none" w:sz="0" w:space="0" w:color="auto"/>
                    <w:left w:val="none" w:sz="0" w:space="0" w:color="auto"/>
                    <w:bottom w:val="none" w:sz="0" w:space="0" w:color="auto"/>
                    <w:right w:val="none" w:sz="0" w:space="0" w:color="auto"/>
                  </w:divBdr>
                </w:div>
              </w:divsChild>
            </w:div>
            <w:div w:id="713430149">
              <w:marLeft w:val="0"/>
              <w:marRight w:val="0"/>
              <w:marTop w:val="0"/>
              <w:marBottom w:val="0"/>
              <w:divBdr>
                <w:top w:val="none" w:sz="0" w:space="0" w:color="auto"/>
                <w:left w:val="none" w:sz="0" w:space="0" w:color="auto"/>
                <w:bottom w:val="none" w:sz="0" w:space="0" w:color="auto"/>
                <w:right w:val="none" w:sz="0" w:space="0" w:color="auto"/>
              </w:divBdr>
              <w:divsChild>
                <w:div w:id="155462300">
                  <w:marLeft w:val="0"/>
                  <w:marRight w:val="0"/>
                  <w:marTop w:val="0"/>
                  <w:marBottom w:val="0"/>
                  <w:divBdr>
                    <w:top w:val="none" w:sz="0" w:space="0" w:color="auto"/>
                    <w:left w:val="none" w:sz="0" w:space="0" w:color="auto"/>
                    <w:bottom w:val="none" w:sz="0" w:space="0" w:color="auto"/>
                    <w:right w:val="none" w:sz="0" w:space="0" w:color="auto"/>
                  </w:divBdr>
                </w:div>
                <w:div w:id="986544370">
                  <w:marLeft w:val="0"/>
                  <w:marRight w:val="0"/>
                  <w:marTop w:val="0"/>
                  <w:marBottom w:val="0"/>
                  <w:divBdr>
                    <w:top w:val="none" w:sz="0" w:space="0" w:color="auto"/>
                    <w:left w:val="none" w:sz="0" w:space="0" w:color="auto"/>
                    <w:bottom w:val="none" w:sz="0" w:space="0" w:color="auto"/>
                    <w:right w:val="none" w:sz="0" w:space="0" w:color="auto"/>
                  </w:divBdr>
                </w:div>
                <w:div w:id="2017421381">
                  <w:marLeft w:val="0"/>
                  <w:marRight w:val="0"/>
                  <w:marTop w:val="0"/>
                  <w:marBottom w:val="0"/>
                  <w:divBdr>
                    <w:top w:val="none" w:sz="0" w:space="0" w:color="auto"/>
                    <w:left w:val="none" w:sz="0" w:space="0" w:color="auto"/>
                    <w:bottom w:val="none" w:sz="0" w:space="0" w:color="auto"/>
                    <w:right w:val="none" w:sz="0" w:space="0" w:color="auto"/>
                  </w:divBdr>
                </w:div>
                <w:div w:id="1240336018">
                  <w:marLeft w:val="0"/>
                  <w:marRight w:val="0"/>
                  <w:marTop w:val="0"/>
                  <w:marBottom w:val="0"/>
                  <w:divBdr>
                    <w:top w:val="none" w:sz="0" w:space="0" w:color="auto"/>
                    <w:left w:val="none" w:sz="0" w:space="0" w:color="auto"/>
                    <w:bottom w:val="none" w:sz="0" w:space="0" w:color="auto"/>
                    <w:right w:val="none" w:sz="0" w:space="0" w:color="auto"/>
                  </w:divBdr>
                </w:div>
                <w:div w:id="115222125">
                  <w:marLeft w:val="0"/>
                  <w:marRight w:val="0"/>
                  <w:marTop w:val="0"/>
                  <w:marBottom w:val="0"/>
                  <w:divBdr>
                    <w:top w:val="none" w:sz="0" w:space="0" w:color="auto"/>
                    <w:left w:val="none" w:sz="0" w:space="0" w:color="auto"/>
                    <w:bottom w:val="none" w:sz="0" w:space="0" w:color="auto"/>
                    <w:right w:val="none" w:sz="0" w:space="0" w:color="auto"/>
                  </w:divBdr>
                </w:div>
                <w:div w:id="761536242">
                  <w:marLeft w:val="0"/>
                  <w:marRight w:val="0"/>
                  <w:marTop w:val="0"/>
                  <w:marBottom w:val="0"/>
                  <w:divBdr>
                    <w:top w:val="none" w:sz="0" w:space="0" w:color="auto"/>
                    <w:left w:val="none" w:sz="0" w:space="0" w:color="auto"/>
                    <w:bottom w:val="none" w:sz="0" w:space="0" w:color="auto"/>
                    <w:right w:val="none" w:sz="0" w:space="0" w:color="auto"/>
                  </w:divBdr>
                </w:div>
                <w:div w:id="2027972790">
                  <w:marLeft w:val="0"/>
                  <w:marRight w:val="0"/>
                  <w:marTop w:val="0"/>
                  <w:marBottom w:val="0"/>
                  <w:divBdr>
                    <w:top w:val="none" w:sz="0" w:space="0" w:color="auto"/>
                    <w:left w:val="none" w:sz="0" w:space="0" w:color="auto"/>
                    <w:bottom w:val="none" w:sz="0" w:space="0" w:color="auto"/>
                    <w:right w:val="none" w:sz="0" w:space="0" w:color="auto"/>
                  </w:divBdr>
                </w:div>
              </w:divsChild>
            </w:div>
            <w:div w:id="1708331439">
              <w:marLeft w:val="0"/>
              <w:marRight w:val="0"/>
              <w:marTop w:val="0"/>
              <w:marBottom w:val="0"/>
              <w:divBdr>
                <w:top w:val="none" w:sz="0" w:space="0" w:color="auto"/>
                <w:left w:val="none" w:sz="0" w:space="0" w:color="auto"/>
                <w:bottom w:val="none" w:sz="0" w:space="0" w:color="auto"/>
                <w:right w:val="none" w:sz="0" w:space="0" w:color="auto"/>
              </w:divBdr>
              <w:divsChild>
                <w:div w:id="1379862518">
                  <w:marLeft w:val="0"/>
                  <w:marRight w:val="0"/>
                  <w:marTop w:val="0"/>
                  <w:marBottom w:val="0"/>
                  <w:divBdr>
                    <w:top w:val="none" w:sz="0" w:space="0" w:color="auto"/>
                    <w:left w:val="none" w:sz="0" w:space="0" w:color="auto"/>
                    <w:bottom w:val="none" w:sz="0" w:space="0" w:color="auto"/>
                    <w:right w:val="none" w:sz="0" w:space="0" w:color="auto"/>
                  </w:divBdr>
                </w:div>
                <w:div w:id="2084453370">
                  <w:marLeft w:val="0"/>
                  <w:marRight w:val="0"/>
                  <w:marTop w:val="0"/>
                  <w:marBottom w:val="0"/>
                  <w:divBdr>
                    <w:top w:val="none" w:sz="0" w:space="0" w:color="auto"/>
                    <w:left w:val="none" w:sz="0" w:space="0" w:color="auto"/>
                    <w:bottom w:val="none" w:sz="0" w:space="0" w:color="auto"/>
                    <w:right w:val="none" w:sz="0" w:space="0" w:color="auto"/>
                  </w:divBdr>
                </w:div>
                <w:div w:id="2025784600">
                  <w:marLeft w:val="0"/>
                  <w:marRight w:val="0"/>
                  <w:marTop w:val="0"/>
                  <w:marBottom w:val="0"/>
                  <w:divBdr>
                    <w:top w:val="none" w:sz="0" w:space="0" w:color="auto"/>
                    <w:left w:val="none" w:sz="0" w:space="0" w:color="auto"/>
                    <w:bottom w:val="none" w:sz="0" w:space="0" w:color="auto"/>
                    <w:right w:val="none" w:sz="0" w:space="0" w:color="auto"/>
                  </w:divBdr>
                </w:div>
                <w:div w:id="18313716">
                  <w:marLeft w:val="0"/>
                  <w:marRight w:val="0"/>
                  <w:marTop w:val="0"/>
                  <w:marBottom w:val="0"/>
                  <w:divBdr>
                    <w:top w:val="none" w:sz="0" w:space="0" w:color="auto"/>
                    <w:left w:val="none" w:sz="0" w:space="0" w:color="auto"/>
                    <w:bottom w:val="none" w:sz="0" w:space="0" w:color="auto"/>
                    <w:right w:val="none" w:sz="0" w:space="0" w:color="auto"/>
                  </w:divBdr>
                </w:div>
                <w:div w:id="1054624838">
                  <w:marLeft w:val="0"/>
                  <w:marRight w:val="0"/>
                  <w:marTop w:val="0"/>
                  <w:marBottom w:val="0"/>
                  <w:divBdr>
                    <w:top w:val="none" w:sz="0" w:space="0" w:color="auto"/>
                    <w:left w:val="none" w:sz="0" w:space="0" w:color="auto"/>
                    <w:bottom w:val="none" w:sz="0" w:space="0" w:color="auto"/>
                    <w:right w:val="none" w:sz="0" w:space="0" w:color="auto"/>
                  </w:divBdr>
                </w:div>
                <w:div w:id="721902431">
                  <w:marLeft w:val="0"/>
                  <w:marRight w:val="0"/>
                  <w:marTop w:val="0"/>
                  <w:marBottom w:val="0"/>
                  <w:divBdr>
                    <w:top w:val="none" w:sz="0" w:space="0" w:color="auto"/>
                    <w:left w:val="none" w:sz="0" w:space="0" w:color="auto"/>
                    <w:bottom w:val="none" w:sz="0" w:space="0" w:color="auto"/>
                    <w:right w:val="none" w:sz="0" w:space="0" w:color="auto"/>
                  </w:divBdr>
                </w:div>
                <w:div w:id="1856920335">
                  <w:marLeft w:val="0"/>
                  <w:marRight w:val="0"/>
                  <w:marTop w:val="0"/>
                  <w:marBottom w:val="0"/>
                  <w:divBdr>
                    <w:top w:val="none" w:sz="0" w:space="0" w:color="auto"/>
                    <w:left w:val="none" w:sz="0" w:space="0" w:color="auto"/>
                    <w:bottom w:val="none" w:sz="0" w:space="0" w:color="auto"/>
                    <w:right w:val="none" w:sz="0" w:space="0" w:color="auto"/>
                  </w:divBdr>
                </w:div>
              </w:divsChild>
            </w:div>
            <w:div w:id="901015370">
              <w:marLeft w:val="0"/>
              <w:marRight w:val="0"/>
              <w:marTop w:val="0"/>
              <w:marBottom w:val="0"/>
              <w:divBdr>
                <w:top w:val="none" w:sz="0" w:space="0" w:color="auto"/>
                <w:left w:val="none" w:sz="0" w:space="0" w:color="auto"/>
                <w:bottom w:val="none" w:sz="0" w:space="0" w:color="auto"/>
                <w:right w:val="none" w:sz="0" w:space="0" w:color="auto"/>
              </w:divBdr>
              <w:divsChild>
                <w:div w:id="40595688">
                  <w:marLeft w:val="0"/>
                  <w:marRight w:val="0"/>
                  <w:marTop w:val="0"/>
                  <w:marBottom w:val="0"/>
                  <w:divBdr>
                    <w:top w:val="none" w:sz="0" w:space="0" w:color="auto"/>
                    <w:left w:val="none" w:sz="0" w:space="0" w:color="auto"/>
                    <w:bottom w:val="none" w:sz="0" w:space="0" w:color="auto"/>
                    <w:right w:val="none" w:sz="0" w:space="0" w:color="auto"/>
                  </w:divBdr>
                </w:div>
                <w:div w:id="341974757">
                  <w:marLeft w:val="0"/>
                  <w:marRight w:val="0"/>
                  <w:marTop w:val="0"/>
                  <w:marBottom w:val="0"/>
                  <w:divBdr>
                    <w:top w:val="none" w:sz="0" w:space="0" w:color="auto"/>
                    <w:left w:val="none" w:sz="0" w:space="0" w:color="auto"/>
                    <w:bottom w:val="none" w:sz="0" w:space="0" w:color="auto"/>
                    <w:right w:val="none" w:sz="0" w:space="0" w:color="auto"/>
                  </w:divBdr>
                </w:div>
                <w:div w:id="1225335572">
                  <w:marLeft w:val="0"/>
                  <w:marRight w:val="0"/>
                  <w:marTop w:val="0"/>
                  <w:marBottom w:val="0"/>
                  <w:divBdr>
                    <w:top w:val="none" w:sz="0" w:space="0" w:color="auto"/>
                    <w:left w:val="none" w:sz="0" w:space="0" w:color="auto"/>
                    <w:bottom w:val="none" w:sz="0" w:space="0" w:color="auto"/>
                    <w:right w:val="none" w:sz="0" w:space="0" w:color="auto"/>
                  </w:divBdr>
                </w:div>
              </w:divsChild>
            </w:div>
            <w:div w:id="42946419">
              <w:marLeft w:val="0"/>
              <w:marRight w:val="0"/>
              <w:marTop w:val="0"/>
              <w:marBottom w:val="0"/>
              <w:divBdr>
                <w:top w:val="none" w:sz="0" w:space="0" w:color="auto"/>
                <w:left w:val="none" w:sz="0" w:space="0" w:color="auto"/>
                <w:bottom w:val="none" w:sz="0" w:space="0" w:color="auto"/>
                <w:right w:val="none" w:sz="0" w:space="0" w:color="auto"/>
              </w:divBdr>
              <w:divsChild>
                <w:div w:id="482700086">
                  <w:marLeft w:val="0"/>
                  <w:marRight w:val="0"/>
                  <w:marTop w:val="0"/>
                  <w:marBottom w:val="0"/>
                  <w:divBdr>
                    <w:top w:val="none" w:sz="0" w:space="0" w:color="auto"/>
                    <w:left w:val="none" w:sz="0" w:space="0" w:color="auto"/>
                    <w:bottom w:val="none" w:sz="0" w:space="0" w:color="auto"/>
                    <w:right w:val="none" w:sz="0" w:space="0" w:color="auto"/>
                  </w:divBdr>
                </w:div>
                <w:div w:id="684595201">
                  <w:marLeft w:val="0"/>
                  <w:marRight w:val="0"/>
                  <w:marTop w:val="0"/>
                  <w:marBottom w:val="0"/>
                  <w:divBdr>
                    <w:top w:val="none" w:sz="0" w:space="0" w:color="auto"/>
                    <w:left w:val="none" w:sz="0" w:space="0" w:color="auto"/>
                    <w:bottom w:val="none" w:sz="0" w:space="0" w:color="auto"/>
                    <w:right w:val="none" w:sz="0" w:space="0" w:color="auto"/>
                  </w:divBdr>
                </w:div>
                <w:div w:id="933096">
                  <w:marLeft w:val="0"/>
                  <w:marRight w:val="0"/>
                  <w:marTop w:val="0"/>
                  <w:marBottom w:val="0"/>
                  <w:divBdr>
                    <w:top w:val="none" w:sz="0" w:space="0" w:color="auto"/>
                    <w:left w:val="none" w:sz="0" w:space="0" w:color="auto"/>
                    <w:bottom w:val="none" w:sz="0" w:space="0" w:color="auto"/>
                    <w:right w:val="none" w:sz="0" w:space="0" w:color="auto"/>
                  </w:divBdr>
                </w:div>
                <w:div w:id="824319201">
                  <w:marLeft w:val="0"/>
                  <w:marRight w:val="0"/>
                  <w:marTop w:val="0"/>
                  <w:marBottom w:val="0"/>
                  <w:divBdr>
                    <w:top w:val="none" w:sz="0" w:space="0" w:color="auto"/>
                    <w:left w:val="none" w:sz="0" w:space="0" w:color="auto"/>
                    <w:bottom w:val="none" w:sz="0" w:space="0" w:color="auto"/>
                    <w:right w:val="none" w:sz="0" w:space="0" w:color="auto"/>
                  </w:divBdr>
                </w:div>
                <w:div w:id="80680847">
                  <w:marLeft w:val="0"/>
                  <w:marRight w:val="0"/>
                  <w:marTop w:val="0"/>
                  <w:marBottom w:val="0"/>
                  <w:divBdr>
                    <w:top w:val="none" w:sz="0" w:space="0" w:color="auto"/>
                    <w:left w:val="none" w:sz="0" w:space="0" w:color="auto"/>
                    <w:bottom w:val="none" w:sz="0" w:space="0" w:color="auto"/>
                    <w:right w:val="none" w:sz="0" w:space="0" w:color="auto"/>
                  </w:divBdr>
                </w:div>
                <w:div w:id="1407535536">
                  <w:marLeft w:val="0"/>
                  <w:marRight w:val="0"/>
                  <w:marTop w:val="0"/>
                  <w:marBottom w:val="0"/>
                  <w:divBdr>
                    <w:top w:val="none" w:sz="0" w:space="0" w:color="auto"/>
                    <w:left w:val="none" w:sz="0" w:space="0" w:color="auto"/>
                    <w:bottom w:val="none" w:sz="0" w:space="0" w:color="auto"/>
                    <w:right w:val="none" w:sz="0" w:space="0" w:color="auto"/>
                  </w:divBdr>
                </w:div>
              </w:divsChild>
            </w:div>
            <w:div w:id="1157038682">
              <w:marLeft w:val="0"/>
              <w:marRight w:val="0"/>
              <w:marTop w:val="0"/>
              <w:marBottom w:val="0"/>
              <w:divBdr>
                <w:top w:val="none" w:sz="0" w:space="0" w:color="auto"/>
                <w:left w:val="none" w:sz="0" w:space="0" w:color="auto"/>
                <w:bottom w:val="none" w:sz="0" w:space="0" w:color="auto"/>
                <w:right w:val="none" w:sz="0" w:space="0" w:color="auto"/>
              </w:divBdr>
              <w:divsChild>
                <w:div w:id="2133941400">
                  <w:marLeft w:val="0"/>
                  <w:marRight w:val="0"/>
                  <w:marTop w:val="0"/>
                  <w:marBottom w:val="0"/>
                  <w:divBdr>
                    <w:top w:val="none" w:sz="0" w:space="0" w:color="auto"/>
                    <w:left w:val="none" w:sz="0" w:space="0" w:color="auto"/>
                    <w:bottom w:val="none" w:sz="0" w:space="0" w:color="auto"/>
                    <w:right w:val="none" w:sz="0" w:space="0" w:color="auto"/>
                  </w:divBdr>
                </w:div>
                <w:div w:id="1654328822">
                  <w:marLeft w:val="0"/>
                  <w:marRight w:val="0"/>
                  <w:marTop w:val="0"/>
                  <w:marBottom w:val="0"/>
                  <w:divBdr>
                    <w:top w:val="none" w:sz="0" w:space="0" w:color="auto"/>
                    <w:left w:val="none" w:sz="0" w:space="0" w:color="auto"/>
                    <w:bottom w:val="none" w:sz="0" w:space="0" w:color="auto"/>
                    <w:right w:val="none" w:sz="0" w:space="0" w:color="auto"/>
                  </w:divBdr>
                </w:div>
                <w:div w:id="638917174">
                  <w:marLeft w:val="0"/>
                  <w:marRight w:val="0"/>
                  <w:marTop w:val="0"/>
                  <w:marBottom w:val="0"/>
                  <w:divBdr>
                    <w:top w:val="none" w:sz="0" w:space="0" w:color="auto"/>
                    <w:left w:val="none" w:sz="0" w:space="0" w:color="auto"/>
                    <w:bottom w:val="none" w:sz="0" w:space="0" w:color="auto"/>
                    <w:right w:val="none" w:sz="0" w:space="0" w:color="auto"/>
                  </w:divBdr>
                </w:div>
                <w:div w:id="410852791">
                  <w:marLeft w:val="0"/>
                  <w:marRight w:val="0"/>
                  <w:marTop w:val="0"/>
                  <w:marBottom w:val="0"/>
                  <w:divBdr>
                    <w:top w:val="none" w:sz="0" w:space="0" w:color="auto"/>
                    <w:left w:val="none" w:sz="0" w:space="0" w:color="auto"/>
                    <w:bottom w:val="none" w:sz="0" w:space="0" w:color="auto"/>
                    <w:right w:val="none" w:sz="0" w:space="0" w:color="auto"/>
                  </w:divBdr>
                </w:div>
                <w:div w:id="3287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0376">
          <w:marLeft w:val="0"/>
          <w:marRight w:val="0"/>
          <w:marTop w:val="0"/>
          <w:marBottom w:val="0"/>
          <w:divBdr>
            <w:top w:val="none" w:sz="0" w:space="0" w:color="auto"/>
            <w:left w:val="none" w:sz="0" w:space="0" w:color="auto"/>
            <w:bottom w:val="none" w:sz="0" w:space="0" w:color="auto"/>
            <w:right w:val="none" w:sz="0" w:space="0" w:color="auto"/>
          </w:divBdr>
        </w:div>
        <w:div w:id="1837065866">
          <w:marLeft w:val="0"/>
          <w:marRight w:val="0"/>
          <w:marTop w:val="0"/>
          <w:marBottom w:val="0"/>
          <w:divBdr>
            <w:top w:val="none" w:sz="0" w:space="0" w:color="auto"/>
            <w:left w:val="none" w:sz="0" w:space="0" w:color="auto"/>
            <w:bottom w:val="none" w:sz="0" w:space="0" w:color="auto"/>
            <w:right w:val="none" w:sz="0" w:space="0" w:color="auto"/>
          </w:divBdr>
        </w:div>
        <w:div w:id="1129471567">
          <w:marLeft w:val="0"/>
          <w:marRight w:val="0"/>
          <w:marTop w:val="0"/>
          <w:marBottom w:val="0"/>
          <w:divBdr>
            <w:top w:val="none" w:sz="0" w:space="0" w:color="auto"/>
            <w:left w:val="none" w:sz="0" w:space="0" w:color="auto"/>
            <w:bottom w:val="none" w:sz="0" w:space="0" w:color="auto"/>
            <w:right w:val="none" w:sz="0" w:space="0" w:color="auto"/>
          </w:divBdr>
        </w:div>
        <w:div w:id="159539631">
          <w:marLeft w:val="0"/>
          <w:marRight w:val="0"/>
          <w:marTop w:val="0"/>
          <w:marBottom w:val="0"/>
          <w:divBdr>
            <w:top w:val="none" w:sz="0" w:space="0" w:color="auto"/>
            <w:left w:val="none" w:sz="0" w:space="0" w:color="auto"/>
            <w:bottom w:val="none" w:sz="0" w:space="0" w:color="auto"/>
            <w:right w:val="none" w:sz="0" w:space="0" w:color="auto"/>
          </w:divBdr>
        </w:div>
        <w:div w:id="1475290797">
          <w:marLeft w:val="0"/>
          <w:marRight w:val="0"/>
          <w:marTop w:val="0"/>
          <w:marBottom w:val="0"/>
          <w:divBdr>
            <w:top w:val="none" w:sz="0" w:space="0" w:color="auto"/>
            <w:left w:val="none" w:sz="0" w:space="0" w:color="auto"/>
            <w:bottom w:val="none" w:sz="0" w:space="0" w:color="auto"/>
            <w:right w:val="none" w:sz="0" w:space="0" w:color="auto"/>
          </w:divBdr>
        </w:div>
        <w:div w:id="2075540025">
          <w:marLeft w:val="0"/>
          <w:marRight w:val="0"/>
          <w:marTop w:val="0"/>
          <w:marBottom w:val="0"/>
          <w:divBdr>
            <w:top w:val="none" w:sz="0" w:space="0" w:color="auto"/>
            <w:left w:val="none" w:sz="0" w:space="0" w:color="auto"/>
            <w:bottom w:val="none" w:sz="0" w:space="0" w:color="auto"/>
            <w:right w:val="none" w:sz="0" w:space="0" w:color="auto"/>
          </w:divBdr>
        </w:div>
        <w:div w:id="2112554041">
          <w:marLeft w:val="0"/>
          <w:marRight w:val="0"/>
          <w:marTop w:val="0"/>
          <w:marBottom w:val="0"/>
          <w:divBdr>
            <w:top w:val="none" w:sz="0" w:space="0" w:color="auto"/>
            <w:left w:val="none" w:sz="0" w:space="0" w:color="auto"/>
            <w:bottom w:val="none" w:sz="0" w:space="0" w:color="auto"/>
            <w:right w:val="none" w:sz="0" w:space="0" w:color="auto"/>
          </w:divBdr>
        </w:div>
        <w:div w:id="238448468">
          <w:marLeft w:val="0"/>
          <w:marRight w:val="0"/>
          <w:marTop w:val="0"/>
          <w:marBottom w:val="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74066001">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02650532">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395952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982273409">
      <w:bodyDiv w:val="1"/>
      <w:marLeft w:val="0"/>
      <w:marRight w:val="0"/>
      <w:marTop w:val="0"/>
      <w:marBottom w:val="0"/>
      <w:divBdr>
        <w:top w:val="none" w:sz="0" w:space="0" w:color="auto"/>
        <w:left w:val="none" w:sz="0" w:space="0" w:color="auto"/>
        <w:bottom w:val="none" w:sz="0" w:space="0" w:color="auto"/>
        <w:right w:val="none" w:sz="0" w:space="0" w:color="auto"/>
      </w:divBdr>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1365182">
      <w:bodyDiv w:val="1"/>
      <w:marLeft w:val="0"/>
      <w:marRight w:val="0"/>
      <w:marTop w:val="0"/>
      <w:marBottom w:val="0"/>
      <w:divBdr>
        <w:top w:val="none" w:sz="0" w:space="0" w:color="auto"/>
        <w:left w:val="none" w:sz="0" w:space="0" w:color="auto"/>
        <w:bottom w:val="none" w:sz="0" w:space="0" w:color="auto"/>
        <w:right w:val="none" w:sz="0" w:space="0" w:color="auto"/>
      </w:divBdr>
      <w:divsChild>
        <w:div w:id="1989284274">
          <w:marLeft w:val="0"/>
          <w:marRight w:val="0"/>
          <w:marTop w:val="0"/>
          <w:marBottom w:val="0"/>
          <w:divBdr>
            <w:top w:val="none" w:sz="0" w:space="0" w:color="auto"/>
            <w:left w:val="none" w:sz="0" w:space="0" w:color="auto"/>
            <w:bottom w:val="none" w:sz="0" w:space="0" w:color="auto"/>
            <w:right w:val="none" w:sz="0" w:space="0" w:color="auto"/>
          </w:divBdr>
        </w:div>
        <w:div w:id="414712349">
          <w:marLeft w:val="0"/>
          <w:marRight w:val="0"/>
          <w:marTop w:val="0"/>
          <w:marBottom w:val="0"/>
          <w:divBdr>
            <w:top w:val="none" w:sz="0" w:space="0" w:color="auto"/>
            <w:left w:val="none" w:sz="0" w:space="0" w:color="auto"/>
            <w:bottom w:val="none" w:sz="0" w:space="0" w:color="auto"/>
            <w:right w:val="none" w:sz="0" w:space="0" w:color="auto"/>
          </w:divBdr>
        </w:div>
        <w:div w:id="1665623774">
          <w:marLeft w:val="0"/>
          <w:marRight w:val="0"/>
          <w:marTop w:val="0"/>
          <w:marBottom w:val="0"/>
          <w:divBdr>
            <w:top w:val="none" w:sz="0" w:space="0" w:color="auto"/>
            <w:left w:val="none" w:sz="0" w:space="0" w:color="auto"/>
            <w:bottom w:val="none" w:sz="0" w:space="0" w:color="auto"/>
            <w:right w:val="none" w:sz="0" w:space="0" w:color="auto"/>
          </w:divBdr>
        </w:div>
        <w:div w:id="1531802731">
          <w:marLeft w:val="0"/>
          <w:marRight w:val="0"/>
          <w:marTop w:val="0"/>
          <w:marBottom w:val="0"/>
          <w:divBdr>
            <w:top w:val="none" w:sz="0" w:space="0" w:color="auto"/>
            <w:left w:val="none" w:sz="0" w:space="0" w:color="auto"/>
            <w:bottom w:val="none" w:sz="0" w:space="0" w:color="auto"/>
            <w:right w:val="none" w:sz="0" w:space="0" w:color="auto"/>
          </w:divBdr>
        </w:div>
        <w:div w:id="983124748">
          <w:marLeft w:val="0"/>
          <w:marRight w:val="0"/>
          <w:marTop w:val="0"/>
          <w:marBottom w:val="0"/>
          <w:divBdr>
            <w:top w:val="none" w:sz="0" w:space="0" w:color="auto"/>
            <w:left w:val="none" w:sz="0" w:space="0" w:color="auto"/>
            <w:bottom w:val="none" w:sz="0" w:space="0" w:color="auto"/>
            <w:right w:val="none" w:sz="0" w:space="0" w:color="auto"/>
          </w:divBdr>
        </w:div>
        <w:div w:id="1213998024">
          <w:marLeft w:val="0"/>
          <w:marRight w:val="0"/>
          <w:marTop w:val="0"/>
          <w:marBottom w:val="0"/>
          <w:divBdr>
            <w:top w:val="none" w:sz="0" w:space="0" w:color="auto"/>
            <w:left w:val="none" w:sz="0" w:space="0" w:color="auto"/>
            <w:bottom w:val="none" w:sz="0" w:space="0" w:color="auto"/>
            <w:right w:val="none" w:sz="0" w:space="0" w:color="auto"/>
          </w:divBdr>
        </w:div>
        <w:div w:id="1553809136">
          <w:marLeft w:val="0"/>
          <w:marRight w:val="0"/>
          <w:marTop w:val="0"/>
          <w:marBottom w:val="0"/>
          <w:divBdr>
            <w:top w:val="none" w:sz="0" w:space="0" w:color="auto"/>
            <w:left w:val="none" w:sz="0" w:space="0" w:color="auto"/>
            <w:bottom w:val="none" w:sz="0" w:space="0" w:color="auto"/>
            <w:right w:val="none" w:sz="0" w:space="0" w:color="auto"/>
          </w:divBdr>
        </w:div>
        <w:div w:id="298583182">
          <w:marLeft w:val="0"/>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06500019">
      <w:bodyDiv w:val="1"/>
      <w:marLeft w:val="0"/>
      <w:marRight w:val="0"/>
      <w:marTop w:val="0"/>
      <w:marBottom w:val="0"/>
      <w:divBdr>
        <w:top w:val="none" w:sz="0" w:space="0" w:color="auto"/>
        <w:left w:val="none" w:sz="0" w:space="0" w:color="auto"/>
        <w:bottom w:val="none" w:sz="0" w:space="0" w:color="auto"/>
        <w:right w:val="none" w:sz="0" w:space="0" w:color="auto"/>
      </w:divBdr>
      <w:divsChild>
        <w:div w:id="1115949240">
          <w:marLeft w:val="0"/>
          <w:marRight w:val="0"/>
          <w:marTop w:val="0"/>
          <w:marBottom w:val="0"/>
          <w:divBdr>
            <w:top w:val="none" w:sz="0" w:space="0" w:color="auto"/>
            <w:left w:val="none" w:sz="0" w:space="0" w:color="auto"/>
            <w:bottom w:val="none" w:sz="0" w:space="0" w:color="auto"/>
            <w:right w:val="none" w:sz="0" w:space="0" w:color="auto"/>
          </w:divBdr>
          <w:divsChild>
            <w:div w:id="83310354">
              <w:marLeft w:val="0"/>
              <w:marRight w:val="0"/>
              <w:marTop w:val="0"/>
              <w:marBottom w:val="0"/>
              <w:divBdr>
                <w:top w:val="none" w:sz="0" w:space="0" w:color="auto"/>
                <w:left w:val="none" w:sz="0" w:space="0" w:color="auto"/>
                <w:bottom w:val="none" w:sz="0" w:space="0" w:color="auto"/>
                <w:right w:val="none" w:sz="0" w:space="0" w:color="auto"/>
              </w:divBdr>
            </w:div>
          </w:divsChild>
        </w:div>
        <w:div w:id="331180949">
          <w:marLeft w:val="0"/>
          <w:marRight w:val="0"/>
          <w:marTop w:val="0"/>
          <w:marBottom w:val="0"/>
          <w:divBdr>
            <w:top w:val="none" w:sz="0" w:space="0" w:color="auto"/>
            <w:left w:val="none" w:sz="0" w:space="0" w:color="auto"/>
            <w:bottom w:val="none" w:sz="0" w:space="0" w:color="auto"/>
            <w:right w:val="none" w:sz="0" w:space="0" w:color="auto"/>
          </w:divBdr>
        </w:div>
      </w:divsChild>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34C8-3683-459E-A007-AF40BCE0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147</Pages>
  <Words>50752</Words>
  <Characters>289291</Characters>
  <Application>Microsoft Office Word</Application>
  <DocSecurity>4</DocSecurity>
  <Lines>2410</Lines>
  <Paragraphs>678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2021-07-19T09:26:00Z</dcterms:created>
  <dcterms:modified xsi:type="dcterms:W3CDTF">2021-07-19T09:26:00Z</dcterms:modified>
</cp:coreProperties>
</file>