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A6349C" w14:textId="77777777" w:rsidR="00F46BB9" w:rsidRPr="00793CC1" w:rsidRDefault="00F46BB9" w:rsidP="00793CC1">
      <w:pPr>
        <w:tabs>
          <w:tab w:val="left" w:pos="993"/>
        </w:tabs>
        <w:spacing w:after="140"/>
        <w:rPr>
          <w:rFonts w:asciiTheme="minorHAnsi" w:hAnsiTheme="minorHAnsi"/>
          <w:sz w:val="24"/>
          <w:szCs w:val="24"/>
        </w:rPr>
      </w:pPr>
    </w:p>
    <w:p w14:paraId="073D2C00" w14:textId="77777777" w:rsidR="00EE4D49" w:rsidRPr="00793CC1" w:rsidRDefault="00EE4D49" w:rsidP="00793CC1">
      <w:pPr>
        <w:shd w:val="clear" w:color="auto" w:fill="FFFFFF"/>
        <w:tabs>
          <w:tab w:val="left" w:pos="993"/>
        </w:tabs>
        <w:spacing w:after="120" w:line="240" w:lineRule="auto"/>
        <w:jc w:val="both"/>
        <w:rPr>
          <w:rFonts w:asciiTheme="minorHAnsi" w:eastAsia="Times New Roman" w:hAnsiTheme="minorHAnsi" w:cs="Times New Roman"/>
          <w:b/>
          <w:bCs/>
          <w:color w:val="000000"/>
          <w:sz w:val="24"/>
          <w:szCs w:val="24"/>
        </w:rPr>
      </w:pPr>
    </w:p>
    <w:p w14:paraId="409DFC68" w14:textId="51C504A6" w:rsidR="000B5768" w:rsidRDefault="003B1448" w:rsidP="00660EE5">
      <w:pPr>
        <w:spacing w:after="0" w:line="240" w:lineRule="auto"/>
        <w:jc w:val="both"/>
        <w:rPr>
          <w:rFonts w:asciiTheme="minorHAnsi" w:eastAsia="Times New Roman" w:hAnsiTheme="minorHAnsi" w:cs="Times New Roman"/>
          <w:i/>
          <w:iCs/>
          <w:color w:val="000000" w:themeColor="text1"/>
          <w:sz w:val="24"/>
          <w:szCs w:val="24"/>
        </w:rPr>
      </w:pPr>
      <w:r>
        <w:rPr>
          <w:rFonts w:asciiTheme="minorHAnsi" w:eastAsia="Times New Roman" w:hAnsiTheme="minorHAnsi" w:cs="Times New Roman"/>
          <w:b/>
          <w:bCs/>
          <w:color w:val="000000" w:themeColor="text1"/>
          <w:sz w:val="24"/>
          <w:szCs w:val="24"/>
          <w:u w:val="single"/>
        </w:rPr>
        <w:t>C.3278</w:t>
      </w:r>
      <w:r w:rsidR="003C3FF0" w:rsidRPr="00262713">
        <w:rPr>
          <w:rFonts w:asciiTheme="minorHAnsi" w:eastAsia="Times New Roman" w:hAnsiTheme="minorHAnsi" w:cs="Times New Roman"/>
          <w:color w:val="000000" w:themeColor="text1"/>
          <w:sz w:val="24"/>
          <w:szCs w:val="24"/>
        </w:rPr>
        <w:t xml:space="preserve"> - </w:t>
      </w:r>
      <w:r w:rsidR="00262713" w:rsidRPr="00262713">
        <w:rPr>
          <w:rFonts w:asciiTheme="minorHAnsi" w:eastAsia="Times New Roman" w:hAnsiTheme="minorHAnsi" w:cs="Times New Roman"/>
          <w:i/>
          <w:iCs/>
          <w:color w:val="000000" w:themeColor="text1"/>
          <w:sz w:val="24"/>
          <w:szCs w:val="24"/>
        </w:rPr>
        <w:t xml:space="preserve">Nella </w:t>
      </w:r>
      <w:r w:rsidR="00025CB0">
        <w:rPr>
          <w:rFonts w:asciiTheme="minorHAnsi" w:eastAsia="Times New Roman" w:hAnsiTheme="minorHAnsi" w:cs="Times New Roman"/>
          <w:i/>
          <w:iCs/>
          <w:color w:val="000000" w:themeColor="text1"/>
          <w:sz w:val="24"/>
          <w:szCs w:val="24"/>
        </w:rPr>
        <w:t>seduta</w:t>
      </w:r>
      <w:r w:rsidR="00262713" w:rsidRPr="00262713">
        <w:rPr>
          <w:rFonts w:asciiTheme="minorHAnsi" w:eastAsia="Times New Roman" w:hAnsiTheme="minorHAnsi" w:cs="Times New Roman"/>
          <w:i/>
          <w:iCs/>
          <w:color w:val="000000" w:themeColor="text1"/>
          <w:sz w:val="24"/>
          <w:szCs w:val="24"/>
        </w:rPr>
        <w:t xml:space="preserve"> di ieri</w:t>
      </w:r>
      <w:r w:rsidR="006D2F23">
        <w:rPr>
          <w:rFonts w:asciiTheme="minorHAnsi" w:eastAsia="Times New Roman" w:hAnsiTheme="minorHAnsi" w:cs="Times New Roman"/>
          <w:i/>
          <w:iCs/>
          <w:color w:val="000000" w:themeColor="text1"/>
          <w:sz w:val="24"/>
          <w:szCs w:val="24"/>
        </w:rPr>
        <w:t xml:space="preserve">, </w:t>
      </w:r>
      <w:r w:rsidR="0054500D">
        <w:rPr>
          <w:rFonts w:asciiTheme="minorHAnsi" w:eastAsia="Times New Roman" w:hAnsiTheme="minorHAnsi" w:cs="Times New Roman"/>
          <w:i/>
          <w:iCs/>
          <w:color w:val="000000" w:themeColor="text1"/>
          <w:sz w:val="24"/>
          <w:szCs w:val="24"/>
        </w:rPr>
        <w:t>lunedì 25</w:t>
      </w:r>
      <w:r w:rsidR="00F15206">
        <w:rPr>
          <w:rFonts w:asciiTheme="minorHAnsi" w:eastAsia="Times New Roman" w:hAnsiTheme="minorHAnsi" w:cs="Times New Roman"/>
          <w:i/>
          <w:iCs/>
          <w:color w:val="000000" w:themeColor="text1"/>
          <w:sz w:val="24"/>
          <w:szCs w:val="24"/>
        </w:rPr>
        <w:t xml:space="preserve"> </w:t>
      </w:r>
      <w:r w:rsidR="00073239">
        <w:rPr>
          <w:rFonts w:asciiTheme="minorHAnsi" w:eastAsia="Times New Roman" w:hAnsiTheme="minorHAnsi" w:cs="Times New Roman"/>
          <w:i/>
          <w:iCs/>
          <w:color w:val="000000" w:themeColor="text1"/>
          <w:sz w:val="24"/>
          <w:szCs w:val="24"/>
        </w:rPr>
        <w:t>ottobre</w:t>
      </w:r>
      <w:r w:rsidR="006D2F23">
        <w:rPr>
          <w:rFonts w:asciiTheme="minorHAnsi" w:eastAsia="Times New Roman" w:hAnsiTheme="minorHAnsi" w:cs="Times New Roman"/>
          <w:i/>
          <w:iCs/>
          <w:color w:val="000000" w:themeColor="text1"/>
          <w:sz w:val="24"/>
          <w:szCs w:val="24"/>
        </w:rPr>
        <w:t xml:space="preserve"> 2021,</w:t>
      </w:r>
      <w:r w:rsidR="00262713" w:rsidRPr="00262713">
        <w:rPr>
          <w:rFonts w:asciiTheme="minorHAnsi" w:eastAsia="Times New Roman" w:hAnsiTheme="minorHAnsi" w:cs="Times New Roman"/>
          <w:i/>
          <w:iCs/>
          <w:color w:val="000000" w:themeColor="text1"/>
          <w:sz w:val="24"/>
          <w:szCs w:val="24"/>
        </w:rPr>
        <w:t xml:space="preserve"> l</w:t>
      </w:r>
      <w:r w:rsidR="00073239">
        <w:rPr>
          <w:rFonts w:asciiTheme="minorHAnsi" w:eastAsia="Times New Roman" w:hAnsiTheme="minorHAnsi" w:cs="Times New Roman"/>
          <w:i/>
          <w:iCs/>
          <w:color w:val="000000" w:themeColor="text1"/>
          <w:sz w:val="24"/>
          <w:szCs w:val="24"/>
        </w:rPr>
        <w:t xml:space="preserve">e Commissioni riunite </w:t>
      </w:r>
      <w:r w:rsidR="00E10C47">
        <w:rPr>
          <w:rFonts w:asciiTheme="minorHAnsi" w:eastAsia="Times New Roman" w:hAnsiTheme="minorHAnsi" w:cs="Times New Roman"/>
          <w:i/>
          <w:iCs/>
          <w:color w:val="000000" w:themeColor="text1"/>
          <w:sz w:val="24"/>
          <w:szCs w:val="24"/>
        </w:rPr>
        <w:t>del</w:t>
      </w:r>
      <w:r w:rsidR="00FF2486">
        <w:rPr>
          <w:rFonts w:asciiTheme="minorHAnsi" w:eastAsia="Times New Roman" w:hAnsiTheme="minorHAnsi" w:cs="Times New Roman"/>
          <w:i/>
          <w:iCs/>
          <w:color w:val="000000" w:themeColor="text1"/>
          <w:sz w:val="24"/>
          <w:szCs w:val="24"/>
        </w:rPr>
        <w:t>la Camera VIII e IX</w:t>
      </w:r>
      <w:r w:rsidR="00073239" w:rsidRPr="00073239">
        <w:rPr>
          <w:rFonts w:asciiTheme="minorHAnsi" w:eastAsia="Times New Roman" w:hAnsiTheme="minorHAnsi" w:cs="Times New Roman"/>
          <w:i/>
          <w:iCs/>
          <w:color w:val="000000" w:themeColor="text1"/>
          <w:sz w:val="24"/>
          <w:szCs w:val="24"/>
        </w:rPr>
        <w:t xml:space="preserve"> in sede referente </w:t>
      </w:r>
      <w:r w:rsidR="00073239">
        <w:rPr>
          <w:rFonts w:asciiTheme="minorHAnsi" w:eastAsia="Times New Roman" w:hAnsiTheme="minorHAnsi" w:cs="Times New Roman"/>
          <w:i/>
          <w:iCs/>
          <w:color w:val="000000" w:themeColor="text1"/>
          <w:sz w:val="24"/>
          <w:szCs w:val="24"/>
        </w:rPr>
        <w:t xml:space="preserve">hanno </w:t>
      </w:r>
      <w:r w:rsidR="004C04A1">
        <w:rPr>
          <w:rFonts w:asciiTheme="minorHAnsi" w:eastAsia="Times New Roman" w:hAnsiTheme="minorHAnsi" w:cs="Times New Roman"/>
          <w:i/>
          <w:iCs/>
          <w:color w:val="000000" w:themeColor="text1"/>
          <w:sz w:val="24"/>
          <w:szCs w:val="24"/>
        </w:rPr>
        <w:t xml:space="preserve">proseguito </w:t>
      </w:r>
      <w:r w:rsidR="0054500D">
        <w:rPr>
          <w:rFonts w:asciiTheme="minorHAnsi" w:eastAsia="Times New Roman" w:hAnsiTheme="minorHAnsi" w:cs="Times New Roman"/>
          <w:i/>
          <w:iCs/>
          <w:color w:val="000000" w:themeColor="text1"/>
          <w:sz w:val="24"/>
          <w:szCs w:val="24"/>
        </w:rPr>
        <w:t xml:space="preserve">e concluso </w:t>
      </w:r>
      <w:r w:rsidR="004C04A1">
        <w:rPr>
          <w:rFonts w:asciiTheme="minorHAnsi" w:eastAsia="Times New Roman" w:hAnsiTheme="minorHAnsi" w:cs="Times New Roman"/>
          <w:i/>
          <w:iCs/>
          <w:color w:val="000000" w:themeColor="text1"/>
          <w:sz w:val="24"/>
          <w:szCs w:val="24"/>
        </w:rPr>
        <w:t>l’esame del</w:t>
      </w:r>
      <w:r w:rsidR="00073239">
        <w:rPr>
          <w:rFonts w:asciiTheme="minorHAnsi" w:eastAsia="Times New Roman" w:hAnsiTheme="minorHAnsi" w:cs="Times New Roman"/>
          <w:i/>
          <w:iCs/>
          <w:color w:val="000000" w:themeColor="text1"/>
          <w:sz w:val="24"/>
          <w:szCs w:val="24"/>
        </w:rPr>
        <w:t xml:space="preserve"> provvedimento</w:t>
      </w:r>
      <w:r w:rsidR="00660EE5">
        <w:rPr>
          <w:rFonts w:asciiTheme="minorHAnsi" w:eastAsia="Times New Roman" w:hAnsiTheme="minorHAnsi" w:cs="Times New Roman"/>
          <w:i/>
          <w:iCs/>
          <w:color w:val="000000" w:themeColor="text1"/>
          <w:sz w:val="24"/>
          <w:szCs w:val="24"/>
        </w:rPr>
        <w:t xml:space="preserve"> di conversione del Decreto legge n. 121/2021 recante “ </w:t>
      </w:r>
      <w:r w:rsidR="00660EE5" w:rsidRPr="00660EE5">
        <w:rPr>
          <w:rFonts w:asciiTheme="minorHAnsi" w:hAnsiTheme="minorHAnsi"/>
          <w:i/>
          <w:iCs/>
          <w:color w:val="000000" w:themeColor="text1"/>
          <w:sz w:val="24"/>
          <w:szCs w:val="24"/>
        </w:rPr>
        <w:t>Disposizioni urgenti in materia di investimenti e sicurezza delle infrastrutture, dei trasporti e della circolazione stradale, per la funzionalità del Ministero delle infrastrutture e della mobilità sostenibili, del Consiglio superiore dei lavori pubblici e dell'Agenzia nazionale per la sicurezza delle infrastrutture stradali e autostradali</w:t>
      </w:r>
      <w:r w:rsidR="00660EE5">
        <w:rPr>
          <w:rFonts w:asciiTheme="minorHAnsi" w:hAnsiTheme="minorHAnsi"/>
          <w:i/>
          <w:iCs/>
          <w:color w:val="000000" w:themeColor="text1"/>
          <w:sz w:val="24"/>
          <w:szCs w:val="24"/>
        </w:rPr>
        <w:t xml:space="preserve">” </w:t>
      </w:r>
      <w:r w:rsidR="00073239">
        <w:rPr>
          <w:rFonts w:asciiTheme="minorHAnsi" w:eastAsia="Times New Roman" w:hAnsiTheme="minorHAnsi" w:cs="Times New Roman"/>
          <w:i/>
          <w:iCs/>
          <w:color w:val="000000" w:themeColor="text1"/>
          <w:sz w:val="24"/>
          <w:szCs w:val="24"/>
        </w:rPr>
        <w:t xml:space="preserve"> approvando </w:t>
      </w:r>
      <w:r w:rsidR="0054500D">
        <w:rPr>
          <w:rFonts w:asciiTheme="minorHAnsi" w:eastAsia="Times New Roman" w:hAnsiTheme="minorHAnsi" w:cs="Times New Roman"/>
          <w:i/>
          <w:iCs/>
          <w:color w:val="000000" w:themeColor="text1"/>
          <w:sz w:val="24"/>
          <w:szCs w:val="24"/>
        </w:rPr>
        <w:t>ulteriori</w:t>
      </w:r>
      <w:r w:rsidR="00073239">
        <w:rPr>
          <w:rFonts w:asciiTheme="minorHAnsi" w:eastAsia="Times New Roman" w:hAnsiTheme="minorHAnsi" w:cs="Times New Roman"/>
          <w:i/>
          <w:iCs/>
          <w:color w:val="000000" w:themeColor="text1"/>
          <w:sz w:val="24"/>
          <w:szCs w:val="24"/>
        </w:rPr>
        <w:t xml:space="preserve"> emendamenti.</w:t>
      </w:r>
      <w:r w:rsidR="0054500D">
        <w:rPr>
          <w:rFonts w:asciiTheme="minorHAnsi" w:eastAsia="Times New Roman" w:hAnsiTheme="minorHAnsi" w:cs="Times New Roman"/>
          <w:i/>
          <w:iCs/>
          <w:color w:val="000000" w:themeColor="text1"/>
          <w:sz w:val="24"/>
          <w:szCs w:val="24"/>
        </w:rPr>
        <w:t xml:space="preserve"> Il testo passa adesso all’esame dell’Aula di Mo</w:t>
      </w:r>
      <w:r w:rsidR="00025CB0">
        <w:rPr>
          <w:rFonts w:asciiTheme="minorHAnsi" w:eastAsia="Times New Roman" w:hAnsiTheme="minorHAnsi" w:cs="Times New Roman"/>
          <w:i/>
          <w:iCs/>
          <w:color w:val="000000" w:themeColor="text1"/>
          <w:sz w:val="24"/>
          <w:szCs w:val="24"/>
        </w:rPr>
        <w:t>n</w:t>
      </w:r>
      <w:r w:rsidR="0054500D">
        <w:rPr>
          <w:rFonts w:asciiTheme="minorHAnsi" w:eastAsia="Times New Roman" w:hAnsiTheme="minorHAnsi" w:cs="Times New Roman"/>
          <w:i/>
          <w:iCs/>
          <w:color w:val="000000" w:themeColor="text1"/>
          <w:sz w:val="24"/>
          <w:szCs w:val="24"/>
        </w:rPr>
        <w:t>tecitorio.</w:t>
      </w:r>
    </w:p>
    <w:p w14:paraId="58E58861" w14:textId="77777777" w:rsidR="00660EE5" w:rsidRDefault="00660EE5"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0AA17FAD" w14:textId="375178BB" w:rsidR="00262713" w:rsidRDefault="00262713"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sidRPr="00262713">
        <w:rPr>
          <w:rFonts w:asciiTheme="minorHAnsi" w:eastAsia="Times New Roman" w:hAnsiTheme="minorHAnsi" w:cs="Times New Roman"/>
          <w:i/>
          <w:iCs/>
          <w:color w:val="000000" w:themeColor="text1"/>
          <w:sz w:val="24"/>
          <w:szCs w:val="24"/>
        </w:rPr>
        <w:t>Si riporta</w:t>
      </w:r>
      <w:r w:rsidR="007B4730">
        <w:rPr>
          <w:rFonts w:asciiTheme="minorHAnsi" w:eastAsia="Times New Roman" w:hAnsiTheme="minorHAnsi" w:cs="Times New Roman"/>
          <w:i/>
          <w:iCs/>
          <w:color w:val="000000" w:themeColor="text1"/>
          <w:sz w:val="24"/>
          <w:szCs w:val="24"/>
        </w:rPr>
        <w:t>no</w:t>
      </w:r>
      <w:r w:rsidRPr="00262713">
        <w:rPr>
          <w:rFonts w:asciiTheme="minorHAnsi" w:eastAsia="Times New Roman" w:hAnsiTheme="minorHAnsi" w:cs="Times New Roman"/>
          <w:i/>
          <w:iCs/>
          <w:color w:val="000000" w:themeColor="text1"/>
          <w:sz w:val="24"/>
          <w:szCs w:val="24"/>
        </w:rPr>
        <w:t xml:space="preserve"> </w:t>
      </w:r>
      <w:r w:rsidR="00E12266">
        <w:rPr>
          <w:rFonts w:asciiTheme="minorHAnsi" w:eastAsia="Times New Roman" w:hAnsiTheme="minorHAnsi" w:cs="Times New Roman"/>
          <w:i/>
          <w:iCs/>
          <w:color w:val="000000" w:themeColor="text1"/>
          <w:sz w:val="24"/>
          <w:szCs w:val="24"/>
        </w:rPr>
        <w:t xml:space="preserve">gli </w:t>
      </w:r>
      <w:r w:rsidRPr="00262713">
        <w:rPr>
          <w:rFonts w:asciiTheme="minorHAnsi" w:eastAsia="Times New Roman" w:hAnsiTheme="minorHAnsi" w:cs="Times New Roman"/>
          <w:i/>
          <w:iCs/>
          <w:color w:val="000000" w:themeColor="text1"/>
          <w:sz w:val="24"/>
          <w:szCs w:val="24"/>
        </w:rPr>
        <w:t>articolat</w:t>
      </w:r>
      <w:r w:rsidR="00E12266">
        <w:rPr>
          <w:rFonts w:asciiTheme="minorHAnsi" w:eastAsia="Times New Roman" w:hAnsiTheme="minorHAnsi" w:cs="Times New Roman"/>
          <w:i/>
          <w:iCs/>
          <w:color w:val="000000" w:themeColor="text1"/>
          <w:sz w:val="24"/>
          <w:szCs w:val="24"/>
        </w:rPr>
        <w:t>i</w:t>
      </w:r>
      <w:r w:rsidRPr="00262713">
        <w:rPr>
          <w:rFonts w:asciiTheme="minorHAnsi" w:eastAsia="Times New Roman" w:hAnsiTheme="minorHAnsi" w:cs="Times New Roman"/>
          <w:i/>
          <w:iCs/>
          <w:color w:val="000000" w:themeColor="text1"/>
          <w:sz w:val="24"/>
          <w:szCs w:val="24"/>
        </w:rPr>
        <w:t xml:space="preserve"> del </w:t>
      </w:r>
      <w:proofErr w:type="spellStart"/>
      <w:r w:rsidR="00E12266">
        <w:rPr>
          <w:rFonts w:asciiTheme="minorHAnsi" w:eastAsia="Times New Roman" w:hAnsiTheme="minorHAnsi" w:cs="Times New Roman"/>
          <w:i/>
          <w:iCs/>
          <w:color w:val="000000" w:themeColor="text1"/>
          <w:sz w:val="24"/>
          <w:szCs w:val="24"/>
        </w:rPr>
        <w:t>ddl</w:t>
      </w:r>
      <w:proofErr w:type="spellEnd"/>
      <w:r w:rsidR="00E12266">
        <w:rPr>
          <w:rFonts w:asciiTheme="minorHAnsi" w:eastAsia="Times New Roman" w:hAnsiTheme="minorHAnsi" w:cs="Times New Roman"/>
          <w:i/>
          <w:iCs/>
          <w:color w:val="000000" w:themeColor="text1"/>
          <w:sz w:val="24"/>
          <w:szCs w:val="24"/>
        </w:rPr>
        <w:t xml:space="preserve"> e del </w:t>
      </w:r>
      <w:r w:rsidRPr="00262713">
        <w:rPr>
          <w:rFonts w:asciiTheme="minorHAnsi" w:eastAsia="Times New Roman" w:hAnsiTheme="minorHAnsi" w:cs="Times New Roman"/>
          <w:i/>
          <w:iCs/>
          <w:color w:val="000000" w:themeColor="text1"/>
          <w:sz w:val="24"/>
          <w:szCs w:val="24"/>
        </w:rPr>
        <w:t xml:space="preserve">decreto-legge con </w:t>
      </w:r>
      <w:r w:rsidR="00E12266">
        <w:rPr>
          <w:rFonts w:asciiTheme="minorHAnsi" w:eastAsia="Times New Roman" w:hAnsiTheme="minorHAnsi" w:cs="Times New Roman"/>
          <w:i/>
          <w:iCs/>
          <w:color w:val="000000" w:themeColor="text1"/>
          <w:sz w:val="24"/>
          <w:szCs w:val="24"/>
        </w:rPr>
        <w:t xml:space="preserve">tutte </w:t>
      </w:r>
      <w:r w:rsidRPr="00262713">
        <w:rPr>
          <w:rFonts w:asciiTheme="minorHAnsi" w:eastAsia="Times New Roman" w:hAnsiTheme="minorHAnsi" w:cs="Times New Roman"/>
          <w:i/>
          <w:iCs/>
          <w:color w:val="000000" w:themeColor="text1"/>
          <w:sz w:val="24"/>
          <w:szCs w:val="24"/>
        </w:rPr>
        <w:t>le modifiche apportate</w:t>
      </w:r>
      <w:r w:rsidR="00073239">
        <w:rPr>
          <w:rFonts w:asciiTheme="minorHAnsi" w:eastAsia="Times New Roman" w:hAnsiTheme="minorHAnsi" w:cs="Times New Roman"/>
          <w:i/>
          <w:iCs/>
          <w:color w:val="000000" w:themeColor="text1"/>
          <w:sz w:val="24"/>
          <w:szCs w:val="24"/>
        </w:rPr>
        <w:t xml:space="preserve"> </w:t>
      </w:r>
      <w:r w:rsidR="00B6290E">
        <w:rPr>
          <w:rFonts w:asciiTheme="minorHAnsi" w:eastAsia="Times New Roman" w:hAnsiTheme="minorHAnsi" w:cs="Times New Roman"/>
          <w:i/>
          <w:iCs/>
          <w:color w:val="000000" w:themeColor="text1"/>
          <w:sz w:val="24"/>
          <w:szCs w:val="24"/>
        </w:rPr>
        <w:t>dall</w:t>
      </w:r>
      <w:r w:rsidR="00073239">
        <w:rPr>
          <w:rFonts w:asciiTheme="minorHAnsi" w:eastAsia="Times New Roman" w:hAnsiTheme="minorHAnsi" w:cs="Times New Roman"/>
          <w:i/>
          <w:iCs/>
          <w:color w:val="000000" w:themeColor="text1"/>
          <w:sz w:val="24"/>
          <w:szCs w:val="24"/>
        </w:rPr>
        <w:t>e</w:t>
      </w:r>
      <w:r w:rsidR="00B6290E">
        <w:rPr>
          <w:rFonts w:asciiTheme="minorHAnsi" w:eastAsia="Times New Roman" w:hAnsiTheme="minorHAnsi" w:cs="Times New Roman"/>
          <w:i/>
          <w:iCs/>
          <w:color w:val="000000" w:themeColor="text1"/>
          <w:sz w:val="24"/>
          <w:szCs w:val="24"/>
        </w:rPr>
        <w:t xml:space="preserve"> Commission</w:t>
      </w:r>
      <w:r w:rsidR="00073239">
        <w:rPr>
          <w:rFonts w:asciiTheme="minorHAnsi" w:eastAsia="Times New Roman" w:hAnsiTheme="minorHAnsi" w:cs="Times New Roman"/>
          <w:i/>
          <w:iCs/>
          <w:color w:val="000000" w:themeColor="text1"/>
          <w:sz w:val="24"/>
          <w:szCs w:val="24"/>
        </w:rPr>
        <w:t>i</w:t>
      </w:r>
      <w:r w:rsidRPr="00262713">
        <w:rPr>
          <w:rFonts w:asciiTheme="minorHAnsi" w:eastAsia="Times New Roman" w:hAnsiTheme="minorHAnsi" w:cs="Times New Roman"/>
          <w:i/>
          <w:iCs/>
          <w:color w:val="000000" w:themeColor="text1"/>
          <w:sz w:val="24"/>
          <w:szCs w:val="24"/>
        </w:rPr>
        <w:t xml:space="preserve"> </w:t>
      </w:r>
    </w:p>
    <w:p w14:paraId="3E3ADF7D" w14:textId="4494F2EF" w:rsidR="006D0E25" w:rsidRDefault="006D0E25"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Pr>
          <w:rFonts w:asciiTheme="minorHAnsi" w:eastAsia="Times New Roman" w:hAnsiTheme="minorHAnsi" w:cs="Times New Roman"/>
          <w:i/>
          <w:iCs/>
          <w:color w:val="000000" w:themeColor="text1"/>
          <w:sz w:val="24"/>
          <w:szCs w:val="24"/>
        </w:rPr>
        <w:t>Si riportano, inoltre, le correzioni di forma approvate dalle Commissioni.</w:t>
      </w:r>
    </w:p>
    <w:p w14:paraId="213883E2" w14:textId="4DC4C580" w:rsidR="00025CB0" w:rsidRDefault="00025CB0"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07FBE359" w14:textId="77777777" w:rsidR="00025CB0" w:rsidRPr="00DA15F4" w:rsidRDefault="00025CB0" w:rsidP="00025CB0">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DA15F4">
        <w:rPr>
          <w:rFonts w:asciiTheme="minorHAnsi" w:eastAsia="Times New Roman" w:hAnsiTheme="minorHAnsi" w:cs="Times New Roman"/>
          <w:color w:val="000000" w:themeColor="text1"/>
          <w:sz w:val="24"/>
          <w:szCs w:val="24"/>
        </w:rPr>
        <w:t>Le modifiche introdotte dagli emendamenti approvati si riportano in carattere</w:t>
      </w:r>
      <w:r>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rPr>
        <w:t xml:space="preserve">grassetto, </w:t>
      </w:r>
      <w:r w:rsidRPr="00DA15F4">
        <w:rPr>
          <w:rFonts w:asciiTheme="minorHAnsi" w:eastAsia="Times New Roman" w:hAnsiTheme="minorHAnsi" w:cs="Times New Roman"/>
          <w:color w:val="000000" w:themeColor="text1"/>
          <w:sz w:val="24"/>
          <w:szCs w:val="24"/>
        </w:rPr>
        <w:t>mentre le soppressioni (sostituzioni comprese) si riportano</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strike/>
          <w:color w:val="000000" w:themeColor="text1"/>
          <w:sz w:val="24"/>
          <w:szCs w:val="24"/>
          <w:shd w:val="clear" w:color="auto" w:fill="FFFB01"/>
        </w:rPr>
        <w:t>evidenziate</w:t>
      </w:r>
      <w:r w:rsidRPr="00793CC1">
        <w:rPr>
          <w:rFonts w:asciiTheme="minorHAnsi" w:eastAsia="Times New Roman" w:hAnsiTheme="minorHAnsi" w:cs="Times New Roman"/>
          <w:b/>
          <w:bCs/>
          <w:color w:val="000000" w:themeColor="text1"/>
          <w:sz w:val="24"/>
          <w:szCs w:val="24"/>
        </w:rPr>
        <w:t xml:space="preserve">. </w:t>
      </w:r>
      <w:r w:rsidRPr="00DA15F4">
        <w:rPr>
          <w:rFonts w:asciiTheme="minorHAnsi" w:eastAsia="Times New Roman" w:hAnsiTheme="minorHAnsi" w:cs="Times New Roman"/>
          <w:color w:val="000000" w:themeColor="text1"/>
          <w:sz w:val="24"/>
          <w:szCs w:val="24"/>
        </w:rPr>
        <w:t>Eventuali subemendamenti approvati si evidenziano facendo uso del colore</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shd w:val="clear" w:color="auto" w:fill="FF2500"/>
        </w:rPr>
        <w:t>rosso</w:t>
      </w:r>
      <w:r w:rsidRPr="00793CC1">
        <w:rPr>
          <w:rFonts w:asciiTheme="minorHAnsi" w:eastAsia="Times New Roman" w:hAnsiTheme="minorHAnsi" w:cs="Times New Roman"/>
          <w:b/>
          <w:bCs/>
          <w:color w:val="000000" w:themeColor="text1"/>
          <w:sz w:val="24"/>
          <w:szCs w:val="24"/>
        </w:rPr>
        <w:t xml:space="preserve">. </w:t>
      </w:r>
      <w:r w:rsidRPr="00DA15F4">
        <w:rPr>
          <w:rFonts w:asciiTheme="minorHAnsi" w:eastAsia="Times New Roman" w:hAnsiTheme="minorHAnsi" w:cs="Times New Roman"/>
          <w:color w:val="000000" w:themeColor="text1"/>
          <w:sz w:val="24"/>
          <w:szCs w:val="24"/>
        </w:rPr>
        <w:t>A piè di pagina si riportano i riferimenti della proposta di modifica approvata.</w:t>
      </w:r>
    </w:p>
    <w:p w14:paraId="10D9A0D6" w14:textId="77777777" w:rsidR="00025CB0" w:rsidRDefault="00025CB0"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06F2CA07" w14:textId="77777777" w:rsidR="00262713" w:rsidRPr="00262713" w:rsidRDefault="00262713"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2B3D2CA9" w14:textId="5A62B549" w:rsidR="00262713" w:rsidRDefault="00262713" w:rsidP="00262713">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Pr>
          <w:rFonts w:asciiTheme="minorHAnsi" w:eastAsia="Times New Roman" w:hAnsiTheme="minorHAnsi" w:cs="Times New Roman"/>
          <w:color w:val="000000" w:themeColor="text1"/>
          <w:sz w:val="24"/>
          <w:szCs w:val="24"/>
        </w:rPr>
        <w:t>***</w:t>
      </w:r>
    </w:p>
    <w:p w14:paraId="17D1A31D" w14:textId="548B2093" w:rsidR="006F0114" w:rsidRDefault="006F0114" w:rsidP="00262713">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D161663" w14:textId="6DE3C62E" w:rsidR="00660EE5" w:rsidRPr="00660EE5" w:rsidRDefault="00677493" w:rsidP="00660EE5">
      <w:pPr>
        <w:spacing w:after="0" w:line="240" w:lineRule="auto"/>
        <w:jc w:val="center"/>
        <w:rPr>
          <w:rFonts w:asciiTheme="minorHAnsi" w:hAnsiTheme="minorHAnsi"/>
          <w:b/>
          <w:bCs/>
          <w:color w:val="000000" w:themeColor="text1"/>
          <w:sz w:val="24"/>
          <w:szCs w:val="24"/>
        </w:rPr>
      </w:pPr>
      <w:r>
        <w:rPr>
          <w:rFonts w:asciiTheme="minorHAnsi" w:hAnsiTheme="minorHAnsi"/>
          <w:b/>
          <w:bCs/>
          <w:color w:val="000000" w:themeColor="text1"/>
          <w:sz w:val="24"/>
          <w:szCs w:val="24"/>
        </w:rPr>
        <w:t>C</w:t>
      </w:r>
      <w:r w:rsidR="00660EE5" w:rsidRPr="00660EE5">
        <w:rPr>
          <w:rFonts w:asciiTheme="minorHAnsi" w:hAnsiTheme="minorHAnsi"/>
          <w:b/>
          <w:bCs/>
          <w:color w:val="000000" w:themeColor="text1"/>
          <w:sz w:val="24"/>
          <w:szCs w:val="24"/>
        </w:rPr>
        <w:t>-3278</w:t>
      </w:r>
    </w:p>
    <w:p w14:paraId="0365B96C" w14:textId="77777777" w:rsidR="00660EE5" w:rsidRPr="00660EE5" w:rsidRDefault="00660EE5" w:rsidP="00660EE5">
      <w:pPr>
        <w:spacing w:after="0" w:line="240" w:lineRule="auto"/>
        <w:jc w:val="center"/>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DISEGNO DI LEGGE</w:t>
      </w:r>
    </w:p>
    <w:p w14:paraId="7087159C" w14:textId="77777777" w:rsidR="00660EE5" w:rsidRPr="00660EE5" w:rsidRDefault="00660EE5" w:rsidP="00660EE5">
      <w:pPr>
        <w:spacing w:after="0" w:line="240" w:lineRule="auto"/>
        <w:jc w:val="center"/>
        <w:rPr>
          <w:rFonts w:asciiTheme="minorHAnsi" w:hAnsiTheme="minorHAnsi"/>
          <w:color w:val="000000" w:themeColor="text1"/>
          <w:sz w:val="24"/>
          <w:szCs w:val="24"/>
        </w:rPr>
      </w:pPr>
    </w:p>
    <w:p w14:paraId="0954F66A" w14:textId="77777777" w:rsidR="00660EE5" w:rsidRPr="00660EE5" w:rsidRDefault="00660EE5" w:rsidP="00660EE5">
      <w:pPr>
        <w:spacing w:after="0" w:line="240" w:lineRule="auto"/>
        <w:jc w:val="center"/>
        <w:rPr>
          <w:rFonts w:asciiTheme="minorHAnsi" w:hAnsiTheme="minorHAnsi"/>
          <w:b/>
          <w:bCs/>
          <w:color w:val="000000" w:themeColor="text1"/>
          <w:sz w:val="24"/>
          <w:szCs w:val="24"/>
        </w:rPr>
      </w:pPr>
      <w:r w:rsidRPr="00660EE5">
        <w:rPr>
          <w:rFonts w:asciiTheme="minorHAnsi" w:hAnsiTheme="minorHAnsi"/>
          <w:color w:val="000000" w:themeColor="text1"/>
          <w:sz w:val="24"/>
          <w:szCs w:val="24"/>
        </w:rPr>
        <w:t>Art. 1.</w:t>
      </w:r>
    </w:p>
    <w:p w14:paraId="75CE278F" w14:textId="77777777" w:rsidR="00660EE5" w:rsidRDefault="00660EE5" w:rsidP="00660EE5">
      <w:pPr>
        <w:spacing w:after="0" w:line="240" w:lineRule="auto"/>
        <w:rPr>
          <w:rFonts w:asciiTheme="minorHAnsi" w:hAnsiTheme="minorHAnsi"/>
          <w:color w:val="000000" w:themeColor="text1"/>
          <w:sz w:val="24"/>
          <w:szCs w:val="24"/>
        </w:rPr>
      </w:pPr>
    </w:p>
    <w:p w14:paraId="1B7DF3FC" w14:textId="4270A09B" w:rsidR="00660EE5" w:rsidRPr="00660EE5" w:rsidRDefault="00660EE5" w:rsidP="00660EE5">
      <w:pPr>
        <w:spacing w:after="0" w:line="240" w:lineRule="auto"/>
        <w:rPr>
          <w:rFonts w:asciiTheme="minorHAnsi" w:hAnsiTheme="minorHAnsi"/>
          <w:color w:val="000000" w:themeColor="text1"/>
          <w:sz w:val="24"/>
          <w:szCs w:val="24"/>
        </w:rPr>
      </w:pPr>
      <w:r w:rsidRPr="00660EE5">
        <w:rPr>
          <w:rFonts w:asciiTheme="minorHAnsi" w:hAnsiTheme="minorHAnsi"/>
          <w:color w:val="000000" w:themeColor="text1"/>
          <w:sz w:val="24"/>
          <w:szCs w:val="24"/>
        </w:rPr>
        <w:t>1. È convertito in legge il decreto-legge 10 settembre 2021, n. 121, recante disposizioni urgenti in materia di investimenti e sicurezza delle infrastrutture, dei trasporti e della circolazione stradale, per la funzionalità del Ministero delle infrastrutture e della mobilità sostenibili, del Consiglio superiore dei lavori pubblici e dell'Agenzia nazionale per la sicurezza delle infrastrutture stradali e autostradali.</w:t>
      </w:r>
    </w:p>
    <w:p w14:paraId="59600F3A" w14:textId="77777777" w:rsidR="00660EE5" w:rsidRDefault="00660EE5" w:rsidP="00660EE5">
      <w:pPr>
        <w:spacing w:after="0" w:line="240" w:lineRule="auto"/>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4A05DC38" w14:textId="00D07D35" w:rsidR="00660EE5" w:rsidRPr="00660EE5" w:rsidRDefault="00660EE5" w:rsidP="00660EE5">
      <w:pPr>
        <w:spacing w:after="0" w:line="240" w:lineRule="auto"/>
        <w:rPr>
          <w:rFonts w:asciiTheme="minorHAnsi" w:hAnsiTheme="minorHAnsi"/>
          <w:color w:val="000000" w:themeColor="text1"/>
          <w:sz w:val="24"/>
          <w:szCs w:val="24"/>
        </w:rPr>
      </w:pPr>
      <w:r w:rsidRPr="00660EE5">
        <w:rPr>
          <w:rFonts w:asciiTheme="minorHAnsi" w:hAnsiTheme="minorHAnsi"/>
          <w:color w:val="000000" w:themeColor="text1"/>
          <w:sz w:val="24"/>
          <w:szCs w:val="24"/>
        </w:rPr>
        <w:t>2. La presente legge entra in vigore il giorno successivo a quello della sua pubblicazione nella Gazzetta Ufficiale.</w:t>
      </w:r>
    </w:p>
    <w:p w14:paraId="5DDE29BB" w14:textId="77777777" w:rsidR="00660EE5" w:rsidRPr="00660EE5" w:rsidRDefault="00660EE5" w:rsidP="00660EE5">
      <w:pPr>
        <w:spacing w:after="0" w:line="240" w:lineRule="auto"/>
        <w:rPr>
          <w:rFonts w:asciiTheme="minorHAnsi" w:hAnsiTheme="minorHAnsi"/>
          <w:color w:val="000000" w:themeColor="text1"/>
          <w:sz w:val="24"/>
          <w:szCs w:val="24"/>
        </w:rPr>
      </w:pPr>
    </w:p>
    <w:p w14:paraId="2EF3DF86"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lastRenderedPageBreak/>
        <w:t>Decreto-legge 10 settembre 2021, n. 121, pubblicato nella Gazzetta Ufficiale n. 217 del 10 settembre 2021.</w:t>
      </w:r>
    </w:p>
    <w:p w14:paraId="5CD2E36E" w14:textId="77777777" w:rsidR="00660EE5" w:rsidRPr="00660EE5" w:rsidRDefault="00660EE5" w:rsidP="00660EE5">
      <w:pPr>
        <w:spacing w:after="0" w:line="240" w:lineRule="auto"/>
        <w:jc w:val="center"/>
        <w:rPr>
          <w:rFonts w:asciiTheme="minorHAnsi" w:hAnsiTheme="minorHAnsi"/>
          <w:b/>
          <w:bCs/>
          <w:color w:val="000000" w:themeColor="text1"/>
          <w:sz w:val="24"/>
          <w:szCs w:val="24"/>
        </w:rPr>
      </w:pPr>
    </w:p>
    <w:p w14:paraId="216BE54E" w14:textId="77777777" w:rsidR="00660EE5" w:rsidRPr="00660EE5" w:rsidRDefault="00660EE5" w:rsidP="00660EE5">
      <w:pPr>
        <w:spacing w:after="0" w:line="240" w:lineRule="auto"/>
        <w:jc w:val="center"/>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Disposizioni urgenti in materia di investimenti e sicurezza delle infrastrutture, dei trasporti e della circolazione stradale, per la funzionalità del Ministero delle infrastrutture e della mobilità sostenibili, del Consiglio superiore dei lavori pubblici e dell'Agenzia nazionale per la sicurezza delle infrastrutture stradali e autostradali.</w:t>
      </w:r>
    </w:p>
    <w:p w14:paraId="43489BDB" w14:textId="77777777" w:rsidR="00660EE5" w:rsidRPr="00660EE5" w:rsidRDefault="00660EE5" w:rsidP="00660EE5">
      <w:pPr>
        <w:spacing w:after="0" w:line="240" w:lineRule="auto"/>
        <w:jc w:val="center"/>
        <w:rPr>
          <w:rFonts w:asciiTheme="minorHAnsi" w:hAnsiTheme="minorHAnsi"/>
          <w:color w:val="000000" w:themeColor="text1"/>
          <w:sz w:val="24"/>
          <w:szCs w:val="24"/>
        </w:rPr>
      </w:pPr>
    </w:p>
    <w:p w14:paraId="538FF514"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Articolo 1.</w:t>
      </w:r>
    </w:p>
    <w:p w14:paraId="54B9D5E8"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(Disposizioni urgenti per la sicurezza della circolazione dei veicoli e di specifiche categorie di utenti)</w:t>
      </w:r>
    </w:p>
    <w:p w14:paraId="785016B8"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33849132" w14:textId="206AE331" w:rsid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1. Al decreto legislativo 30 aprile 1992, n. 285, sono apportate le seguenti modificazioni:</w:t>
      </w:r>
    </w:p>
    <w:p w14:paraId="5635C64C" w14:textId="072481C9" w:rsidR="0054500D" w:rsidRPr="00155015" w:rsidRDefault="0054500D" w:rsidP="0054500D">
      <w:pPr>
        <w:shd w:val="clear" w:color="auto" w:fill="FFFFFF"/>
        <w:spacing w:after="0" w:line="240" w:lineRule="auto"/>
        <w:jc w:val="both"/>
        <w:rPr>
          <w:rFonts w:asciiTheme="minorHAnsi" w:eastAsia="Times New Roman" w:hAnsiTheme="minorHAnsi" w:cs="Arial"/>
          <w:b/>
          <w:bCs/>
          <w:color w:val="000000" w:themeColor="text1"/>
          <w:sz w:val="24"/>
          <w:szCs w:val="24"/>
        </w:rPr>
      </w:pPr>
      <w:r>
        <w:rPr>
          <w:rFonts w:asciiTheme="minorHAnsi" w:eastAsia="Times New Roman" w:hAnsiTheme="minorHAnsi" w:cs="Arial"/>
          <w:b/>
          <w:bCs/>
          <w:i/>
          <w:iCs/>
          <w:color w:val="000000" w:themeColor="text1"/>
          <w:sz w:val="24"/>
          <w:szCs w:val="24"/>
        </w:rPr>
        <w:t xml:space="preserve">   </w:t>
      </w:r>
      <w:r w:rsidR="009963F7">
        <w:rPr>
          <w:rFonts w:asciiTheme="minorHAnsi" w:eastAsia="Times New Roman" w:hAnsiTheme="minorHAnsi" w:cs="Arial"/>
          <w:b/>
          <w:bCs/>
          <w:i/>
          <w:iCs/>
          <w:color w:val="000000" w:themeColor="text1"/>
          <w:sz w:val="24"/>
          <w:szCs w:val="24"/>
        </w:rPr>
        <w:t xml:space="preserve">  </w:t>
      </w:r>
      <w:r>
        <w:rPr>
          <w:rFonts w:asciiTheme="minorHAnsi" w:eastAsia="Times New Roman" w:hAnsiTheme="minorHAnsi" w:cs="Arial"/>
          <w:b/>
          <w:bCs/>
          <w:i/>
          <w:iCs/>
          <w:color w:val="000000" w:themeColor="text1"/>
          <w:sz w:val="24"/>
          <w:szCs w:val="24"/>
        </w:rPr>
        <w:t xml:space="preserve">  </w:t>
      </w:r>
      <w:r w:rsidRPr="00155015">
        <w:rPr>
          <w:rFonts w:asciiTheme="minorHAnsi" w:eastAsia="Times New Roman" w:hAnsiTheme="minorHAnsi" w:cs="Arial"/>
          <w:b/>
          <w:bCs/>
          <w:i/>
          <w:iCs/>
          <w:color w:val="000000" w:themeColor="text1"/>
          <w:sz w:val="24"/>
          <w:szCs w:val="24"/>
        </w:rPr>
        <w:t>0a)</w:t>
      </w:r>
      <w:r w:rsidRPr="00155015">
        <w:rPr>
          <w:rFonts w:asciiTheme="minorHAnsi" w:eastAsia="Times New Roman" w:hAnsiTheme="minorHAnsi" w:cs="Arial"/>
          <w:b/>
          <w:bCs/>
          <w:color w:val="000000" w:themeColor="text1"/>
          <w:sz w:val="24"/>
          <w:szCs w:val="24"/>
        </w:rPr>
        <w:t> all'articolo 1, il comma 1 è sostituito dal seguente:</w:t>
      </w:r>
    </w:p>
    <w:p w14:paraId="6805254D" w14:textId="28935372" w:rsidR="0054500D" w:rsidRDefault="0054500D" w:rsidP="0054500D">
      <w:pPr>
        <w:shd w:val="clear" w:color="auto" w:fill="FFFFFF"/>
        <w:spacing w:after="0" w:line="240" w:lineRule="auto"/>
        <w:jc w:val="both"/>
        <w:rPr>
          <w:rFonts w:asciiTheme="minorHAnsi" w:eastAsia="Times New Roman" w:hAnsiTheme="minorHAnsi" w:cs="Arial"/>
          <w:b/>
          <w:bCs/>
          <w:color w:val="000000" w:themeColor="text1"/>
          <w:sz w:val="24"/>
          <w:szCs w:val="24"/>
        </w:rPr>
      </w:pPr>
      <w:r w:rsidRPr="00155015">
        <w:rPr>
          <w:rFonts w:asciiTheme="minorHAnsi" w:eastAsia="Times New Roman" w:hAnsiTheme="minorHAnsi" w:cs="Arial"/>
          <w:b/>
          <w:bCs/>
          <w:color w:val="000000" w:themeColor="text1"/>
          <w:sz w:val="24"/>
          <w:szCs w:val="24"/>
        </w:rPr>
        <w:t> </w:t>
      </w:r>
      <w:r w:rsidRPr="00155015">
        <w:rPr>
          <w:rFonts w:asciiTheme="minorHAnsi" w:eastAsia="Times New Roman" w:hAnsiTheme="minorHAnsi" w:cs="Arial"/>
          <w:b/>
          <w:bCs/>
          <w:color w:val="000000" w:themeColor="text1"/>
          <w:sz w:val="24"/>
          <w:szCs w:val="24"/>
        </w:rPr>
        <w:t> </w:t>
      </w:r>
      <w:r w:rsidRPr="00155015">
        <w:rPr>
          <w:rFonts w:asciiTheme="minorHAnsi" w:eastAsia="Times New Roman" w:hAnsiTheme="minorHAnsi" w:cs="Arial"/>
          <w:b/>
          <w:bCs/>
          <w:color w:val="000000" w:themeColor="text1"/>
          <w:sz w:val="24"/>
          <w:szCs w:val="24"/>
        </w:rPr>
        <w:t> </w:t>
      </w:r>
      <w:r w:rsidRPr="00155015">
        <w:rPr>
          <w:rFonts w:asciiTheme="minorHAnsi" w:eastAsia="Times New Roman" w:hAnsiTheme="minorHAnsi" w:cs="Arial"/>
          <w:b/>
          <w:bCs/>
          <w:color w:val="000000" w:themeColor="text1"/>
          <w:sz w:val="24"/>
          <w:szCs w:val="24"/>
        </w:rPr>
        <w:t>«</w:t>
      </w:r>
      <w:r w:rsidRPr="00155015">
        <w:rPr>
          <w:rFonts w:asciiTheme="minorHAnsi" w:eastAsia="Times New Roman" w:hAnsiTheme="minorHAnsi" w:cs="Arial"/>
          <w:b/>
          <w:bCs/>
          <w:i/>
          <w:iCs/>
          <w:color w:val="000000" w:themeColor="text1"/>
          <w:sz w:val="24"/>
          <w:szCs w:val="24"/>
        </w:rPr>
        <w:t>1</w:t>
      </w:r>
      <w:r w:rsidRPr="00155015">
        <w:rPr>
          <w:rFonts w:asciiTheme="minorHAnsi" w:eastAsia="Times New Roman" w:hAnsiTheme="minorHAnsi" w:cs="Arial"/>
          <w:b/>
          <w:bCs/>
          <w:color w:val="000000" w:themeColor="text1"/>
          <w:sz w:val="24"/>
          <w:szCs w:val="24"/>
        </w:rPr>
        <w:t>. La sicurezza e la tutela della salute delle persone nonché la tutela dell'ambiente, nella circolazione stradale, rientrano tra le finalità primarie di ordine sociale ed economico perseguite dallo Stato»;</w:t>
      </w:r>
      <w:r>
        <w:rPr>
          <w:rStyle w:val="Rimandonotaapidipagina"/>
          <w:rFonts w:asciiTheme="minorHAnsi" w:eastAsia="Times New Roman" w:hAnsiTheme="minorHAnsi" w:cs="Arial"/>
          <w:b/>
          <w:bCs/>
          <w:color w:val="000000" w:themeColor="text1"/>
          <w:sz w:val="24"/>
          <w:szCs w:val="24"/>
        </w:rPr>
        <w:footnoteReference w:id="1"/>
      </w:r>
    </w:p>
    <w:p w14:paraId="772C1D85" w14:textId="4B1160EC" w:rsidR="00B02D0C" w:rsidRDefault="009963F7" w:rsidP="0054500D">
      <w:pPr>
        <w:shd w:val="clear" w:color="auto" w:fill="FFFFFF"/>
        <w:spacing w:after="0" w:line="240" w:lineRule="auto"/>
        <w:jc w:val="both"/>
        <w:rPr>
          <w:rFonts w:asciiTheme="minorHAnsi" w:eastAsia="Times New Roman" w:hAnsiTheme="minorHAnsi" w:cs="Arial"/>
          <w:b/>
          <w:bCs/>
          <w:color w:val="000000" w:themeColor="text1"/>
          <w:sz w:val="24"/>
          <w:szCs w:val="24"/>
        </w:rPr>
      </w:pPr>
      <w:r>
        <w:rPr>
          <w:rFonts w:asciiTheme="minorHAnsi" w:eastAsia="Times New Roman" w:hAnsiTheme="minorHAnsi" w:cs="Arial"/>
          <w:b/>
          <w:bCs/>
          <w:i/>
          <w:iCs/>
          <w:color w:val="000000" w:themeColor="text1"/>
          <w:sz w:val="24"/>
          <w:szCs w:val="24"/>
        </w:rPr>
        <w:t xml:space="preserve">       </w:t>
      </w:r>
      <w:r w:rsidR="00B02D0C">
        <w:rPr>
          <w:rFonts w:asciiTheme="minorHAnsi" w:eastAsia="Times New Roman" w:hAnsiTheme="minorHAnsi" w:cs="Arial"/>
          <w:b/>
          <w:bCs/>
          <w:i/>
          <w:iCs/>
          <w:color w:val="000000" w:themeColor="text1"/>
          <w:sz w:val="24"/>
          <w:szCs w:val="24"/>
        </w:rPr>
        <w:t xml:space="preserve"> </w:t>
      </w:r>
      <w:r w:rsidR="00B02D0C" w:rsidRPr="00155015">
        <w:rPr>
          <w:rFonts w:asciiTheme="minorHAnsi" w:eastAsia="Times New Roman" w:hAnsiTheme="minorHAnsi" w:cs="Arial"/>
          <w:b/>
          <w:bCs/>
          <w:i/>
          <w:iCs/>
          <w:color w:val="000000" w:themeColor="text1"/>
          <w:sz w:val="24"/>
          <w:szCs w:val="24"/>
        </w:rPr>
        <w:t>0a)</w:t>
      </w:r>
      <w:r w:rsidR="00B02D0C" w:rsidRPr="00155015">
        <w:rPr>
          <w:rFonts w:asciiTheme="minorHAnsi" w:eastAsia="Times New Roman" w:hAnsiTheme="minorHAnsi" w:cs="Arial"/>
          <w:b/>
          <w:bCs/>
          <w:color w:val="000000" w:themeColor="text1"/>
          <w:sz w:val="24"/>
          <w:szCs w:val="24"/>
        </w:rPr>
        <w:t> all'articolo 6, comma 4, lettera </w:t>
      </w:r>
      <w:r w:rsidR="00B02D0C" w:rsidRPr="00155015">
        <w:rPr>
          <w:rFonts w:asciiTheme="minorHAnsi" w:eastAsia="Times New Roman" w:hAnsiTheme="minorHAnsi" w:cs="Arial"/>
          <w:b/>
          <w:bCs/>
          <w:i/>
          <w:iCs/>
          <w:color w:val="000000" w:themeColor="text1"/>
          <w:sz w:val="24"/>
          <w:szCs w:val="24"/>
        </w:rPr>
        <w:t>b)</w:t>
      </w:r>
      <w:r w:rsidR="00B02D0C" w:rsidRPr="00155015">
        <w:rPr>
          <w:rFonts w:asciiTheme="minorHAnsi" w:eastAsia="Times New Roman" w:hAnsiTheme="minorHAnsi" w:cs="Arial"/>
          <w:b/>
          <w:bCs/>
          <w:color w:val="000000" w:themeColor="text1"/>
          <w:sz w:val="24"/>
          <w:szCs w:val="24"/>
        </w:rPr>
        <w:t>, sono aggiunte, in fine, le seguenti parole: «, con particolare riguardo a quelle che attraversano siti inseriti nella lista del patrimonio mondiale dell'Organizzazione delle Nazioni Unite per l'educazione, la scienza e la cultura (UNESCO)»</w:t>
      </w:r>
      <w:r w:rsidR="00B02D0C">
        <w:rPr>
          <w:rFonts w:asciiTheme="minorHAnsi" w:eastAsia="Times New Roman" w:hAnsiTheme="minorHAnsi" w:cs="Arial"/>
          <w:b/>
          <w:bCs/>
          <w:color w:val="000000" w:themeColor="text1"/>
          <w:sz w:val="24"/>
          <w:szCs w:val="24"/>
        </w:rPr>
        <w:t>.</w:t>
      </w:r>
      <w:r w:rsidR="00B02D0C">
        <w:rPr>
          <w:rStyle w:val="Rimandonotaapidipagina"/>
          <w:rFonts w:asciiTheme="minorHAnsi" w:eastAsia="Times New Roman" w:hAnsiTheme="minorHAnsi" w:cs="Arial"/>
          <w:b/>
          <w:bCs/>
          <w:color w:val="000000" w:themeColor="text1"/>
          <w:sz w:val="24"/>
          <w:szCs w:val="24"/>
        </w:rPr>
        <w:footnoteReference w:id="2"/>
      </w:r>
    </w:p>
    <w:p w14:paraId="4DB21ED3" w14:textId="1E93BDE2" w:rsidR="00B02D0C" w:rsidRPr="00155015" w:rsidRDefault="00B02D0C" w:rsidP="00B02D0C">
      <w:pPr>
        <w:shd w:val="clear" w:color="auto" w:fill="FFFFFF"/>
        <w:spacing w:after="0" w:line="240" w:lineRule="auto"/>
        <w:jc w:val="both"/>
        <w:rPr>
          <w:rFonts w:asciiTheme="minorHAnsi" w:eastAsia="Times New Roman" w:hAnsiTheme="minorHAnsi" w:cs="Arial"/>
          <w:b/>
          <w:bCs/>
          <w:color w:val="000000" w:themeColor="text1"/>
          <w:sz w:val="24"/>
          <w:szCs w:val="24"/>
        </w:rPr>
      </w:pPr>
      <w:r w:rsidRPr="00155015">
        <w:rPr>
          <w:rFonts w:asciiTheme="minorHAnsi" w:eastAsia="Times New Roman" w:hAnsiTheme="minorHAnsi" w:cs="Arial"/>
          <w:b/>
          <w:bCs/>
          <w:color w:val="000000" w:themeColor="text1"/>
          <w:sz w:val="24"/>
          <w:szCs w:val="24"/>
        </w:rPr>
        <w:t> </w:t>
      </w:r>
      <w:r w:rsidRPr="00155015">
        <w:rPr>
          <w:rFonts w:asciiTheme="minorHAnsi" w:eastAsia="Times New Roman" w:hAnsiTheme="minorHAnsi" w:cs="Arial"/>
          <w:b/>
          <w:bCs/>
          <w:color w:val="000000" w:themeColor="text1"/>
          <w:sz w:val="24"/>
          <w:szCs w:val="24"/>
        </w:rPr>
        <w:t> </w:t>
      </w:r>
      <w:r w:rsidRPr="00155015">
        <w:rPr>
          <w:rFonts w:asciiTheme="minorHAnsi" w:eastAsia="Times New Roman" w:hAnsiTheme="minorHAnsi" w:cs="Arial"/>
          <w:b/>
          <w:bCs/>
          <w:color w:val="000000" w:themeColor="text1"/>
          <w:sz w:val="24"/>
          <w:szCs w:val="24"/>
        </w:rPr>
        <w:t> </w:t>
      </w:r>
      <w:r w:rsidRPr="00155015">
        <w:rPr>
          <w:rFonts w:asciiTheme="minorHAnsi" w:eastAsia="Times New Roman" w:hAnsiTheme="minorHAnsi" w:cs="Arial"/>
          <w:b/>
          <w:bCs/>
          <w:i/>
          <w:iCs/>
          <w:color w:val="000000" w:themeColor="text1"/>
          <w:sz w:val="24"/>
          <w:szCs w:val="24"/>
        </w:rPr>
        <w:t>0a)</w:t>
      </w:r>
      <w:r w:rsidRPr="00155015">
        <w:rPr>
          <w:rFonts w:asciiTheme="minorHAnsi" w:eastAsia="Times New Roman" w:hAnsiTheme="minorHAnsi" w:cs="Arial"/>
          <w:b/>
          <w:bCs/>
          <w:color w:val="000000" w:themeColor="text1"/>
          <w:sz w:val="24"/>
          <w:szCs w:val="24"/>
        </w:rPr>
        <w:t> all'articolo 3, comma 1, numero 53-</w:t>
      </w:r>
      <w:r w:rsidRPr="00155015">
        <w:rPr>
          <w:rFonts w:asciiTheme="minorHAnsi" w:eastAsia="Times New Roman" w:hAnsiTheme="minorHAnsi" w:cs="Arial"/>
          <w:b/>
          <w:bCs/>
          <w:i/>
          <w:iCs/>
          <w:color w:val="000000" w:themeColor="text1"/>
          <w:sz w:val="24"/>
          <w:szCs w:val="24"/>
        </w:rPr>
        <w:t>bis</w:t>
      </w:r>
      <w:r w:rsidRPr="00155015">
        <w:rPr>
          <w:rFonts w:asciiTheme="minorHAnsi" w:eastAsia="Times New Roman" w:hAnsiTheme="minorHAnsi" w:cs="Arial"/>
          <w:b/>
          <w:bCs/>
          <w:color w:val="000000" w:themeColor="text1"/>
          <w:sz w:val="24"/>
          <w:szCs w:val="24"/>
        </w:rPr>
        <w:t>), la parola: “debole” è sostituita dalla seguente: “vulnerabile” e le parole: “disabili in carrozzella” sono sostituite dalle seguenti: “persone con disabilità”; conseguentemente, ovunque ricorrono nel decreto legislativo 30 aprile 1992, n. 285, le parole: “debole” e: “deboli”, sono sostituite, rispettivamente, dalle seguenti: “vulnerabile” e “vulnerabili”;</w:t>
      </w:r>
      <w:r w:rsidR="009963F7">
        <w:rPr>
          <w:rStyle w:val="Rimandonotaapidipagina"/>
          <w:rFonts w:asciiTheme="minorHAnsi" w:eastAsia="Times New Roman" w:hAnsiTheme="minorHAnsi" w:cs="Arial"/>
          <w:b/>
          <w:bCs/>
          <w:color w:val="000000" w:themeColor="text1"/>
          <w:sz w:val="24"/>
          <w:szCs w:val="24"/>
        </w:rPr>
        <w:footnoteReference w:id="3"/>
      </w:r>
    </w:p>
    <w:p w14:paraId="7FC30AD8"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lastRenderedPageBreak/>
        <w:t>   a) all'articolo 7, comma 1, la lettera d) è sostituita dalla seguente:</w:t>
      </w:r>
    </w:p>
    <w:p w14:paraId="7883FEF2"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   «d) riservare limitati spazi alla sosta, a carattere permanente o temporaneo, ovvero anche solo per determinati periodi, giorni e orari:</w:t>
      </w:r>
    </w:p>
    <w:p w14:paraId="7AD87B21"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    1) dei veicoli degli organi di polizia stradale di cui all'articolo 12, dei vigili del fuoco e dei servizi di soccorso;</w:t>
      </w:r>
    </w:p>
    <w:p w14:paraId="5DF88C82"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    2) dei veicoli adibiti al servizio di persone con disabilità, munite del contrassegno di cui all'articolo 381, comma 2, del regolamento;</w:t>
      </w:r>
    </w:p>
    <w:p w14:paraId="23334A3E"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    3) dei veicoli al servizio delle donne in stato di gravidanza o di genitori con un bambino di età non superiore a due anni, munite di contrassegno speciale, denominato “permesso rosa”;</w:t>
      </w:r>
    </w:p>
    <w:p w14:paraId="01B3FF66"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    4) dei veicoli elettrici;</w:t>
      </w:r>
    </w:p>
    <w:p w14:paraId="71599B7B"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    5) dei veicoli per il carico e lo scarico delle merci nelle ore stabilite;</w:t>
      </w:r>
    </w:p>
    <w:p w14:paraId="15AEBD11"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    6) dei veicoli adibiti a servizi di linea per lo stazionamento ai capilinea;</w:t>
      </w:r>
    </w:p>
    <w:p w14:paraId="6B97F7A3" w14:textId="165FCA2C" w:rsid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    7) dei veicoli adibiti al trasporto scolastico nelle ore stabilite;»;</w:t>
      </w:r>
    </w:p>
    <w:p w14:paraId="4E804F31" w14:textId="2F6FE7A2" w:rsidR="0054500D" w:rsidRPr="00155015" w:rsidRDefault="0054500D" w:rsidP="0054500D">
      <w:pPr>
        <w:shd w:val="clear" w:color="auto" w:fill="FFFFFF"/>
        <w:spacing w:after="0" w:line="240" w:lineRule="auto"/>
        <w:jc w:val="both"/>
        <w:rPr>
          <w:rFonts w:asciiTheme="minorHAnsi" w:eastAsia="Times New Roman" w:hAnsiTheme="minorHAnsi" w:cs="Arial"/>
          <w:b/>
          <w:bCs/>
          <w:color w:val="000000" w:themeColor="text1"/>
          <w:sz w:val="24"/>
          <w:szCs w:val="24"/>
        </w:rPr>
      </w:pPr>
      <w:r>
        <w:rPr>
          <w:rFonts w:asciiTheme="minorHAnsi" w:eastAsia="Times New Roman" w:hAnsiTheme="minorHAnsi" w:cs="Arial"/>
          <w:b/>
          <w:bCs/>
          <w:i/>
          <w:iCs/>
          <w:color w:val="000000" w:themeColor="text1"/>
          <w:sz w:val="24"/>
          <w:szCs w:val="24"/>
        </w:rPr>
        <w:t xml:space="preserve">        </w:t>
      </w:r>
      <w:r w:rsidRPr="00155015">
        <w:rPr>
          <w:rFonts w:asciiTheme="minorHAnsi" w:eastAsia="Times New Roman" w:hAnsiTheme="minorHAnsi" w:cs="Arial"/>
          <w:b/>
          <w:bCs/>
          <w:i/>
          <w:iCs/>
          <w:color w:val="000000" w:themeColor="text1"/>
          <w:sz w:val="24"/>
          <w:szCs w:val="24"/>
        </w:rPr>
        <w:t>a-bis)</w:t>
      </w:r>
      <w:r w:rsidRPr="00155015">
        <w:rPr>
          <w:rFonts w:asciiTheme="minorHAnsi" w:eastAsia="Times New Roman" w:hAnsiTheme="minorHAnsi" w:cs="Arial"/>
          <w:b/>
          <w:bCs/>
          <w:color w:val="000000" w:themeColor="text1"/>
          <w:sz w:val="24"/>
          <w:szCs w:val="24"/>
        </w:rPr>
        <w:t> all'articolo 50, comma 2, le parole: «3 m» sono sostituite dalle seguenti: «3,5 m»;</w:t>
      </w:r>
    </w:p>
    <w:p w14:paraId="2B6AF3ED" w14:textId="094E93F9" w:rsidR="0054500D" w:rsidRDefault="0054500D" w:rsidP="0054500D">
      <w:pPr>
        <w:shd w:val="clear" w:color="auto" w:fill="FFFFFF"/>
        <w:spacing w:after="0" w:line="240" w:lineRule="auto"/>
        <w:jc w:val="both"/>
        <w:rPr>
          <w:rFonts w:asciiTheme="minorHAnsi" w:eastAsia="Times New Roman" w:hAnsiTheme="minorHAnsi" w:cs="Arial"/>
          <w:b/>
          <w:bCs/>
          <w:color w:val="000000" w:themeColor="text1"/>
          <w:sz w:val="24"/>
          <w:szCs w:val="24"/>
        </w:rPr>
      </w:pPr>
      <w:r w:rsidRPr="00155015">
        <w:rPr>
          <w:rFonts w:asciiTheme="minorHAnsi" w:eastAsia="Times New Roman" w:hAnsiTheme="minorHAnsi" w:cs="Arial"/>
          <w:b/>
          <w:bCs/>
          <w:color w:val="000000" w:themeColor="text1"/>
          <w:sz w:val="24"/>
          <w:szCs w:val="24"/>
        </w:rPr>
        <w:t> </w:t>
      </w:r>
      <w:r w:rsidRPr="00155015">
        <w:rPr>
          <w:rFonts w:asciiTheme="minorHAnsi" w:eastAsia="Times New Roman" w:hAnsiTheme="minorHAnsi" w:cs="Arial"/>
          <w:b/>
          <w:bCs/>
          <w:color w:val="000000" w:themeColor="text1"/>
          <w:sz w:val="24"/>
          <w:szCs w:val="24"/>
        </w:rPr>
        <w:t> </w:t>
      </w:r>
      <w:r w:rsidRPr="00155015">
        <w:rPr>
          <w:rFonts w:asciiTheme="minorHAnsi" w:eastAsia="Times New Roman" w:hAnsiTheme="minorHAnsi" w:cs="Arial"/>
          <w:b/>
          <w:bCs/>
          <w:i/>
          <w:iCs/>
          <w:color w:val="000000" w:themeColor="text1"/>
          <w:sz w:val="24"/>
          <w:szCs w:val="24"/>
        </w:rPr>
        <w:t>a-ter)</w:t>
      </w:r>
      <w:r w:rsidRPr="00155015">
        <w:rPr>
          <w:rFonts w:asciiTheme="minorHAnsi" w:eastAsia="Times New Roman" w:hAnsiTheme="minorHAnsi" w:cs="Arial"/>
          <w:b/>
          <w:bCs/>
          <w:color w:val="000000" w:themeColor="text1"/>
          <w:sz w:val="24"/>
          <w:szCs w:val="24"/>
        </w:rPr>
        <w:t> all'articolo 52, comma 1, lettera </w:t>
      </w:r>
      <w:r w:rsidRPr="00155015">
        <w:rPr>
          <w:rFonts w:asciiTheme="minorHAnsi" w:eastAsia="Times New Roman" w:hAnsiTheme="minorHAnsi" w:cs="Arial"/>
          <w:b/>
          <w:bCs/>
          <w:i/>
          <w:iCs/>
          <w:color w:val="000000" w:themeColor="text1"/>
          <w:sz w:val="24"/>
          <w:szCs w:val="24"/>
        </w:rPr>
        <w:t>a)</w:t>
      </w:r>
      <w:r w:rsidRPr="00155015">
        <w:rPr>
          <w:rFonts w:asciiTheme="minorHAnsi" w:eastAsia="Times New Roman" w:hAnsiTheme="minorHAnsi" w:cs="Arial"/>
          <w:b/>
          <w:bCs/>
          <w:color w:val="000000" w:themeColor="text1"/>
          <w:sz w:val="24"/>
          <w:szCs w:val="24"/>
        </w:rPr>
        <w:t>, sono aggiunte, in fine, le seguenti parole: «, o avente potenza non superiore a 4.000 watt, se ad alimentazione elettrica»;</w:t>
      </w:r>
      <w:r>
        <w:rPr>
          <w:rStyle w:val="Rimandonotaapidipagina"/>
          <w:rFonts w:asciiTheme="minorHAnsi" w:eastAsia="Times New Roman" w:hAnsiTheme="minorHAnsi" w:cs="Arial"/>
          <w:b/>
          <w:bCs/>
          <w:color w:val="000000" w:themeColor="text1"/>
          <w:sz w:val="24"/>
          <w:szCs w:val="24"/>
        </w:rPr>
        <w:footnoteReference w:id="4"/>
      </w:r>
    </w:p>
    <w:p w14:paraId="69C664CF" w14:textId="0DB970B6" w:rsidR="009963F7" w:rsidRDefault="009963F7" w:rsidP="009963F7">
      <w:pPr>
        <w:shd w:val="clear" w:color="auto" w:fill="FFFFFF"/>
        <w:spacing w:after="0" w:line="240" w:lineRule="auto"/>
        <w:jc w:val="both"/>
        <w:rPr>
          <w:rFonts w:eastAsia="Times New Roman" w:cs="Arial"/>
          <w:b/>
          <w:bCs/>
          <w:color w:val="000000" w:themeColor="text1"/>
          <w:sz w:val="24"/>
          <w:szCs w:val="24"/>
        </w:rPr>
      </w:pPr>
      <w:r w:rsidRPr="003D7908">
        <w:rPr>
          <w:rFonts w:eastAsia="Times New Roman" w:cs="Arial"/>
          <w:b/>
          <w:bCs/>
          <w:color w:val="000000" w:themeColor="text1"/>
          <w:sz w:val="24"/>
          <w:szCs w:val="24"/>
        </w:rPr>
        <w:t> </w:t>
      </w:r>
      <w:r w:rsidRPr="003D7908">
        <w:rPr>
          <w:rFonts w:eastAsia="Times New Roman" w:cs="Arial"/>
          <w:b/>
          <w:bCs/>
          <w:color w:val="000000" w:themeColor="text1"/>
          <w:sz w:val="24"/>
          <w:szCs w:val="24"/>
        </w:rPr>
        <w:t> </w:t>
      </w:r>
      <w:r w:rsidRPr="003D7908">
        <w:rPr>
          <w:rFonts w:eastAsia="Times New Roman" w:cs="Arial"/>
          <w:b/>
          <w:bCs/>
          <w:color w:val="000000" w:themeColor="text1"/>
          <w:sz w:val="24"/>
          <w:szCs w:val="24"/>
        </w:rPr>
        <w:t> </w:t>
      </w:r>
      <w:r w:rsidRPr="003D7908">
        <w:rPr>
          <w:rFonts w:eastAsia="Times New Roman" w:cs="Arial"/>
          <w:b/>
          <w:bCs/>
          <w:i/>
          <w:iCs/>
          <w:color w:val="000000" w:themeColor="text1"/>
          <w:sz w:val="24"/>
          <w:szCs w:val="24"/>
        </w:rPr>
        <w:t>a-bis)</w:t>
      </w:r>
      <w:r w:rsidRPr="003D7908">
        <w:rPr>
          <w:rFonts w:eastAsia="Times New Roman" w:cs="Arial"/>
          <w:b/>
          <w:bCs/>
          <w:color w:val="000000" w:themeColor="text1"/>
          <w:sz w:val="24"/>
          <w:szCs w:val="24"/>
        </w:rPr>
        <w:t> all'articolo 40, comma 11, le parole: “che hanno iniziato l'attraversamento” sono sostituite dalle seguenti: “che si accingono ad attraversare la strada o che hanno iniziato l'attraversamento”;</w:t>
      </w:r>
      <w:r>
        <w:rPr>
          <w:rStyle w:val="Rimandonotaapidipagina"/>
          <w:rFonts w:eastAsia="Times New Roman" w:cs="Arial"/>
          <w:b/>
          <w:bCs/>
          <w:color w:val="000000" w:themeColor="text1"/>
          <w:sz w:val="24"/>
          <w:szCs w:val="24"/>
        </w:rPr>
        <w:footnoteReference w:id="5"/>
      </w:r>
    </w:p>
    <w:p w14:paraId="264C995E" w14:textId="4FDBCABF" w:rsidR="002513B9" w:rsidRPr="00D746BD" w:rsidRDefault="002513B9" w:rsidP="002513B9">
      <w:pPr>
        <w:shd w:val="clear" w:color="auto" w:fill="FFFFFF"/>
        <w:spacing w:after="0" w:line="240" w:lineRule="auto"/>
        <w:jc w:val="both"/>
        <w:rPr>
          <w:rFonts w:eastAsia="Times New Roman" w:cs="Arial"/>
          <w:b/>
          <w:bCs/>
          <w:color w:val="000000" w:themeColor="text1"/>
          <w:sz w:val="24"/>
          <w:szCs w:val="24"/>
        </w:rPr>
      </w:pPr>
      <w:r>
        <w:rPr>
          <w:rFonts w:eastAsia="Times New Roman" w:cs="Arial"/>
          <w:b/>
          <w:bCs/>
          <w:i/>
          <w:iCs/>
          <w:color w:val="000000" w:themeColor="text1"/>
          <w:sz w:val="24"/>
          <w:szCs w:val="24"/>
        </w:rPr>
        <w:lastRenderedPageBreak/>
        <w:t xml:space="preserve">         </w:t>
      </w:r>
      <w:r w:rsidRPr="00D746BD">
        <w:rPr>
          <w:rFonts w:eastAsia="Times New Roman" w:cs="Arial"/>
          <w:b/>
          <w:bCs/>
          <w:i/>
          <w:iCs/>
          <w:color w:val="000000" w:themeColor="text1"/>
          <w:sz w:val="24"/>
          <w:szCs w:val="24"/>
        </w:rPr>
        <w:t>a-bis)</w:t>
      </w:r>
      <w:r w:rsidRPr="00D746BD">
        <w:rPr>
          <w:rFonts w:eastAsia="Times New Roman" w:cs="Arial"/>
          <w:b/>
          <w:bCs/>
          <w:color w:val="000000" w:themeColor="text1"/>
          <w:sz w:val="24"/>
          <w:szCs w:val="24"/>
        </w:rPr>
        <w:t> all'articolo 10, comma 2, la lettera </w:t>
      </w:r>
      <w:r w:rsidRPr="00D746BD">
        <w:rPr>
          <w:rFonts w:eastAsia="Times New Roman" w:cs="Arial"/>
          <w:b/>
          <w:bCs/>
          <w:i/>
          <w:iCs/>
          <w:color w:val="000000" w:themeColor="text1"/>
          <w:sz w:val="24"/>
          <w:szCs w:val="24"/>
        </w:rPr>
        <w:t>b)</w:t>
      </w:r>
      <w:r w:rsidRPr="00D746BD">
        <w:rPr>
          <w:rFonts w:eastAsia="Times New Roman" w:cs="Arial"/>
          <w:b/>
          <w:bCs/>
          <w:color w:val="000000" w:themeColor="text1"/>
          <w:sz w:val="24"/>
          <w:szCs w:val="24"/>
        </w:rPr>
        <w:t> è sostituita dalla seguente:</w:t>
      </w:r>
    </w:p>
    <w:p w14:paraId="1E25AC38" w14:textId="5806031D" w:rsidR="002513B9" w:rsidRDefault="002513B9" w:rsidP="002513B9">
      <w:pPr>
        <w:shd w:val="clear" w:color="auto" w:fill="FFFFFF"/>
        <w:spacing w:after="0" w:line="240" w:lineRule="auto"/>
        <w:jc w:val="both"/>
        <w:rPr>
          <w:rFonts w:eastAsia="Times New Roman" w:cs="Arial"/>
          <w:b/>
          <w:bCs/>
          <w:color w:val="000000" w:themeColor="text1"/>
          <w:sz w:val="24"/>
          <w:szCs w:val="24"/>
        </w:rPr>
      </w:pPr>
      <w:r w:rsidRPr="00D746BD">
        <w:rPr>
          <w:rFonts w:eastAsia="Times New Roman" w:cs="Arial"/>
          <w:b/>
          <w:bCs/>
          <w:color w:val="000000" w:themeColor="text1"/>
          <w:sz w:val="24"/>
          <w:szCs w:val="24"/>
        </w:rPr>
        <w:t> </w:t>
      </w:r>
      <w:r w:rsidRPr="00D746BD">
        <w:rPr>
          <w:rFonts w:eastAsia="Times New Roman" w:cs="Arial"/>
          <w:b/>
          <w:bCs/>
          <w:color w:val="000000" w:themeColor="text1"/>
          <w:sz w:val="24"/>
          <w:szCs w:val="24"/>
        </w:rPr>
        <w:t> </w:t>
      </w:r>
      <w:r w:rsidRPr="00D746BD">
        <w:rPr>
          <w:rFonts w:eastAsia="Times New Roman" w:cs="Arial"/>
          <w:b/>
          <w:bCs/>
          <w:color w:val="000000" w:themeColor="text1"/>
          <w:sz w:val="24"/>
          <w:szCs w:val="24"/>
        </w:rPr>
        <w:t> </w:t>
      </w:r>
      <w:r w:rsidRPr="00D746BD">
        <w:rPr>
          <w:rFonts w:eastAsia="Times New Roman" w:cs="Arial"/>
          <w:b/>
          <w:bCs/>
          <w:color w:val="000000" w:themeColor="text1"/>
          <w:sz w:val="24"/>
          <w:szCs w:val="24"/>
        </w:rPr>
        <w:t>«</w:t>
      </w:r>
      <w:r w:rsidRPr="00D746BD">
        <w:rPr>
          <w:rFonts w:eastAsia="Times New Roman" w:cs="Arial"/>
          <w:b/>
          <w:bCs/>
          <w:i/>
          <w:iCs/>
          <w:color w:val="000000" w:themeColor="text1"/>
          <w:sz w:val="24"/>
          <w:szCs w:val="24"/>
        </w:rPr>
        <w:t>b)</w:t>
      </w:r>
      <w:r w:rsidRPr="00D746BD">
        <w:rPr>
          <w:rFonts w:eastAsia="Times New Roman" w:cs="Arial"/>
          <w:b/>
          <w:bCs/>
          <w:color w:val="000000" w:themeColor="text1"/>
          <w:sz w:val="24"/>
          <w:szCs w:val="24"/>
        </w:rPr>
        <w:t xml:space="preserve"> il trasporto eseguito con veicoli eccezionali di una cosa indivisibile, definita al comma 4, che per le sue dimensioni e per la sua massa determini eccedenza rispetto ai limiti stabiliti dagli articoli 61 e 62, ovvero che per la sua massa determini eccedenza rispetto ai limiti stabiliti dall'articolo 62. Nel caso di blocchi di pietra naturale, di elementi prefabbricati compositi e apparecchiature industriali complesse per l'edilizia, di prodotti siderurgici coils e laminati grezzi, il trasporto può essere effettuato integrando il carico con gli stessi generi merceologici autorizzati e, comunque, in numero non superiore a sei unità, fino al completamento della massa eccezionale complessiva posseduta dall'autoveicolo o dal complesso di veicoli. Qualora siano superati i limiti di cui all'articolo 62, ma nel rispetto dell'articolo 61, il carico può essere completato, con generi della stessa natura merceologica, per occupare l'intera superficie utile del piano di carico del veicolo o del complesso di veicoli, nell'osservanza dell'articolo 164 e della massa eccezionale a disposizione, fatta eccezione per gli elementi prefabbricati compositi e le apparecchiature industriali complesse per l'edilizia per i quali ricorre sempre il limite delle sei unità. In entrambi i casi e purché almeno un carico delle cose indicate richieda l'impiego di veicoli eccezionali, la </w:t>
      </w:r>
      <w:proofErr w:type="gramStart"/>
      <w:r w:rsidRPr="00D746BD">
        <w:rPr>
          <w:rFonts w:eastAsia="Times New Roman" w:cs="Arial"/>
          <w:b/>
          <w:bCs/>
          <w:color w:val="000000" w:themeColor="text1"/>
          <w:sz w:val="24"/>
          <w:szCs w:val="24"/>
        </w:rPr>
        <w:t>predetta</w:t>
      </w:r>
      <w:proofErr w:type="gramEnd"/>
      <w:r w:rsidRPr="00D746BD">
        <w:rPr>
          <w:rFonts w:eastAsia="Times New Roman" w:cs="Arial"/>
          <w:b/>
          <w:bCs/>
          <w:color w:val="000000" w:themeColor="text1"/>
          <w:sz w:val="24"/>
          <w:szCs w:val="24"/>
        </w:rPr>
        <w:t xml:space="preserve"> massa complessiva non può essere superiore a 38 tonnellate se si tratta di autoveicoli isolati a tre assi, a 48 tonnellate se si tratta di autoveicoli isolati a quattro o più assi, a 72 tonnellate se si tratta di complessi di veicoli a cinque assi e a 86 tonnellate se si tratta di complessi di veicoli a sei o più assi. I richiamati limiti di massa possono essere superati nel solo caso in cui sia trasportato un unico pezzo indivisibile</w:t>
      </w:r>
      <w:r>
        <w:rPr>
          <w:rFonts w:eastAsia="Times New Roman" w:cs="Arial"/>
          <w:b/>
          <w:bCs/>
          <w:color w:val="000000" w:themeColor="text1"/>
          <w:sz w:val="24"/>
          <w:szCs w:val="24"/>
        </w:rPr>
        <w:t>.</w:t>
      </w:r>
      <w:r w:rsidRPr="00D746BD">
        <w:rPr>
          <w:rFonts w:eastAsia="Times New Roman" w:cs="Arial"/>
          <w:b/>
          <w:bCs/>
          <w:color w:val="000000" w:themeColor="text1"/>
          <w:sz w:val="24"/>
          <w:szCs w:val="24"/>
        </w:rPr>
        <w:t>»;</w:t>
      </w:r>
      <w:r>
        <w:rPr>
          <w:rStyle w:val="Rimandonotaapidipagina"/>
          <w:rFonts w:eastAsia="Times New Roman" w:cs="Arial"/>
          <w:b/>
          <w:bCs/>
          <w:color w:val="000000" w:themeColor="text1"/>
          <w:sz w:val="24"/>
          <w:szCs w:val="24"/>
        </w:rPr>
        <w:footnoteReference w:id="6"/>
      </w:r>
    </w:p>
    <w:p w14:paraId="4C3C256E" w14:textId="77C49853" w:rsidR="002513B9" w:rsidRPr="00D746BD" w:rsidRDefault="002513B9" w:rsidP="002513B9">
      <w:pPr>
        <w:shd w:val="clear" w:color="auto" w:fill="FFFFFF"/>
        <w:spacing w:after="0" w:line="240" w:lineRule="auto"/>
        <w:jc w:val="both"/>
        <w:rPr>
          <w:rFonts w:eastAsia="Times New Roman" w:cs="Arial"/>
          <w:b/>
          <w:bCs/>
          <w:color w:val="000000" w:themeColor="text1"/>
          <w:sz w:val="24"/>
          <w:szCs w:val="24"/>
        </w:rPr>
      </w:pPr>
      <w:r>
        <w:rPr>
          <w:rFonts w:eastAsia="Times New Roman" w:cs="Arial"/>
          <w:b/>
          <w:bCs/>
          <w:i/>
          <w:iCs/>
          <w:color w:val="000000" w:themeColor="text1"/>
          <w:sz w:val="24"/>
          <w:szCs w:val="24"/>
        </w:rPr>
        <w:t xml:space="preserve">          </w:t>
      </w:r>
      <w:r w:rsidRPr="00D746BD">
        <w:rPr>
          <w:rFonts w:eastAsia="Times New Roman" w:cs="Arial"/>
          <w:b/>
          <w:bCs/>
          <w:i/>
          <w:iCs/>
          <w:color w:val="000000" w:themeColor="text1"/>
          <w:sz w:val="24"/>
          <w:szCs w:val="24"/>
        </w:rPr>
        <w:t>a-bis)</w:t>
      </w:r>
      <w:r w:rsidRPr="00D746BD">
        <w:rPr>
          <w:rFonts w:eastAsia="Times New Roman" w:cs="Arial"/>
          <w:b/>
          <w:bCs/>
          <w:color w:val="000000" w:themeColor="text1"/>
          <w:sz w:val="24"/>
          <w:szCs w:val="24"/>
        </w:rPr>
        <w:t> all'articolo 15:</w:t>
      </w:r>
    </w:p>
    <w:p w14:paraId="3A74BB43" w14:textId="77777777" w:rsidR="002513B9" w:rsidRPr="00D746BD" w:rsidRDefault="002513B9" w:rsidP="002513B9">
      <w:pPr>
        <w:shd w:val="clear" w:color="auto" w:fill="FFFFFF"/>
        <w:spacing w:after="0" w:line="240" w:lineRule="auto"/>
        <w:jc w:val="both"/>
        <w:rPr>
          <w:rFonts w:eastAsia="Times New Roman" w:cs="Arial"/>
          <w:b/>
          <w:bCs/>
          <w:color w:val="000000" w:themeColor="text1"/>
          <w:sz w:val="24"/>
          <w:szCs w:val="24"/>
        </w:rPr>
      </w:pPr>
      <w:r w:rsidRPr="00D746BD">
        <w:rPr>
          <w:rFonts w:eastAsia="Times New Roman" w:cs="Arial"/>
          <w:b/>
          <w:bCs/>
          <w:color w:val="000000" w:themeColor="text1"/>
          <w:sz w:val="24"/>
          <w:szCs w:val="24"/>
        </w:rPr>
        <w:t> </w:t>
      </w:r>
      <w:r w:rsidRPr="00D746BD">
        <w:rPr>
          <w:rFonts w:eastAsia="Times New Roman" w:cs="Arial"/>
          <w:b/>
          <w:bCs/>
          <w:color w:val="000000" w:themeColor="text1"/>
          <w:sz w:val="24"/>
          <w:szCs w:val="24"/>
        </w:rPr>
        <w:t> </w:t>
      </w:r>
      <w:r w:rsidRPr="00D746BD">
        <w:rPr>
          <w:rFonts w:eastAsia="Times New Roman" w:cs="Arial"/>
          <w:b/>
          <w:bCs/>
          <w:color w:val="000000" w:themeColor="text1"/>
          <w:sz w:val="24"/>
          <w:szCs w:val="24"/>
        </w:rPr>
        <w:t> </w:t>
      </w:r>
      <w:r w:rsidRPr="00D746BD">
        <w:rPr>
          <w:rFonts w:eastAsia="Times New Roman" w:cs="Arial"/>
          <w:b/>
          <w:bCs/>
          <w:color w:val="000000" w:themeColor="text1"/>
          <w:sz w:val="24"/>
          <w:szCs w:val="24"/>
        </w:rPr>
        <w:t> </w:t>
      </w:r>
      <w:r w:rsidRPr="00D746BD">
        <w:rPr>
          <w:rFonts w:eastAsia="Times New Roman" w:cs="Arial"/>
          <w:b/>
          <w:bCs/>
          <w:color w:val="000000" w:themeColor="text1"/>
          <w:sz w:val="24"/>
          <w:szCs w:val="24"/>
        </w:rPr>
        <w:t>1) al comma 3, le parole: «ed </w:t>
      </w:r>
      <w:r w:rsidRPr="00D746BD">
        <w:rPr>
          <w:rFonts w:eastAsia="Times New Roman" w:cs="Arial"/>
          <w:b/>
          <w:bCs/>
          <w:i/>
          <w:iCs/>
          <w:color w:val="000000" w:themeColor="text1"/>
          <w:sz w:val="24"/>
          <w:szCs w:val="24"/>
        </w:rPr>
        <w:t>i)</w:t>
      </w:r>
      <w:r w:rsidRPr="00D746BD">
        <w:rPr>
          <w:rFonts w:eastAsia="Times New Roman" w:cs="Arial"/>
          <w:b/>
          <w:bCs/>
          <w:color w:val="000000" w:themeColor="text1"/>
          <w:sz w:val="24"/>
          <w:szCs w:val="24"/>
        </w:rPr>
        <w:t>» sono soppresse;</w:t>
      </w:r>
    </w:p>
    <w:p w14:paraId="2B40CC10" w14:textId="77777777" w:rsidR="002513B9" w:rsidRPr="00D746BD" w:rsidRDefault="002513B9" w:rsidP="002513B9">
      <w:pPr>
        <w:shd w:val="clear" w:color="auto" w:fill="FFFFFF"/>
        <w:spacing w:after="0" w:line="240" w:lineRule="auto"/>
        <w:jc w:val="both"/>
        <w:rPr>
          <w:rFonts w:eastAsia="Times New Roman" w:cs="Arial"/>
          <w:b/>
          <w:bCs/>
          <w:color w:val="000000" w:themeColor="text1"/>
          <w:sz w:val="24"/>
          <w:szCs w:val="24"/>
        </w:rPr>
      </w:pPr>
      <w:r w:rsidRPr="00D746BD">
        <w:rPr>
          <w:rFonts w:eastAsia="Times New Roman" w:cs="Arial"/>
          <w:b/>
          <w:bCs/>
          <w:color w:val="000000" w:themeColor="text1"/>
          <w:sz w:val="24"/>
          <w:szCs w:val="24"/>
        </w:rPr>
        <w:t> </w:t>
      </w:r>
      <w:r w:rsidRPr="00D746BD">
        <w:rPr>
          <w:rFonts w:eastAsia="Times New Roman" w:cs="Arial"/>
          <w:b/>
          <w:bCs/>
          <w:color w:val="000000" w:themeColor="text1"/>
          <w:sz w:val="24"/>
          <w:szCs w:val="24"/>
        </w:rPr>
        <w:t> </w:t>
      </w:r>
      <w:r w:rsidRPr="00D746BD">
        <w:rPr>
          <w:rFonts w:eastAsia="Times New Roman" w:cs="Arial"/>
          <w:b/>
          <w:bCs/>
          <w:color w:val="000000" w:themeColor="text1"/>
          <w:sz w:val="24"/>
          <w:szCs w:val="24"/>
        </w:rPr>
        <w:t> </w:t>
      </w:r>
      <w:r w:rsidRPr="00D746BD">
        <w:rPr>
          <w:rFonts w:eastAsia="Times New Roman" w:cs="Arial"/>
          <w:b/>
          <w:bCs/>
          <w:color w:val="000000" w:themeColor="text1"/>
          <w:sz w:val="24"/>
          <w:szCs w:val="24"/>
        </w:rPr>
        <w:t> </w:t>
      </w:r>
      <w:r w:rsidRPr="00D746BD">
        <w:rPr>
          <w:rFonts w:eastAsia="Times New Roman" w:cs="Arial"/>
          <w:b/>
          <w:bCs/>
          <w:color w:val="000000" w:themeColor="text1"/>
          <w:sz w:val="24"/>
          <w:szCs w:val="24"/>
        </w:rPr>
        <w:t>2) al comma 3-</w:t>
      </w:r>
      <w:r w:rsidRPr="00D746BD">
        <w:rPr>
          <w:rFonts w:eastAsia="Times New Roman" w:cs="Arial"/>
          <w:b/>
          <w:bCs/>
          <w:i/>
          <w:iCs/>
          <w:color w:val="000000" w:themeColor="text1"/>
          <w:sz w:val="24"/>
          <w:szCs w:val="24"/>
        </w:rPr>
        <w:t>bis</w:t>
      </w:r>
      <w:r w:rsidRPr="00D746BD">
        <w:rPr>
          <w:rFonts w:eastAsia="Times New Roman" w:cs="Arial"/>
          <w:b/>
          <w:bCs/>
          <w:color w:val="000000" w:themeColor="text1"/>
          <w:sz w:val="24"/>
          <w:szCs w:val="24"/>
        </w:rPr>
        <w:t>, le parole: «da euro 108 ad euro 433» sono sostituite dalle seguenti: «da euro 216 ad euro 866»;</w:t>
      </w:r>
    </w:p>
    <w:p w14:paraId="6FE149AB" w14:textId="77777777" w:rsidR="002513B9" w:rsidRPr="00D746BD" w:rsidRDefault="002513B9" w:rsidP="002513B9">
      <w:pPr>
        <w:shd w:val="clear" w:color="auto" w:fill="FFFFFF"/>
        <w:spacing w:after="0" w:line="240" w:lineRule="auto"/>
        <w:jc w:val="both"/>
        <w:rPr>
          <w:rFonts w:eastAsia="Times New Roman" w:cs="Arial"/>
          <w:b/>
          <w:bCs/>
          <w:color w:val="000000" w:themeColor="text1"/>
          <w:sz w:val="24"/>
          <w:szCs w:val="24"/>
        </w:rPr>
      </w:pPr>
      <w:r w:rsidRPr="00D746BD">
        <w:rPr>
          <w:rFonts w:eastAsia="Times New Roman" w:cs="Arial"/>
          <w:b/>
          <w:bCs/>
          <w:color w:val="000000" w:themeColor="text1"/>
          <w:sz w:val="24"/>
          <w:szCs w:val="24"/>
        </w:rPr>
        <w:t> </w:t>
      </w:r>
      <w:r w:rsidRPr="00D746BD">
        <w:rPr>
          <w:rFonts w:eastAsia="Times New Roman" w:cs="Arial"/>
          <w:b/>
          <w:bCs/>
          <w:color w:val="000000" w:themeColor="text1"/>
          <w:sz w:val="24"/>
          <w:szCs w:val="24"/>
        </w:rPr>
        <w:t> </w:t>
      </w:r>
      <w:r w:rsidRPr="00D746BD">
        <w:rPr>
          <w:rFonts w:eastAsia="Times New Roman" w:cs="Arial"/>
          <w:b/>
          <w:bCs/>
          <w:color w:val="000000" w:themeColor="text1"/>
          <w:sz w:val="24"/>
          <w:szCs w:val="24"/>
        </w:rPr>
        <w:t> </w:t>
      </w:r>
      <w:r w:rsidRPr="00D746BD">
        <w:rPr>
          <w:rFonts w:eastAsia="Times New Roman" w:cs="Arial"/>
          <w:b/>
          <w:bCs/>
          <w:color w:val="000000" w:themeColor="text1"/>
          <w:sz w:val="24"/>
          <w:szCs w:val="24"/>
        </w:rPr>
        <w:t> </w:t>
      </w:r>
      <w:r w:rsidRPr="00D746BD">
        <w:rPr>
          <w:rFonts w:eastAsia="Times New Roman" w:cs="Arial"/>
          <w:b/>
          <w:bCs/>
          <w:color w:val="000000" w:themeColor="text1"/>
          <w:sz w:val="24"/>
          <w:szCs w:val="24"/>
        </w:rPr>
        <w:t>3) dopo il comma 3-</w:t>
      </w:r>
      <w:r w:rsidRPr="00D746BD">
        <w:rPr>
          <w:rFonts w:eastAsia="Times New Roman" w:cs="Arial"/>
          <w:b/>
          <w:bCs/>
          <w:i/>
          <w:iCs/>
          <w:color w:val="000000" w:themeColor="text1"/>
          <w:sz w:val="24"/>
          <w:szCs w:val="24"/>
        </w:rPr>
        <w:t>bis</w:t>
      </w:r>
      <w:r w:rsidRPr="00D746BD">
        <w:rPr>
          <w:rFonts w:eastAsia="Times New Roman" w:cs="Arial"/>
          <w:b/>
          <w:bCs/>
          <w:color w:val="000000" w:themeColor="text1"/>
          <w:sz w:val="24"/>
          <w:szCs w:val="24"/>
        </w:rPr>
        <w:t>, è inserito il seguente:</w:t>
      </w:r>
    </w:p>
    <w:p w14:paraId="5096D0B4" w14:textId="378C29A9" w:rsidR="002513B9" w:rsidRDefault="002513B9" w:rsidP="002513B9">
      <w:pPr>
        <w:shd w:val="clear" w:color="auto" w:fill="FFFFFF"/>
        <w:spacing w:after="0" w:line="240" w:lineRule="auto"/>
        <w:jc w:val="both"/>
        <w:rPr>
          <w:rFonts w:eastAsia="Times New Roman" w:cs="Arial"/>
          <w:b/>
          <w:bCs/>
          <w:color w:val="000000" w:themeColor="text1"/>
          <w:sz w:val="24"/>
          <w:szCs w:val="24"/>
        </w:rPr>
      </w:pPr>
      <w:r w:rsidRPr="00D746BD">
        <w:rPr>
          <w:rFonts w:eastAsia="Times New Roman" w:cs="Arial"/>
          <w:b/>
          <w:bCs/>
          <w:color w:val="000000" w:themeColor="text1"/>
          <w:sz w:val="24"/>
          <w:szCs w:val="24"/>
        </w:rPr>
        <w:t> </w:t>
      </w:r>
      <w:r w:rsidRPr="00D746BD">
        <w:rPr>
          <w:rFonts w:eastAsia="Times New Roman" w:cs="Arial"/>
          <w:b/>
          <w:bCs/>
          <w:color w:val="000000" w:themeColor="text1"/>
          <w:sz w:val="24"/>
          <w:szCs w:val="24"/>
        </w:rPr>
        <w:t> </w:t>
      </w:r>
      <w:r w:rsidRPr="00D746BD">
        <w:rPr>
          <w:rFonts w:eastAsia="Times New Roman" w:cs="Arial"/>
          <w:b/>
          <w:bCs/>
          <w:color w:val="000000" w:themeColor="text1"/>
          <w:sz w:val="24"/>
          <w:szCs w:val="24"/>
        </w:rPr>
        <w:t> </w:t>
      </w:r>
      <w:r w:rsidRPr="00D746BD">
        <w:rPr>
          <w:rFonts w:eastAsia="Times New Roman" w:cs="Arial"/>
          <w:b/>
          <w:bCs/>
          <w:color w:val="000000" w:themeColor="text1"/>
          <w:sz w:val="24"/>
          <w:szCs w:val="24"/>
        </w:rPr>
        <w:t>«</w:t>
      </w:r>
      <w:r w:rsidRPr="00D746BD">
        <w:rPr>
          <w:rFonts w:eastAsia="Times New Roman" w:cs="Arial"/>
          <w:b/>
          <w:bCs/>
          <w:i/>
          <w:iCs/>
          <w:color w:val="000000" w:themeColor="text1"/>
          <w:sz w:val="24"/>
          <w:szCs w:val="24"/>
        </w:rPr>
        <w:t>3-ter</w:t>
      </w:r>
      <w:r w:rsidRPr="00D746BD">
        <w:rPr>
          <w:rFonts w:eastAsia="Times New Roman" w:cs="Arial"/>
          <w:b/>
          <w:bCs/>
          <w:color w:val="000000" w:themeColor="text1"/>
          <w:sz w:val="24"/>
          <w:szCs w:val="24"/>
        </w:rPr>
        <w:t>. Chiunque viola il divieto di cui al comma 1, lettera </w:t>
      </w:r>
      <w:r w:rsidRPr="00D746BD">
        <w:rPr>
          <w:rFonts w:eastAsia="Times New Roman" w:cs="Arial"/>
          <w:b/>
          <w:bCs/>
          <w:i/>
          <w:iCs/>
          <w:color w:val="000000" w:themeColor="text1"/>
          <w:sz w:val="24"/>
          <w:szCs w:val="24"/>
        </w:rPr>
        <w:t>i)</w:t>
      </w:r>
      <w:r w:rsidRPr="00D746BD">
        <w:rPr>
          <w:rFonts w:eastAsia="Times New Roman" w:cs="Arial"/>
          <w:b/>
          <w:bCs/>
          <w:color w:val="000000" w:themeColor="text1"/>
          <w:sz w:val="24"/>
          <w:szCs w:val="24"/>
        </w:rPr>
        <w:t>, è soggetto alla sanzione amministrativa del pagamento di una somma da euro 52 ad euro 204».</w:t>
      </w:r>
      <w:r>
        <w:rPr>
          <w:rFonts w:eastAsia="Times New Roman" w:cs="Arial"/>
          <w:b/>
          <w:bCs/>
          <w:color w:val="000000" w:themeColor="text1"/>
          <w:sz w:val="24"/>
          <w:szCs w:val="24"/>
        </w:rPr>
        <w:t xml:space="preserve"> </w:t>
      </w:r>
      <w:r>
        <w:rPr>
          <w:rStyle w:val="Rimandonotaapidipagina"/>
          <w:rFonts w:eastAsia="Times New Roman" w:cs="Arial"/>
          <w:b/>
          <w:bCs/>
          <w:color w:val="000000" w:themeColor="text1"/>
          <w:sz w:val="24"/>
          <w:szCs w:val="24"/>
        </w:rPr>
        <w:footnoteReference w:id="7"/>
      </w:r>
    </w:p>
    <w:p w14:paraId="509D1D59" w14:textId="77777777" w:rsidR="008533A9" w:rsidRPr="00923866" w:rsidRDefault="008533A9" w:rsidP="008533A9">
      <w:pPr>
        <w:shd w:val="clear" w:color="auto" w:fill="FFFFFF"/>
        <w:spacing w:after="0" w:line="240" w:lineRule="auto"/>
        <w:jc w:val="both"/>
        <w:rPr>
          <w:rFonts w:eastAsia="Times New Roman" w:cs="Arial"/>
          <w:b/>
          <w:bCs/>
          <w:color w:val="000000" w:themeColor="text1"/>
          <w:sz w:val="24"/>
          <w:szCs w:val="24"/>
        </w:rPr>
      </w:pPr>
      <w:r w:rsidRPr="00155015">
        <w:rPr>
          <w:rFonts w:eastAsia="Times New Roman" w:cs="Arial"/>
          <w:color w:val="000000" w:themeColor="text1"/>
          <w:sz w:val="24"/>
          <w:szCs w:val="24"/>
        </w:rPr>
        <w:t> </w:t>
      </w:r>
      <w:r w:rsidRPr="00155015">
        <w:rPr>
          <w:rFonts w:eastAsia="Times New Roman" w:cs="Arial"/>
          <w:color w:val="000000" w:themeColor="text1"/>
          <w:sz w:val="24"/>
          <w:szCs w:val="24"/>
        </w:rPr>
        <w:t> </w:t>
      </w:r>
      <w:r w:rsidRPr="00155015">
        <w:rPr>
          <w:rFonts w:eastAsia="Times New Roman" w:cs="Arial"/>
          <w:color w:val="000000" w:themeColor="text1"/>
          <w:sz w:val="24"/>
          <w:szCs w:val="24"/>
        </w:rPr>
        <w:t> </w:t>
      </w:r>
      <w:r w:rsidRPr="00923866">
        <w:rPr>
          <w:rFonts w:eastAsia="Times New Roman" w:cs="Arial"/>
          <w:b/>
          <w:bCs/>
          <w:i/>
          <w:iCs/>
          <w:color w:val="000000" w:themeColor="text1"/>
          <w:sz w:val="24"/>
          <w:szCs w:val="24"/>
        </w:rPr>
        <w:t>a-bis)</w:t>
      </w:r>
      <w:r w:rsidRPr="00923866">
        <w:rPr>
          <w:rFonts w:eastAsia="Times New Roman" w:cs="Arial"/>
          <w:b/>
          <w:bCs/>
          <w:color w:val="000000" w:themeColor="text1"/>
          <w:sz w:val="24"/>
          <w:szCs w:val="24"/>
        </w:rPr>
        <w:t> all'articolo 25:</w:t>
      </w:r>
    </w:p>
    <w:p w14:paraId="367BC144" w14:textId="77777777" w:rsidR="008533A9" w:rsidRPr="00923866" w:rsidRDefault="008533A9" w:rsidP="008533A9">
      <w:pPr>
        <w:shd w:val="clear" w:color="auto" w:fill="FFFFFF"/>
        <w:spacing w:after="0" w:line="240" w:lineRule="auto"/>
        <w:jc w:val="both"/>
        <w:rPr>
          <w:rFonts w:eastAsia="Times New Roman" w:cs="Arial"/>
          <w:b/>
          <w:bCs/>
          <w:color w:val="000000" w:themeColor="text1"/>
          <w:sz w:val="24"/>
          <w:szCs w:val="24"/>
        </w:rPr>
      </w:pPr>
      <w:r w:rsidRPr="00923866">
        <w:rPr>
          <w:rFonts w:eastAsia="Times New Roman" w:cs="Arial"/>
          <w:b/>
          <w:bCs/>
          <w:color w:val="000000" w:themeColor="text1"/>
          <w:sz w:val="24"/>
          <w:szCs w:val="24"/>
        </w:rPr>
        <w:lastRenderedPageBreak/>
        <w:t> </w:t>
      </w:r>
      <w:r w:rsidRPr="00923866">
        <w:rPr>
          <w:rFonts w:eastAsia="Times New Roman" w:cs="Arial"/>
          <w:b/>
          <w:bCs/>
          <w:color w:val="000000" w:themeColor="text1"/>
          <w:sz w:val="24"/>
          <w:szCs w:val="24"/>
        </w:rPr>
        <w:t> </w:t>
      </w:r>
      <w:r w:rsidRPr="00923866">
        <w:rPr>
          <w:rFonts w:eastAsia="Times New Roman" w:cs="Arial"/>
          <w:b/>
          <w:bCs/>
          <w:color w:val="000000" w:themeColor="text1"/>
          <w:sz w:val="24"/>
          <w:szCs w:val="24"/>
        </w:rPr>
        <w:t> </w:t>
      </w:r>
      <w:r w:rsidRPr="00923866">
        <w:rPr>
          <w:rFonts w:eastAsia="Times New Roman" w:cs="Arial"/>
          <w:b/>
          <w:bCs/>
          <w:color w:val="000000" w:themeColor="text1"/>
          <w:sz w:val="24"/>
          <w:szCs w:val="24"/>
        </w:rPr>
        <w:t> </w:t>
      </w:r>
      <w:r w:rsidRPr="00923866">
        <w:rPr>
          <w:rFonts w:eastAsia="Times New Roman" w:cs="Arial"/>
          <w:b/>
          <w:bCs/>
          <w:color w:val="000000" w:themeColor="text1"/>
          <w:sz w:val="24"/>
          <w:szCs w:val="24"/>
        </w:rPr>
        <w:t>1) al comma 1-</w:t>
      </w:r>
      <w:r w:rsidRPr="00923866">
        <w:rPr>
          <w:rFonts w:eastAsia="Times New Roman" w:cs="Arial"/>
          <w:b/>
          <w:bCs/>
          <w:i/>
          <w:iCs/>
          <w:color w:val="000000" w:themeColor="text1"/>
          <w:sz w:val="24"/>
          <w:szCs w:val="24"/>
        </w:rPr>
        <w:t>bis</w:t>
      </w:r>
      <w:r w:rsidRPr="00923866">
        <w:rPr>
          <w:rFonts w:eastAsia="Times New Roman" w:cs="Arial"/>
          <w:b/>
          <w:bCs/>
          <w:color w:val="000000" w:themeColor="text1"/>
          <w:sz w:val="24"/>
          <w:szCs w:val="24"/>
        </w:rPr>
        <w:t>, dopo le parole: «le strutture che realizzano l'opera d'arte principale del sottopasso o sovrappasso, comprese le barriere di sicurezza nei sovrappassi, sono di titolarità» sono inserite le seguenti: «, ai fini della loro realizzazione e manutenzione anche straordinaria,»;</w:t>
      </w:r>
    </w:p>
    <w:p w14:paraId="44B210B0" w14:textId="77777777" w:rsidR="008533A9" w:rsidRPr="00923866" w:rsidRDefault="008533A9" w:rsidP="008533A9">
      <w:pPr>
        <w:shd w:val="clear" w:color="auto" w:fill="FFFFFF"/>
        <w:spacing w:after="0" w:line="240" w:lineRule="auto"/>
        <w:jc w:val="both"/>
        <w:rPr>
          <w:rFonts w:eastAsia="Times New Roman" w:cs="Arial"/>
          <w:b/>
          <w:bCs/>
          <w:color w:val="000000" w:themeColor="text1"/>
          <w:sz w:val="24"/>
          <w:szCs w:val="24"/>
        </w:rPr>
      </w:pPr>
      <w:r w:rsidRPr="00923866">
        <w:rPr>
          <w:rFonts w:eastAsia="Times New Roman" w:cs="Arial"/>
          <w:b/>
          <w:bCs/>
          <w:color w:val="000000" w:themeColor="text1"/>
          <w:sz w:val="24"/>
          <w:szCs w:val="24"/>
        </w:rPr>
        <w:t> </w:t>
      </w:r>
      <w:r w:rsidRPr="00923866">
        <w:rPr>
          <w:rFonts w:eastAsia="Times New Roman" w:cs="Arial"/>
          <w:b/>
          <w:bCs/>
          <w:color w:val="000000" w:themeColor="text1"/>
          <w:sz w:val="24"/>
          <w:szCs w:val="24"/>
        </w:rPr>
        <w:t> </w:t>
      </w:r>
      <w:r w:rsidRPr="00923866">
        <w:rPr>
          <w:rFonts w:eastAsia="Times New Roman" w:cs="Arial"/>
          <w:b/>
          <w:bCs/>
          <w:color w:val="000000" w:themeColor="text1"/>
          <w:sz w:val="24"/>
          <w:szCs w:val="24"/>
        </w:rPr>
        <w:t> </w:t>
      </w:r>
      <w:r w:rsidRPr="00923866">
        <w:rPr>
          <w:rFonts w:eastAsia="Times New Roman" w:cs="Arial"/>
          <w:b/>
          <w:bCs/>
          <w:color w:val="000000" w:themeColor="text1"/>
          <w:sz w:val="24"/>
          <w:szCs w:val="24"/>
        </w:rPr>
        <w:t> </w:t>
      </w:r>
      <w:r w:rsidRPr="00923866">
        <w:rPr>
          <w:rFonts w:eastAsia="Times New Roman" w:cs="Arial"/>
          <w:b/>
          <w:bCs/>
          <w:color w:val="000000" w:themeColor="text1"/>
          <w:sz w:val="24"/>
          <w:szCs w:val="24"/>
        </w:rPr>
        <w:t>2) il comma 1-</w:t>
      </w:r>
      <w:r w:rsidRPr="00923866">
        <w:rPr>
          <w:rFonts w:eastAsia="Times New Roman" w:cs="Arial"/>
          <w:b/>
          <w:bCs/>
          <w:i/>
          <w:iCs/>
          <w:color w:val="000000" w:themeColor="text1"/>
          <w:sz w:val="24"/>
          <w:szCs w:val="24"/>
        </w:rPr>
        <w:t>quater</w:t>
      </w:r>
      <w:r w:rsidRPr="00923866">
        <w:rPr>
          <w:rFonts w:eastAsia="Times New Roman" w:cs="Arial"/>
          <w:b/>
          <w:bCs/>
          <w:color w:val="000000" w:themeColor="text1"/>
          <w:sz w:val="24"/>
          <w:szCs w:val="24"/>
        </w:rPr>
        <w:t> è sostituito dal seguente:</w:t>
      </w:r>
    </w:p>
    <w:p w14:paraId="7E37189C" w14:textId="5EBD39C2" w:rsidR="008533A9" w:rsidRDefault="008533A9" w:rsidP="008533A9">
      <w:pPr>
        <w:shd w:val="clear" w:color="auto" w:fill="FFFFFF"/>
        <w:spacing w:after="0" w:line="240" w:lineRule="auto"/>
        <w:jc w:val="both"/>
        <w:rPr>
          <w:rFonts w:eastAsia="Times New Roman" w:cs="Arial"/>
          <w:b/>
          <w:bCs/>
          <w:color w:val="000000" w:themeColor="text1"/>
          <w:sz w:val="24"/>
          <w:szCs w:val="24"/>
        </w:rPr>
      </w:pPr>
      <w:r w:rsidRPr="00923866">
        <w:rPr>
          <w:rFonts w:eastAsia="Times New Roman" w:cs="Arial"/>
          <w:b/>
          <w:bCs/>
          <w:color w:val="000000" w:themeColor="text1"/>
          <w:sz w:val="24"/>
          <w:szCs w:val="24"/>
        </w:rPr>
        <w:t> </w:t>
      </w:r>
      <w:r w:rsidRPr="00923866">
        <w:rPr>
          <w:rFonts w:eastAsia="Times New Roman" w:cs="Arial"/>
          <w:b/>
          <w:bCs/>
          <w:color w:val="000000" w:themeColor="text1"/>
          <w:sz w:val="24"/>
          <w:szCs w:val="24"/>
        </w:rPr>
        <w:t> </w:t>
      </w:r>
      <w:r w:rsidRPr="00923866">
        <w:rPr>
          <w:rFonts w:eastAsia="Times New Roman" w:cs="Arial"/>
          <w:b/>
          <w:bCs/>
          <w:color w:val="000000" w:themeColor="text1"/>
          <w:sz w:val="24"/>
          <w:szCs w:val="24"/>
        </w:rPr>
        <w:t> </w:t>
      </w:r>
      <w:r w:rsidRPr="00923866">
        <w:rPr>
          <w:rFonts w:eastAsia="Times New Roman" w:cs="Arial"/>
          <w:b/>
          <w:bCs/>
          <w:color w:val="000000" w:themeColor="text1"/>
          <w:sz w:val="24"/>
          <w:szCs w:val="24"/>
        </w:rPr>
        <w:t>«</w:t>
      </w:r>
      <w:r w:rsidRPr="00923866">
        <w:rPr>
          <w:rFonts w:eastAsia="Times New Roman" w:cs="Arial"/>
          <w:b/>
          <w:bCs/>
          <w:i/>
          <w:iCs/>
          <w:color w:val="000000" w:themeColor="text1"/>
          <w:sz w:val="24"/>
          <w:szCs w:val="24"/>
        </w:rPr>
        <w:t>1-quater</w:t>
      </w:r>
      <w:r w:rsidRPr="00923866">
        <w:rPr>
          <w:rFonts w:eastAsia="Times New Roman" w:cs="Arial"/>
          <w:b/>
          <w:bCs/>
          <w:color w:val="000000" w:themeColor="text1"/>
          <w:sz w:val="24"/>
          <w:szCs w:val="24"/>
        </w:rPr>
        <w:t>. Fermo quanto previsto dai commi 1-</w:t>
      </w:r>
      <w:r w:rsidRPr="00923866">
        <w:rPr>
          <w:rFonts w:eastAsia="Times New Roman" w:cs="Arial"/>
          <w:b/>
          <w:bCs/>
          <w:i/>
          <w:iCs/>
          <w:color w:val="000000" w:themeColor="text1"/>
          <w:sz w:val="24"/>
          <w:szCs w:val="24"/>
        </w:rPr>
        <w:t>bis</w:t>
      </w:r>
      <w:r w:rsidRPr="00923866">
        <w:rPr>
          <w:rFonts w:eastAsia="Times New Roman" w:cs="Arial"/>
          <w:b/>
          <w:bCs/>
          <w:color w:val="000000" w:themeColor="text1"/>
          <w:sz w:val="24"/>
          <w:szCs w:val="24"/>
        </w:rPr>
        <w:t> e 1-</w:t>
      </w:r>
      <w:r w:rsidRPr="00923866">
        <w:rPr>
          <w:rFonts w:eastAsia="Times New Roman" w:cs="Arial"/>
          <w:b/>
          <w:bCs/>
          <w:i/>
          <w:iCs/>
          <w:color w:val="000000" w:themeColor="text1"/>
          <w:sz w:val="24"/>
          <w:szCs w:val="24"/>
        </w:rPr>
        <w:t>ter</w:t>
      </w:r>
      <w:r w:rsidRPr="00923866">
        <w:rPr>
          <w:rFonts w:eastAsia="Times New Roman" w:cs="Arial"/>
          <w:b/>
          <w:bCs/>
          <w:color w:val="000000" w:themeColor="text1"/>
          <w:sz w:val="24"/>
          <w:szCs w:val="24"/>
        </w:rPr>
        <w:t xml:space="preserve"> in relazione agli enti titolari delle strutture delle opere d'arte dei sottopassi e sovrappassi, comprese le barriere di sicurezza nei sovrappassi, gli enti proprietari e i gestori delle strade interessate dall'attraversamento a livello sfalsato provvedono a disciplinare mediante appositi atti convenzionali le modalità e gli oneri di realizzazione e manutenzione delle </w:t>
      </w:r>
      <w:proofErr w:type="gramStart"/>
      <w:r w:rsidRPr="00923866">
        <w:rPr>
          <w:rFonts w:eastAsia="Times New Roman" w:cs="Arial"/>
          <w:b/>
          <w:bCs/>
          <w:color w:val="000000" w:themeColor="text1"/>
          <w:sz w:val="24"/>
          <w:szCs w:val="24"/>
        </w:rPr>
        <w:t>predette</w:t>
      </w:r>
      <w:proofErr w:type="gramEnd"/>
      <w:r w:rsidRPr="00923866">
        <w:rPr>
          <w:rFonts w:eastAsia="Times New Roman" w:cs="Arial"/>
          <w:b/>
          <w:bCs/>
          <w:color w:val="000000" w:themeColor="text1"/>
          <w:sz w:val="24"/>
          <w:szCs w:val="24"/>
        </w:rPr>
        <w:t xml:space="preserve"> strutture».</w:t>
      </w:r>
      <w:r>
        <w:rPr>
          <w:rStyle w:val="Rimandonotaapidipagina"/>
          <w:rFonts w:eastAsia="Times New Roman" w:cs="Arial"/>
          <w:b/>
          <w:bCs/>
          <w:color w:val="000000" w:themeColor="text1"/>
          <w:sz w:val="24"/>
          <w:szCs w:val="24"/>
        </w:rPr>
        <w:footnoteReference w:id="8"/>
      </w:r>
    </w:p>
    <w:p w14:paraId="5104FAF3" w14:textId="77777777" w:rsidR="008533A9" w:rsidRPr="00923866" w:rsidRDefault="008533A9" w:rsidP="008533A9">
      <w:pPr>
        <w:shd w:val="clear" w:color="auto" w:fill="FFFFFF"/>
        <w:spacing w:after="0" w:line="240" w:lineRule="auto"/>
        <w:jc w:val="both"/>
        <w:rPr>
          <w:rFonts w:eastAsia="Times New Roman" w:cs="Arial"/>
          <w:b/>
          <w:bCs/>
          <w:color w:val="000000" w:themeColor="text1"/>
          <w:sz w:val="24"/>
          <w:szCs w:val="24"/>
        </w:rPr>
      </w:pPr>
      <w:r w:rsidRPr="00923866">
        <w:rPr>
          <w:rFonts w:eastAsia="Times New Roman" w:cs="Arial"/>
          <w:b/>
          <w:bCs/>
          <w:color w:val="000000" w:themeColor="text1"/>
          <w:sz w:val="24"/>
          <w:szCs w:val="24"/>
        </w:rPr>
        <w:t> </w:t>
      </w:r>
      <w:r w:rsidRPr="00923866">
        <w:rPr>
          <w:rFonts w:eastAsia="Times New Roman" w:cs="Arial"/>
          <w:b/>
          <w:bCs/>
          <w:color w:val="000000" w:themeColor="text1"/>
          <w:sz w:val="24"/>
          <w:szCs w:val="24"/>
        </w:rPr>
        <w:t> </w:t>
      </w:r>
      <w:r w:rsidRPr="00923866">
        <w:rPr>
          <w:rFonts w:eastAsia="Times New Roman" w:cs="Arial"/>
          <w:b/>
          <w:bCs/>
          <w:color w:val="000000" w:themeColor="text1"/>
          <w:sz w:val="24"/>
          <w:szCs w:val="24"/>
        </w:rPr>
        <w:t> </w:t>
      </w:r>
      <w:r w:rsidRPr="00923866">
        <w:rPr>
          <w:rFonts w:eastAsia="Times New Roman" w:cs="Arial"/>
          <w:b/>
          <w:bCs/>
          <w:i/>
          <w:iCs/>
          <w:color w:val="000000" w:themeColor="text1"/>
          <w:sz w:val="24"/>
          <w:szCs w:val="24"/>
        </w:rPr>
        <w:t>a-bis)</w:t>
      </w:r>
      <w:r w:rsidRPr="00923866">
        <w:rPr>
          <w:rFonts w:eastAsia="Times New Roman" w:cs="Arial"/>
          <w:b/>
          <w:bCs/>
          <w:color w:val="000000" w:themeColor="text1"/>
          <w:sz w:val="24"/>
          <w:szCs w:val="24"/>
        </w:rPr>
        <w:t> all'articolo 23:</w:t>
      </w:r>
    </w:p>
    <w:p w14:paraId="471C0CE6" w14:textId="77777777" w:rsidR="008533A9" w:rsidRPr="00923866" w:rsidRDefault="008533A9" w:rsidP="008533A9">
      <w:pPr>
        <w:shd w:val="clear" w:color="auto" w:fill="FFFFFF"/>
        <w:spacing w:after="0" w:line="240" w:lineRule="auto"/>
        <w:jc w:val="both"/>
        <w:rPr>
          <w:rFonts w:eastAsia="Times New Roman" w:cs="Arial"/>
          <w:b/>
          <w:bCs/>
          <w:color w:val="000000" w:themeColor="text1"/>
          <w:sz w:val="24"/>
          <w:szCs w:val="24"/>
        </w:rPr>
      </w:pPr>
      <w:r w:rsidRPr="00923866">
        <w:rPr>
          <w:rFonts w:eastAsia="Times New Roman" w:cs="Arial"/>
          <w:b/>
          <w:bCs/>
          <w:color w:val="000000" w:themeColor="text1"/>
          <w:sz w:val="24"/>
          <w:szCs w:val="24"/>
        </w:rPr>
        <w:t> </w:t>
      </w:r>
      <w:r w:rsidRPr="00923866">
        <w:rPr>
          <w:rFonts w:eastAsia="Times New Roman" w:cs="Arial"/>
          <w:b/>
          <w:bCs/>
          <w:color w:val="000000" w:themeColor="text1"/>
          <w:sz w:val="24"/>
          <w:szCs w:val="24"/>
        </w:rPr>
        <w:t> </w:t>
      </w:r>
      <w:r w:rsidRPr="00923866">
        <w:rPr>
          <w:rFonts w:eastAsia="Times New Roman" w:cs="Arial"/>
          <w:b/>
          <w:bCs/>
          <w:color w:val="000000" w:themeColor="text1"/>
          <w:sz w:val="24"/>
          <w:szCs w:val="24"/>
        </w:rPr>
        <w:t> </w:t>
      </w:r>
      <w:r w:rsidRPr="00923866">
        <w:rPr>
          <w:rFonts w:eastAsia="Times New Roman" w:cs="Arial"/>
          <w:b/>
          <w:bCs/>
          <w:color w:val="000000" w:themeColor="text1"/>
          <w:sz w:val="24"/>
          <w:szCs w:val="24"/>
        </w:rPr>
        <w:t> </w:t>
      </w:r>
      <w:r w:rsidRPr="00923866">
        <w:rPr>
          <w:rFonts w:eastAsia="Times New Roman" w:cs="Arial"/>
          <w:b/>
          <w:bCs/>
          <w:color w:val="000000" w:themeColor="text1"/>
          <w:sz w:val="24"/>
          <w:szCs w:val="24"/>
        </w:rPr>
        <w:t>1) dopo il comma 4 sono inseriti i seguenti:</w:t>
      </w:r>
    </w:p>
    <w:p w14:paraId="1A27BE7B" w14:textId="77777777" w:rsidR="008533A9" w:rsidRDefault="008533A9" w:rsidP="008533A9">
      <w:pPr>
        <w:shd w:val="clear" w:color="auto" w:fill="FFFFFF"/>
        <w:spacing w:after="0" w:line="240" w:lineRule="auto"/>
        <w:jc w:val="both"/>
        <w:rPr>
          <w:rFonts w:eastAsia="Times New Roman" w:cs="Arial"/>
          <w:b/>
          <w:bCs/>
          <w:color w:val="000000" w:themeColor="text1"/>
          <w:sz w:val="24"/>
          <w:szCs w:val="24"/>
        </w:rPr>
      </w:pPr>
      <w:r w:rsidRPr="00923866">
        <w:rPr>
          <w:rFonts w:eastAsia="Times New Roman" w:cs="Arial"/>
          <w:b/>
          <w:bCs/>
          <w:color w:val="000000" w:themeColor="text1"/>
          <w:sz w:val="24"/>
          <w:szCs w:val="24"/>
        </w:rPr>
        <w:t> </w:t>
      </w:r>
      <w:r w:rsidRPr="00923866">
        <w:rPr>
          <w:rFonts w:eastAsia="Times New Roman" w:cs="Arial"/>
          <w:b/>
          <w:bCs/>
          <w:color w:val="000000" w:themeColor="text1"/>
          <w:sz w:val="24"/>
          <w:szCs w:val="24"/>
        </w:rPr>
        <w:t> </w:t>
      </w:r>
      <w:r w:rsidRPr="00923866">
        <w:rPr>
          <w:rFonts w:eastAsia="Times New Roman" w:cs="Arial"/>
          <w:b/>
          <w:bCs/>
          <w:color w:val="000000" w:themeColor="text1"/>
          <w:sz w:val="24"/>
          <w:szCs w:val="24"/>
        </w:rPr>
        <w:t> </w:t>
      </w:r>
      <w:r w:rsidRPr="00923866">
        <w:rPr>
          <w:rFonts w:eastAsia="Times New Roman" w:cs="Arial"/>
          <w:b/>
          <w:bCs/>
          <w:color w:val="000000" w:themeColor="text1"/>
          <w:sz w:val="24"/>
          <w:szCs w:val="24"/>
        </w:rPr>
        <w:t>«4</w:t>
      </w:r>
      <w:r w:rsidRPr="00923866">
        <w:rPr>
          <w:rFonts w:eastAsia="Times New Roman" w:cs="Arial"/>
          <w:b/>
          <w:bCs/>
          <w:i/>
          <w:iCs/>
          <w:color w:val="000000" w:themeColor="text1"/>
          <w:sz w:val="24"/>
          <w:szCs w:val="24"/>
        </w:rPr>
        <w:t>-bis</w:t>
      </w:r>
      <w:r w:rsidRPr="00923866">
        <w:rPr>
          <w:rFonts w:eastAsia="Times New Roman" w:cs="Arial"/>
          <w:b/>
          <w:bCs/>
          <w:color w:val="000000" w:themeColor="text1"/>
          <w:sz w:val="24"/>
          <w:szCs w:val="24"/>
        </w:rPr>
        <w:t>. È vietata sulle strade e sui veicoli qualsiasi forma di pubblicità il cui contenuto proponga messaggi sessisti o violenti o stereotipi di genere offensivi o messaggi lesivi del rispetto delle libertà individuali, dei diritti civili e politici, del credo religioso o dell'appartenenza etnica oppure discriminatori con riferimento all'orientamento sessuale, all'identità di genere o alle abilità fisiche e psichiche.</w:t>
      </w:r>
    </w:p>
    <w:p w14:paraId="01C32FE2" w14:textId="77777777" w:rsidR="008533A9" w:rsidRPr="00923866" w:rsidRDefault="008533A9" w:rsidP="008533A9">
      <w:pPr>
        <w:shd w:val="clear" w:color="auto" w:fill="FFFFFF"/>
        <w:spacing w:after="0" w:line="240" w:lineRule="auto"/>
        <w:jc w:val="both"/>
        <w:rPr>
          <w:rFonts w:eastAsia="Times New Roman" w:cs="Arial"/>
          <w:b/>
          <w:bCs/>
          <w:color w:val="000000" w:themeColor="text1"/>
          <w:sz w:val="24"/>
          <w:szCs w:val="24"/>
        </w:rPr>
      </w:pPr>
      <w:r w:rsidRPr="00923866">
        <w:rPr>
          <w:rFonts w:eastAsia="Times New Roman" w:cs="Arial"/>
          <w:b/>
          <w:bCs/>
          <w:color w:val="000000" w:themeColor="text1"/>
          <w:sz w:val="24"/>
          <w:szCs w:val="24"/>
        </w:rPr>
        <w:t> </w:t>
      </w:r>
      <w:r w:rsidRPr="00923866">
        <w:rPr>
          <w:rFonts w:eastAsia="Times New Roman" w:cs="Arial"/>
          <w:b/>
          <w:bCs/>
          <w:color w:val="000000" w:themeColor="text1"/>
          <w:sz w:val="24"/>
          <w:szCs w:val="24"/>
        </w:rPr>
        <w:t> </w:t>
      </w:r>
      <w:r w:rsidRPr="00923866">
        <w:rPr>
          <w:rFonts w:eastAsia="Times New Roman" w:cs="Arial"/>
          <w:b/>
          <w:bCs/>
          <w:color w:val="000000" w:themeColor="text1"/>
          <w:sz w:val="24"/>
          <w:szCs w:val="24"/>
        </w:rPr>
        <w:t> </w:t>
      </w:r>
      <w:r w:rsidRPr="00923866">
        <w:rPr>
          <w:rFonts w:eastAsia="Times New Roman" w:cs="Arial"/>
          <w:b/>
          <w:bCs/>
          <w:color w:val="000000" w:themeColor="text1"/>
          <w:sz w:val="24"/>
          <w:szCs w:val="24"/>
        </w:rPr>
        <w:t>4-</w:t>
      </w:r>
      <w:r w:rsidRPr="00923866">
        <w:rPr>
          <w:rFonts w:eastAsia="Times New Roman" w:cs="Arial"/>
          <w:b/>
          <w:bCs/>
          <w:i/>
          <w:iCs/>
          <w:color w:val="000000" w:themeColor="text1"/>
          <w:sz w:val="24"/>
          <w:szCs w:val="24"/>
        </w:rPr>
        <w:t>ter</w:t>
      </w:r>
      <w:r w:rsidRPr="00923866">
        <w:rPr>
          <w:rFonts w:eastAsia="Times New Roman" w:cs="Arial"/>
          <w:b/>
          <w:bCs/>
          <w:color w:val="000000" w:themeColor="text1"/>
          <w:sz w:val="24"/>
          <w:szCs w:val="24"/>
        </w:rPr>
        <w:t>. Con decreto dell'autorità di Governo delegata per le pari opportunità, di concerto con il Ministro delle infrastrutture e della mobilità sostenibili e con il Ministro della giustizia, da emanare entro novanta giorni dalla data di entrata in vigore della presente disposizione, sono stabilite le modalità di attuazione delle disposizioni del comma 4-</w:t>
      </w:r>
      <w:r w:rsidRPr="00923866">
        <w:rPr>
          <w:rFonts w:eastAsia="Times New Roman" w:cs="Arial"/>
          <w:b/>
          <w:bCs/>
          <w:i/>
          <w:iCs/>
          <w:color w:val="000000" w:themeColor="text1"/>
          <w:sz w:val="24"/>
          <w:szCs w:val="24"/>
        </w:rPr>
        <w:t>bis</w:t>
      </w:r>
      <w:r w:rsidRPr="00923866">
        <w:rPr>
          <w:rFonts w:eastAsia="Times New Roman" w:cs="Arial"/>
          <w:b/>
          <w:bCs/>
          <w:color w:val="000000" w:themeColor="text1"/>
          <w:sz w:val="24"/>
          <w:szCs w:val="24"/>
        </w:rPr>
        <w:t>.</w:t>
      </w:r>
      <w:r w:rsidRPr="00923866">
        <w:rPr>
          <w:rFonts w:eastAsia="Times New Roman" w:cs="Arial"/>
          <w:b/>
          <w:bCs/>
          <w:color w:val="000000" w:themeColor="text1"/>
          <w:sz w:val="24"/>
          <w:szCs w:val="24"/>
        </w:rPr>
        <w:br/>
      </w:r>
      <w:r w:rsidRPr="00923866">
        <w:rPr>
          <w:rFonts w:eastAsia="Times New Roman" w:cs="Arial"/>
          <w:b/>
          <w:bCs/>
          <w:color w:val="000000" w:themeColor="text1"/>
          <w:sz w:val="24"/>
          <w:szCs w:val="24"/>
        </w:rPr>
        <w:t> </w:t>
      </w:r>
      <w:r w:rsidRPr="00923866">
        <w:rPr>
          <w:rFonts w:eastAsia="Times New Roman" w:cs="Arial"/>
          <w:b/>
          <w:bCs/>
          <w:color w:val="000000" w:themeColor="text1"/>
          <w:sz w:val="24"/>
          <w:szCs w:val="24"/>
        </w:rPr>
        <w:t> </w:t>
      </w:r>
      <w:r w:rsidRPr="00923866">
        <w:rPr>
          <w:rFonts w:eastAsia="Times New Roman" w:cs="Arial"/>
          <w:b/>
          <w:bCs/>
          <w:color w:val="000000" w:themeColor="text1"/>
          <w:sz w:val="24"/>
          <w:szCs w:val="24"/>
        </w:rPr>
        <w:t> </w:t>
      </w:r>
      <w:r w:rsidRPr="00923866">
        <w:rPr>
          <w:rFonts w:eastAsia="Times New Roman" w:cs="Arial"/>
          <w:b/>
          <w:bCs/>
          <w:color w:val="000000" w:themeColor="text1"/>
          <w:sz w:val="24"/>
          <w:szCs w:val="24"/>
        </w:rPr>
        <w:t>4-</w:t>
      </w:r>
      <w:r w:rsidRPr="00923866">
        <w:rPr>
          <w:rFonts w:eastAsia="Times New Roman" w:cs="Arial"/>
          <w:b/>
          <w:bCs/>
          <w:i/>
          <w:iCs/>
          <w:color w:val="000000" w:themeColor="text1"/>
          <w:sz w:val="24"/>
          <w:szCs w:val="24"/>
        </w:rPr>
        <w:t>quater</w:t>
      </w:r>
      <w:r w:rsidRPr="00923866">
        <w:rPr>
          <w:rFonts w:eastAsia="Times New Roman" w:cs="Arial"/>
          <w:b/>
          <w:bCs/>
          <w:color w:val="000000" w:themeColor="text1"/>
          <w:sz w:val="24"/>
          <w:szCs w:val="24"/>
        </w:rPr>
        <w:t>. L'osservanza delle disposizioni del comma 4-</w:t>
      </w:r>
      <w:r w:rsidRPr="00923866">
        <w:rPr>
          <w:rFonts w:eastAsia="Times New Roman" w:cs="Arial"/>
          <w:b/>
          <w:bCs/>
          <w:i/>
          <w:iCs/>
          <w:color w:val="000000" w:themeColor="text1"/>
          <w:sz w:val="24"/>
          <w:szCs w:val="24"/>
        </w:rPr>
        <w:t>bis</w:t>
      </w:r>
      <w:r w:rsidRPr="00923866">
        <w:rPr>
          <w:rFonts w:eastAsia="Times New Roman" w:cs="Arial"/>
          <w:b/>
          <w:bCs/>
          <w:color w:val="000000" w:themeColor="text1"/>
          <w:sz w:val="24"/>
          <w:szCs w:val="24"/>
        </w:rPr>
        <w:t> è condizione per il rilascio dell'autorizzazione di cui al comma 4; in caso di violazione, l'autorizzazione rilasciata è immediatamente revocata»;</w:t>
      </w:r>
    </w:p>
    <w:p w14:paraId="3810913F" w14:textId="4167F56F" w:rsidR="008533A9" w:rsidRDefault="008533A9" w:rsidP="008533A9">
      <w:pPr>
        <w:shd w:val="clear" w:color="auto" w:fill="FFFFFF"/>
        <w:spacing w:after="0" w:line="240" w:lineRule="auto"/>
        <w:jc w:val="both"/>
        <w:rPr>
          <w:rFonts w:eastAsia="Times New Roman" w:cs="Arial"/>
          <w:b/>
          <w:bCs/>
          <w:color w:val="000000" w:themeColor="text1"/>
          <w:sz w:val="24"/>
          <w:szCs w:val="24"/>
        </w:rPr>
      </w:pPr>
      <w:r w:rsidRPr="00923866">
        <w:rPr>
          <w:rFonts w:eastAsia="Times New Roman" w:cs="Arial"/>
          <w:b/>
          <w:bCs/>
          <w:color w:val="000000" w:themeColor="text1"/>
          <w:sz w:val="24"/>
          <w:szCs w:val="24"/>
        </w:rPr>
        <w:t> </w:t>
      </w:r>
      <w:r w:rsidRPr="00923866">
        <w:rPr>
          <w:rFonts w:eastAsia="Times New Roman" w:cs="Arial"/>
          <w:b/>
          <w:bCs/>
          <w:color w:val="000000" w:themeColor="text1"/>
          <w:sz w:val="24"/>
          <w:szCs w:val="24"/>
        </w:rPr>
        <w:t> </w:t>
      </w:r>
      <w:r w:rsidRPr="00923866">
        <w:rPr>
          <w:rFonts w:eastAsia="Times New Roman" w:cs="Arial"/>
          <w:b/>
          <w:bCs/>
          <w:color w:val="000000" w:themeColor="text1"/>
          <w:sz w:val="24"/>
          <w:szCs w:val="24"/>
        </w:rPr>
        <w:t> </w:t>
      </w:r>
      <w:r w:rsidRPr="00923866">
        <w:rPr>
          <w:rFonts w:eastAsia="Times New Roman" w:cs="Arial"/>
          <w:b/>
          <w:bCs/>
          <w:color w:val="000000" w:themeColor="text1"/>
          <w:sz w:val="24"/>
          <w:szCs w:val="24"/>
        </w:rPr>
        <w:t> </w:t>
      </w:r>
      <w:r w:rsidRPr="00923866">
        <w:rPr>
          <w:rFonts w:eastAsia="Times New Roman" w:cs="Arial"/>
          <w:b/>
          <w:bCs/>
          <w:color w:val="000000" w:themeColor="text1"/>
          <w:sz w:val="24"/>
          <w:szCs w:val="24"/>
        </w:rPr>
        <w:t>2) al comma 13-</w:t>
      </w:r>
      <w:r w:rsidRPr="00923866">
        <w:rPr>
          <w:rFonts w:eastAsia="Times New Roman" w:cs="Arial"/>
          <w:b/>
          <w:bCs/>
          <w:i/>
          <w:iCs/>
          <w:color w:val="000000" w:themeColor="text1"/>
          <w:sz w:val="24"/>
          <w:szCs w:val="24"/>
        </w:rPr>
        <w:t>bis</w:t>
      </w:r>
      <w:r w:rsidRPr="00923866">
        <w:rPr>
          <w:rFonts w:eastAsia="Times New Roman" w:cs="Arial"/>
          <w:b/>
          <w:bCs/>
          <w:color w:val="000000" w:themeColor="text1"/>
          <w:sz w:val="24"/>
          <w:szCs w:val="24"/>
        </w:rPr>
        <w:t>, primo periodo, le parole: «dal comma 1» sono sostituite dalle seguenti: «dai commi 1 e 4-</w:t>
      </w:r>
      <w:r w:rsidRPr="00923866">
        <w:rPr>
          <w:rFonts w:eastAsia="Times New Roman" w:cs="Arial"/>
          <w:b/>
          <w:bCs/>
          <w:i/>
          <w:iCs/>
          <w:color w:val="000000" w:themeColor="text1"/>
          <w:sz w:val="24"/>
          <w:szCs w:val="24"/>
        </w:rPr>
        <w:t>bis</w:t>
      </w:r>
      <w:r w:rsidRPr="00923866">
        <w:rPr>
          <w:rFonts w:eastAsia="Times New Roman" w:cs="Arial"/>
          <w:b/>
          <w:bCs/>
          <w:color w:val="000000" w:themeColor="text1"/>
          <w:sz w:val="24"/>
          <w:szCs w:val="24"/>
        </w:rPr>
        <w:t>» e sono aggiunte, in fine, le seguenti parole: «; in caso di violazione del comma 4-</w:t>
      </w:r>
      <w:r w:rsidRPr="00923866">
        <w:rPr>
          <w:rFonts w:eastAsia="Times New Roman" w:cs="Arial"/>
          <w:b/>
          <w:bCs/>
          <w:i/>
          <w:iCs/>
          <w:color w:val="000000" w:themeColor="text1"/>
          <w:sz w:val="24"/>
          <w:szCs w:val="24"/>
        </w:rPr>
        <w:t>bis</w:t>
      </w:r>
      <w:r w:rsidRPr="00923866">
        <w:rPr>
          <w:rFonts w:eastAsia="Times New Roman" w:cs="Arial"/>
          <w:b/>
          <w:bCs/>
          <w:color w:val="000000" w:themeColor="text1"/>
          <w:sz w:val="24"/>
          <w:szCs w:val="24"/>
        </w:rPr>
        <w:t>, il termine è ridotto a cinque giorni e, nei casi più gravi, l'ente proprietario può disporre l'immediata rimozione del mezzo pubblicitario».</w:t>
      </w:r>
      <w:r>
        <w:rPr>
          <w:rStyle w:val="Rimandonotaapidipagina"/>
          <w:rFonts w:eastAsia="Times New Roman" w:cs="Arial"/>
          <w:b/>
          <w:bCs/>
          <w:color w:val="000000" w:themeColor="text1"/>
          <w:sz w:val="24"/>
          <w:szCs w:val="24"/>
        </w:rPr>
        <w:footnoteReference w:id="9"/>
      </w:r>
    </w:p>
    <w:p w14:paraId="37E00664" w14:textId="77777777" w:rsidR="008533A9" w:rsidRPr="00923866" w:rsidRDefault="008533A9" w:rsidP="008533A9">
      <w:pPr>
        <w:shd w:val="clear" w:color="auto" w:fill="FFFFFF"/>
        <w:spacing w:after="0" w:line="240" w:lineRule="auto"/>
        <w:jc w:val="both"/>
        <w:rPr>
          <w:rFonts w:eastAsia="Times New Roman" w:cs="Arial"/>
          <w:b/>
          <w:bCs/>
          <w:color w:val="000000" w:themeColor="text1"/>
          <w:sz w:val="24"/>
          <w:szCs w:val="24"/>
        </w:rPr>
      </w:pPr>
      <w:r w:rsidRPr="00923866">
        <w:rPr>
          <w:rFonts w:eastAsia="Times New Roman" w:cs="Arial"/>
          <w:b/>
          <w:bCs/>
          <w:color w:val="000000" w:themeColor="text1"/>
          <w:sz w:val="24"/>
          <w:szCs w:val="24"/>
        </w:rPr>
        <w:t> </w:t>
      </w:r>
      <w:r w:rsidRPr="00923866">
        <w:rPr>
          <w:rFonts w:eastAsia="Times New Roman" w:cs="Arial"/>
          <w:b/>
          <w:bCs/>
          <w:color w:val="000000" w:themeColor="text1"/>
          <w:sz w:val="24"/>
          <w:szCs w:val="24"/>
        </w:rPr>
        <w:t> </w:t>
      </w:r>
      <w:r w:rsidRPr="00923866">
        <w:rPr>
          <w:rFonts w:eastAsia="Times New Roman" w:cs="Arial"/>
          <w:b/>
          <w:bCs/>
          <w:color w:val="000000" w:themeColor="text1"/>
          <w:sz w:val="24"/>
          <w:szCs w:val="24"/>
        </w:rPr>
        <w:t> </w:t>
      </w:r>
      <w:r w:rsidRPr="00923866">
        <w:rPr>
          <w:rFonts w:eastAsia="Times New Roman" w:cs="Arial"/>
          <w:b/>
          <w:bCs/>
          <w:i/>
          <w:iCs/>
          <w:color w:val="000000" w:themeColor="text1"/>
          <w:sz w:val="24"/>
          <w:szCs w:val="24"/>
        </w:rPr>
        <w:t>a-bis)</w:t>
      </w:r>
      <w:r w:rsidRPr="00923866">
        <w:rPr>
          <w:rFonts w:eastAsia="Times New Roman" w:cs="Arial"/>
          <w:b/>
          <w:bCs/>
          <w:color w:val="000000" w:themeColor="text1"/>
          <w:sz w:val="24"/>
          <w:szCs w:val="24"/>
        </w:rPr>
        <w:t> all'articolo 23:</w:t>
      </w:r>
    </w:p>
    <w:p w14:paraId="2862024C" w14:textId="77777777" w:rsidR="008533A9" w:rsidRPr="00923866" w:rsidRDefault="008533A9" w:rsidP="008533A9">
      <w:pPr>
        <w:shd w:val="clear" w:color="auto" w:fill="FFFFFF"/>
        <w:spacing w:after="0" w:line="240" w:lineRule="auto"/>
        <w:jc w:val="both"/>
        <w:rPr>
          <w:rFonts w:eastAsia="Times New Roman" w:cs="Arial"/>
          <w:b/>
          <w:bCs/>
          <w:color w:val="000000" w:themeColor="text1"/>
          <w:sz w:val="24"/>
          <w:szCs w:val="24"/>
        </w:rPr>
      </w:pPr>
      <w:r w:rsidRPr="00923866">
        <w:rPr>
          <w:rFonts w:eastAsia="Times New Roman" w:cs="Arial"/>
          <w:b/>
          <w:bCs/>
          <w:color w:val="000000" w:themeColor="text1"/>
          <w:sz w:val="24"/>
          <w:szCs w:val="24"/>
        </w:rPr>
        <w:t> </w:t>
      </w:r>
      <w:r w:rsidRPr="00923866">
        <w:rPr>
          <w:rFonts w:eastAsia="Times New Roman" w:cs="Arial"/>
          <w:b/>
          <w:bCs/>
          <w:color w:val="000000" w:themeColor="text1"/>
          <w:sz w:val="24"/>
          <w:szCs w:val="24"/>
        </w:rPr>
        <w:t> </w:t>
      </w:r>
      <w:r w:rsidRPr="00923866">
        <w:rPr>
          <w:rFonts w:eastAsia="Times New Roman" w:cs="Arial"/>
          <w:b/>
          <w:bCs/>
          <w:color w:val="000000" w:themeColor="text1"/>
          <w:sz w:val="24"/>
          <w:szCs w:val="24"/>
        </w:rPr>
        <w:t> </w:t>
      </w:r>
      <w:r w:rsidRPr="00923866">
        <w:rPr>
          <w:rFonts w:eastAsia="Times New Roman" w:cs="Arial"/>
          <w:b/>
          <w:bCs/>
          <w:color w:val="000000" w:themeColor="text1"/>
          <w:sz w:val="24"/>
          <w:szCs w:val="24"/>
        </w:rPr>
        <w:t> </w:t>
      </w:r>
      <w:r w:rsidRPr="00923866">
        <w:rPr>
          <w:rFonts w:eastAsia="Times New Roman" w:cs="Arial"/>
          <w:b/>
          <w:bCs/>
          <w:color w:val="000000" w:themeColor="text1"/>
          <w:sz w:val="24"/>
          <w:szCs w:val="24"/>
        </w:rPr>
        <w:t>1) dopo il comma 7 è inserito il seguente:</w:t>
      </w:r>
    </w:p>
    <w:p w14:paraId="52FEDA86" w14:textId="77777777" w:rsidR="008533A9" w:rsidRPr="00923866" w:rsidRDefault="008533A9" w:rsidP="008533A9">
      <w:pPr>
        <w:shd w:val="clear" w:color="auto" w:fill="FFFFFF"/>
        <w:spacing w:after="0" w:line="240" w:lineRule="auto"/>
        <w:jc w:val="both"/>
        <w:rPr>
          <w:rFonts w:eastAsia="Times New Roman" w:cs="Arial"/>
          <w:b/>
          <w:bCs/>
          <w:color w:val="000000" w:themeColor="text1"/>
          <w:sz w:val="24"/>
          <w:szCs w:val="24"/>
        </w:rPr>
      </w:pPr>
      <w:r w:rsidRPr="00923866">
        <w:rPr>
          <w:rFonts w:eastAsia="Times New Roman" w:cs="Arial"/>
          <w:b/>
          <w:bCs/>
          <w:color w:val="000000" w:themeColor="text1"/>
          <w:sz w:val="24"/>
          <w:szCs w:val="24"/>
        </w:rPr>
        <w:t> </w:t>
      </w:r>
      <w:r w:rsidRPr="00923866">
        <w:rPr>
          <w:rFonts w:eastAsia="Times New Roman" w:cs="Arial"/>
          <w:b/>
          <w:bCs/>
          <w:color w:val="000000" w:themeColor="text1"/>
          <w:sz w:val="24"/>
          <w:szCs w:val="24"/>
        </w:rPr>
        <w:t> </w:t>
      </w:r>
      <w:r w:rsidRPr="00923866">
        <w:rPr>
          <w:rFonts w:eastAsia="Times New Roman" w:cs="Arial"/>
          <w:b/>
          <w:bCs/>
          <w:color w:val="000000" w:themeColor="text1"/>
          <w:sz w:val="24"/>
          <w:szCs w:val="24"/>
        </w:rPr>
        <w:t> </w:t>
      </w:r>
      <w:r w:rsidRPr="00923866">
        <w:rPr>
          <w:rFonts w:eastAsia="Times New Roman" w:cs="Arial"/>
          <w:b/>
          <w:bCs/>
          <w:color w:val="000000" w:themeColor="text1"/>
          <w:sz w:val="24"/>
          <w:szCs w:val="24"/>
        </w:rPr>
        <w:t>«7-</w:t>
      </w:r>
      <w:r w:rsidRPr="00923866">
        <w:rPr>
          <w:rFonts w:eastAsia="Times New Roman" w:cs="Arial"/>
          <w:b/>
          <w:bCs/>
          <w:i/>
          <w:iCs/>
          <w:color w:val="000000" w:themeColor="text1"/>
          <w:sz w:val="24"/>
          <w:szCs w:val="24"/>
        </w:rPr>
        <w:t>bis</w:t>
      </w:r>
      <w:r w:rsidRPr="00923866">
        <w:rPr>
          <w:rFonts w:eastAsia="Times New Roman" w:cs="Arial"/>
          <w:b/>
          <w:bCs/>
          <w:color w:val="000000" w:themeColor="text1"/>
          <w:sz w:val="24"/>
          <w:szCs w:val="24"/>
        </w:rPr>
        <w:t>. In deroga al comma 1, terzo periodo, al centro delle rotatorie nelle quali vi sia un'area verde, la cui manutenzione sia affidata a titolo gratuito a società private o ad altri enti, è consentita l'installazione di un cartello di esercizio dell'impresa o ente affidatario, fissata al suolo e di dimensioni ridotte non superiori a 40 cm di lato, indicante il nome del soggetto affidatario dell'eventuale servizio di manutenzione del verde. Per l'installazione del cartello di cui al presente comma si applicano in ogni caso le disposizioni del comma 4.»;</w:t>
      </w:r>
    </w:p>
    <w:p w14:paraId="16123A5F" w14:textId="49F46FF9" w:rsidR="008533A9" w:rsidRDefault="008533A9" w:rsidP="008533A9">
      <w:pPr>
        <w:shd w:val="clear" w:color="auto" w:fill="FFFFFF"/>
        <w:spacing w:after="0" w:line="240" w:lineRule="auto"/>
        <w:jc w:val="both"/>
        <w:rPr>
          <w:rFonts w:eastAsia="Times New Roman" w:cs="Arial"/>
          <w:b/>
          <w:bCs/>
          <w:color w:val="000000" w:themeColor="text1"/>
          <w:sz w:val="24"/>
          <w:szCs w:val="24"/>
        </w:rPr>
      </w:pPr>
      <w:r w:rsidRPr="00923866">
        <w:rPr>
          <w:rFonts w:eastAsia="Times New Roman" w:cs="Arial"/>
          <w:b/>
          <w:bCs/>
          <w:color w:val="000000" w:themeColor="text1"/>
          <w:sz w:val="24"/>
          <w:szCs w:val="24"/>
        </w:rPr>
        <w:lastRenderedPageBreak/>
        <w:t> </w:t>
      </w:r>
      <w:r w:rsidRPr="00923866">
        <w:rPr>
          <w:rFonts w:eastAsia="Times New Roman" w:cs="Arial"/>
          <w:b/>
          <w:bCs/>
          <w:color w:val="000000" w:themeColor="text1"/>
          <w:sz w:val="24"/>
          <w:szCs w:val="24"/>
        </w:rPr>
        <w:t> </w:t>
      </w:r>
      <w:r w:rsidRPr="00923866">
        <w:rPr>
          <w:rFonts w:eastAsia="Times New Roman" w:cs="Arial"/>
          <w:b/>
          <w:bCs/>
          <w:color w:val="000000" w:themeColor="text1"/>
          <w:sz w:val="24"/>
          <w:szCs w:val="24"/>
        </w:rPr>
        <w:t> </w:t>
      </w:r>
      <w:r w:rsidRPr="00923866">
        <w:rPr>
          <w:rFonts w:eastAsia="Times New Roman" w:cs="Arial"/>
          <w:b/>
          <w:bCs/>
          <w:color w:val="000000" w:themeColor="text1"/>
          <w:sz w:val="24"/>
          <w:szCs w:val="24"/>
        </w:rPr>
        <w:t> </w:t>
      </w:r>
      <w:r w:rsidRPr="00923866">
        <w:rPr>
          <w:rFonts w:eastAsia="Times New Roman" w:cs="Arial"/>
          <w:b/>
          <w:bCs/>
          <w:color w:val="000000" w:themeColor="text1"/>
          <w:sz w:val="24"/>
          <w:szCs w:val="24"/>
        </w:rPr>
        <w:t>2) al comma 13-</w:t>
      </w:r>
      <w:r w:rsidRPr="00923866">
        <w:rPr>
          <w:rFonts w:eastAsia="Times New Roman" w:cs="Arial"/>
          <w:b/>
          <w:bCs/>
          <w:i/>
          <w:iCs/>
          <w:color w:val="000000" w:themeColor="text1"/>
          <w:sz w:val="24"/>
          <w:szCs w:val="24"/>
        </w:rPr>
        <w:t>bis</w:t>
      </w:r>
      <w:r w:rsidRPr="00923866">
        <w:rPr>
          <w:rFonts w:eastAsia="Times New Roman" w:cs="Arial"/>
          <w:b/>
          <w:bCs/>
          <w:color w:val="000000" w:themeColor="text1"/>
          <w:sz w:val="24"/>
          <w:szCs w:val="24"/>
        </w:rPr>
        <w:t>, primo periodo, le parole: «dal comma 1» sono sostituite dalle seguenti: «dai commi 1 e 7-</w:t>
      </w:r>
      <w:r w:rsidRPr="00923866">
        <w:rPr>
          <w:rFonts w:eastAsia="Times New Roman" w:cs="Arial"/>
          <w:b/>
          <w:bCs/>
          <w:i/>
          <w:iCs/>
          <w:color w:val="000000" w:themeColor="text1"/>
          <w:sz w:val="24"/>
          <w:szCs w:val="24"/>
        </w:rPr>
        <w:t>bis</w:t>
      </w:r>
      <w:r w:rsidRPr="00923866">
        <w:rPr>
          <w:rFonts w:eastAsia="Times New Roman" w:cs="Arial"/>
          <w:b/>
          <w:bCs/>
          <w:color w:val="000000" w:themeColor="text1"/>
          <w:sz w:val="24"/>
          <w:szCs w:val="24"/>
        </w:rPr>
        <w:t>».</w:t>
      </w:r>
      <w:r>
        <w:rPr>
          <w:rStyle w:val="Rimandonotaapidipagina"/>
          <w:rFonts w:eastAsia="Times New Roman" w:cs="Arial"/>
          <w:b/>
          <w:bCs/>
          <w:color w:val="000000" w:themeColor="text1"/>
          <w:sz w:val="24"/>
          <w:szCs w:val="24"/>
        </w:rPr>
        <w:footnoteReference w:id="10"/>
      </w:r>
    </w:p>
    <w:p w14:paraId="4703F76D" w14:textId="1BE2EA04" w:rsidR="000D7841" w:rsidRPr="007B080C" w:rsidRDefault="000D7841" w:rsidP="000D7841">
      <w:pPr>
        <w:shd w:val="clear" w:color="auto" w:fill="FFFFFF"/>
        <w:spacing w:after="0" w:line="240" w:lineRule="auto"/>
        <w:jc w:val="both"/>
        <w:rPr>
          <w:rFonts w:eastAsia="Times New Roman" w:cs="Arial"/>
          <w:b/>
          <w:bCs/>
          <w:color w:val="000000" w:themeColor="text1"/>
          <w:sz w:val="24"/>
          <w:szCs w:val="24"/>
        </w:rPr>
      </w:pPr>
      <w:r>
        <w:rPr>
          <w:rFonts w:eastAsia="Times New Roman" w:cs="Arial"/>
          <w:b/>
          <w:bCs/>
          <w:i/>
          <w:iCs/>
          <w:color w:val="000000" w:themeColor="text1"/>
          <w:sz w:val="24"/>
          <w:szCs w:val="24"/>
        </w:rPr>
        <w:t xml:space="preserve">           </w:t>
      </w:r>
      <w:r w:rsidRPr="007B080C">
        <w:rPr>
          <w:rFonts w:eastAsia="Times New Roman" w:cs="Arial"/>
          <w:b/>
          <w:bCs/>
          <w:i/>
          <w:iCs/>
          <w:color w:val="000000" w:themeColor="text1"/>
          <w:sz w:val="24"/>
          <w:szCs w:val="24"/>
        </w:rPr>
        <w:t>a</w:t>
      </w:r>
      <w:r w:rsidRPr="007B080C">
        <w:rPr>
          <w:rFonts w:eastAsia="Times New Roman" w:cs="Arial"/>
          <w:b/>
          <w:bCs/>
          <w:color w:val="000000" w:themeColor="text1"/>
          <w:sz w:val="24"/>
          <w:szCs w:val="24"/>
        </w:rPr>
        <w:t>-</w:t>
      </w:r>
      <w:r w:rsidRPr="007B080C">
        <w:rPr>
          <w:rFonts w:eastAsia="Times New Roman" w:cs="Arial"/>
          <w:b/>
          <w:bCs/>
          <w:i/>
          <w:iCs/>
          <w:color w:val="000000" w:themeColor="text1"/>
          <w:sz w:val="24"/>
          <w:szCs w:val="24"/>
        </w:rPr>
        <w:t>bis)</w:t>
      </w:r>
      <w:r w:rsidRPr="007B080C">
        <w:rPr>
          <w:rFonts w:eastAsia="Times New Roman" w:cs="Arial"/>
          <w:b/>
          <w:bCs/>
          <w:color w:val="000000" w:themeColor="text1"/>
          <w:sz w:val="24"/>
          <w:szCs w:val="24"/>
        </w:rPr>
        <w:t> all'articolo 60:</w:t>
      </w:r>
    </w:p>
    <w:p w14:paraId="7E37F5BF" w14:textId="77777777" w:rsidR="000D7841" w:rsidRPr="007B080C" w:rsidRDefault="000D7841" w:rsidP="000D7841">
      <w:pPr>
        <w:shd w:val="clear" w:color="auto" w:fill="FFFFFF"/>
        <w:spacing w:after="0" w:line="240" w:lineRule="auto"/>
        <w:jc w:val="both"/>
        <w:rPr>
          <w:rFonts w:eastAsia="Times New Roman" w:cs="Arial"/>
          <w:b/>
          <w:bCs/>
          <w:color w:val="000000" w:themeColor="text1"/>
          <w:sz w:val="24"/>
          <w:szCs w:val="24"/>
        </w:rPr>
      </w:pPr>
      <w:r w:rsidRPr="007B080C">
        <w:rPr>
          <w:rFonts w:eastAsia="Times New Roman" w:cs="Arial"/>
          <w:b/>
          <w:bCs/>
          <w:color w:val="000000" w:themeColor="text1"/>
          <w:sz w:val="24"/>
          <w:szCs w:val="24"/>
        </w:rPr>
        <w:t> </w:t>
      </w:r>
      <w:r w:rsidRPr="007B080C">
        <w:rPr>
          <w:rFonts w:eastAsia="Times New Roman" w:cs="Arial"/>
          <w:b/>
          <w:bCs/>
          <w:color w:val="000000" w:themeColor="text1"/>
          <w:sz w:val="24"/>
          <w:szCs w:val="24"/>
        </w:rPr>
        <w:t> </w:t>
      </w:r>
      <w:r w:rsidRPr="007B080C">
        <w:rPr>
          <w:rFonts w:eastAsia="Times New Roman" w:cs="Arial"/>
          <w:b/>
          <w:bCs/>
          <w:color w:val="000000" w:themeColor="text1"/>
          <w:sz w:val="24"/>
          <w:szCs w:val="24"/>
        </w:rPr>
        <w:t> </w:t>
      </w:r>
      <w:r w:rsidRPr="007B080C">
        <w:rPr>
          <w:rFonts w:eastAsia="Times New Roman" w:cs="Arial"/>
          <w:b/>
          <w:bCs/>
          <w:color w:val="000000" w:themeColor="text1"/>
          <w:sz w:val="24"/>
          <w:szCs w:val="24"/>
        </w:rPr>
        <w:t> </w:t>
      </w:r>
      <w:r w:rsidRPr="007B080C">
        <w:rPr>
          <w:rFonts w:eastAsia="Times New Roman" w:cs="Arial"/>
          <w:b/>
          <w:bCs/>
          <w:color w:val="000000" w:themeColor="text1"/>
          <w:sz w:val="24"/>
          <w:szCs w:val="24"/>
        </w:rPr>
        <w:t>1) il comma 1 è sostituito dal seguente:</w:t>
      </w:r>
    </w:p>
    <w:p w14:paraId="43DBA8D5" w14:textId="77777777" w:rsidR="000D7841" w:rsidRPr="007B080C" w:rsidRDefault="000D7841" w:rsidP="000D7841">
      <w:pPr>
        <w:shd w:val="clear" w:color="auto" w:fill="FFFFFF"/>
        <w:spacing w:after="0" w:line="240" w:lineRule="auto"/>
        <w:jc w:val="both"/>
        <w:rPr>
          <w:rFonts w:eastAsia="Times New Roman" w:cs="Arial"/>
          <w:b/>
          <w:bCs/>
          <w:color w:val="000000" w:themeColor="text1"/>
          <w:sz w:val="24"/>
          <w:szCs w:val="24"/>
        </w:rPr>
      </w:pPr>
      <w:r w:rsidRPr="007B080C">
        <w:rPr>
          <w:rFonts w:eastAsia="Times New Roman" w:cs="Arial"/>
          <w:b/>
          <w:bCs/>
          <w:color w:val="000000" w:themeColor="text1"/>
          <w:sz w:val="24"/>
          <w:szCs w:val="24"/>
        </w:rPr>
        <w:t> </w:t>
      </w:r>
      <w:r w:rsidRPr="007B080C">
        <w:rPr>
          <w:rFonts w:eastAsia="Times New Roman" w:cs="Arial"/>
          <w:b/>
          <w:bCs/>
          <w:color w:val="000000" w:themeColor="text1"/>
          <w:sz w:val="24"/>
          <w:szCs w:val="24"/>
        </w:rPr>
        <w:t> </w:t>
      </w:r>
      <w:r w:rsidRPr="007B080C">
        <w:rPr>
          <w:rFonts w:eastAsia="Times New Roman" w:cs="Arial"/>
          <w:b/>
          <w:bCs/>
          <w:color w:val="000000" w:themeColor="text1"/>
          <w:sz w:val="24"/>
          <w:szCs w:val="24"/>
        </w:rPr>
        <w:t> </w:t>
      </w:r>
      <w:r w:rsidRPr="007B080C">
        <w:rPr>
          <w:rFonts w:eastAsia="Times New Roman" w:cs="Arial"/>
          <w:b/>
          <w:bCs/>
          <w:color w:val="000000" w:themeColor="text1"/>
          <w:sz w:val="24"/>
          <w:szCs w:val="24"/>
        </w:rPr>
        <w:t>«</w:t>
      </w:r>
      <w:r w:rsidRPr="007B080C">
        <w:rPr>
          <w:rFonts w:eastAsia="Times New Roman" w:cs="Arial"/>
          <w:b/>
          <w:bCs/>
          <w:i/>
          <w:iCs/>
          <w:color w:val="000000" w:themeColor="text1"/>
          <w:sz w:val="24"/>
          <w:szCs w:val="24"/>
        </w:rPr>
        <w:t>1.</w:t>
      </w:r>
      <w:r w:rsidRPr="007B080C">
        <w:rPr>
          <w:rFonts w:eastAsia="Times New Roman" w:cs="Arial"/>
          <w:b/>
          <w:bCs/>
          <w:color w:val="000000" w:themeColor="text1"/>
          <w:sz w:val="24"/>
          <w:szCs w:val="24"/>
        </w:rPr>
        <w:t> Sono considerati appartenenti alla categoria di veicoli con caratteristiche atipiche i motoveicoli, i ciclomotori, gli autoveicoli e le macchine agricole d'epoca, nonché i motoveicoli, gli autoveicoli e le macchine agricole di interesse storico e collezionistico»;</w:t>
      </w:r>
    </w:p>
    <w:p w14:paraId="5CE8C460" w14:textId="77777777" w:rsidR="000D7841" w:rsidRPr="007B080C" w:rsidRDefault="000D7841" w:rsidP="000D7841">
      <w:pPr>
        <w:shd w:val="clear" w:color="auto" w:fill="FFFFFF"/>
        <w:spacing w:after="0" w:line="240" w:lineRule="auto"/>
        <w:jc w:val="both"/>
        <w:rPr>
          <w:rFonts w:eastAsia="Times New Roman" w:cs="Arial"/>
          <w:b/>
          <w:bCs/>
          <w:color w:val="000000" w:themeColor="text1"/>
          <w:sz w:val="24"/>
          <w:szCs w:val="24"/>
        </w:rPr>
      </w:pPr>
      <w:r w:rsidRPr="007B080C">
        <w:rPr>
          <w:rFonts w:eastAsia="Times New Roman" w:cs="Arial"/>
          <w:b/>
          <w:bCs/>
          <w:color w:val="000000" w:themeColor="text1"/>
          <w:sz w:val="24"/>
          <w:szCs w:val="24"/>
        </w:rPr>
        <w:t> </w:t>
      </w:r>
      <w:r w:rsidRPr="007B080C">
        <w:rPr>
          <w:rFonts w:eastAsia="Times New Roman" w:cs="Arial"/>
          <w:b/>
          <w:bCs/>
          <w:color w:val="000000" w:themeColor="text1"/>
          <w:sz w:val="24"/>
          <w:szCs w:val="24"/>
        </w:rPr>
        <w:t> </w:t>
      </w:r>
      <w:r w:rsidRPr="007B080C">
        <w:rPr>
          <w:rFonts w:eastAsia="Times New Roman" w:cs="Arial"/>
          <w:b/>
          <w:bCs/>
          <w:color w:val="000000" w:themeColor="text1"/>
          <w:sz w:val="24"/>
          <w:szCs w:val="24"/>
        </w:rPr>
        <w:t> </w:t>
      </w:r>
      <w:r w:rsidRPr="007B080C">
        <w:rPr>
          <w:rFonts w:eastAsia="Times New Roman" w:cs="Arial"/>
          <w:b/>
          <w:bCs/>
          <w:color w:val="000000" w:themeColor="text1"/>
          <w:sz w:val="24"/>
          <w:szCs w:val="24"/>
        </w:rPr>
        <w:t> </w:t>
      </w:r>
      <w:r w:rsidRPr="007B080C">
        <w:rPr>
          <w:rFonts w:eastAsia="Times New Roman" w:cs="Arial"/>
          <w:b/>
          <w:bCs/>
          <w:color w:val="000000" w:themeColor="text1"/>
          <w:sz w:val="24"/>
          <w:szCs w:val="24"/>
        </w:rPr>
        <w:t>2) al comma 2, le parole: «Rientrano nella categoria dei veicoli d'epoca i motoveicoli e gli autoveicoli» sono sostituite dalle seguenti: «Rientrano nella categoria dei veicoli d'epoca i motoveicoli, i ciclomotori, gli autoveicoli e le macchine agricole»;</w:t>
      </w:r>
    </w:p>
    <w:p w14:paraId="68C27E46" w14:textId="6B3858D1" w:rsidR="000D7841" w:rsidRPr="007B080C" w:rsidRDefault="000D7841" w:rsidP="000D7841">
      <w:pPr>
        <w:shd w:val="clear" w:color="auto" w:fill="FFFFFF"/>
        <w:spacing w:after="0" w:line="240" w:lineRule="auto"/>
        <w:jc w:val="both"/>
        <w:rPr>
          <w:rFonts w:eastAsia="Times New Roman" w:cs="Arial"/>
          <w:b/>
          <w:bCs/>
          <w:color w:val="000000" w:themeColor="text1"/>
          <w:sz w:val="24"/>
          <w:szCs w:val="24"/>
        </w:rPr>
      </w:pPr>
      <w:r w:rsidRPr="007B080C">
        <w:rPr>
          <w:rFonts w:eastAsia="Times New Roman" w:cs="Arial"/>
          <w:b/>
          <w:bCs/>
          <w:color w:val="000000" w:themeColor="text1"/>
          <w:sz w:val="24"/>
          <w:szCs w:val="24"/>
        </w:rPr>
        <w:t> </w:t>
      </w:r>
      <w:r w:rsidRPr="007B080C">
        <w:rPr>
          <w:rFonts w:eastAsia="Times New Roman" w:cs="Arial"/>
          <w:b/>
          <w:bCs/>
          <w:color w:val="000000" w:themeColor="text1"/>
          <w:sz w:val="24"/>
          <w:szCs w:val="24"/>
        </w:rPr>
        <w:t> </w:t>
      </w:r>
      <w:r w:rsidRPr="007B080C">
        <w:rPr>
          <w:rFonts w:eastAsia="Times New Roman" w:cs="Arial"/>
          <w:b/>
          <w:bCs/>
          <w:color w:val="000000" w:themeColor="text1"/>
          <w:sz w:val="24"/>
          <w:szCs w:val="24"/>
        </w:rPr>
        <w:t> </w:t>
      </w:r>
      <w:r w:rsidRPr="007B080C">
        <w:rPr>
          <w:rFonts w:eastAsia="Times New Roman" w:cs="Arial"/>
          <w:b/>
          <w:bCs/>
          <w:color w:val="000000" w:themeColor="text1"/>
          <w:sz w:val="24"/>
          <w:szCs w:val="24"/>
        </w:rPr>
        <w:t> </w:t>
      </w:r>
      <w:r w:rsidRPr="007B080C">
        <w:rPr>
          <w:rFonts w:eastAsia="Times New Roman" w:cs="Arial"/>
          <w:b/>
          <w:bCs/>
          <w:color w:val="000000" w:themeColor="text1"/>
          <w:sz w:val="24"/>
          <w:szCs w:val="24"/>
        </w:rPr>
        <w:t>3) la rubrica è sostituita dalla seguente: «Motoveicoli, ciclomotori, autoveicoli e macchine agricole d'epoca e di interesse storico e collezionistico iscritti negli appositi registri».</w:t>
      </w:r>
      <w:r>
        <w:rPr>
          <w:rStyle w:val="Rimandonotaapidipagina"/>
          <w:rFonts w:eastAsia="Times New Roman" w:cs="Arial"/>
          <w:b/>
          <w:bCs/>
          <w:color w:val="000000" w:themeColor="text1"/>
          <w:sz w:val="24"/>
          <w:szCs w:val="24"/>
        </w:rPr>
        <w:footnoteReference w:id="11"/>
      </w:r>
    </w:p>
    <w:p w14:paraId="4004067A"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   b) all'articolo 61:</w:t>
      </w:r>
    </w:p>
    <w:p w14:paraId="75793D46" w14:textId="6F874AFA" w:rsidR="00660EE5" w:rsidRPr="00660EE5" w:rsidRDefault="00660EE5" w:rsidP="000D7841">
      <w:pPr>
        <w:shd w:val="clear" w:color="auto" w:fill="FFFFFF"/>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    1) al comma 2, le parole «16,50 m» sono sostituite dalle seguenti: «</w:t>
      </w:r>
      <w:r w:rsidRPr="000D7841">
        <w:rPr>
          <w:rFonts w:asciiTheme="minorHAnsi" w:hAnsiTheme="minorHAnsi"/>
          <w:strike/>
          <w:color w:val="000000" w:themeColor="text1"/>
          <w:sz w:val="24"/>
          <w:szCs w:val="24"/>
          <w:highlight w:val="yellow"/>
        </w:rPr>
        <w:t>18 m</w:t>
      </w:r>
      <w:r w:rsidR="000D7841">
        <w:rPr>
          <w:rFonts w:asciiTheme="minorHAnsi" w:hAnsiTheme="minorHAnsi"/>
          <w:color w:val="000000" w:themeColor="text1"/>
          <w:sz w:val="24"/>
          <w:szCs w:val="24"/>
        </w:rPr>
        <w:t xml:space="preserve"> </w:t>
      </w:r>
      <w:r w:rsidR="000D7841">
        <w:rPr>
          <w:rFonts w:asciiTheme="minorHAnsi" w:hAnsiTheme="minorHAnsi"/>
          <w:b/>
          <w:bCs/>
          <w:color w:val="000000" w:themeColor="text1"/>
          <w:sz w:val="24"/>
          <w:szCs w:val="24"/>
        </w:rPr>
        <w:t>18.75 m</w:t>
      </w:r>
      <w:r w:rsidR="000D7841">
        <w:rPr>
          <w:rStyle w:val="Rimandonotaapidipagina"/>
          <w:rFonts w:asciiTheme="minorHAnsi" w:hAnsiTheme="minorHAnsi"/>
          <w:b/>
          <w:bCs/>
          <w:color w:val="000000" w:themeColor="text1"/>
          <w:sz w:val="24"/>
          <w:szCs w:val="24"/>
        </w:rPr>
        <w:footnoteReference w:id="12"/>
      </w:r>
      <w:proofErr w:type="gramStart"/>
      <w:r w:rsidRPr="00660EE5">
        <w:rPr>
          <w:rFonts w:asciiTheme="minorHAnsi" w:hAnsiTheme="minorHAnsi"/>
          <w:color w:val="000000" w:themeColor="text1"/>
          <w:sz w:val="24"/>
          <w:szCs w:val="24"/>
        </w:rPr>
        <w:t>»</w:t>
      </w:r>
      <w:r w:rsidR="000D7841">
        <w:rPr>
          <w:rFonts w:asciiTheme="minorHAnsi" w:hAnsiTheme="minorHAnsi"/>
          <w:color w:val="000000" w:themeColor="text1"/>
          <w:sz w:val="24"/>
          <w:szCs w:val="24"/>
        </w:rPr>
        <w:t xml:space="preserve"> </w:t>
      </w:r>
      <w:r w:rsidR="000D7841" w:rsidRPr="007B080C">
        <w:rPr>
          <w:rFonts w:eastAsia="Times New Roman" w:cs="Arial"/>
          <w:b/>
          <w:bCs/>
          <w:i/>
          <w:iCs/>
          <w:color w:val="000000" w:themeColor="text1"/>
          <w:sz w:val="24"/>
          <w:szCs w:val="24"/>
        </w:rPr>
        <w:t>,</w:t>
      </w:r>
      <w:proofErr w:type="gramEnd"/>
      <w:r w:rsidR="000D7841" w:rsidRPr="007B080C">
        <w:rPr>
          <w:rFonts w:eastAsia="Times New Roman" w:cs="Arial"/>
          <w:b/>
          <w:bCs/>
          <w:color w:val="000000" w:themeColor="text1"/>
          <w:sz w:val="24"/>
          <w:szCs w:val="24"/>
        </w:rPr>
        <w:t> ferma restando l'idoneità certificata dei rimorchi, o delle unità di carico ivi caricate, al trasporto intermodale strada – rotaia e strada – mare</w:t>
      </w:r>
      <w:r w:rsidR="000D7841">
        <w:rPr>
          <w:rStyle w:val="Rimandonotaapidipagina"/>
          <w:rFonts w:eastAsia="Times New Roman" w:cs="Arial"/>
          <w:b/>
          <w:bCs/>
          <w:color w:val="000000" w:themeColor="text1"/>
          <w:sz w:val="24"/>
          <w:szCs w:val="24"/>
        </w:rPr>
        <w:footnoteReference w:id="13"/>
      </w:r>
      <w:r w:rsidRPr="00660EE5">
        <w:rPr>
          <w:rFonts w:asciiTheme="minorHAnsi" w:hAnsiTheme="minorHAnsi"/>
          <w:color w:val="000000" w:themeColor="text1"/>
          <w:sz w:val="24"/>
          <w:szCs w:val="24"/>
        </w:rPr>
        <w:t>;</w:t>
      </w:r>
    </w:p>
    <w:p w14:paraId="4730A728" w14:textId="23C1A95B" w:rsid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    2) dopo il comma 2 è inserito il seguente: «2-bis. Gli autosnodati e i </w:t>
      </w:r>
      <w:proofErr w:type="spellStart"/>
      <w:r w:rsidRPr="00660EE5">
        <w:rPr>
          <w:rFonts w:asciiTheme="minorHAnsi" w:hAnsiTheme="minorHAnsi"/>
          <w:color w:val="000000" w:themeColor="text1"/>
          <w:sz w:val="24"/>
          <w:szCs w:val="24"/>
        </w:rPr>
        <w:t>filosnodati</w:t>
      </w:r>
      <w:proofErr w:type="spellEnd"/>
      <w:r w:rsidRPr="00660EE5">
        <w:rPr>
          <w:rFonts w:asciiTheme="minorHAnsi" w:hAnsiTheme="minorHAnsi"/>
          <w:color w:val="000000" w:themeColor="text1"/>
          <w:sz w:val="24"/>
          <w:szCs w:val="24"/>
        </w:rPr>
        <w:t xml:space="preserve"> destinati a sistemi di trasporto rapido di massa possono raggiungere la lunghezza massima di 24 m su itinerari in corsia riservata autorizzati dal Ministero delle infrastrutture e della mobilità sostenibili.»;</w:t>
      </w:r>
    </w:p>
    <w:p w14:paraId="00ED2113" w14:textId="77777777" w:rsidR="0054500D" w:rsidRPr="00155015" w:rsidRDefault="0054500D" w:rsidP="0054500D">
      <w:pPr>
        <w:shd w:val="clear" w:color="auto" w:fill="FFFFFF"/>
        <w:spacing w:after="0" w:line="240" w:lineRule="auto"/>
        <w:jc w:val="both"/>
        <w:rPr>
          <w:rFonts w:asciiTheme="minorHAnsi" w:eastAsia="Times New Roman" w:hAnsiTheme="minorHAnsi" w:cs="Arial"/>
          <w:b/>
          <w:bCs/>
          <w:color w:val="000000" w:themeColor="text1"/>
          <w:sz w:val="24"/>
          <w:szCs w:val="24"/>
        </w:rPr>
      </w:pPr>
      <w:r w:rsidRPr="00155015">
        <w:rPr>
          <w:rFonts w:asciiTheme="minorHAnsi" w:eastAsia="Times New Roman" w:hAnsiTheme="minorHAnsi" w:cs="Arial"/>
          <w:b/>
          <w:bCs/>
          <w:color w:val="000000" w:themeColor="text1"/>
          <w:sz w:val="24"/>
          <w:szCs w:val="24"/>
        </w:rPr>
        <w:t> </w:t>
      </w:r>
      <w:r w:rsidRPr="00155015">
        <w:rPr>
          <w:rFonts w:asciiTheme="minorHAnsi" w:eastAsia="Times New Roman" w:hAnsiTheme="minorHAnsi" w:cs="Arial"/>
          <w:b/>
          <w:bCs/>
          <w:color w:val="000000" w:themeColor="text1"/>
          <w:sz w:val="24"/>
          <w:szCs w:val="24"/>
        </w:rPr>
        <w:t> </w:t>
      </w:r>
      <w:r w:rsidRPr="00155015">
        <w:rPr>
          <w:rFonts w:asciiTheme="minorHAnsi" w:eastAsia="Times New Roman" w:hAnsiTheme="minorHAnsi" w:cs="Arial"/>
          <w:b/>
          <w:bCs/>
          <w:color w:val="000000" w:themeColor="text1"/>
          <w:sz w:val="24"/>
          <w:szCs w:val="24"/>
        </w:rPr>
        <w:t> </w:t>
      </w:r>
      <w:r w:rsidRPr="00155015">
        <w:rPr>
          <w:rFonts w:asciiTheme="minorHAnsi" w:eastAsia="Times New Roman" w:hAnsiTheme="minorHAnsi" w:cs="Arial"/>
          <w:b/>
          <w:bCs/>
          <w:i/>
          <w:iCs/>
          <w:color w:val="000000" w:themeColor="text1"/>
          <w:sz w:val="24"/>
          <w:szCs w:val="24"/>
        </w:rPr>
        <w:t>b-bis)</w:t>
      </w:r>
      <w:r w:rsidRPr="00155015">
        <w:rPr>
          <w:rFonts w:asciiTheme="minorHAnsi" w:eastAsia="Times New Roman" w:hAnsiTheme="minorHAnsi" w:cs="Arial"/>
          <w:b/>
          <w:bCs/>
          <w:color w:val="000000" w:themeColor="text1"/>
          <w:sz w:val="24"/>
          <w:szCs w:val="24"/>
        </w:rPr>
        <w:t> all'articolo 62, comma 3, il secondo periodo è sostituito dal seguente: «Qualora si tratti di autobus o filobus a 2 assi la massa complessiva a pieno carico non deve eccedere le 19,5 t»;</w:t>
      </w:r>
    </w:p>
    <w:p w14:paraId="241A8436" w14:textId="77777777" w:rsidR="0054500D" w:rsidRPr="00155015" w:rsidRDefault="0054500D" w:rsidP="0054500D">
      <w:pPr>
        <w:shd w:val="clear" w:color="auto" w:fill="FFFFFF"/>
        <w:spacing w:after="0" w:line="240" w:lineRule="auto"/>
        <w:jc w:val="both"/>
        <w:rPr>
          <w:rFonts w:asciiTheme="minorHAnsi" w:eastAsia="Times New Roman" w:hAnsiTheme="minorHAnsi" w:cs="Arial"/>
          <w:b/>
          <w:bCs/>
          <w:color w:val="000000" w:themeColor="text1"/>
          <w:sz w:val="24"/>
          <w:szCs w:val="24"/>
        </w:rPr>
      </w:pPr>
      <w:r w:rsidRPr="00155015">
        <w:rPr>
          <w:rFonts w:asciiTheme="minorHAnsi" w:eastAsia="Times New Roman" w:hAnsiTheme="minorHAnsi" w:cs="Arial"/>
          <w:b/>
          <w:bCs/>
          <w:color w:val="000000" w:themeColor="text1"/>
          <w:sz w:val="24"/>
          <w:szCs w:val="24"/>
        </w:rPr>
        <w:t> </w:t>
      </w:r>
      <w:r w:rsidRPr="00155015">
        <w:rPr>
          <w:rFonts w:asciiTheme="minorHAnsi" w:eastAsia="Times New Roman" w:hAnsiTheme="minorHAnsi" w:cs="Arial"/>
          <w:b/>
          <w:bCs/>
          <w:color w:val="000000" w:themeColor="text1"/>
          <w:sz w:val="24"/>
          <w:szCs w:val="24"/>
        </w:rPr>
        <w:t> </w:t>
      </w:r>
      <w:r w:rsidRPr="00155015">
        <w:rPr>
          <w:rFonts w:asciiTheme="minorHAnsi" w:eastAsia="Times New Roman" w:hAnsiTheme="minorHAnsi" w:cs="Arial"/>
          <w:b/>
          <w:bCs/>
          <w:color w:val="000000" w:themeColor="text1"/>
          <w:sz w:val="24"/>
          <w:szCs w:val="24"/>
        </w:rPr>
        <w:t> </w:t>
      </w:r>
      <w:r w:rsidRPr="00155015">
        <w:rPr>
          <w:rFonts w:asciiTheme="minorHAnsi" w:eastAsia="Times New Roman" w:hAnsiTheme="minorHAnsi" w:cs="Arial"/>
          <w:b/>
          <w:bCs/>
          <w:i/>
          <w:iCs/>
          <w:color w:val="000000" w:themeColor="text1"/>
          <w:sz w:val="24"/>
          <w:szCs w:val="24"/>
        </w:rPr>
        <w:t>b-ter)</w:t>
      </w:r>
      <w:r w:rsidRPr="00155015">
        <w:rPr>
          <w:rFonts w:asciiTheme="minorHAnsi" w:eastAsia="Times New Roman" w:hAnsiTheme="minorHAnsi" w:cs="Arial"/>
          <w:b/>
          <w:bCs/>
          <w:color w:val="000000" w:themeColor="text1"/>
          <w:sz w:val="24"/>
          <w:szCs w:val="24"/>
        </w:rPr>
        <w:t> all'articolo 68, il comma 2 è sostituito dal seguente:</w:t>
      </w:r>
    </w:p>
    <w:p w14:paraId="284EC8D6" w14:textId="4E396D03" w:rsidR="0054500D" w:rsidRPr="00155015" w:rsidRDefault="0054500D" w:rsidP="0054500D">
      <w:pPr>
        <w:shd w:val="clear" w:color="auto" w:fill="FFFFFF"/>
        <w:spacing w:after="0" w:line="240" w:lineRule="auto"/>
        <w:jc w:val="both"/>
        <w:rPr>
          <w:rFonts w:asciiTheme="minorHAnsi" w:eastAsia="Times New Roman" w:hAnsiTheme="minorHAnsi" w:cs="Arial"/>
          <w:b/>
          <w:bCs/>
          <w:color w:val="000000" w:themeColor="text1"/>
          <w:sz w:val="24"/>
          <w:szCs w:val="24"/>
        </w:rPr>
      </w:pPr>
      <w:r w:rsidRPr="00155015">
        <w:rPr>
          <w:rFonts w:asciiTheme="minorHAnsi" w:eastAsia="Times New Roman" w:hAnsiTheme="minorHAnsi" w:cs="Arial"/>
          <w:b/>
          <w:bCs/>
          <w:color w:val="000000" w:themeColor="text1"/>
          <w:sz w:val="24"/>
          <w:szCs w:val="24"/>
        </w:rPr>
        <w:t> </w:t>
      </w:r>
      <w:r w:rsidRPr="00155015">
        <w:rPr>
          <w:rFonts w:asciiTheme="minorHAnsi" w:eastAsia="Times New Roman" w:hAnsiTheme="minorHAnsi" w:cs="Arial"/>
          <w:b/>
          <w:bCs/>
          <w:color w:val="000000" w:themeColor="text1"/>
          <w:sz w:val="24"/>
          <w:szCs w:val="24"/>
        </w:rPr>
        <w:t> </w:t>
      </w:r>
      <w:r w:rsidRPr="00155015">
        <w:rPr>
          <w:rFonts w:asciiTheme="minorHAnsi" w:eastAsia="Times New Roman" w:hAnsiTheme="minorHAnsi" w:cs="Arial"/>
          <w:b/>
          <w:bCs/>
          <w:color w:val="000000" w:themeColor="text1"/>
          <w:sz w:val="24"/>
          <w:szCs w:val="24"/>
        </w:rPr>
        <w:t> </w:t>
      </w:r>
      <w:r w:rsidRPr="00155015">
        <w:rPr>
          <w:rFonts w:asciiTheme="minorHAnsi" w:eastAsia="Times New Roman" w:hAnsiTheme="minorHAnsi" w:cs="Arial"/>
          <w:b/>
          <w:bCs/>
          <w:color w:val="000000" w:themeColor="text1"/>
          <w:sz w:val="24"/>
          <w:szCs w:val="24"/>
        </w:rPr>
        <w:t>«</w:t>
      </w:r>
      <w:r w:rsidRPr="00155015">
        <w:rPr>
          <w:rFonts w:asciiTheme="minorHAnsi" w:eastAsia="Times New Roman" w:hAnsiTheme="minorHAnsi" w:cs="Arial"/>
          <w:b/>
          <w:bCs/>
          <w:i/>
          <w:iCs/>
          <w:color w:val="000000" w:themeColor="text1"/>
          <w:sz w:val="24"/>
          <w:szCs w:val="24"/>
        </w:rPr>
        <w:t>2</w:t>
      </w:r>
      <w:r w:rsidRPr="00155015">
        <w:rPr>
          <w:rFonts w:asciiTheme="minorHAnsi" w:eastAsia="Times New Roman" w:hAnsiTheme="minorHAnsi" w:cs="Arial"/>
          <w:b/>
          <w:bCs/>
          <w:color w:val="000000" w:themeColor="text1"/>
          <w:sz w:val="24"/>
          <w:szCs w:val="24"/>
        </w:rPr>
        <w:t>. I dispositivi di segnalazione di cui alla lettera </w:t>
      </w:r>
      <w:r w:rsidRPr="00155015">
        <w:rPr>
          <w:rFonts w:asciiTheme="minorHAnsi" w:eastAsia="Times New Roman" w:hAnsiTheme="minorHAnsi" w:cs="Arial"/>
          <w:b/>
          <w:bCs/>
          <w:i/>
          <w:iCs/>
          <w:color w:val="000000" w:themeColor="text1"/>
          <w:sz w:val="24"/>
          <w:szCs w:val="24"/>
        </w:rPr>
        <w:t>c)</w:t>
      </w:r>
      <w:r w:rsidRPr="00155015">
        <w:rPr>
          <w:rFonts w:asciiTheme="minorHAnsi" w:eastAsia="Times New Roman" w:hAnsiTheme="minorHAnsi" w:cs="Arial"/>
          <w:b/>
          <w:bCs/>
          <w:color w:val="000000" w:themeColor="text1"/>
          <w:sz w:val="24"/>
          <w:szCs w:val="24"/>
        </w:rPr>
        <w:t> del comma 1 devono essere funzionanti da mezz'ora dopo il tramonto del sole a mezz'ora prima del suo sorgere e anche di giorno nelle gallerie, in caso di nebbia, di caduta di neve, di forte pioggia e in ogni altro caso di scarsa visibilità, sia durante la marcia nei centri abitati, che fuori dai centri abitati.»;</w:t>
      </w:r>
      <w:r w:rsidR="00B02D0C">
        <w:rPr>
          <w:rStyle w:val="Rimandonotaapidipagina"/>
          <w:rFonts w:asciiTheme="minorHAnsi" w:eastAsia="Times New Roman" w:hAnsiTheme="minorHAnsi" w:cs="Arial"/>
          <w:b/>
          <w:bCs/>
          <w:color w:val="000000" w:themeColor="text1"/>
          <w:sz w:val="24"/>
          <w:szCs w:val="24"/>
        </w:rPr>
        <w:footnoteReference w:id="14"/>
      </w:r>
    </w:p>
    <w:p w14:paraId="308985C5" w14:textId="31EE6307" w:rsid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lastRenderedPageBreak/>
        <w:t>   c) all'articolo 80, comma 8, dopo le parole «temperatura controllata (ATP)» sono inserite le seguenti: «e dei relativi rimorchi e semirimorchi»;</w:t>
      </w:r>
    </w:p>
    <w:p w14:paraId="1071E00F" w14:textId="0B387C62" w:rsidR="000D7841" w:rsidRPr="007B080C" w:rsidRDefault="000D7841" w:rsidP="000D7841">
      <w:pPr>
        <w:shd w:val="clear" w:color="auto" w:fill="FFFFFF"/>
        <w:spacing w:after="0" w:line="240" w:lineRule="auto"/>
        <w:jc w:val="both"/>
        <w:rPr>
          <w:rFonts w:eastAsia="Times New Roman" w:cs="Arial"/>
          <w:b/>
          <w:bCs/>
          <w:color w:val="000000" w:themeColor="text1"/>
          <w:sz w:val="24"/>
          <w:szCs w:val="24"/>
        </w:rPr>
      </w:pPr>
      <w:r w:rsidRPr="00155015">
        <w:rPr>
          <w:rFonts w:eastAsia="Times New Roman" w:cs="Arial"/>
          <w:color w:val="000000" w:themeColor="text1"/>
          <w:sz w:val="24"/>
          <w:szCs w:val="24"/>
        </w:rPr>
        <w:t> </w:t>
      </w:r>
      <w:r>
        <w:rPr>
          <w:rFonts w:eastAsia="Times New Roman" w:cs="Arial"/>
          <w:color w:val="000000" w:themeColor="text1"/>
          <w:sz w:val="24"/>
          <w:szCs w:val="24"/>
        </w:rPr>
        <w:t xml:space="preserve">      </w:t>
      </w:r>
      <w:r w:rsidRPr="007B080C">
        <w:rPr>
          <w:rFonts w:eastAsia="Times New Roman" w:cs="Arial"/>
          <w:b/>
          <w:bCs/>
          <w:i/>
          <w:iCs/>
          <w:color w:val="000000" w:themeColor="text1"/>
          <w:sz w:val="24"/>
          <w:szCs w:val="24"/>
        </w:rPr>
        <w:t>c-bis)</w:t>
      </w:r>
      <w:r w:rsidRPr="007B080C">
        <w:rPr>
          <w:rFonts w:eastAsia="Times New Roman" w:cs="Arial"/>
          <w:b/>
          <w:bCs/>
          <w:color w:val="000000" w:themeColor="text1"/>
          <w:sz w:val="24"/>
          <w:szCs w:val="24"/>
        </w:rPr>
        <w:t> all'articolo 80 è aggiunto, in fine, il seguente comma:</w:t>
      </w:r>
    </w:p>
    <w:p w14:paraId="7BAD662E" w14:textId="11086C3C" w:rsidR="000D7841" w:rsidRDefault="000D7841" w:rsidP="000D7841">
      <w:pPr>
        <w:shd w:val="clear" w:color="auto" w:fill="FFFFFF"/>
        <w:spacing w:after="0" w:line="240" w:lineRule="auto"/>
        <w:jc w:val="both"/>
        <w:rPr>
          <w:rFonts w:eastAsia="Times New Roman" w:cs="Arial"/>
          <w:b/>
          <w:bCs/>
          <w:color w:val="000000" w:themeColor="text1"/>
          <w:sz w:val="24"/>
          <w:szCs w:val="24"/>
        </w:rPr>
      </w:pPr>
      <w:r w:rsidRPr="007B080C">
        <w:rPr>
          <w:rFonts w:eastAsia="Times New Roman" w:cs="Arial"/>
          <w:b/>
          <w:bCs/>
          <w:color w:val="000000" w:themeColor="text1"/>
          <w:sz w:val="24"/>
          <w:szCs w:val="24"/>
        </w:rPr>
        <w:t> </w:t>
      </w:r>
      <w:r w:rsidRPr="007B080C">
        <w:rPr>
          <w:rFonts w:eastAsia="Times New Roman" w:cs="Arial"/>
          <w:b/>
          <w:bCs/>
          <w:color w:val="000000" w:themeColor="text1"/>
          <w:sz w:val="24"/>
          <w:szCs w:val="24"/>
        </w:rPr>
        <w:t> </w:t>
      </w:r>
      <w:r w:rsidRPr="007B080C">
        <w:rPr>
          <w:rFonts w:eastAsia="Times New Roman" w:cs="Arial"/>
          <w:b/>
          <w:bCs/>
          <w:color w:val="000000" w:themeColor="text1"/>
          <w:sz w:val="24"/>
          <w:szCs w:val="24"/>
        </w:rPr>
        <w:t> </w:t>
      </w:r>
      <w:r w:rsidRPr="007B080C">
        <w:rPr>
          <w:rFonts w:eastAsia="Times New Roman" w:cs="Arial"/>
          <w:b/>
          <w:bCs/>
          <w:color w:val="000000" w:themeColor="text1"/>
          <w:sz w:val="24"/>
          <w:szCs w:val="24"/>
        </w:rPr>
        <w:t>«</w:t>
      </w:r>
      <w:r w:rsidRPr="007B080C">
        <w:rPr>
          <w:rFonts w:eastAsia="Times New Roman" w:cs="Arial"/>
          <w:b/>
          <w:bCs/>
          <w:i/>
          <w:iCs/>
          <w:color w:val="000000" w:themeColor="text1"/>
          <w:sz w:val="24"/>
          <w:szCs w:val="24"/>
        </w:rPr>
        <w:t>17-bis</w:t>
      </w:r>
      <w:r w:rsidRPr="007B080C">
        <w:rPr>
          <w:rFonts w:eastAsia="Times New Roman" w:cs="Arial"/>
          <w:b/>
          <w:bCs/>
          <w:color w:val="000000" w:themeColor="text1"/>
          <w:sz w:val="24"/>
          <w:szCs w:val="24"/>
        </w:rPr>
        <w:t>. Con decreto del Ministro delle infrastrutture e della mobilità sostenibili, da emanare entro quarantacinque giorni dalla data di entrata in vigore della presente disposizione, sono stabilite le modalità di riqualificazione delle bombole approvate in conformità al regolamento n. 110 della Commissione economica per l'Europa delle Nazioni Unite (UNECE R 110) e sono individuati i soggetti preposti alla riqualificazione, al fine di semplificare l'esecuzione della riqualificazione stessa».</w:t>
      </w:r>
      <w:r>
        <w:rPr>
          <w:rStyle w:val="Rimandonotaapidipagina"/>
          <w:rFonts w:eastAsia="Times New Roman" w:cs="Arial"/>
          <w:b/>
          <w:bCs/>
          <w:color w:val="000000" w:themeColor="text1"/>
          <w:sz w:val="24"/>
          <w:szCs w:val="24"/>
        </w:rPr>
        <w:footnoteReference w:id="15"/>
      </w:r>
    </w:p>
    <w:p w14:paraId="54EDCFBB" w14:textId="77777777" w:rsidR="000D7841" w:rsidRPr="007B080C" w:rsidRDefault="000D7841" w:rsidP="000D7841">
      <w:pPr>
        <w:shd w:val="clear" w:color="auto" w:fill="FFFFFF"/>
        <w:spacing w:after="0" w:line="240" w:lineRule="auto"/>
        <w:jc w:val="both"/>
        <w:rPr>
          <w:rFonts w:eastAsia="Times New Roman" w:cs="Arial"/>
          <w:b/>
          <w:bCs/>
          <w:color w:val="000000" w:themeColor="text1"/>
          <w:sz w:val="24"/>
          <w:szCs w:val="24"/>
        </w:rPr>
      </w:pPr>
      <w:r w:rsidRPr="00155015">
        <w:rPr>
          <w:rFonts w:eastAsia="Times New Roman" w:cs="Arial"/>
          <w:color w:val="000000" w:themeColor="text1"/>
          <w:sz w:val="24"/>
          <w:szCs w:val="24"/>
        </w:rPr>
        <w:t> </w:t>
      </w:r>
      <w:r w:rsidRPr="00155015">
        <w:rPr>
          <w:rFonts w:eastAsia="Times New Roman" w:cs="Arial"/>
          <w:color w:val="000000" w:themeColor="text1"/>
          <w:sz w:val="24"/>
          <w:szCs w:val="24"/>
        </w:rPr>
        <w:t> </w:t>
      </w:r>
      <w:r w:rsidRPr="00155015">
        <w:rPr>
          <w:rFonts w:eastAsia="Times New Roman" w:cs="Arial"/>
          <w:color w:val="000000" w:themeColor="text1"/>
          <w:sz w:val="24"/>
          <w:szCs w:val="24"/>
        </w:rPr>
        <w:t> </w:t>
      </w:r>
      <w:r w:rsidRPr="007B080C">
        <w:rPr>
          <w:rFonts w:eastAsia="Times New Roman" w:cs="Arial"/>
          <w:b/>
          <w:bCs/>
          <w:i/>
          <w:iCs/>
          <w:color w:val="000000" w:themeColor="text1"/>
          <w:sz w:val="24"/>
          <w:szCs w:val="24"/>
        </w:rPr>
        <w:t>c-bis)</w:t>
      </w:r>
      <w:r w:rsidRPr="007B080C">
        <w:rPr>
          <w:rFonts w:eastAsia="Times New Roman" w:cs="Arial"/>
          <w:b/>
          <w:bCs/>
          <w:color w:val="000000" w:themeColor="text1"/>
          <w:sz w:val="24"/>
          <w:szCs w:val="24"/>
        </w:rPr>
        <w:t> all'articolo 86:</w:t>
      </w:r>
    </w:p>
    <w:p w14:paraId="42471F49" w14:textId="77777777" w:rsidR="000D7841" w:rsidRPr="007B080C" w:rsidRDefault="000D7841" w:rsidP="000D7841">
      <w:pPr>
        <w:shd w:val="clear" w:color="auto" w:fill="FFFFFF"/>
        <w:spacing w:after="0" w:line="240" w:lineRule="auto"/>
        <w:jc w:val="both"/>
        <w:rPr>
          <w:rFonts w:eastAsia="Times New Roman" w:cs="Arial"/>
          <w:b/>
          <w:bCs/>
          <w:color w:val="000000" w:themeColor="text1"/>
          <w:sz w:val="24"/>
          <w:szCs w:val="24"/>
        </w:rPr>
      </w:pPr>
      <w:r w:rsidRPr="007B080C">
        <w:rPr>
          <w:rFonts w:eastAsia="Times New Roman" w:cs="Arial"/>
          <w:b/>
          <w:bCs/>
          <w:color w:val="000000" w:themeColor="text1"/>
          <w:sz w:val="24"/>
          <w:szCs w:val="24"/>
        </w:rPr>
        <w:t> </w:t>
      </w:r>
      <w:r w:rsidRPr="007B080C">
        <w:rPr>
          <w:rFonts w:eastAsia="Times New Roman" w:cs="Arial"/>
          <w:b/>
          <w:bCs/>
          <w:color w:val="000000" w:themeColor="text1"/>
          <w:sz w:val="24"/>
          <w:szCs w:val="24"/>
        </w:rPr>
        <w:t> </w:t>
      </w:r>
      <w:r w:rsidRPr="007B080C">
        <w:rPr>
          <w:rFonts w:eastAsia="Times New Roman" w:cs="Arial"/>
          <w:b/>
          <w:bCs/>
          <w:color w:val="000000" w:themeColor="text1"/>
          <w:sz w:val="24"/>
          <w:szCs w:val="24"/>
        </w:rPr>
        <w:t> </w:t>
      </w:r>
      <w:r w:rsidRPr="007B080C">
        <w:rPr>
          <w:rFonts w:eastAsia="Times New Roman" w:cs="Arial"/>
          <w:b/>
          <w:bCs/>
          <w:color w:val="000000" w:themeColor="text1"/>
          <w:sz w:val="24"/>
          <w:szCs w:val="24"/>
        </w:rPr>
        <w:t> </w:t>
      </w:r>
      <w:r w:rsidRPr="007B080C">
        <w:rPr>
          <w:rFonts w:eastAsia="Times New Roman" w:cs="Arial"/>
          <w:b/>
          <w:bCs/>
          <w:color w:val="000000" w:themeColor="text1"/>
          <w:sz w:val="24"/>
          <w:szCs w:val="24"/>
        </w:rPr>
        <w:t>1) al comma 1, dopo la parola: «autovetture» sono inserite le seguenti: «, motocicli e velocipedi»;</w:t>
      </w:r>
    </w:p>
    <w:p w14:paraId="3D881201" w14:textId="3CE71996" w:rsidR="000D7841" w:rsidRDefault="000D7841" w:rsidP="000D7841">
      <w:pPr>
        <w:shd w:val="clear" w:color="auto" w:fill="FFFFFF"/>
        <w:spacing w:after="0" w:line="240" w:lineRule="auto"/>
        <w:jc w:val="both"/>
        <w:rPr>
          <w:rFonts w:eastAsia="Times New Roman" w:cs="Arial"/>
          <w:b/>
          <w:bCs/>
          <w:color w:val="000000" w:themeColor="text1"/>
          <w:sz w:val="24"/>
          <w:szCs w:val="24"/>
        </w:rPr>
      </w:pPr>
      <w:r w:rsidRPr="007B080C">
        <w:rPr>
          <w:rFonts w:eastAsia="Times New Roman" w:cs="Arial"/>
          <w:b/>
          <w:bCs/>
          <w:color w:val="000000" w:themeColor="text1"/>
          <w:sz w:val="24"/>
          <w:szCs w:val="24"/>
        </w:rPr>
        <w:t> </w:t>
      </w:r>
      <w:r w:rsidRPr="007B080C">
        <w:rPr>
          <w:rFonts w:eastAsia="Times New Roman" w:cs="Arial"/>
          <w:b/>
          <w:bCs/>
          <w:color w:val="000000" w:themeColor="text1"/>
          <w:sz w:val="24"/>
          <w:szCs w:val="24"/>
        </w:rPr>
        <w:t> </w:t>
      </w:r>
      <w:r w:rsidRPr="007B080C">
        <w:rPr>
          <w:rFonts w:eastAsia="Times New Roman" w:cs="Arial"/>
          <w:b/>
          <w:bCs/>
          <w:color w:val="000000" w:themeColor="text1"/>
          <w:sz w:val="24"/>
          <w:szCs w:val="24"/>
        </w:rPr>
        <w:t> </w:t>
      </w:r>
      <w:r w:rsidRPr="007B080C">
        <w:rPr>
          <w:rFonts w:eastAsia="Times New Roman" w:cs="Arial"/>
          <w:b/>
          <w:bCs/>
          <w:color w:val="000000" w:themeColor="text1"/>
          <w:sz w:val="24"/>
          <w:szCs w:val="24"/>
        </w:rPr>
        <w:t> </w:t>
      </w:r>
      <w:r w:rsidRPr="007B080C">
        <w:rPr>
          <w:rFonts w:eastAsia="Times New Roman" w:cs="Arial"/>
          <w:b/>
          <w:bCs/>
          <w:color w:val="000000" w:themeColor="text1"/>
          <w:sz w:val="24"/>
          <w:szCs w:val="24"/>
        </w:rPr>
        <w:t>2) la rubrica è sostituita dalla seguente: «</w:t>
      </w:r>
      <w:r w:rsidRPr="007B080C">
        <w:rPr>
          <w:rFonts w:eastAsia="Times New Roman" w:cs="Arial"/>
          <w:b/>
          <w:bCs/>
          <w:i/>
          <w:iCs/>
          <w:color w:val="000000" w:themeColor="text1"/>
          <w:sz w:val="24"/>
          <w:szCs w:val="24"/>
        </w:rPr>
        <w:t>(Servizio di piazza con autovetture, motocicli e velocipedi con conducente o taxi)</w:t>
      </w:r>
      <w:r w:rsidRPr="007B080C">
        <w:rPr>
          <w:rFonts w:eastAsia="Times New Roman" w:cs="Arial"/>
          <w:b/>
          <w:bCs/>
          <w:color w:val="000000" w:themeColor="text1"/>
          <w:sz w:val="24"/>
          <w:szCs w:val="24"/>
        </w:rPr>
        <w:t>»</w:t>
      </w:r>
      <w:r>
        <w:rPr>
          <w:rStyle w:val="Rimandonotaapidipagina"/>
          <w:rFonts w:eastAsia="Times New Roman" w:cs="Arial"/>
          <w:b/>
          <w:bCs/>
          <w:color w:val="000000" w:themeColor="text1"/>
          <w:sz w:val="24"/>
          <w:szCs w:val="24"/>
        </w:rPr>
        <w:footnoteReference w:id="16"/>
      </w:r>
    </w:p>
    <w:p w14:paraId="08CD5D7F" w14:textId="5D3BE735" w:rsidR="000D7841" w:rsidRDefault="000D7841" w:rsidP="000D7841">
      <w:pPr>
        <w:shd w:val="clear" w:color="auto" w:fill="FFFFFF"/>
        <w:spacing w:after="0" w:line="240" w:lineRule="auto"/>
        <w:jc w:val="both"/>
        <w:rPr>
          <w:rFonts w:eastAsia="Times New Roman" w:cs="Arial"/>
          <w:b/>
          <w:bCs/>
          <w:color w:val="000000" w:themeColor="text1"/>
          <w:sz w:val="24"/>
          <w:szCs w:val="24"/>
        </w:rPr>
      </w:pPr>
      <w:r>
        <w:rPr>
          <w:rFonts w:eastAsia="Times New Roman" w:cs="Arial"/>
          <w:b/>
          <w:bCs/>
          <w:i/>
          <w:iCs/>
          <w:color w:val="000000" w:themeColor="text1"/>
          <w:sz w:val="24"/>
          <w:szCs w:val="24"/>
        </w:rPr>
        <w:t xml:space="preserve">          </w:t>
      </w:r>
      <w:r w:rsidRPr="007B080C">
        <w:rPr>
          <w:rFonts w:eastAsia="Times New Roman" w:cs="Arial"/>
          <w:b/>
          <w:bCs/>
          <w:i/>
          <w:iCs/>
          <w:color w:val="000000" w:themeColor="text1"/>
          <w:sz w:val="24"/>
          <w:szCs w:val="24"/>
        </w:rPr>
        <w:t>c-bis)</w:t>
      </w:r>
      <w:r w:rsidRPr="007B080C">
        <w:rPr>
          <w:rFonts w:eastAsia="Times New Roman" w:cs="Arial"/>
          <w:b/>
          <w:bCs/>
          <w:color w:val="000000" w:themeColor="text1"/>
          <w:sz w:val="24"/>
          <w:szCs w:val="24"/>
        </w:rPr>
        <w:t> all'articolo 100, comma 10, sono aggiunti, in fine, i seguenti periodi: «I motoveicoli impegnati in competizioni motoristiche fuoristrada che prevedono trasferimenti su strada possono esporre, limitatamente ai giorni e ai percorsi di gara, in luogo delle targhe di cui ai commi 1 e 2, una targa sostitutiva costituita da un pannello auto-costruito che riproduce i dati di immatricolazione del veicolo. Il pannello deve avere fondo giallo, cifre e lettere nere e caratteristiche dimensionali identiche a quelle della targa che sostituisce ed è collocato in modo da garantire la visibilità e la posizione richieste per le targhe di immatricolazione dal regolamento. Sono autorizzati all'utilizzo della targa sostitutiva i partecipanti concorrenti muniti di regolare licenza sportiva della Federazione motociclistica italiana, esclusivamente per la durata della manifestazione e lungo il percorso indicato nel regolamento della manifestazione stessa.»</w:t>
      </w:r>
      <w:r>
        <w:rPr>
          <w:rStyle w:val="Rimandonotaapidipagina"/>
          <w:rFonts w:eastAsia="Times New Roman" w:cs="Arial"/>
          <w:b/>
          <w:bCs/>
          <w:color w:val="000000" w:themeColor="text1"/>
          <w:sz w:val="24"/>
          <w:szCs w:val="24"/>
        </w:rPr>
        <w:footnoteReference w:id="17"/>
      </w:r>
    </w:p>
    <w:p w14:paraId="531EF12B" w14:textId="1A404866" w:rsidR="003E35CA" w:rsidRPr="00C40C2C" w:rsidRDefault="003E35CA" w:rsidP="003E35CA">
      <w:pPr>
        <w:shd w:val="clear" w:color="auto" w:fill="FFFFFF"/>
        <w:spacing w:after="0" w:line="240" w:lineRule="auto"/>
        <w:jc w:val="both"/>
        <w:rPr>
          <w:rFonts w:eastAsia="Times New Roman" w:cs="Arial"/>
          <w:b/>
          <w:bCs/>
          <w:color w:val="000000" w:themeColor="text1"/>
          <w:sz w:val="24"/>
          <w:szCs w:val="24"/>
        </w:rPr>
      </w:pPr>
      <w:r>
        <w:rPr>
          <w:rFonts w:eastAsia="Times New Roman" w:cs="Arial"/>
          <w:b/>
          <w:bCs/>
          <w:i/>
          <w:iCs/>
          <w:color w:val="000000" w:themeColor="text1"/>
          <w:sz w:val="24"/>
          <w:szCs w:val="24"/>
        </w:rPr>
        <w:t xml:space="preserve">          </w:t>
      </w:r>
      <w:r w:rsidRPr="00C40C2C">
        <w:rPr>
          <w:rFonts w:eastAsia="Times New Roman" w:cs="Arial"/>
          <w:b/>
          <w:bCs/>
          <w:i/>
          <w:iCs/>
          <w:color w:val="000000" w:themeColor="text1"/>
          <w:sz w:val="24"/>
          <w:szCs w:val="24"/>
        </w:rPr>
        <w:t>c-bis)</w:t>
      </w:r>
      <w:r w:rsidRPr="00C40C2C">
        <w:rPr>
          <w:rFonts w:eastAsia="Times New Roman" w:cs="Arial"/>
          <w:b/>
          <w:bCs/>
          <w:color w:val="000000" w:themeColor="text1"/>
          <w:sz w:val="24"/>
          <w:szCs w:val="24"/>
        </w:rPr>
        <w:t> all'articolo 110, dopo il comma 2 è inserito il seguente:</w:t>
      </w:r>
    </w:p>
    <w:p w14:paraId="5E21D616" w14:textId="67BE4B45" w:rsidR="003E35CA" w:rsidRDefault="003E35CA" w:rsidP="003E35CA">
      <w:pPr>
        <w:shd w:val="clear" w:color="auto" w:fill="FFFFFF"/>
        <w:spacing w:after="0" w:line="240" w:lineRule="auto"/>
        <w:jc w:val="both"/>
        <w:rPr>
          <w:rFonts w:eastAsia="Times New Roman" w:cs="Arial"/>
          <w:b/>
          <w:bCs/>
          <w:color w:val="000000" w:themeColor="text1"/>
          <w:sz w:val="24"/>
          <w:szCs w:val="24"/>
        </w:rPr>
      </w:pPr>
      <w:r w:rsidRPr="00C40C2C">
        <w:rPr>
          <w:rFonts w:eastAsia="Times New Roman" w:cs="Arial"/>
          <w:b/>
          <w:bCs/>
          <w:color w:val="000000" w:themeColor="text1"/>
          <w:sz w:val="24"/>
          <w:szCs w:val="24"/>
        </w:rPr>
        <w:t> </w:t>
      </w:r>
      <w:r w:rsidRPr="00C40C2C">
        <w:rPr>
          <w:rFonts w:eastAsia="Times New Roman" w:cs="Arial"/>
          <w:b/>
          <w:bCs/>
          <w:color w:val="000000" w:themeColor="text1"/>
          <w:sz w:val="24"/>
          <w:szCs w:val="24"/>
        </w:rPr>
        <w:t> </w:t>
      </w:r>
      <w:r w:rsidRPr="00C40C2C">
        <w:rPr>
          <w:rFonts w:eastAsia="Times New Roman" w:cs="Arial"/>
          <w:b/>
          <w:bCs/>
          <w:color w:val="000000" w:themeColor="text1"/>
          <w:sz w:val="24"/>
          <w:szCs w:val="24"/>
        </w:rPr>
        <w:t> </w:t>
      </w:r>
      <w:r w:rsidRPr="00C40C2C">
        <w:rPr>
          <w:rFonts w:eastAsia="Times New Roman" w:cs="Arial"/>
          <w:b/>
          <w:bCs/>
          <w:color w:val="000000" w:themeColor="text1"/>
          <w:sz w:val="24"/>
          <w:szCs w:val="24"/>
        </w:rPr>
        <w:t>«</w:t>
      </w:r>
      <w:r w:rsidRPr="00C40C2C">
        <w:rPr>
          <w:rFonts w:eastAsia="Times New Roman" w:cs="Arial"/>
          <w:b/>
          <w:bCs/>
          <w:i/>
          <w:iCs/>
          <w:color w:val="000000" w:themeColor="text1"/>
          <w:sz w:val="24"/>
          <w:szCs w:val="24"/>
        </w:rPr>
        <w:t>2-bis</w:t>
      </w:r>
      <w:r w:rsidRPr="00C40C2C">
        <w:rPr>
          <w:rFonts w:eastAsia="Times New Roman" w:cs="Arial"/>
          <w:b/>
          <w:bCs/>
          <w:color w:val="000000" w:themeColor="text1"/>
          <w:sz w:val="24"/>
          <w:szCs w:val="24"/>
        </w:rPr>
        <w:t>. Al fine di promuovere lo sviluppo delle reti di imprese di cui all'articolo 3 del decreto-legge 10 febbraio 2009, n. 5, convertito, con modificazioni, dalla legge 9 aprile 2009, n. 33, e all'articolo 6-</w:t>
      </w:r>
      <w:r w:rsidRPr="00C40C2C">
        <w:rPr>
          <w:rFonts w:eastAsia="Times New Roman" w:cs="Arial"/>
          <w:b/>
          <w:bCs/>
          <w:i/>
          <w:iCs/>
          <w:color w:val="000000" w:themeColor="text1"/>
          <w:sz w:val="24"/>
          <w:szCs w:val="24"/>
        </w:rPr>
        <w:t>bis</w:t>
      </w:r>
      <w:r w:rsidRPr="00C40C2C">
        <w:rPr>
          <w:rFonts w:eastAsia="Times New Roman" w:cs="Arial"/>
          <w:b/>
          <w:bCs/>
          <w:color w:val="000000" w:themeColor="text1"/>
          <w:sz w:val="24"/>
          <w:szCs w:val="24"/>
        </w:rPr>
        <w:t xml:space="preserve">, comma 2, del decreto-legge 24 giugno 2014, n. 91, convertito, con modificazioni, dalla legge 11 agosto </w:t>
      </w:r>
      <w:r w:rsidRPr="00C40C2C">
        <w:rPr>
          <w:rFonts w:eastAsia="Times New Roman" w:cs="Arial"/>
          <w:b/>
          <w:bCs/>
          <w:color w:val="000000" w:themeColor="text1"/>
          <w:sz w:val="24"/>
          <w:szCs w:val="24"/>
        </w:rPr>
        <w:lastRenderedPageBreak/>
        <w:t>2014, n. 116, alle reti costituite da imprenditori agricoli, singoli o associati, di cui all'articolo 2135 del codice civile, finalizzate anche all'acquisto di macchine agricole, è consentita l'immatricolazione ai sensi del comma 2 del presente articolo a nome della rete di imprese, identificata dal codice fiscale, richiesto dalle imprese partecipanti, e dal contratto di rete, redatto e iscritto ai sensi del citato articolo 3 del decreto-legge n. 5 del 2009, da cui risultino la sede, la denominazione e il programma della rete, previa individuazione di un'impresa della rete incaricata di eseguire le funzioni amministrative attribuite dalla legge al proprietario del veicolo».</w:t>
      </w:r>
      <w:r>
        <w:rPr>
          <w:rStyle w:val="Rimandonotaapidipagina"/>
          <w:rFonts w:eastAsia="Times New Roman" w:cs="Arial"/>
          <w:b/>
          <w:bCs/>
          <w:color w:val="000000" w:themeColor="text1"/>
          <w:sz w:val="24"/>
          <w:szCs w:val="24"/>
        </w:rPr>
        <w:footnoteReference w:id="18"/>
      </w:r>
    </w:p>
    <w:p w14:paraId="3C9BB244" w14:textId="77777777" w:rsidR="00B02D0C" w:rsidRPr="00155015" w:rsidRDefault="00B02D0C" w:rsidP="00B02D0C">
      <w:pPr>
        <w:shd w:val="clear" w:color="auto" w:fill="FFFFFF"/>
        <w:spacing w:after="0" w:line="240" w:lineRule="auto"/>
        <w:jc w:val="both"/>
        <w:rPr>
          <w:rFonts w:asciiTheme="minorHAnsi" w:eastAsia="Times New Roman" w:hAnsiTheme="minorHAnsi" w:cs="Arial"/>
          <w:b/>
          <w:bCs/>
          <w:color w:val="000000" w:themeColor="text1"/>
          <w:sz w:val="24"/>
          <w:szCs w:val="24"/>
        </w:rPr>
      </w:pPr>
      <w:r w:rsidRPr="00155015">
        <w:rPr>
          <w:rFonts w:asciiTheme="minorHAnsi" w:eastAsia="Times New Roman" w:hAnsiTheme="minorHAnsi" w:cs="Arial"/>
          <w:b/>
          <w:bCs/>
          <w:color w:val="000000" w:themeColor="text1"/>
          <w:sz w:val="24"/>
          <w:szCs w:val="24"/>
        </w:rPr>
        <w:t> </w:t>
      </w:r>
      <w:r w:rsidRPr="00155015">
        <w:rPr>
          <w:rFonts w:asciiTheme="minorHAnsi" w:eastAsia="Times New Roman" w:hAnsiTheme="minorHAnsi" w:cs="Arial"/>
          <w:b/>
          <w:bCs/>
          <w:color w:val="000000" w:themeColor="text1"/>
          <w:sz w:val="24"/>
          <w:szCs w:val="24"/>
        </w:rPr>
        <w:t> </w:t>
      </w:r>
      <w:r w:rsidRPr="00155015">
        <w:rPr>
          <w:rFonts w:asciiTheme="minorHAnsi" w:eastAsia="Times New Roman" w:hAnsiTheme="minorHAnsi" w:cs="Arial"/>
          <w:b/>
          <w:bCs/>
          <w:color w:val="000000" w:themeColor="text1"/>
          <w:sz w:val="24"/>
          <w:szCs w:val="24"/>
        </w:rPr>
        <w:t> </w:t>
      </w:r>
      <w:r w:rsidRPr="00155015">
        <w:rPr>
          <w:rFonts w:asciiTheme="minorHAnsi" w:eastAsia="Times New Roman" w:hAnsiTheme="minorHAnsi" w:cs="Arial"/>
          <w:b/>
          <w:bCs/>
          <w:i/>
          <w:iCs/>
          <w:color w:val="000000" w:themeColor="text1"/>
          <w:sz w:val="24"/>
          <w:szCs w:val="24"/>
        </w:rPr>
        <w:t>c-bis)</w:t>
      </w:r>
      <w:r w:rsidRPr="00155015">
        <w:rPr>
          <w:rFonts w:asciiTheme="minorHAnsi" w:eastAsia="Times New Roman" w:hAnsiTheme="minorHAnsi" w:cs="Arial"/>
          <w:b/>
          <w:bCs/>
          <w:color w:val="000000" w:themeColor="text1"/>
          <w:sz w:val="24"/>
          <w:szCs w:val="24"/>
        </w:rPr>
        <w:t> all'articolo 105, comma 1, le parole: «16,50 m» sono sostituite dalle seguenti: «18,75 m. I convogli che per specifiche necessità funzionali superano, da soli o compreso il loro carico, il limite di lunghezza di 18,75 m possono essere ammessi alla circolazione come trasporti eccezionali; a tali convogli si applicano le norme previste dall'articolo 104, comma 8»;</w:t>
      </w:r>
    </w:p>
    <w:p w14:paraId="0F43AA71" w14:textId="7915A8FA" w:rsidR="000D7841" w:rsidRDefault="00B02D0C" w:rsidP="00B02D0C">
      <w:pPr>
        <w:shd w:val="clear" w:color="auto" w:fill="FFFFFF"/>
        <w:spacing w:after="0" w:line="240" w:lineRule="auto"/>
        <w:jc w:val="both"/>
        <w:rPr>
          <w:rFonts w:asciiTheme="minorHAnsi" w:eastAsia="Times New Roman" w:hAnsiTheme="minorHAnsi" w:cs="Arial"/>
          <w:b/>
          <w:bCs/>
          <w:color w:val="000000" w:themeColor="text1"/>
          <w:sz w:val="24"/>
          <w:szCs w:val="24"/>
        </w:rPr>
      </w:pPr>
      <w:r w:rsidRPr="00155015">
        <w:rPr>
          <w:rFonts w:asciiTheme="minorHAnsi" w:eastAsia="Times New Roman" w:hAnsiTheme="minorHAnsi" w:cs="Arial"/>
          <w:b/>
          <w:bCs/>
          <w:color w:val="000000" w:themeColor="text1"/>
          <w:sz w:val="24"/>
          <w:szCs w:val="24"/>
        </w:rPr>
        <w:t> </w:t>
      </w:r>
      <w:r w:rsidRPr="00155015">
        <w:rPr>
          <w:rFonts w:asciiTheme="minorHAnsi" w:eastAsia="Times New Roman" w:hAnsiTheme="minorHAnsi" w:cs="Arial"/>
          <w:b/>
          <w:bCs/>
          <w:color w:val="000000" w:themeColor="text1"/>
          <w:sz w:val="24"/>
          <w:szCs w:val="24"/>
        </w:rPr>
        <w:t> </w:t>
      </w:r>
      <w:r w:rsidRPr="00155015">
        <w:rPr>
          <w:rFonts w:asciiTheme="minorHAnsi" w:eastAsia="Times New Roman" w:hAnsiTheme="minorHAnsi" w:cs="Arial"/>
          <w:b/>
          <w:bCs/>
          <w:color w:val="000000" w:themeColor="text1"/>
          <w:sz w:val="24"/>
          <w:szCs w:val="24"/>
        </w:rPr>
        <w:t> </w:t>
      </w:r>
      <w:r w:rsidRPr="00155015">
        <w:rPr>
          <w:rFonts w:asciiTheme="minorHAnsi" w:eastAsia="Times New Roman" w:hAnsiTheme="minorHAnsi" w:cs="Arial"/>
          <w:b/>
          <w:bCs/>
          <w:i/>
          <w:iCs/>
          <w:color w:val="000000" w:themeColor="text1"/>
          <w:sz w:val="24"/>
          <w:szCs w:val="24"/>
        </w:rPr>
        <w:t>c-ter)</w:t>
      </w:r>
      <w:r w:rsidRPr="00155015">
        <w:rPr>
          <w:rFonts w:asciiTheme="minorHAnsi" w:eastAsia="Times New Roman" w:hAnsiTheme="minorHAnsi" w:cs="Arial"/>
          <w:b/>
          <w:bCs/>
          <w:color w:val="000000" w:themeColor="text1"/>
          <w:sz w:val="24"/>
          <w:szCs w:val="24"/>
        </w:rPr>
        <w:t> all'articolo 110, comma 2, sono aggiunte, in fine, le seguenti parole: «e commercianti di macchine agricole e, limitatamente alle macchine agricole indicate dall'articolo 57, comma 2, lettera </w:t>
      </w:r>
      <w:r w:rsidRPr="00155015">
        <w:rPr>
          <w:rFonts w:asciiTheme="minorHAnsi" w:eastAsia="Times New Roman" w:hAnsiTheme="minorHAnsi" w:cs="Arial"/>
          <w:b/>
          <w:bCs/>
          <w:i/>
          <w:iCs/>
          <w:color w:val="000000" w:themeColor="text1"/>
          <w:sz w:val="24"/>
          <w:szCs w:val="24"/>
        </w:rPr>
        <w:t>a)</w:t>
      </w:r>
      <w:r w:rsidRPr="00155015">
        <w:rPr>
          <w:rFonts w:asciiTheme="minorHAnsi" w:eastAsia="Times New Roman" w:hAnsiTheme="minorHAnsi" w:cs="Arial"/>
          <w:b/>
          <w:bCs/>
          <w:color w:val="000000" w:themeColor="text1"/>
          <w:sz w:val="24"/>
          <w:szCs w:val="24"/>
        </w:rPr>
        <w:t>, numeri 1) e 2), aventi massa massima a pieno carico tecnicamente ammissibile non superiore a 6 t, e ai rimorchi agricoli di cui all'articolo 57, comma 2, lettera </w:t>
      </w:r>
      <w:r w:rsidRPr="00155015">
        <w:rPr>
          <w:rFonts w:asciiTheme="minorHAnsi" w:eastAsia="Times New Roman" w:hAnsiTheme="minorHAnsi" w:cs="Arial"/>
          <w:b/>
          <w:bCs/>
          <w:i/>
          <w:iCs/>
          <w:color w:val="000000" w:themeColor="text1"/>
          <w:sz w:val="24"/>
          <w:szCs w:val="24"/>
        </w:rPr>
        <w:t>b)</w:t>
      </w:r>
      <w:r w:rsidRPr="00155015">
        <w:rPr>
          <w:rFonts w:asciiTheme="minorHAnsi" w:eastAsia="Times New Roman" w:hAnsiTheme="minorHAnsi" w:cs="Arial"/>
          <w:b/>
          <w:bCs/>
          <w:color w:val="000000" w:themeColor="text1"/>
          <w:sz w:val="24"/>
          <w:szCs w:val="24"/>
        </w:rPr>
        <w:t>, numero 2), aventi massa complessiva non superiore a 6 t, a nome di colui che si dichiara proprietario»;</w:t>
      </w:r>
      <w:r>
        <w:rPr>
          <w:rStyle w:val="Rimandonotaapidipagina"/>
          <w:rFonts w:asciiTheme="minorHAnsi" w:eastAsia="Times New Roman" w:hAnsiTheme="minorHAnsi" w:cs="Arial"/>
          <w:b/>
          <w:bCs/>
          <w:color w:val="000000" w:themeColor="text1"/>
          <w:sz w:val="24"/>
          <w:szCs w:val="24"/>
        </w:rPr>
        <w:footnoteReference w:id="19"/>
      </w:r>
    </w:p>
    <w:p w14:paraId="4F006552" w14:textId="77777777" w:rsidR="003E35CA" w:rsidRPr="00155015" w:rsidRDefault="003E35CA" w:rsidP="00B02D0C">
      <w:pPr>
        <w:shd w:val="clear" w:color="auto" w:fill="FFFFFF"/>
        <w:spacing w:after="0" w:line="240" w:lineRule="auto"/>
        <w:jc w:val="both"/>
        <w:rPr>
          <w:rFonts w:asciiTheme="minorHAnsi" w:eastAsia="Times New Roman" w:hAnsiTheme="minorHAnsi" w:cs="Arial"/>
          <w:b/>
          <w:bCs/>
          <w:color w:val="000000" w:themeColor="text1"/>
          <w:sz w:val="24"/>
          <w:szCs w:val="24"/>
        </w:rPr>
      </w:pPr>
    </w:p>
    <w:p w14:paraId="26DDA10C" w14:textId="0C1DE54A" w:rsid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r w:rsidRPr="00B02D0C">
        <w:rPr>
          <w:rFonts w:asciiTheme="minorHAnsi" w:hAnsiTheme="minorHAnsi"/>
          <w:strike/>
          <w:color w:val="000000" w:themeColor="text1"/>
          <w:sz w:val="24"/>
          <w:szCs w:val="24"/>
          <w:highlight w:val="yellow"/>
        </w:rPr>
        <w:t>d) all'articolo 116, comma 9, il secondo periodo è sostituito dai seguenti: «Ai fini del conseguimento del certificato di abilitazione professionale di tipo KA è necessario che il conducente abbia la patente di categoria A1, A2 o A, nonché l'attestazione di avere frequentato con profitto un corso di formazione di primo soccorso. Ai fini del conseguimento del certificato di abilitazione professionale di tipo KB è necessario che il conducente abbia almeno la patente di categoria B1, nonché l'attestazione di avere frequentato con profitto un corso di formazione di primo soccorso.»</w:t>
      </w:r>
      <w:r w:rsidRPr="00660EE5">
        <w:rPr>
          <w:rFonts w:asciiTheme="minorHAnsi" w:hAnsiTheme="minorHAnsi"/>
          <w:color w:val="000000" w:themeColor="text1"/>
          <w:sz w:val="24"/>
          <w:szCs w:val="24"/>
        </w:rPr>
        <w:t>;</w:t>
      </w:r>
    </w:p>
    <w:p w14:paraId="69A6DCB7" w14:textId="7C43AFDF" w:rsidR="00B02D0C" w:rsidRDefault="00B02D0C" w:rsidP="00B02D0C">
      <w:pPr>
        <w:shd w:val="clear" w:color="auto" w:fill="FFFFFF"/>
        <w:spacing w:after="0" w:line="240" w:lineRule="auto"/>
        <w:jc w:val="both"/>
        <w:rPr>
          <w:rFonts w:asciiTheme="minorHAnsi" w:eastAsia="Times New Roman" w:hAnsiTheme="minorHAnsi" w:cs="Arial"/>
          <w:b/>
          <w:bCs/>
          <w:color w:val="000000" w:themeColor="text1"/>
          <w:sz w:val="24"/>
          <w:szCs w:val="24"/>
        </w:rPr>
      </w:pPr>
      <w:r>
        <w:rPr>
          <w:rFonts w:asciiTheme="minorHAnsi" w:eastAsia="Times New Roman" w:hAnsiTheme="minorHAnsi" w:cs="Arial"/>
          <w:b/>
          <w:bCs/>
          <w:i/>
          <w:iCs/>
          <w:color w:val="000000" w:themeColor="text1"/>
          <w:sz w:val="24"/>
          <w:szCs w:val="24"/>
        </w:rPr>
        <w:t xml:space="preserve">        </w:t>
      </w:r>
      <w:r w:rsidRPr="00155015">
        <w:rPr>
          <w:rFonts w:asciiTheme="minorHAnsi" w:eastAsia="Times New Roman" w:hAnsiTheme="minorHAnsi" w:cs="Arial"/>
          <w:b/>
          <w:bCs/>
          <w:i/>
          <w:iCs/>
          <w:color w:val="000000" w:themeColor="text1"/>
          <w:sz w:val="24"/>
          <w:szCs w:val="24"/>
        </w:rPr>
        <w:t>d)</w:t>
      </w:r>
      <w:r w:rsidRPr="00155015">
        <w:rPr>
          <w:rFonts w:asciiTheme="minorHAnsi" w:eastAsia="Times New Roman" w:hAnsiTheme="minorHAnsi" w:cs="Arial"/>
          <w:b/>
          <w:bCs/>
          <w:color w:val="000000" w:themeColor="text1"/>
          <w:sz w:val="24"/>
          <w:szCs w:val="24"/>
        </w:rPr>
        <w:t> all'articolo 116, comma 9, il secondo periodo è sostituito dai seguenti: «Ai fini del conseguimento del certificato di abilitazione professionale di tipo KA è necessario che il conducente abbia la patente di categoria A1, A2 o A, nonché l'attestazione di avere frequentato con profitto un corso di formazione di primo soccorso anch</w:t>
      </w:r>
      <w:r w:rsidRPr="00155015">
        <w:rPr>
          <w:rFonts w:eastAsia="Times New Roman" w:cs="Arial"/>
          <w:b/>
          <w:bCs/>
          <w:color w:val="000000" w:themeColor="text1"/>
          <w:sz w:val="24"/>
          <w:szCs w:val="24"/>
        </w:rPr>
        <w:t xml:space="preserve">e </w:t>
      </w:r>
      <w:r w:rsidRPr="00155015">
        <w:rPr>
          <w:rFonts w:asciiTheme="minorHAnsi" w:eastAsia="Times New Roman" w:hAnsiTheme="minorHAnsi" w:cs="Arial"/>
          <w:b/>
          <w:bCs/>
          <w:color w:val="000000" w:themeColor="text1"/>
          <w:sz w:val="24"/>
          <w:szCs w:val="24"/>
        </w:rPr>
        <w:t xml:space="preserve">presso un'autoscuola di cui all'articolo 123. Ai fini del </w:t>
      </w:r>
      <w:r w:rsidRPr="00155015">
        <w:rPr>
          <w:rFonts w:asciiTheme="minorHAnsi" w:eastAsia="Times New Roman" w:hAnsiTheme="minorHAnsi" w:cs="Arial"/>
          <w:b/>
          <w:bCs/>
          <w:color w:val="000000" w:themeColor="text1"/>
          <w:sz w:val="24"/>
          <w:szCs w:val="24"/>
        </w:rPr>
        <w:lastRenderedPageBreak/>
        <w:t>conseguimento del certificato di abilitazione professionale di tipo KB è necessario che il conducente abbia almeno la patente di categoria B1, nonché l'attestazione di avere frequentato con profitto un corso di formazione di primo soccorso anche presso un'autoscuola di cui all'articolo 123. Con decreto del Ministro della salute sono stabilite le modalità con cui anche gli istituti di dedicati all'educazione stradale possono erogare la formazione delle nozioni di primo soccorso prevista per i soggetti che intendono conseguire i certificati di abilitazione professionale di cui al secondo e al terzo periodo»;</w:t>
      </w:r>
      <w:r>
        <w:rPr>
          <w:rStyle w:val="Rimandonotaapidipagina"/>
          <w:rFonts w:asciiTheme="minorHAnsi" w:eastAsia="Times New Roman" w:hAnsiTheme="minorHAnsi" w:cs="Arial"/>
          <w:b/>
          <w:bCs/>
          <w:color w:val="000000" w:themeColor="text1"/>
          <w:sz w:val="24"/>
          <w:szCs w:val="24"/>
        </w:rPr>
        <w:footnoteReference w:id="20"/>
      </w:r>
    </w:p>
    <w:p w14:paraId="77624A36" w14:textId="0A70222E" w:rsidR="009963F7" w:rsidRPr="003D7908" w:rsidRDefault="009963F7" w:rsidP="009963F7">
      <w:pPr>
        <w:shd w:val="clear" w:color="auto" w:fill="FFFFFF"/>
        <w:spacing w:after="0" w:line="240" w:lineRule="auto"/>
        <w:jc w:val="both"/>
        <w:rPr>
          <w:rFonts w:eastAsia="Times New Roman" w:cs="Arial"/>
          <w:b/>
          <w:bCs/>
          <w:color w:val="000000" w:themeColor="text1"/>
          <w:sz w:val="24"/>
          <w:szCs w:val="24"/>
        </w:rPr>
      </w:pPr>
      <w:r>
        <w:rPr>
          <w:rFonts w:eastAsia="Times New Roman" w:cs="Arial"/>
          <w:b/>
          <w:bCs/>
          <w:i/>
          <w:iCs/>
          <w:color w:val="000000" w:themeColor="text1"/>
          <w:sz w:val="24"/>
          <w:szCs w:val="24"/>
        </w:rPr>
        <w:t xml:space="preserve">          </w:t>
      </w:r>
      <w:r w:rsidRPr="003D7908">
        <w:rPr>
          <w:rFonts w:eastAsia="Times New Roman" w:cs="Arial"/>
          <w:b/>
          <w:bCs/>
          <w:i/>
          <w:iCs/>
          <w:color w:val="000000" w:themeColor="text1"/>
          <w:sz w:val="24"/>
          <w:szCs w:val="24"/>
        </w:rPr>
        <w:t>d-bis)</w:t>
      </w:r>
      <w:r w:rsidRPr="003D7908">
        <w:rPr>
          <w:rFonts w:eastAsia="Times New Roman" w:cs="Arial"/>
          <w:b/>
          <w:bCs/>
          <w:color w:val="000000" w:themeColor="text1"/>
          <w:sz w:val="24"/>
          <w:szCs w:val="24"/>
        </w:rPr>
        <w:t> all'articolo 121, comma 11, secondo periodo, le parole: «per una volta soltanto» sono sostituite dalle seguenti: «per non più di due volte»;</w:t>
      </w:r>
    </w:p>
    <w:p w14:paraId="10C5FC72" w14:textId="77777777" w:rsidR="009963F7" w:rsidRPr="003D7908" w:rsidRDefault="009963F7" w:rsidP="009963F7">
      <w:pPr>
        <w:shd w:val="clear" w:color="auto" w:fill="FFFFFF"/>
        <w:spacing w:after="0" w:line="240" w:lineRule="auto"/>
        <w:jc w:val="both"/>
        <w:rPr>
          <w:rFonts w:eastAsia="Times New Roman" w:cs="Arial"/>
          <w:b/>
          <w:bCs/>
          <w:color w:val="000000" w:themeColor="text1"/>
          <w:sz w:val="24"/>
          <w:szCs w:val="24"/>
        </w:rPr>
      </w:pPr>
      <w:r w:rsidRPr="003D7908">
        <w:rPr>
          <w:rFonts w:eastAsia="Times New Roman" w:cs="Arial"/>
          <w:b/>
          <w:bCs/>
          <w:color w:val="000000" w:themeColor="text1"/>
          <w:sz w:val="24"/>
          <w:szCs w:val="24"/>
        </w:rPr>
        <w:t> </w:t>
      </w:r>
      <w:r w:rsidRPr="003D7908">
        <w:rPr>
          <w:rFonts w:eastAsia="Times New Roman" w:cs="Arial"/>
          <w:b/>
          <w:bCs/>
          <w:color w:val="000000" w:themeColor="text1"/>
          <w:sz w:val="24"/>
          <w:szCs w:val="24"/>
        </w:rPr>
        <w:t> </w:t>
      </w:r>
      <w:r w:rsidRPr="003D7908">
        <w:rPr>
          <w:rFonts w:eastAsia="Times New Roman" w:cs="Arial"/>
          <w:b/>
          <w:bCs/>
          <w:color w:val="000000" w:themeColor="text1"/>
          <w:sz w:val="24"/>
          <w:szCs w:val="24"/>
        </w:rPr>
        <w:t> </w:t>
      </w:r>
      <w:r w:rsidRPr="003D7908">
        <w:rPr>
          <w:rFonts w:eastAsia="Times New Roman" w:cs="Arial"/>
          <w:b/>
          <w:bCs/>
          <w:i/>
          <w:iCs/>
          <w:color w:val="000000" w:themeColor="text1"/>
          <w:sz w:val="24"/>
          <w:szCs w:val="24"/>
        </w:rPr>
        <w:t>d-ter)</w:t>
      </w:r>
      <w:r w:rsidRPr="003D7908">
        <w:rPr>
          <w:rFonts w:eastAsia="Times New Roman" w:cs="Arial"/>
          <w:b/>
          <w:bCs/>
          <w:color w:val="000000" w:themeColor="text1"/>
          <w:sz w:val="24"/>
          <w:szCs w:val="24"/>
        </w:rPr>
        <w:t> all'articolo 122:</w:t>
      </w:r>
    </w:p>
    <w:p w14:paraId="16725A96" w14:textId="77777777" w:rsidR="009963F7" w:rsidRPr="003D7908" w:rsidRDefault="009963F7" w:rsidP="009963F7">
      <w:pPr>
        <w:shd w:val="clear" w:color="auto" w:fill="FFFFFF"/>
        <w:spacing w:after="0" w:line="240" w:lineRule="auto"/>
        <w:jc w:val="both"/>
        <w:rPr>
          <w:rFonts w:eastAsia="Times New Roman" w:cs="Arial"/>
          <w:b/>
          <w:bCs/>
          <w:color w:val="000000" w:themeColor="text1"/>
          <w:sz w:val="24"/>
          <w:szCs w:val="24"/>
        </w:rPr>
      </w:pPr>
      <w:r w:rsidRPr="003D7908">
        <w:rPr>
          <w:rFonts w:eastAsia="Times New Roman" w:cs="Arial"/>
          <w:b/>
          <w:bCs/>
          <w:color w:val="000000" w:themeColor="text1"/>
          <w:sz w:val="24"/>
          <w:szCs w:val="24"/>
        </w:rPr>
        <w:t> </w:t>
      </w:r>
      <w:r w:rsidRPr="003D7908">
        <w:rPr>
          <w:rFonts w:eastAsia="Times New Roman" w:cs="Arial"/>
          <w:b/>
          <w:bCs/>
          <w:color w:val="000000" w:themeColor="text1"/>
          <w:sz w:val="24"/>
          <w:szCs w:val="24"/>
        </w:rPr>
        <w:t> </w:t>
      </w:r>
      <w:r w:rsidRPr="003D7908">
        <w:rPr>
          <w:rFonts w:eastAsia="Times New Roman" w:cs="Arial"/>
          <w:b/>
          <w:bCs/>
          <w:color w:val="000000" w:themeColor="text1"/>
          <w:sz w:val="24"/>
          <w:szCs w:val="24"/>
        </w:rPr>
        <w:t> </w:t>
      </w:r>
      <w:r w:rsidRPr="003D7908">
        <w:rPr>
          <w:rFonts w:eastAsia="Times New Roman" w:cs="Arial"/>
          <w:b/>
          <w:bCs/>
          <w:color w:val="000000" w:themeColor="text1"/>
          <w:sz w:val="24"/>
          <w:szCs w:val="24"/>
        </w:rPr>
        <w:t> </w:t>
      </w:r>
      <w:r w:rsidRPr="003D7908">
        <w:rPr>
          <w:rFonts w:eastAsia="Times New Roman" w:cs="Arial"/>
          <w:b/>
          <w:bCs/>
          <w:color w:val="000000" w:themeColor="text1"/>
          <w:sz w:val="24"/>
          <w:szCs w:val="24"/>
        </w:rPr>
        <w:t>1) il comma 3 è sostituito dal seguente:</w:t>
      </w:r>
    </w:p>
    <w:p w14:paraId="3C09F6AC" w14:textId="77777777" w:rsidR="009963F7" w:rsidRPr="003D7908" w:rsidRDefault="009963F7" w:rsidP="009963F7">
      <w:pPr>
        <w:shd w:val="clear" w:color="auto" w:fill="FFFFFF"/>
        <w:spacing w:after="0" w:line="240" w:lineRule="auto"/>
        <w:jc w:val="both"/>
        <w:rPr>
          <w:rFonts w:eastAsia="Times New Roman" w:cs="Arial"/>
          <w:b/>
          <w:bCs/>
          <w:color w:val="000000" w:themeColor="text1"/>
          <w:sz w:val="24"/>
          <w:szCs w:val="24"/>
        </w:rPr>
      </w:pPr>
      <w:r w:rsidRPr="003D7908">
        <w:rPr>
          <w:rFonts w:eastAsia="Times New Roman" w:cs="Arial"/>
          <w:b/>
          <w:bCs/>
          <w:color w:val="000000" w:themeColor="text1"/>
          <w:sz w:val="24"/>
          <w:szCs w:val="24"/>
        </w:rPr>
        <w:t> </w:t>
      </w:r>
      <w:r w:rsidRPr="003D7908">
        <w:rPr>
          <w:rFonts w:eastAsia="Times New Roman" w:cs="Arial"/>
          <w:b/>
          <w:bCs/>
          <w:color w:val="000000" w:themeColor="text1"/>
          <w:sz w:val="24"/>
          <w:szCs w:val="24"/>
        </w:rPr>
        <w:t> </w:t>
      </w:r>
      <w:r w:rsidRPr="003D7908">
        <w:rPr>
          <w:rFonts w:eastAsia="Times New Roman" w:cs="Arial"/>
          <w:b/>
          <w:bCs/>
          <w:color w:val="000000" w:themeColor="text1"/>
          <w:sz w:val="24"/>
          <w:szCs w:val="24"/>
        </w:rPr>
        <w:t> </w:t>
      </w:r>
      <w:r w:rsidRPr="003D7908">
        <w:rPr>
          <w:rFonts w:eastAsia="Times New Roman" w:cs="Arial"/>
          <w:b/>
          <w:bCs/>
          <w:color w:val="000000" w:themeColor="text1"/>
          <w:sz w:val="24"/>
          <w:szCs w:val="24"/>
        </w:rPr>
        <w:t>«</w:t>
      </w:r>
      <w:r w:rsidRPr="003D7908">
        <w:rPr>
          <w:rFonts w:eastAsia="Times New Roman" w:cs="Arial"/>
          <w:b/>
          <w:bCs/>
          <w:i/>
          <w:iCs/>
          <w:color w:val="000000" w:themeColor="text1"/>
          <w:sz w:val="24"/>
          <w:szCs w:val="24"/>
        </w:rPr>
        <w:t>3</w:t>
      </w:r>
      <w:r w:rsidRPr="003D7908">
        <w:rPr>
          <w:rFonts w:eastAsia="Times New Roman" w:cs="Arial"/>
          <w:b/>
          <w:bCs/>
          <w:color w:val="000000" w:themeColor="text1"/>
          <w:sz w:val="24"/>
          <w:szCs w:val="24"/>
        </w:rPr>
        <w:t>. Agli aspiranti autorizzati a esercitarsi per conseguire le patenti di categoria AM, A1, A2 e A, quando utilizzano veicoli nei quali non può prendere posto, a fianco del conducente, altra persona in funzione di istruttore, non si applicano le disposizioni del comma 2»;</w:t>
      </w:r>
    </w:p>
    <w:p w14:paraId="6548F794" w14:textId="77777777" w:rsidR="009963F7" w:rsidRPr="003D7908" w:rsidRDefault="009963F7" w:rsidP="009963F7">
      <w:pPr>
        <w:shd w:val="clear" w:color="auto" w:fill="FFFFFF"/>
        <w:spacing w:after="0" w:line="240" w:lineRule="auto"/>
        <w:jc w:val="both"/>
        <w:rPr>
          <w:rFonts w:eastAsia="Times New Roman" w:cs="Arial"/>
          <w:b/>
          <w:bCs/>
          <w:color w:val="000000" w:themeColor="text1"/>
          <w:sz w:val="24"/>
          <w:szCs w:val="24"/>
        </w:rPr>
      </w:pPr>
      <w:r w:rsidRPr="003D7908">
        <w:rPr>
          <w:rFonts w:eastAsia="Times New Roman" w:cs="Arial"/>
          <w:b/>
          <w:bCs/>
          <w:color w:val="000000" w:themeColor="text1"/>
          <w:sz w:val="24"/>
          <w:szCs w:val="24"/>
        </w:rPr>
        <w:t> </w:t>
      </w:r>
      <w:r w:rsidRPr="003D7908">
        <w:rPr>
          <w:rFonts w:eastAsia="Times New Roman" w:cs="Arial"/>
          <w:b/>
          <w:bCs/>
          <w:color w:val="000000" w:themeColor="text1"/>
          <w:sz w:val="24"/>
          <w:szCs w:val="24"/>
        </w:rPr>
        <w:t> </w:t>
      </w:r>
      <w:r w:rsidRPr="003D7908">
        <w:rPr>
          <w:rFonts w:eastAsia="Times New Roman" w:cs="Arial"/>
          <w:b/>
          <w:bCs/>
          <w:color w:val="000000" w:themeColor="text1"/>
          <w:sz w:val="24"/>
          <w:szCs w:val="24"/>
        </w:rPr>
        <w:t> </w:t>
      </w:r>
      <w:r w:rsidRPr="003D7908">
        <w:rPr>
          <w:rFonts w:eastAsia="Times New Roman" w:cs="Arial"/>
          <w:b/>
          <w:bCs/>
          <w:color w:val="000000" w:themeColor="text1"/>
          <w:sz w:val="24"/>
          <w:szCs w:val="24"/>
        </w:rPr>
        <w:t> </w:t>
      </w:r>
      <w:r w:rsidRPr="003D7908">
        <w:rPr>
          <w:rFonts w:eastAsia="Times New Roman" w:cs="Arial"/>
          <w:b/>
          <w:bCs/>
          <w:color w:val="000000" w:themeColor="text1"/>
          <w:sz w:val="24"/>
          <w:szCs w:val="24"/>
        </w:rPr>
        <w:t>2) il comma 5 è abrogato;</w:t>
      </w:r>
    </w:p>
    <w:p w14:paraId="3B4ED377" w14:textId="77777777" w:rsidR="009963F7" w:rsidRPr="003D7908" w:rsidRDefault="009963F7" w:rsidP="009963F7">
      <w:pPr>
        <w:shd w:val="clear" w:color="auto" w:fill="FFFFFF"/>
        <w:spacing w:after="0" w:line="240" w:lineRule="auto"/>
        <w:jc w:val="both"/>
        <w:rPr>
          <w:rFonts w:eastAsia="Times New Roman" w:cs="Arial"/>
          <w:b/>
          <w:bCs/>
          <w:color w:val="000000" w:themeColor="text1"/>
          <w:sz w:val="24"/>
          <w:szCs w:val="24"/>
        </w:rPr>
      </w:pPr>
      <w:r w:rsidRPr="003D7908">
        <w:rPr>
          <w:rFonts w:eastAsia="Times New Roman" w:cs="Arial"/>
          <w:b/>
          <w:bCs/>
          <w:color w:val="000000" w:themeColor="text1"/>
          <w:sz w:val="24"/>
          <w:szCs w:val="24"/>
        </w:rPr>
        <w:t> </w:t>
      </w:r>
      <w:r w:rsidRPr="003D7908">
        <w:rPr>
          <w:rFonts w:eastAsia="Times New Roman" w:cs="Arial"/>
          <w:b/>
          <w:bCs/>
          <w:color w:val="000000" w:themeColor="text1"/>
          <w:sz w:val="24"/>
          <w:szCs w:val="24"/>
        </w:rPr>
        <w:t> </w:t>
      </w:r>
      <w:r w:rsidRPr="003D7908">
        <w:rPr>
          <w:rFonts w:eastAsia="Times New Roman" w:cs="Arial"/>
          <w:b/>
          <w:bCs/>
          <w:color w:val="000000" w:themeColor="text1"/>
          <w:sz w:val="24"/>
          <w:szCs w:val="24"/>
        </w:rPr>
        <w:t> </w:t>
      </w:r>
      <w:r w:rsidRPr="003D7908">
        <w:rPr>
          <w:rFonts w:eastAsia="Times New Roman" w:cs="Arial"/>
          <w:b/>
          <w:bCs/>
          <w:color w:val="000000" w:themeColor="text1"/>
          <w:sz w:val="24"/>
          <w:szCs w:val="24"/>
        </w:rPr>
        <w:t> </w:t>
      </w:r>
      <w:r w:rsidRPr="003D7908">
        <w:rPr>
          <w:rFonts w:eastAsia="Times New Roman" w:cs="Arial"/>
          <w:b/>
          <w:bCs/>
          <w:color w:val="000000" w:themeColor="text1"/>
          <w:sz w:val="24"/>
          <w:szCs w:val="24"/>
        </w:rPr>
        <w:t>3) al comma 6, le parole: «sei mesi» sono sostituite dalle seguenti: «dodici mesi»;</w:t>
      </w:r>
    </w:p>
    <w:p w14:paraId="5A1348E1" w14:textId="77777777" w:rsidR="009963F7" w:rsidRPr="003D7908" w:rsidRDefault="009963F7" w:rsidP="009963F7">
      <w:pPr>
        <w:shd w:val="clear" w:color="auto" w:fill="FFFFFF"/>
        <w:spacing w:after="0" w:line="240" w:lineRule="auto"/>
        <w:jc w:val="both"/>
        <w:rPr>
          <w:rFonts w:eastAsia="Times New Roman" w:cs="Arial"/>
          <w:b/>
          <w:bCs/>
          <w:color w:val="000000" w:themeColor="text1"/>
          <w:sz w:val="24"/>
          <w:szCs w:val="24"/>
        </w:rPr>
      </w:pPr>
      <w:r w:rsidRPr="003D7908">
        <w:rPr>
          <w:rFonts w:eastAsia="Times New Roman" w:cs="Arial"/>
          <w:b/>
          <w:bCs/>
          <w:color w:val="000000" w:themeColor="text1"/>
          <w:sz w:val="24"/>
          <w:szCs w:val="24"/>
        </w:rPr>
        <w:t> </w:t>
      </w:r>
      <w:r w:rsidRPr="003D7908">
        <w:rPr>
          <w:rFonts w:eastAsia="Times New Roman" w:cs="Arial"/>
          <w:b/>
          <w:bCs/>
          <w:color w:val="000000" w:themeColor="text1"/>
          <w:sz w:val="24"/>
          <w:szCs w:val="24"/>
        </w:rPr>
        <w:t> </w:t>
      </w:r>
      <w:r w:rsidRPr="003D7908">
        <w:rPr>
          <w:rFonts w:eastAsia="Times New Roman" w:cs="Arial"/>
          <w:b/>
          <w:bCs/>
          <w:color w:val="000000" w:themeColor="text1"/>
          <w:sz w:val="24"/>
          <w:szCs w:val="24"/>
        </w:rPr>
        <w:t> </w:t>
      </w:r>
      <w:r w:rsidRPr="003D7908">
        <w:rPr>
          <w:rFonts w:eastAsia="Times New Roman" w:cs="Arial"/>
          <w:b/>
          <w:bCs/>
          <w:color w:val="000000" w:themeColor="text1"/>
          <w:sz w:val="24"/>
          <w:szCs w:val="24"/>
        </w:rPr>
        <w:t> </w:t>
      </w:r>
      <w:r w:rsidRPr="003D7908">
        <w:rPr>
          <w:rFonts w:eastAsia="Times New Roman" w:cs="Arial"/>
          <w:b/>
          <w:bCs/>
          <w:color w:val="000000" w:themeColor="text1"/>
          <w:sz w:val="24"/>
          <w:szCs w:val="24"/>
        </w:rPr>
        <w:t>4) il comma 8 è sostituito dal seguente:</w:t>
      </w:r>
    </w:p>
    <w:p w14:paraId="30DFD8F9" w14:textId="77777777" w:rsidR="009963F7" w:rsidRPr="003D7908" w:rsidRDefault="009963F7" w:rsidP="009963F7">
      <w:pPr>
        <w:shd w:val="clear" w:color="auto" w:fill="FFFFFF"/>
        <w:spacing w:after="0" w:line="240" w:lineRule="auto"/>
        <w:jc w:val="both"/>
        <w:rPr>
          <w:rFonts w:eastAsia="Times New Roman" w:cs="Arial"/>
          <w:b/>
          <w:bCs/>
          <w:color w:val="000000" w:themeColor="text1"/>
          <w:sz w:val="24"/>
          <w:szCs w:val="24"/>
        </w:rPr>
      </w:pPr>
      <w:r w:rsidRPr="003D7908">
        <w:rPr>
          <w:rFonts w:eastAsia="Times New Roman" w:cs="Arial"/>
          <w:b/>
          <w:bCs/>
          <w:color w:val="000000" w:themeColor="text1"/>
          <w:sz w:val="24"/>
          <w:szCs w:val="24"/>
        </w:rPr>
        <w:t> </w:t>
      </w:r>
      <w:r w:rsidRPr="003D7908">
        <w:rPr>
          <w:rFonts w:eastAsia="Times New Roman" w:cs="Arial"/>
          <w:b/>
          <w:bCs/>
          <w:color w:val="000000" w:themeColor="text1"/>
          <w:sz w:val="24"/>
          <w:szCs w:val="24"/>
        </w:rPr>
        <w:t> </w:t>
      </w:r>
      <w:r w:rsidRPr="003D7908">
        <w:rPr>
          <w:rFonts w:eastAsia="Times New Roman" w:cs="Arial"/>
          <w:b/>
          <w:bCs/>
          <w:color w:val="000000" w:themeColor="text1"/>
          <w:sz w:val="24"/>
          <w:szCs w:val="24"/>
        </w:rPr>
        <w:t> </w:t>
      </w:r>
      <w:r w:rsidRPr="003D7908">
        <w:rPr>
          <w:rFonts w:eastAsia="Times New Roman" w:cs="Arial"/>
          <w:b/>
          <w:bCs/>
          <w:color w:val="000000" w:themeColor="text1"/>
          <w:sz w:val="24"/>
          <w:szCs w:val="24"/>
        </w:rPr>
        <w:t>«</w:t>
      </w:r>
      <w:r w:rsidRPr="003D7908">
        <w:rPr>
          <w:rFonts w:eastAsia="Times New Roman" w:cs="Arial"/>
          <w:b/>
          <w:bCs/>
          <w:i/>
          <w:iCs/>
          <w:color w:val="000000" w:themeColor="text1"/>
          <w:sz w:val="24"/>
          <w:szCs w:val="24"/>
        </w:rPr>
        <w:t>8</w:t>
      </w:r>
      <w:r w:rsidRPr="003D7908">
        <w:rPr>
          <w:rFonts w:eastAsia="Times New Roman" w:cs="Arial"/>
          <w:b/>
          <w:bCs/>
          <w:color w:val="000000" w:themeColor="text1"/>
          <w:sz w:val="24"/>
          <w:szCs w:val="24"/>
        </w:rPr>
        <w:t>. Chiunque, autorizzato per l'esercitazione, guida senza avere a fianco, ove previsto, in funzione di istruttore, persona provvista di patente valida ai sensi del comma 2, è soggetto alla sanzione amministrativa del pagamento di una somma da euro 430 a euro 1.731. Alla violazione consegue la sanzione accessoria del fermo amministrativo del veicolo per tre mesi, secondo le norme del capo I, sezione II, del titolo VI»;</w:t>
      </w:r>
    </w:p>
    <w:p w14:paraId="16939E41" w14:textId="77777777" w:rsidR="009963F7" w:rsidRPr="003D7908" w:rsidRDefault="009963F7" w:rsidP="009963F7">
      <w:pPr>
        <w:shd w:val="clear" w:color="auto" w:fill="FFFFFF"/>
        <w:spacing w:after="0" w:line="240" w:lineRule="auto"/>
        <w:jc w:val="both"/>
        <w:rPr>
          <w:rFonts w:eastAsia="Times New Roman" w:cs="Arial"/>
          <w:b/>
          <w:bCs/>
          <w:color w:val="000000" w:themeColor="text1"/>
          <w:sz w:val="24"/>
          <w:szCs w:val="24"/>
        </w:rPr>
      </w:pPr>
      <w:r w:rsidRPr="003D7908">
        <w:rPr>
          <w:rFonts w:eastAsia="Times New Roman" w:cs="Arial"/>
          <w:b/>
          <w:bCs/>
          <w:color w:val="000000" w:themeColor="text1"/>
          <w:sz w:val="24"/>
          <w:szCs w:val="24"/>
        </w:rPr>
        <w:t> </w:t>
      </w:r>
      <w:r w:rsidRPr="003D7908">
        <w:rPr>
          <w:rFonts w:eastAsia="Times New Roman" w:cs="Arial"/>
          <w:b/>
          <w:bCs/>
          <w:color w:val="000000" w:themeColor="text1"/>
          <w:sz w:val="24"/>
          <w:szCs w:val="24"/>
        </w:rPr>
        <w:t> </w:t>
      </w:r>
      <w:r w:rsidRPr="003D7908">
        <w:rPr>
          <w:rFonts w:eastAsia="Times New Roman" w:cs="Arial"/>
          <w:b/>
          <w:bCs/>
          <w:color w:val="000000" w:themeColor="text1"/>
          <w:sz w:val="24"/>
          <w:szCs w:val="24"/>
        </w:rPr>
        <w:t> </w:t>
      </w:r>
      <w:r w:rsidRPr="003D7908">
        <w:rPr>
          <w:rFonts w:eastAsia="Times New Roman" w:cs="Arial"/>
          <w:b/>
          <w:bCs/>
          <w:i/>
          <w:iCs/>
          <w:color w:val="000000" w:themeColor="text1"/>
          <w:sz w:val="24"/>
          <w:szCs w:val="24"/>
        </w:rPr>
        <w:t>d-quater)</w:t>
      </w:r>
      <w:r w:rsidRPr="003D7908">
        <w:rPr>
          <w:rFonts w:eastAsia="Times New Roman" w:cs="Arial"/>
          <w:b/>
          <w:bCs/>
          <w:color w:val="000000" w:themeColor="text1"/>
          <w:sz w:val="24"/>
          <w:szCs w:val="24"/>
        </w:rPr>
        <w:t> all'articolo 126-</w:t>
      </w:r>
      <w:r w:rsidRPr="003D7908">
        <w:rPr>
          <w:rFonts w:eastAsia="Times New Roman" w:cs="Arial"/>
          <w:b/>
          <w:bCs/>
          <w:i/>
          <w:iCs/>
          <w:color w:val="000000" w:themeColor="text1"/>
          <w:sz w:val="24"/>
          <w:szCs w:val="24"/>
        </w:rPr>
        <w:t>bis</w:t>
      </w:r>
      <w:r w:rsidRPr="003D7908">
        <w:rPr>
          <w:rFonts w:eastAsia="Times New Roman" w:cs="Arial"/>
          <w:b/>
          <w:bCs/>
          <w:color w:val="000000" w:themeColor="text1"/>
          <w:sz w:val="24"/>
          <w:szCs w:val="24"/>
        </w:rPr>
        <w:t>, il comma 3 è sostituito dal seguente:</w:t>
      </w:r>
    </w:p>
    <w:p w14:paraId="382AD644" w14:textId="7DC38657" w:rsidR="009963F7" w:rsidRDefault="009963F7" w:rsidP="009963F7">
      <w:pPr>
        <w:shd w:val="clear" w:color="auto" w:fill="FFFFFF"/>
        <w:spacing w:after="0" w:line="240" w:lineRule="auto"/>
        <w:jc w:val="both"/>
        <w:rPr>
          <w:rFonts w:eastAsia="Times New Roman" w:cs="Arial"/>
          <w:b/>
          <w:bCs/>
          <w:color w:val="000000" w:themeColor="text1"/>
          <w:sz w:val="24"/>
          <w:szCs w:val="24"/>
        </w:rPr>
      </w:pPr>
      <w:r w:rsidRPr="003D7908">
        <w:rPr>
          <w:rFonts w:eastAsia="Times New Roman" w:cs="Arial"/>
          <w:b/>
          <w:bCs/>
          <w:color w:val="000000" w:themeColor="text1"/>
          <w:sz w:val="24"/>
          <w:szCs w:val="24"/>
        </w:rPr>
        <w:t> </w:t>
      </w:r>
      <w:r w:rsidRPr="003D7908">
        <w:rPr>
          <w:rFonts w:eastAsia="Times New Roman" w:cs="Arial"/>
          <w:b/>
          <w:bCs/>
          <w:color w:val="000000" w:themeColor="text1"/>
          <w:sz w:val="24"/>
          <w:szCs w:val="24"/>
        </w:rPr>
        <w:t> </w:t>
      </w:r>
      <w:r w:rsidRPr="003D7908">
        <w:rPr>
          <w:rFonts w:eastAsia="Times New Roman" w:cs="Arial"/>
          <w:b/>
          <w:bCs/>
          <w:color w:val="000000" w:themeColor="text1"/>
          <w:sz w:val="24"/>
          <w:szCs w:val="24"/>
        </w:rPr>
        <w:t> </w:t>
      </w:r>
      <w:r w:rsidRPr="003D7908">
        <w:rPr>
          <w:rFonts w:eastAsia="Times New Roman" w:cs="Arial"/>
          <w:b/>
          <w:bCs/>
          <w:color w:val="000000" w:themeColor="text1"/>
          <w:sz w:val="24"/>
          <w:szCs w:val="24"/>
        </w:rPr>
        <w:t>«</w:t>
      </w:r>
      <w:r w:rsidRPr="003D7908">
        <w:rPr>
          <w:rFonts w:eastAsia="Times New Roman" w:cs="Arial"/>
          <w:b/>
          <w:bCs/>
          <w:i/>
          <w:iCs/>
          <w:color w:val="000000" w:themeColor="text1"/>
          <w:sz w:val="24"/>
          <w:szCs w:val="24"/>
        </w:rPr>
        <w:t>3</w:t>
      </w:r>
      <w:r w:rsidRPr="003D7908">
        <w:rPr>
          <w:rFonts w:eastAsia="Times New Roman" w:cs="Arial"/>
          <w:b/>
          <w:bCs/>
          <w:color w:val="000000" w:themeColor="text1"/>
          <w:sz w:val="24"/>
          <w:szCs w:val="24"/>
        </w:rPr>
        <w:t>. Ogni variazione di punteggio è comunicata tramite il portale dell'automobilista con le modalità indicate dal Dipartimento per la mobilità sostenibile – Direzione generale per la motorizzazione e per i servizi ai cittadini e alle imprese in materia di trasporti e navigazione del Ministero delle infrastrutture e della mobilità sostenibili»;</w:t>
      </w:r>
      <w:r>
        <w:rPr>
          <w:rStyle w:val="Rimandonotaapidipagina"/>
          <w:rFonts w:eastAsia="Times New Roman" w:cs="Arial"/>
          <w:b/>
          <w:bCs/>
          <w:color w:val="000000" w:themeColor="text1"/>
          <w:sz w:val="24"/>
          <w:szCs w:val="24"/>
        </w:rPr>
        <w:footnoteReference w:id="21"/>
      </w:r>
    </w:p>
    <w:p w14:paraId="647D4587" w14:textId="787A58CD" w:rsidR="002513B9" w:rsidRPr="00D746BD" w:rsidRDefault="002513B9" w:rsidP="002513B9">
      <w:pPr>
        <w:shd w:val="clear" w:color="auto" w:fill="FFFFFF"/>
        <w:spacing w:after="0" w:line="240" w:lineRule="auto"/>
        <w:jc w:val="both"/>
        <w:rPr>
          <w:rFonts w:eastAsia="Times New Roman" w:cs="Arial"/>
          <w:b/>
          <w:bCs/>
          <w:color w:val="000000" w:themeColor="text1"/>
          <w:sz w:val="24"/>
          <w:szCs w:val="24"/>
        </w:rPr>
      </w:pPr>
      <w:r>
        <w:rPr>
          <w:rFonts w:eastAsia="Times New Roman" w:cs="Arial"/>
          <w:b/>
          <w:bCs/>
          <w:i/>
          <w:iCs/>
          <w:color w:val="000000" w:themeColor="text1"/>
          <w:sz w:val="24"/>
          <w:szCs w:val="24"/>
        </w:rPr>
        <w:lastRenderedPageBreak/>
        <w:t xml:space="preserve">      </w:t>
      </w:r>
      <w:r w:rsidRPr="00D746BD">
        <w:rPr>
          <w:rFonts w:eastAsia="Times New Roman" w:cs="Arial"/>
          <w:b/>
          <w:bCs/>
          <w:i/>
          <w:iCs/>
          <w:color w:val="000000" w:themeColor="text1"/>
          <w:sz w:val="24"/>
          <w:szCs w:val="24"/>
        </w:rPr>
        <w:t>d-bis)</w:t>
      </w:r>
      <w:r w:rsidRPr="00D746BD">
        <w:rPr>
          <w:rFonts w:eastAsia="Times New Roman" w:cs="Arial"/>
          <w:b/>
          <w:bCs/>
          <w:color w:val="000000" w:themeColor="text1"/>
          <w:sz w:val="24"/>
          <w:szCs w:val="24"/>
        </w:rPr>
        <w:t> all'articolo 138 dopo il comma 11, è aggiunto il seguente:</w:t>
      </w:r>
    </w:p>
    <w:p w14:paraId="092EFC4E" w14:textId="236BA00C" w:rsidR="002513B9" w:rsidRDefault="002513B9" w:rsidP="002513B9">
      <w:pPr>
        <w:shd w:val="clear" w:color="auto" w:fill="FFFFFF"/>
        <w:spacing w:after="0" w:line="240" w:lineRule="auto"/>
        <w:jc w:val="both"/>
        <w:rPr>
          <w:rFonts w:eastAsia="Times New Roman" w:cs="Arial"/>
          <w:b/>
          <w:bCs/>
          <w:color w:val="000000" w:themeColor="text1"/>
          <w:sz w:val="24"/>
          <w:szCs w:val="24"/>
        </w:rPr>
      </w:pPr>
      <w:r w:rsidRPr="00D746BD">
        <w:rPr>
          <w:rFonts w:eastAsia="Times New Roman" w:cs="Arial"/>
          <w:b/>
          <w:bCs/>
          <w:color w:val="000000" w:themeColor="text1"/>
          <w:sz w:val="24"/>
          <w:szCs w:val="24"/>
        </w:rPr>
        <w:t> </w:t>
      </w:r>
      <w:r w:rsidRPr="00D746BD">
        <w:rPr>
          <w:rFonts w:eastAsia="Times New Roman" w:cs="Arial"/>
          <w:b/>
          <w:bCs/>
          <w:color w:val="000000" w:themeColor="text1"/>
          <w:sz w:val="24"/>
          <w:szCs w:val="24"/>
        </w:rPr>
        <w:t> </w:t>
      </w:r>
      <w:r w:rsidRPr="00D746BD">
        <w:rPr>
          <w:rFonts w:eastAsia="Times New Roman" w:cs="Arial"/>
          <w:b/>
          <w:bCs/>
          <w:color w:val="000000" w:themeColor="text1"/>
          <w:sz w:val="24"/>
          <w:szCs w:val="24"/>
        </w:rPr>
        <w:t> </w:t>
      </w:r>
      <w:r w:rsidRPr="00D746BD">
        <w:rPr>
          <w:rFonts w:eastAsia="Times New Roman" w:cs="Arial"/>
          <w:b/>
          <w:bCs/>
          <w:color w:val="000000" w:themeColor="text1"/>
          <w:sz w:val="24"/>
          <w:szCs w:val="24"/>
        </w:rPr>
        <w:t>«</w:t>
      </w:r>
      <w:r w:rsidRPr="00D746BD">
        <w:rPr>
          <w:rFonts w:eastAsia="Times New Roman" w:cs="Arial"/>
          <w:b/>
          <w:bCs/>
          <w:i/>
          <w:iCs/>
          <w:color w:val="000000" w:themeColor="text1"/>
          <w:sz w:val="24"/>
          <w:szCs w:val="24"/>
        </w:rPr>
        <w:t>11-bis</w:t>
      </w:r>
      <w:r w:rsidRPr="00D746BD">
        <w:rPr>
          <w:rFonts w:eastAsia="Times New Roman" w:cs="Arial"/>
          <w:b/>
          <w:bCs/>
          <w:color w:val="000000" w:themeColor="text1"/>
          <w:sz w:val="24"/>
          <w:szCs w:val="24"/>
        </w:rPr>
        <w:t>. I veicoli in dotazione alla Protezione civile nazionale, alla protezione civile della regione Valle d'Aosta e delle province autonome di Trento e di Bolzano, agli enti locali e agli enti del Terzo settore, comunque immatricolati, utilizzati per fini istituzionali e servizi di pubblica utilità, possono essere dotati di rimorchio destinato al trasporto di cose, di larghezza massima superiore alla larghezza del veicolo trainante, fermi restando i limiti di cui agli articoli 61 e 62.».</w:t>
      </w:r>
      <w:r>
        <w:rPr>
          <w:rStyle w:val="Rimandonotaapidipagina"/>
          <w:rFonts w:eastAsia="Times New Roman" w:cs="Arial"/>
          <w:b/>
          <w:bCs/>
          <w:color w:val="000000" w:themeColor="text1"/>
          <w:sz w:val="24"/>
          <w:szCs w:val="24"/>
        </w:rPr>
        <w:footnoteReference w:id="22"/>
      </w:r>
    </w:p>
    <w:p w14:paraId="3C643579" w14:textId="77CF3302" w:rsidR="008533A9" w:rsidRPr="00923866" w:rsidRDefault="008533A9" w:rsidP="008533A9">
      <w:pPr>
        <w:shd w:val="clear" w:color="auto" w:fill="FFFFFF"/>
        <w:spacing w:after="0" w:line="240" w:lineRule="auto"/>
        <w:jc w:val="both"/>
        <w:rPr>
          <w:rFonts w:eastAsia="Times New Roman" w:cs="Arial"/>
          <w:b/>
          <w:bCs/>
          <w:color w:val="000000" w:themeColor="text1"/>
          <w:sz w:val="24"/>
          <w:szCs w:val="24"/>
        </w:rPr>
      </w:pPr>
      <w:r>
        <w:rPr>
          <w:rFonts w:eastAsia="Times New Roman" w:cs="Arial"/>
          <w:b/>
          <w:bCs/>
          <w:i/>
          <w:iCs/>
          <w:color w:val="000000" w:themeColor="text1"/>
          <w:sz w:val="24"/>
          <w:szCs w:val="24"/>
        </w:rPr>
        <w:t xml:space="preserve">        </w:t>
      </w:r>
      <w:r w:rsidRPr="00923866">
        <w:rPr>
          <w:rFonts w:eastAsia="Times New Roman" w:cs="Arial"/>
          <w:b/>
          <w:bCs/>
          <w:i/>
          <w:iCs/>
          <w:color w:val="000000" w:themeColor="text1"/>
          <w:sz w:val="24"/>
          <w:szCs w:val="24"/>
        </w:rPr>
        <w:t>d-bis)</w:t>
      </w:r>
      <w:r w:rsidRPr="00923866">
        <w:rPr>
          <w:rFonts w:eastAsia="Times New Roman" w:cs="Arial"/>
          <w:b/>
          <w:bCs/>
          <w:color w:val="000000" w:themeColor="text1"/>
          <w:sz w:val="24"/>
          <w:szCs w:val="24"/>
        </w:rPr>
        <w:t> all'articolo 147:</w:t>
      </w:r>
    </w:p>
    <w:p w14:paraId="6B6439A6" w14:textId="77777777" w:rsidR="008533A9" w:rsidRPr="00923866" w:rsidRDefault="008533A9" w:rsidP="008533A9">
      <w:pPr>
        <w:shd w:val="clear" w:color="auto" w:fill="FFFFFF"/>
        <w:spacing w:after="0" w:line="240" w:lineRule="auto"/>
        <w:jc w:val="both"/>
        <w:rPr>
          <w:rFonts w:eastAsia="Times New Roman" w:cs="Arial"/>
          <w:b/>
          <w:bCs/>
          <w:color w:val="000000" w:themeColor="text1"/>
          <w:sz w:val="24"/>
          <w:szCs w:val="24"/>
        </w:rPr>
      </w:pPr>
      <w:r w:rsidRPr="00923866">
        <w:rPr>
          <w:rFonts w:eastAsia="Times New Roman" w:cs="Arial"/>
          <w:b/>
          <w:bCs/>
          <w:color w:val="000000" w:themeColor="text1"/>
          <w:sz w:val="24"/>
          <w:szCs w:val="24"/>
        </w:rPr>
        <w:t> </w:t>
      </w:r>
      <w:r w:rsidRPr="00923866">
        <w:rPr>
          <w:rFonts w:eastAsia="Times New Roman" w:cs="Arial"/>
          <w:b/>
          <w:bCs/>
          <w:color w:val="000000" w:themeColor="text1"/>
          <w:sz w:val="24"/>
          <w:szCs w:val="24"/>
        </w:rPr>
        <w:t> </w:t>
      </w:r>
      <w:r w:rsidRPr="00923866">
        <w:rPr>
          <w:rFonts w:eastAsia="Times New Roman" w:cs="Arial"/>
          <w:b/>
          <w:bCs/>
          <w:color w:val="000000" w:themeColor="text1"/>
          <w:sz w:val="24"/>
          <w:szCs w:val="24"/>
        </w:rPr>
        <w:t> </w:t>
      </w:r>
      <w:r w:rsidRPr="00923866">
        <w:rPr>
          <w:rFonts w:eastAsia="Times New Roman" w:cs="Arial"/>
          <w:b/>
          <w:bCs/>
          <w:i/>
          <w:iCs/>
          <w:color w:val="000000" w:themeColor="text1"/>
          <w:sz w:val="24"/>
          <w:szCs w:val="24"/>
        </w:rPr>
        <w:t>a)</w:t>
      </w:r>
      <w:r w:rsidRPr="00923866">
        <w:rPr>
          <w:rFonts w:eastAsia="Times New Roman" w:cs="Arial"/>
          <w:b/>
          <w:bCs/>
          <w:color w:val="000000" w:themeColor="text1"/>
          <w:sz w:val="24"/>
          <w:szCs w:val="24"/>
        </w:rPr>
        <w:t> dopo il comma 3 è inserito il seguente:</w:t>
      </w:r>
    </w:p>
    <w:p w14:paraId="7F047536" w14:textId="77777777" w:rsidR="008533A9" w:rsidRPr="00923866" w:rsidRDefault="008533A9" w:rsidP="008533A9">
      <w:pPr>
        <w:shd w:val="clear" w:color="auto" w:fill="FFFFFF"/>
        <w:spacing w:after="0" w:line="240" w:lineRule="auto"/>
        <w:jc w:val="both"/>
        <w:rPr>
          <w:rFonts w:eastAsia="Times New Roman" w:cs="Arial"/>
          <w:b/>
          <w:bCs/>
          <w:color w:val="000000" w:themeColor="text1"/>
          <w:sz w:val="24"/>
          <w:szCs w:val="24"/>
        </w:rPr>
      </w:pPr>
      <w:r w:rsidRPr="00923866">
        <w:rPr>
          <w:rFonts w:eastAsia="Times New Roman" w:cs="Arial"/>
          <w:b/>
          <w:bCs/>
          <w:color w:val="000000" w:themeColor="text1"/>
          <w:sz w:val="24"/>
          <w:szCs w:val="24"/>
        </w:rPr>
        <w:t> </w:t>
      </w:r>
      <w:r w:rsidRPr="00923866">
        <w:rPr>
          <w:rFonts w:eastAsia="Times New Roman" w:cs="Arial"/>
          <w:b/>
          <w:bCs/>
          <w:color w:val="000000" w:themeColor="text1"/>
          <w:sz w:val="24"/>
          <w:szCs w:val="24"/>
        </w:rPr>
        <w:t> </w:t>
      </w:r>
      <w:r w:rsidRPr="00923866">
        <w:rPr>
          <w:rFonts w:eastAsia="Times New Roman" w:cs="Arial"/>
          <w:b/>
          <w:bCs/>
          <w:color w:val="000000" w:themeColor="text1"/>
          <w:sz w:val="24"/>
          <w:szCs w:val="24"/>
        </w:rPr>
        <w:t> </w:t>
      </w:r>
      <w:r w:rsidRPr="00923866">
        <w:rPr>
          <w:rFonts w:eastAsia="Times New Roman" w:cs="Arial"/>
          <w:b/>
          <w:bCs/>
          <w:color w:val="000000" w:themeColor="text1"/>
          <w:sz w:val="24"/>
          <w:szCs w:val="24"/>
        </w:rPr>
        <w:t>«</w:t>
      </w:r>
      <w:r w:rsidRPr="00923866">
        <w:rPr>
          <w:rFonts w:eastAsia="Times New Roman" w:cs="Arial"/>
          <w:b/>
          <w:bCs/>
          <w:i/>
          <w:iCs/>
          <w:color w:val="000000" w:themeColor="text1"/>
          <w:sz w:val="24"/>
          <w:szCs w:val="24"/>
        </w:rPr>
        <w:t>3-bis</w:t>
      </w:r>
      <w:r w:rsidRPr="00923866">
        <w:rPr>
          <w:rFonts w:eastAsia="Times New Roman" w:cs="Arial"/>
          <w:b/>
          <w:bCs/>
          <w:color w:val="000000" w:themeColor="text1"/>
          <w:sz w:val="24"/>
          <w:szCs w:val="24"/>
        </w:rPr>
        <w:t>. Il mancato rispetto di quanto stabilito dal comma 3 può essere rilevato anche tramite appositi dispositivi per l'accertamento e il rilevamento automatico delle violazioni, conformi alle caratteristiche specificate dall'articolo 192 del regolamento.»;</w:t>
      </w:r>
    </w:p>
    <w:p w14:paraId="691185A3" w14:textId="77777777" w:rsidR="008533A9" w:rsidRPr="00923866" w:rsidRDefault="008533A9" w:rsidP="008533A9">
      <w:pPr>
        <w:shd w:val="clear" w:color="auto" w:fill="FFFFFF"/>
        <w:spacing w:after="0" w:line="240" w:lineRule="auto"/>
        <w:jc w:val="both"/>
        <w:rPr>
          <w:rFonts w:eastAsia="Times New Roman" w:cs="Arial"/>
          <w:b/>
          <w:bCs/>
          <w:color w:val="000000" w:themeColor="text1"/>
          <w:sz w:val="24"/>
          <w:szCs w:val="24"/>
        </w:rPr>
      </w:pPr>
      <w:r w:rsidRPr="00923866">
        <w:rPr>
          <w:rFonts w:eastAsia="Times New Roman" w:cs="Arial"/>
          <w:b/>
          <w:bCs/>
          <w:color w:val="000000" w:themeColor="text1"/>
          <w:sz w:val="24"/>
          <w:szCs w:val="24"/>
        </w:rPr>
        <w:t> </w:t>
      </w:r>
      <w:r w:rsidRPr="00923866">
        <w:rPr>
          <w:rFonts w:eastAsia="Times New Roman" w:cs="Arial"/>
          <w:b/>
          <w:bCs/>
          <w:color w:val="000000" w:themeColor="text1"/>
          <w:sz w:val="24"/>
          <w:szCs w:val="24"/>
        </w:rPr>
        <w:t> </w:t>
      </w:r>
      <w:r w:rsidRPr="00923866">
        <w:rPr>
          <w:rFonts w:eastAsia="Times New Roman" w:cs="Arial"/>
          <w:b/>
          <w:bCs/>
          <w:color w:val="000000" w:themeColor="text1"/>
          <w:sz w:val="24"/>
          <w:szCs w:val="24"/>
        </w:rPr>
        <w:t> </w:t>
      </w:r>
      <w:r w:rsidRPr="00923866">
        <w:rPr>
          <w:rFonts w:eastAsia="Times New Roman" w:cs="Arial"/>
          <w:b/>
          <w:bCs/>
          <w:i/>
          <w:iCs/>
          <w:color w:val="000000" w:themeColor="text1"/>
          <w:sz w:val="24"/>
          <w:szCs w:val="24"/>
        </w:rPr>
        <w:t>b)</w:t>
      </w:r>
      <w:r w:rsidRPr="00923866">
        <w:rPr>
          <w:rFonts w:eastAsia="Times New Roman" w:cs="Arial"/>
          <w:b/>
          <w:bCs/>
          <w:color w:val="000000" w:themeColor="text1"/>
          <w:sz w:val="24"/>
          <w:szCs w:val="24"/>
        </w:rPr>
        <w:t> dopo il comma 6 è aggiunto il seguente:</w:t>
      </w:r>
    </w:p>
    <w:p w14:paraId="6040A324" w14:textId="08260855" w:rsidR="008533A9" w:rsidRDefault="008533A9" w:rsidP="008533A9">
      <w:pPr>
        <w:shd w:val="clear" w:color="auto" w:fill="FFFFFF"/>
        <w:spacing w:after="0" w:line="240" w:lineRule="auto"/>
        <w:jc w:val="both"/>
        <w:rPr>
          <w:rFonts w:eastAsia="Times New Roman" w:cs="Arial"/>
          <w:b/>
          <w:bCs/>
          <w:color w:val="000000" w:themeColor="text1"/>
          <w:sz w:val="24"/>
          <w:szCs w:val="24"/>
        </w:rPr>
      </w:pPr>
      <w:r w:rsidRPr="00923866">
        <w:rPr>
          <w:rFonts w:eastAsia="Times New Roman" w:cs="Arial"/>
          <w:b/>
          <w:bCs/>
          <w:color w:val="000000" w:themeColor="text1"/>
          <w:sz w:val="24"/>
          <w:szCs w:val="24"/>
        </w:rPr>
        <w:t> </w:t>
      </w:r>
      <w:r w:rsidRPr="00923866">
        <w:rPr>
          <w:rFonts w:eastAsia="Times New Roman" w:cs="Arial"/>
          <w:b/>
          <w:bCs/>
          <w:color w:val="000000" w:themeColor="text1"/>
          <w:sz w:val="24"/>
          <w:szCs w:val="24"/>
        </w:rPr>
        <w:t> </w:t>
      </w:r>
      <w:r w:rsidRPr="00923866">
        <w:rPr>
          <w:rFonts w:eastAsia="Times New Roman" w:cs="Arial"/>
          <w:b/>
          <w:bCs/>
          <w:color w:val="000000" w:themeColor="text1"/>
          <w:sz w:val="24"/>
          <w:szCs w:val="24"/>
        </w:rPr>
        <w:t> </w:t>
      </w:r>
      <w:r w:rsidRPr="00923866">
        <w:rPr>
          <w:rFonts w:eastAsia="Times New Roman" w:cs="Arial"/>
          <w:b/>
          <w:bCs/>
          <w:color w:val="000000" w:themeColor="text1"/>
          <w:sz w:val="24"/>
          <w:szCs w:val="24"/>
        </w:rPr>
        <w:t>«</w:t>
      </w:r>
      <w:r w:rsidRPr="00923866">
        <w:rPr>
          <w:rFonts w:eastAsia="Times New Roman" w:cs="Arial"/>
          <w:b/>
          <w:bCs/>
          <w:i/>
          <w:iCs/>
          <w:color w:val="000000" w:themeColor="text1"/>
          <w:sz w:val="24"/>
          <w:szCs w:val="24"/>
        </w:rPr>
        <w:t>6-bis</w:t>
      </w:r>
      <w:r w:rsidRPr="00923866">
        <w:rPr>
          <w:rFonts w:eastAsia="Times New Roman" w:cs="Arial"/>
          <w:b/>
          <w:bCs/>
          <w:color w:val="000000" w:themeColor="text1"/>
          <w:sz w:val="24"/>
          <w:szCs w:val="24"/>
        </w:rPr>
        <w:t>. I dispositivi di cui al comma 3-</w:t>
      </w:r>
      <w:r w:rsidRPr="00923866">
        <w:rPr>
          <w:rFonts w:eastAsia="Times New Roman" w:cs="Arial"/>
          <w:b/>
          <w:bCs/>
          <w:i/>
          <w:iCs/>
          <w:color w:val="000000" w:themeColor="text1"/>
          <w:sz w:val="24"/>
          <w:szCs w:val="24"/>
        </w:rPr>
        <w:t>bis</w:t>
      </w:r>
      <w:r w:rsidRPr="00923866">
        <w:rPr>
          <w:rFonts w:eastAsia="Times New Roman" w:cs="Arial"/>
          <w:b/>
          <w:bCs/>
          <w:color w:val="000000" w:themeColor="text1"/>
          <w:sz w:val="24"/>
          <w:szCs w:val="24"/>
        </w:rPr>
        <w:t> possono essere installati anche dal gestore dell'infrastruttura ferroviaria a sue spese».</w:t>
      </w:r>
      <w:r>
        <w:rPr>
          <w:rStyle w:val="Rimandonotaapidipagina"/>
          <w:rFonts w:eastAsia="Times New Roman" w:cs="Arial"/>
          <w:b/>
          <w:bCs/>
          <w:color w:val="000000" w:themeColor="text1"/>
          <w:sz w:val="24"/>
          <w:szCs w:val="24"/>
        </w:rPr>
        <w:footnoteReference w:id="23"/>
      </w:r>
    </w:p>
    <w:p w14:paraId="361A4FF7" w14:textId="3203E7E8" w:rsidR="003E35CA" w:rsidRDefault="003E35CA" w:rsidP="008533A9">
      <w:pPr>
        <w:shd w:val="clear" w:color="auto" w:fill="FFFFFF"/>
        <w:spacing w:after="0" w:line="240" w:lineRule="auto"/>
        <w:jc w:val="both"/>
        <w:rPr>
          <w:rFonts w:eastAsia="Times New Roman" w:cs="Arial"/>
          <w:b/>
          <w:bCs/>
          <w:color w:val="000000" w:themeColor="text1"/>
          <w:sz w:val="24"/>
          <w:szCs w:val="24"/>
        </w:rPr>
      </w:pPr>
      <w:r w:rsidRPr="00155015">
        <w:rPr>
          <w:rFonts w:eastAsia="Times New Roman" w:cs="Arial"/>
          <w:color w:val="000000" w:themeColor="text1"/>
          <w:sz w:val="24"/>
          <w:szCs w:val="24"/>
        </w:rPr>
        <w:t> </w:t>
      </w:r>
      <w:r w:rsidRPr="00155015">
        <w:rPr>
          <w:rFonts w:eastAsia="Times New Roman" w:cs="Arial"/>
          <w:color w:val="000000" w:themeColor="text1"/>
          <w:sz w:val="24"/>
          <w:szCs w:val="24"/>
        </w:rPr>
        <w:t> </w:t>
      </w:r>
      <w:r w:rsidRPr="00155015">
        <w:rPr>
          <w:rFonts w:eastAsia="Times New Roman" w:cs="Arial"/>
          <w:color w:val="000000" w:themeColor="text1"/>
          <w:sz w:val="24"/>
          <w:szCs w:val="24"/>
        </w:rPr>
        <w:t> </w:t>
      </w:r>
      <w:r w:rsidRPr="00C40C2C">
        <w:rPr>
          <w:rFonts w:eastAsia="Times New Roman" w:cs="Arial"/>
          <w:b/>
          <w:bCs/>
          <w:i/>
          <w:iCs/>
          <w:color w:val="000000" w:themeColor="text1"/>
          <w:sz w:val="24"/>
          <w:szCs w:val="24"/>
        </w:rPr>
        <w:t>d-bis)</w:t>
      </w:r>
      <w:r w:rsidRPr="00C40C2C">
        <w:rPr>
          <w:rFonts w:eastAsia="Times New Roman" w:cs="Arial"/>
          <w:b/>
          <w:bCs/>
          <w:color w:val="000000" w:themeColor="text1"/>
          <w:sz w:val="24"/>
          <w:szCs w:val="24"/>
        </w:rPr>
        <w:t> all'articolo 117, comma 2-</w:t>
      </w:r>
      <w:r w:rsidRPr="00C40C2C">
        <w:rPr>
          <w:rFonts w:eastAsia="Times New Roman" w:cs="Arial"/>
          <w:b/>
          <w:bCs/>
          <w:i/>
          <w:iCs/>
          <w:color w:val="000000" w:themeColor="text1"/>
          <w:sz w:val="24"/>
          <w:szCs w:val="24"/>
        </w:rPr>
        <w:t>bis</w:t>
      </w:r>
      <w:r w:rsidRPr="00C40C2C">
        <w:rPr>
          <w:rFonts w:eastAsia="Times New Roman" w:cs="Arial"/>
          <w:b/>
          <w:bCs/>
          <w:color w:val="000000" w:themeColor="text1"/>
          <w:sz w:val="24"/>
          <w:szCs w:val="24"/>
        </w:rPr>
        <w:t>, dopo il terzo periodo è inserito il seguente: «Le limitazioni di cui al presente comma non si applicano inoltre se al fianco del conducente si trova, in funzione di istruttore, persona di età non superiore a sessantacinque anni, munita di patente valida per la stessa categoria, conseguita da almeno dieci anni, ovvero valida per la categoria superiore».</w:t>
      </w:r>
      <w:r>
        <w:rPr>
          <w:rStyle w:val="Rimandonotaapidipagina"/>
          <w:rFonts w:eastAsia="Times New Roman" w:cs="Arial"/>
          <w:b/>
          <w:bCs/>
          <w:color w:val="000000" w:themeColor="text1"/>
          <w:sz w:val="24"/>
          <w:szCs w:val="24"/>
        </w:rPr>
        <w:footnoteReference w:id="24"/>
      </w:r>
    </w:p>
    <w:p w14:paraId="5AE48945" w14:textId="56221C9B" w:rsidR="00AC04E6" w:rsidRPr="003E35CA" w:rsidRDefault="00AC04E6" w:rsidP="008533A9">
      <w:pPr>
        <w:shd w:val="clear" w:color="auto" w:fill="FFFFFF"/>
        <w:spacing w:after="0" w:line="240" w:lineRule="auto"/>
        <w:jc w:val="both"/>
        <w:rPr>
          <w:rFonts w:eastAsia="Times New Roman" w:cs="Arial"/>
          <w:b/>
          <w:bCs/>
          <w:color w:val="000000" w:themeColor="text1"/>
          <w:sz w:val="24"/>
          <w:szCs w:val="24"/>
        </w:rPr>
      </w:pPr>
      <w:r>
        <w:rPr>
          <w:rFonts w:eastAsia="Times New Roman" w:cs="Arial"/>
          <w:b/>
          <w:bCs/>
          <w:i/>
          <w:iCs/>
          <w:color w:val="000000" w:themeColor="text1"/>
          <w:sz w:val="24"/>
          <w:szCs w:val="24"/>
        </w:rPr>
        <w:t xml:space="preserve">         </w:t>
      </w:r>
      <w:r w:rsidRPr="003F6EEB">
        <w:rPr>
          <w:rFonts w:eastAsia="Times New Roman" w:cs="Arial"/>
          <w:b/>
          <w:bCs/>
          <w:i/>
          <w:iCs/>
          <w:color w:val="000000" w:themeColor="text1"/>
          <w:sz w:val="24"/>
          <w:szCs w:val="24"/>
        </w:rPr>
        <w:t>d-bis)</w:t>
      </w:r>
      <w:r w:rsidRPr="003F6EEB">
        <w:rPr>
          <w:rFonts w:eastAsia="Times New Roman" w:cs="Arial"/>
          <w:b/>
          <w:bCs/>
          <w:color w:val="000000" w:themeColor="text1"/>
          <w:sz w:val="24"/>
          <w:szCs w:val="24"/>
        </w:rPr>
        <w:t> all'articolo 142, comma 12-</w:t>
      </w:r>
      <w:r w:rsidRPr="003F6EEB">
        <w:rPr>
          <w:rFonts w:eastAsia="Times New Roman" w:cs="Arial"/>
          <w:b/>
          <w:bCs/>
          <w:i/>
          <w:iCs/>
          <w:color w:val="000000" w:themeColor="text1"/>
          <w:sz w:val="24"/>
          <w:szCs w:val="24"/>
        </w:rPr>
        <w:t>quater</w:t>
      </w:r>
      <w:r w:rsidRPr="003F6EEB">
        <w:rPr>
          <w:rFonts w:eastAsia="Times New Roman" w:cs="Arial"/>
          <w:b/>
          <w:bCs/>
          <w:color w:val="000000" w:themeColor="text1"/>
          <w:sz w:val="24"/>
          <w:szCs w:val="24"/>
        </w:rPr>
        <w:t>, dopo il primo periodo sono inseriti i seguenti: «Ciascun ente locale pubblica la relazione di cui al primo periodo in apposita sezione del proprio sito </w:t>
      </w:r>
      <w:r w:rsidRPr="003F6EEB">
        <w:rPr>
          <w:rFonts w:eastAsia="Times New Roman" w:cs="Arial"/>
          <w:b/>
          <w:bCs/>
          <w:i/>
          <w:iCs/>
          <w:color w:val="000000" w:themeColor="text1"/>
          <w:sz w:val="24"/>
          <w:szCs w:val="24"/>
        </w:rPr>
        <w:t>internet</w:t>
      </w:r>
      <w:r w:rsidRPr="003F6EEB">
        <w:rPr>
          <w:rFonts w:eastAsia="Times New Roman" w:cs="Arial"/>
          <w:b/>
          <w:bCs/>
          <w:color w:val="000000" w:themeColor="text1"/>
          <w:sz w:val="24"/>
          <w:szCs w:val="24"/>
        </w:rPr>
        <w:t xml:space="preserve"> istituzionale entro trenta giorni dalla trasmissione al Ministero delle infrastrutture e della </w:t>
      </w:r>
      <w:r w:rsidRPr="003F6EEB">
        <w:rPr>
          <w:rFonts w:eastAsia="Times New Roman" w:cs="Arial"/>
          <w:b/>
          <w:bCs/>
          <w:color w:val="000000" w:themeColor="text1"/>
          <w:sz w:val="24"/>
          <w:szCs w:val="24"/>
        </w:rPr>
        <w:lastRenderedPageBreak/>
        <w:t>mobilità sostenibili e al Ministero dell'interno. A decorrere dal 1° luglio 2022, il Ministero dell'interno, entro sessanta giorni dalla ricezione, pubblica in apposita sezione del proprio sito </w:t>
      </w:r>
      <w:r w:rsidRPr="003F6EEB">
        <w:rPr>
          <w:rFonts w:eastAsia="Times New Roman" w:cs="Arial"/>
          <w:b/>
          <w:bCs/>
          <w:i/>
          <w:iCs/>
          <w:color w:val="000000" w:themeColor="text1"/>
          <w:sz w:val="24"/>
          <w:szCs w:val="24"/>
        </w:rPr>
        <w:t>internet</w:t>
      </w:r>
      <w:r w:rsidRPr="003F6EEB">
        <w:rPr>
          <w:rFonts w:eastAsia="Times New Roman" w:cs="Arial"/>
          <w:b/>
          <w:bCs/>
          <w:color w:val="000000" w:themeColor="text1"/>
          <w:sz w:val="24"/>
          <w:szCs w:val="24"/>
        </w:rPr>
        <w:t> istituzionale le relazioni pervenute ai sensi del primo periodo» e, al secondo periodo, le parole: «di cui al periodo precedente» sono sostituite dalle seguenti: «di cui al primo periodo».</w:t>
      </w:r>
      <w:r>
        <w:rPr>
          <w:rStyle w:val="Rimandonotaapidipagina"/>
          <w:rFonts w:eastAsia="Times New Roman" w:cs="Arial"/>
          <w:b/>
          <w:bCs/>
          <w:color w:val="000000" w:themeColor="text1"/>
          <w:sz w:val="24"/>
          <w:szCs w:val="24"/>
        </w:rPr>
        <w:footnoteReference w:id="25"/>
      </w:r>
    </w:p>
    <w:p w14:paraId="1F7811F8" w14:textId="5B587BC9" w:rsid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   e) all'articolo 158:</w:t>
      </w:r>
    </w:p>
    <w:p w14:paraId="2B2F111B" w14:textId="60D3190D" w:rsidR="009963F7" w:rsidRPr="00155015" w:rsidRDefault="009963F7" w:rsidP="009963F7">
      <w:pPr>
        <w:shd w:val="clear" w:color="auto" w:fill="FFFFFF"/>
        <w:spacing w:after="0" w:line="240" w:lineRule="auto"/>
        <w:jc w:val="both"/>
        <w:rPr>
          <w:rFonts w:asciiTheme="minorHAnsi" w:eastAsia="Times New Roman" w:hAnsiTheme="minorHAnsi" w:cs="Arial"/>
          <w:b/>
          <w:bCs/>
          <w:color w:val="000000" w:themeColor="text1"/>
          <w:sz w:val="24"/>
          <w:szCs w:val="24"/>
        </w:rPr>
      </w:pPr>
      <w:r>
        <w:rPr>
          <w:rFonts w:asciiTheme="minorHAnsi" w:eastAsia="Times New Roman" w:hAnsiTheme="minorHAnsi" w:cs="Arial"/>
          <w:b/>
          <w:bCs/>
          <w:color w:val="000000" w:themeColor="text1"/>
          <w:sz w:val="24"/>
          <w:szCs w:val="24"/>
        </w:rPr>
        <w:t xml:space="preserve">          </w:t>
      </w:r>
      <w:r w:rsidRPr="00155015">
        <w:rPr>
          <w:rFonts w:asciiTheme="minorHAnsi" w:eastAsia="Times New Roman" w:hAnsiTheme="minorHAnsi" w:cs="Arial"/>
          <w:b/>
          <w:bCs/>
          <w:color w:val="000000" w:themeColor="text1"/>
          <w:sz w:val="24"/>
          <w:szCs w:val="24"/>
        </w:rPr>
        <w:t>01) al comma 1, la lettera </w:t>
      </w:r>
      <w:r w:rsidRPr="00155015">
        <w:rPr>
          <w:rFonts w:asciiTheme="minorHAnsi" w:eastAsia="Times New Roman" w:hAnsiTheme="minorHAnsi" w:cs="Arial"/>
          <w:b/>
          <w:bCs/>
          <w:i/>
          <w:iCs/>
          <w:color w:val="000000" w:themeColor="text1"/>
          <w:sz w:val="24"/>
          <w:szCs w:val="24"/>
        </w:rPr>
        <w:t>h-bis)</w:t>
      </w:r>
      <w:r w:rsidRPr="00155015">
        <w:rPr>
          <w:rFonts w:asciiTheme="minorHAnsi" w:eastAsia="Times New Roman" w:hAnsiTheme="minorHAnsi" w:cs="Arial"/>
          <w:b/>
          <w:bCs/>
          <w:color w:val="000000" w:themeColor="text1"/>
          <w:sz w:val="24"/>
          <w:szCs w:val="24"/>
        </w:rPr>
        <w:t> è sostituita dalle seguenti:</w:t>
      </w:r>
    </w:p>
    <w:p w14:paraId="47AFEFBB" w14:textId="77777777" w:rsidR="009963F7" w:rsidRPr="00155015" w:rsidRDefault="009963F7" w:rsidP="009963F7">
      <w:pPr>
        <w:shd w:val="clear" w:color="auto" w:fill="FFFFFF"/>
        <w:spacing w:after="0" w:line="240" w:lineRule="auto"/>
        <w:jc w:val="both"/>
        <w:rPr>
          <w:rFonts w:asciiTheme="minorHAnsi" w:eastAsia="Times New Roman" w:hAnsiTheme="minorHAnsi" w:cs="Arial"/>
          <w:b/>
          <w:bCs/>
          <w:color w:val="000000" w:themeColor="text1"/>
          <w:sz w:val="24"/>
          <w:szCs w:val="24"/>
        </w:rPr>
      </w:pPr>
      <w:r w:rsidRPr="00155015">
        <w:rPr>
          <w:rFonts w:asciiTheme="minorHAnsi" w:eastAsia="Times New Roman" w:hAnsiTheme="minorHAnsi" w:cs="Arial"/>
          <w:b/>
          <w:bCs/>
          <w:color w:val="000000" w:themeColor="text1"/>
          <w:sz w:val="24"/>
          <w:szCs w:val="24"/>
        </w:rPr>
        <w:t> </w:t>
      </w:r>
      <w:r w:rsidRPr="00155015">
        <w:rPr>
          <w:rFonts w:asciiTheme="minorHAnsi" w:eastAsia="Times New Roman" w:hAnsiTheme="minorHAnsi" w:cs="Arial"/>
          <w:b/>
          <w:bCs/>
          <w:color w:val="000000" w:themeColor="text1"/>
          <w:sz w:val="24"/>
          <w:szCs w:val="24"/>
        </w:rPr>
        <w:t> </w:t>
      </w:r>
      <w:r w:rsidRPr="00155015">
        <w:rPr>
          <w:rFonts w:asciiTheme="minorHAnsi" w:eastAsia="Times New Roman" w:hAnsiTheme="minorHAnsi" w:cs="Arial"/>
          <w:b/>
          <w:bCs/>
          <w:color w:val="000000" w:themeColor="text1"/>
          <w:sz w:val="24"/>
          <w:szCs w:val="24"/>
        </w:rPr>
        <w:t> </w:t>
      </w:r>
      <w:r w:rsidRPr="00155015">
        <w:rPr>
          <w:rFonts w:asciiTheme="minorHAnsi" w:eastAsia="Times New Roman" w:hAnsiTheme="minorHAnsi" w:cs="Arial"/>
          <w:b/>
          <w:bCs/>
          <w:color w:val="000000" w:themeColor="text1"/>
          <w:sz w:val="24"/>
          <w:szCs w:val="24"/>
        </w:rPr>
        <w:t>«</w:t>
      </w:r>
      <w:r w:rsidRPr="00155015">
        <w:rPr>
          <w:rFonts w:asciiTheme="minorHAnsi" w:eastAsia="Times New Roman" w:hAnsiTheme="minorHAnsi" w:cs="Arial"/>
          <w:b/>
          <w:bCs/>
          <w:i/>
          <w:iCs/>
          <w:color w:val="000000" w:themeColor="text1"/>
          <w:sz w:val="24"/>
          <w:szCs w:val="24"/>
        </w:rPr>
        <w:t>h-bis)</w:t>
      </w:r>
      <w:r w:rsidRPr="00155015">
        <w:rPr>
          <w:rFonts w:asciiTheme="minorHAnsi" w:eastAsia="Times New Roman" w:hAnsiTheme="minorHAnsi" w:cs="Arial"/>
          <w:b/>
          <w:bCs/>
          <w:color w:val="000000" w:themeColor="text1"/>
          <w:sz w:val="24"/>
          <w:szCs w:val="24"/>
        </w:rPr>
        <w:t> negli spazi riservati alla fermata e alla sosta dei veicoli elettrici;</w:t>
      </w:r>
    </w:p>
    <w:p w14:paraId="438CB83E" w14:textId="77777777" w:rsidR="009963F7" w:rsidRPr="00155015" w:rsidRDefault="009963F7" w:rsidP="009963F7">
      <w:pPr>
        <w:shd w:val="clear" w:color="auto" w:fill="FFFFFF"/>
        <w:spacing w:after="0" w:line="240" w:lineRule="auto"/>
        <w:jc w:val="both"/>
        <w:rPr>
          <w:rFonts w:asciiTheme="minorHAnsi" w:eastAsia="Times New Roman" w:hAnsiTheme="minorHAnsi" w:cs="Arial"/>
          <w:b/>
          <w:bCs/>
          <w:color w:val="000000" w:themeColor="text1"/>
          <w:sz w:val="24"/>
          <w:szCs w:val="24"/>
        </w:rPr>
      </w:pPr>
      <w:r w:rsidRPr="00155015">
        <w:rPr>
          <w:rFonts w:asciiTheme="minorHAnsi" w:eastAsia="Times New Roman" w:hAnsiTheme="minorHAnsi" w:cs="Arial"/>
          <w:b/>
          <w:bCs/>
          <w:color w:val="000000" w:themeColor="text1"/>
          <w:sz w:val="24"/>
          <w:szCs w:val="24"/>
        </w:rPr>
        <w:t> </w:t>
      </w:r>
      <w:r w:rsidRPr="00155015">
        <w:rPr>
          <w:rFonts w:asciiTheme="minorHAnsi" w:eastAsia="Times New Roman" w:hAnsiTheme="minorHAnsi" w:cs="Arial"/>
          <w:b/>
          <w:bCs/>
          <w:color w:val="000000" w:themeColor="text1"/>
          <w:sz w:val="24"/>
          <w:szCs w:val="24"/>
        </w:rPr>
        <w:t> </w:t>
      </w:r>
      <w:r w:rsidRPr="00155015">
        <w:rPr>
          <w:rFonts w:asciiTheme="minorHAnsi" w:eastAsia="Times New Roman" w:hAnsiTheme="minorHAnsi" w:cs="Arial"/>
          <w:b/>
          <w:bCs/>
          <w:color w:val="000000" w:themeColor="text1"/>
          <w:sz w:val="24"/>
          <w:szCs w:val="24"/>
        </w:rPr>
        <w:t> </w:t>
      </w:r>
      <w:r w:rsidRPr="00155015">
        <w:rPr>
          <w:rFonts w:asciiTheme="minorHAnsi" w:eastAsia="Times New Roman" w:hAnsiTheme="minorHAnsi" w:cs="Arial"/>
          <w:b/>
          <w:bCs/>
          <w:i/>
          <w:iCs/>
          <w:color w:val="000000" w:themeColor="text1"/>
          <w:sz w:val="24"/>
          <w:szCs w:val="24"/>
        </w:rPr>
        <w:t>h-ter)</w:t>
      </w:r>
      <w:r w:rsidRPr="00155015">
        <w:rPr>
          <w:rFonts w:asciiTheme="minorHAnsi" w:eastAsia="Times New Roman" w:hAnsiTheme="minorHAnsi" w:cs="Arial"/>
          <w:b/>
          <w:bCs/>
          <w:color w:val="000000" w:themeColor="text1"/>
          <w:sz w:val="24"/>
          <w:szCs w:val="24"/>
        </w:rPr>
        <w:t> negli spazi riservati alla ricarica dei veicoli elettrici. Tale divieto è previsto anche per i veicoli elettrici che non effettuano l'operazione di ricarica o che permangono nello spazio di ricarica oltre un'ora dopo il completamento della fase di ricarica. Tale limite temporale non trova applicazione dalle ore 23 alle ore 7, a eccezione dei punti di ricarica di potenza elevata di cui all'articolo 2, comma 1, lettera </w:t>
      </w:r>
      <w:r w:rsidRPr="00155015">
        <w:rPr>
          <w:rFonts w:asciiTheme="minorHAnsi" w:eastAsia="Times New Roman" w:hAnsiTheme="minorHAnsi" w:cs="Arial"/>
          <w:b/>
          <w:bCs/>
          <w:i/>
          <w:iCs/>
          <w:color w:val="000000" w:themeColor="text1"/>
          <w:sz w:val="24"/>
          <w:szCs w:val="24"/>
        </w:rPr>
        <w:t>e)</w:t>
      </w:r>
      <w:r w:rsidRPr="00155015">
        <w:rPr>
          <w:rFonts w:asciiTheme="minorHAnsi" w:eastAsia="Times New Roman" w:hAnsiTheme="minorHAnsi" w:cs="Arial"/>
          <w:b/>
          <w:bCs/>
          <w:color w:val="000000" w:themeColor="text1"/>
          <w:sz w:val="24"/>
          <w:szCs w:val="24"/>
        </w:rPr>
        <w:t>, del decreto legislativo 16 dicembre 2016, n. 257»;</w:t>
      </w:r>
      <w:r>
        <w:rPr>
          <w:rStyle w:val="Rimandonotaapidipagina"/>
          <w:rFonts w:asciiTheme="minorHAnsi" w:eastAsia="Times New Roman" w:hAnsiTheme="minorHAnsi" w:cs="Arial"/>
          <w:b/>
          <w:bCs/>
          <w:color w:val="000000" w:themeColor="text1"/>
          <w:sz w:val="24"/>
          <w:szCs w:val="24"/>
        </w:rPr>
        <w:footnoteReference w:id="26"/>
      </w:r>
    </w:p>
    <w:p w14:paraId="5C560AF1" w14:textId="027CA5B5" w:rsid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    1) al comma 2:</w:t>
      </w:r>
    </w:p>
    <w:p w14:paraId="6BEEB410" w14:textId="41A1B596" w:rsidR="00660EE5" w:rsidRPr="00660EE5" w:rsidRDefault="00B02D0C" w:rsidP="009963F7">
      <w:pPr>
        <w:shd w:val="clear" w:color="auto" w:fill="FFFFFF"/>
        <w:spacing w:after="0" w:line="240" w:lineRule="auto"/>
        <w:jc w:val="both"/>
        <w:rPr>
          <w:rFonts w:asciiTheme="minorHAnsi" w:hAnsiTheme="minorHAnsi"/>
          <w:color w:val="000000" w:themeColor="text1"/>
          <w:sz w:val="24"/>
          <w:szCs w:val="24"/>
        </w:rPr>
      </w:pPr>
      <w:r w:rsidRPr="00155015">
        <w:rPr>
          <w:rFonts w:asciiTheme="minorHAnsi" w:eastAsia="Times New Roman" w:hAnsiTheme="minorHAnsi" w:cs="Arial"/>
          <w:b/>
          <w:bCs/>
          <w:color w:val="000000" w:themeColor="text1"/>
          <w:sz w:val="24"/>
          <w:szCs w:val="24"/>
        </w:rPr>
        <w:t> </w:t>
      </w:r>
      <w:r w:rsidR="00660EE5" w:rsidRPr="00660EE5">
        <w:rPr>
          <w:rFonts w:asciiTheme="minorHAnsi" w:hAnsiTheme="minorHAnsi"/>
          <w:color w:val="000000" w:themeColor="text1"/>
          <w:sz w:val="24"/>
          <w:szCs w:val="24"/>
        </w:rPr>
        <w:t>   1.1. dopo la lettera d) è inserita la seguente: «d-bis) negli spazi riservati allo stazionamento e alla fermata dei veicoli adibiti al trasporto scolastico;»;</w:t>
      </w:r>
    </w:p>
    <w:p w14:paraId="3F7EB4F6" w14:textId="73C01F5E"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    1.2. dopo la lettera g) è inserita la seguente: «g-bis) negli spazi riservati alla sosta dei veicoli a servizio delle donne in stato di gravidanza o di genitori con un bambino di età non superiore a due anni muniti di permesso rosa;»;</w:t>
      </w:r>
    </w:p>
    <w:p w14:paraId="7AF1119D"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    2) dopo il comma 4 è inserito il seguente: «4-bis. Chiunque viola le disposizioni di cui al comma 2, lettera g), è soggetto alla sanzione amministrativa del pagamento di una somma da euro 80 ad euro 328 per i ciclomotori e i motoveicoli a due ruote e da euro 165 ad euro 660 per i restanti veicoli.»;</w:t>
      </w:r>
    </w:p>
    <w:p w14:paraId="0D3DA27C" w14:textId="2727D239" w:rsid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    3) al comma 5, le parole «lettere d), g) e h)» sono sostituite dalle seguenti: «lettere d), h) e i)»;</w:t>
      </w:r>
    </w:p>
    <w:p w14:paraId="3DB89D8A" w14:textId="17A5948D" w:rsidR="00B02D0C" w:rsidRDefault="00B02D0C" w:rsidP="00660EE5">
      <w:pPr>
        <w:spacing w:after="0" w:line="240" w:lineRule="auto"/>
        <w:jc w:val="both"/>
        <w:rPr>
          <w:rFonts w:asciiTheme="minorHAnsi" w:eastAsia="Times New Roman" w:hAnsiTheme="minorHAnsi" w:cs="Arial"/>
          <w:b/>
          <w:bCs/>
          <w:color w:val="000000" w:themeColor="text1"/>
          <w:sz w:val="24"/>
          <w:szCs w:val="24"/>
        </w:rPr>
      </w:pPr>
      <w:r>
        <w:rPr>
          <w:rFonts w:asciiTheme="minorHAnsi" w:eastAsia="Times New Roman" w:hAnsiTheme="minorHAnsi" w:cs="Arial"/>
          <w:b/>
          <w:bCs/>
          <w:i/>
          <w:iCs/>
          <w:color w:val="000000" w:themeColor="text1"/>
          <w:sz w:val="24"/>
          <w:szCs w:val="24"/>
        </w:rPr>
        <w:t xml:space="preserve">          </w:t>
      </w:r>
      <w:r w:rsidRPr="00155015">
        <w:rPr>
          <w:rFonts w:asciiTheme="minorHAnsi" w:eastAsia="Times New Roman" w:hAnsiTheme="minorHAnsi" w:cs="Arial"/>
          <w:b/>
          <w:bCs/>
          <w:i/>
          <w:iCs/>
          <w:color w:val="000000" w:themeColor="text1"/>
          <w:sz w:val="24"/>
          <w:szCs w:val="24"/>
        </w:rPr>
        <w:t>e-bis)</w:t>
      </w:r>
      <w:r w:rsidRPr="00155015">
        <w:rPr>
          <w:rFonts w:asciiTheme="minorHAnsi" w:eastAsia="Times New Roman" w:hAnsiTheme="minorHAnsi" w:cs="Arial"/>
          <w:b/>
          <w:bCs/>
          <w:color w:val="000000" w:themeColor="text1"/>
          <w:sz w:val="24"/>
          <w:szCs w:val="24"/>
        </w:rPr>
        <w:t xml:space="preserve"> all'articolo 177, comma 1, dopo il primo periodo sono inseriti i seguenti: «L'uso dei </w:t>
      </w:r>
      <w:proofErr w:type="gramStart"/>
      <w:r w:rsidRPr="00155015">
        <w:rPr>
          <w:rFonts w:asciiTheme="minorHAnsi" w:eastAsia="Times New Roman" w:hAnsiTheme="minorHAnsi" w:cs="Arial"/>
          <w:b/>
          <w:bCs/>
          <w:color w:val="000000" w:themeColor="text1"/>
          <w:sz w:val="24"/>
          <w:szCs w:val="24"/>
        </w:rPr>
        <w:t>predetti</w:t>
      </w:r>
      <w:proofErr w:type="gramEnd"/>
      <w:r w:rsidRPr="00155015">
        <w:rPr>
          <w:rFonts w:asciiTheme="minorHAnsi" w:eastAsia="Times New Roman" w:hAnsiTheme="minorHAnsi" w:cs="Arial"/>
          <w:b/>
          <w:bCs/>
          <w:color w:val="000000" w:themeColor="text1"/>
          <w:sz w:val="24"/>
          <w:szCs w:val="24"/>
        </w:rPr>
        <w:t xml:space="preserve"> dispositivi è consentito altresì ai conducenti dei motoveicoli impiegati in interventi emergenza sanitaria e, comunque, solo per l'espletamento di servizi urgenti di istituto. Entro sessanta giorni dalla data di entrata in vigore della presente disposizione, con decreto del Ministero delle infrastrutture e della </w:t>
      </w:r>
      <w:r w:rsidRPr="00155015">
        <w:rPr>
          <w:rFonts w:asciiTheme="minorHAnsi" w:eastAsia="Times New Roman" w:hAnsiTheme="minorHAnsi" w:cs="Arial"/>
          <w:b/>
          <w:bCs/>
          <w:color w:val="000000" w:themeColor="text1"/>
          <w:sz w:val="24"/>
          <w:szCs w:val="24"/>
        </w:rPr>
        <w:lastRenderedPageBreak/>
        <w:t>mobilità sostenibili, sono definite le tipologie di motoveicoli di cui al secondo periodo e le relative caratteristiche tecniche e sono individuati i servizi urgenti di istituto per i quali possono essere impiegati i dispositivi</w:t>
      </w:r>
      <w:r>
        <w:rPr>
          <w:rFonts w:asciiTheme="minorHAnsi" w:eastAsia="Times New Roman" w:hAnsiTheme="minorHAnsi" w:cs="Arial"/>
          <w:b/>
          <w:bCs/>
          <w:color w:val="000000" w:themeColor="text1"/>
          <w:sz w:val="24"/>
          <w:szCs w:val="24"/>
        </w:rPr>
        <w:t>.</w:t>
      </w:r>
      <w:r>
        <w:rPr>
          <w:rStyle w:val="Rimandonotaapidipagina"/>
          <w:rFonts w:asciiTheme="minorHAnsi" w:eastAsia="Times New Roman" w:hAnsiTheme="minorHAnsi" w:cs="Arial"/>
          <w:b/>
          <w:bCs/>
          <w:color w:val="000000" w:themeColor="text1"/>
          <w:sz w:val="24"/>
          <w:szCs w:val="24"/>
        </w:rPr>
        <w:footnoteReference w:id="27"/>
      </w:r>
      <w:r>
        <w:rPr>
          <w:rFonts w:asciiTheme="minorHAnsi" w:eastAsia="Times New Roman" w:hAnsiTheme="minorHAnsi" w:cs="Arial"/>
          <w:b/>
          <w:bCs/>
          <w:color w:val="000000" w:themeColor="text1"/>
          <w:sz w:val="24"/>
          <w:szCs w:val="24"/>
        </w:rPr>
        <w:t xml:space="preserve"> </w:t>
      </w:r>
    </w:p>
    <w:p w14:paraId="59B39975" w14:textId="77777777" w:rsidR="009963F7" w:rsidRPr="003D7908" w:rsidRDefault="009963F7" w:rsidP="009963F7">
      <w:pPr>
        <w:shd w:val="clear" w:color="auto" w:fill="FFFFFF"/>
        <w:spacing w:after="0" w:line="240" w:lineRule="auto"/>
        <w:jc w:val="both"/>
        <w:rPr>
          <w:rFonts w:eastAsia="Times New Roman" w:cs="Arial"/>
          <w:b/>
          <w:bCs/>
          <w:color w:val="000000" w:themeColor="text1"/>
          <w:sz w:val="24"/>
          <w:szCs w:val="24"/>
        </w:rPr>
      </w:pPr>
      <w:r w:rsidRPr="00155015">
        <w:rPr>
          <w:rFonts w:eastAsia="Times New Roman" w:cs="Arial"/>
          <w:color w:val="000000" w:themeColor="text1"/>
          <w:sz w:val="24"/>
          <w:szCs w:val="24"/>
        </w:rPr>
        <w:t> </w:t>
      </w:r>
      <w:r w:rsidRPr="00155015">
        <w:rPr>
          <w:rFonts w:eastAsia="Times New Roman" w:cs="Arial"/>
          <w:color w:val="000000" w:themeColor="text1"/>
          <w:sz w:val="24"/>
          <w:szCs w:val="24"/>
        </w:rPr>
        <w:t> </w:t>
      </w:r>
      <w:r w:rsidRPr="00155015">
        <w:rPr>
          <w:rFonts w:eastAsia="Times New Roman" w:cs="Arial"/>
          <w:color w:val="000000" w:themeColor="text1"/>
          <w:sz w:val="24"/>
          <w:szCs w:val="24"/>
        </w:rPr>
        <w:t> </w:t>
      </w:r>
      <w:r w:rsidRPr="003D7908">
        <w:rPr>
          <w:rFonts w:eastAsia="Times New Roman" w:cs="Arial"/>
          <w:b/>
          <w:bCs/>
          <w:i/>
          <w:iCs/>
          <w:color w:val="000000" w:themeColor="text1"/>
          <w:sz w:val="24"/>
          <w:szCs w:val="24"/>
        </w:rPr>
        <w:t>e-bis)</w:t>
      </w:r>
      <w:r w:rsidRPr="003D7908">
        <w:rPr>
          <w:rFonts w:eastAsia="Times New Roman" w:cs="Arial"/>
          <w:b/>
          <w:bCs/>
          <w:color w:val="000000" w:themeColor="text1"/>
          <w:sz w:val="24"/>
          <w:szCs w:val="24"/>
        </w:rPr>
        <w:t> all'articolo 171, comma 2, secondo periodo, la parola: «minore» è soppressa e dopo la parola: «risponde» è inserita la seguente: «anche»;</w:t>
      </w:r>
    </w:p>
    <w:p w14:paraId="5A13050E" w14:textId="77777777" w:rsidR="009963F7" w:rsidRPr="003D7908" w:rsidRDefault="009963F7" w:rsidP="009963F7">
      <w:pPr>
        <w:shd w:val="clear" w:color="auto" w:fill="FFFFFF"/>
        <w:spacing w:after="0" w:line="240" w:lineRule="auto"/>
        <w:jc w:val="both"/>
        <w:rPr>
          <w:rFonts w:eastAsia="Times New Roman" w:cs="Arial"/>
          <w:b/>
          <w:bCs/>
          <w:color w:val="000000" w:themeColor="text1"/>
          <w:sz w:val="24"/>
          <w:szCs w:val="24"/>
        </w:rPr>
      </w:pPr>
      <w:r w:rsidRPr="003D7908">
        <w:rPr>
          <w:rFonts w:eastAsia="Times New Roman" w:cs="Arial"/>
          <w:b/>
          <w:bCs/>
          <w:color w:val="000000" w:themeColor="text1"/>
          <w:sz w:val="24"/>
          <w:szCs w:val="24"/>
        </w:rPr>
        <w:t> </w:t>
      </w:r>
      <w:r w:rsidRPr="003D7908">
        <w:rPr>
          <w:rFonts w:eastAsia="Times New Roman" w:cs="Arial"/>
          <w:b/>
          <w:bCs/>
          <w:color w:val="000000" w:themeColor="text1"/>
          <w:sz w:val="24"/>
          <w:szCs w:val="24"/>
        </w:rPr>
        <w:t> </w:t>
      </w:r>
      <w:r w:rsidRPr="003D7908">
        <w:rPr>
          <w:rFonts w:eastAsia="Times New Roman" w:cs="Arial"/>
          <w:b/>
          <w:bCs/>
          <w:color w:val="000000" w:themeColor="text1"/>
          <w:sz w:val="24"/>
          <w:szCs w:val="24"/>
        </w:rPr>
        <w:t> </w:t>
      </w:r>
      <w:r w:rsidRPr="003D7908">
        <w:rPr>
          <w:rFonts w:eastAsia="Times New Roman" w:cs="Arial"/>
          <w:b/>
          <w:bCs/>
          <w:i/>
          <w:iCs/>
          <w:color w:val="000000" w:themeColor="text1"/>
          <w:sz w:val="24"/>
          <w:szCs w:val="24"/>
        </w:rPr>
        <w:t>e-ter)</w:t>
      </w:r>
      <w:r w:rsidRPr="003D7908">
        <w:rPr>
          <w:rFonts w:eastAsia="Times New Roman" w:cs="Arial"/>
          <w:b/>
          <w:bCs/>
          <w:color w:val="000000" w:themeColor="text1"/>
          <w:sz w:val="24"/>
          <w:szCs w:val="24"/>
        </w:rPr>
        <w:t> all'articolo 173:</w:t>
      </w:r>
    </w:p>
    <w:p w14:paraId="26B5C4FA" w14:textId="77777777" w:rsidR="009963F7" w:rsidRPr="003D7908" w:rsidRDefault="009963F7" w:rsidP="009963F7">
      <w:pPr>
        <w:shd w:val="clear" w:color="auto" w:fill="FFFFFF"/>
        <w:spacing w:after="0" w:line="240" w:lineRule="auto"/>
        <w:jc w:val="both"/>
        <w:rPr>
          <w:rFonts w:eastAsia="Times New Roman" w:cs="Arial"/>
          <w:b/>
          <w:bCs/>
          <w:color w:val="000000" w:themeColor="text1"/>
          <w:sz w:val="24"/>
          <w:szCs w:val="24"/>
        </w:rPr>
      </w:pPr>
      <w:r w:rsidRPr="003D7908">
        <w:rPr>
          <w:rFonts w:eastAsia="Times New Roman" w:cs="Arial"/>
          <w:b/>
          <w:bCs/>
          <w:color w:val="000000" w:themeColor="text1"/>
          <w:sz w:val="24"/>
          <w:szCs w:val="24"/>
        </w:rPr>
        <w:t> </w:t>
      </w:r>
      <w:r w:rsidRPr="003D7908">
        <w:rPr>
          <w:rFonts w:eastAsia="Times New Roman" w:cs="Arial"/>
          <w:b/>
          <w:bCs/>
          <w:color w:val="000000" w:themeColor="text1"/>
          <w:sz w:val="24"/>
          <w:szCs w:val="24"/>
        </w:rPr>
        <w:t> </w:t>
      </w:r>
      <w:r w:rsidRPr="003D7908">
        <w:rPr>
          <w:rFonts w:eastAsia="Times New Roman" w:cs="Arial"/>
          <w:b/>
          <w:bCs/>
          <w:color w:val="000000" w:themeColor="text1"/>
          <w:sz w:val="24"/>
          <w:szCs w:val="24"/>
        </w:rPr>
        <w:t> </w:t>
      </w:r>
      <w:r w:rsidRPr="003D7908">
        <w:rPr>
          <w:rFonts w:eastAsia="Times New Roman" w:cs="Arial"/>
          <w:b/>
          <w:bCs/>
          <w:color w:val="000000" w:themeColor="text1"/>
          <w:sz w:val="24"/>
          <w:szCs w:val="24"/>
        </w:rPr>
        <w:t> </w:t>
      </w:r>
      <w:r w:rsidRPr="003D7908">
        <w:rPr>
          <w:rFonts w:eastAsia="Times New Roman" w:cs="Arial"/>
          <w:b/>
          <w:bCs/>
          <w:color w:val="000000" w:themeColor="text1"/>
          <w:sz w:val="24"/>
          <w:szCs w:val="24"/>
        </w:rPr>
        <w:t>1) al comma 2, dopo le parole: «apparecchi radiotelefonici» sono inserite le seguenti: «, </w:t>
      </w:r>
      <w:r w:rsidRPr="003D7908">
        <w:rPr>
          <w:rFonts w:eastAsia="Times New Roman" w:cs="Arial"/>
          <w:b/>
          <w:bCs/>
          <w:i/>
          <w:iCs/>
          <w:color w:val="000000" w:themeColor="text1"/>
          <w:sz w:val="24"/>
          <w:szCs w:val="24"/>
        </w:rPr>
        <w:t>smartphone</w:t>
      </w:r>
      <w:r w:rsidRPr="003D7908">
        <w:rPr>
          <w:rFonts w:eastAsia="Times New Roman" w:cs="Arial"/>
          <w:b/>
          <w:bCs/>
          <w:color w:val="000000" w:themeColor="text1"/>
          <w:sz w:val="24"/>
          <w:szCs w:val="24"/>
        </w:rPr>
        <w:t>, </w:t>
      </w:r>
      <w:r w:rsidRPr="003D7908">
        <w:rPr>
          <w:rFonts w:eastAsia="Times New Roman" w:cs="Arial"/>
          <w:b/>
          <w:bCs/>
          <w:i/>
          <w:iCs/>
          <w:color w:val="000000" w:themeColor="text1"/>
          <w:sz w:val="24"/>
          <w:szCs w:val="24"/>
        </w:rPr>
        <w:t>computer</w:t>
      </w:r>
      <w:r w:rsidRPr="003D7908">
        <w:rPr>
          <w:rFonts w:eastAsia="Times New Roman" w:cs="Arial"/>
          <w:b/>
          <w:bCs/>
          <w:color w:val="000000" w:themeColor="text1"/>
          <w:sz w:val="24"/>
          <w:szCs w:val="24"/>
        </w:rPr>
        <w:t> portatili, </w:t>
      </w:r>
      <w:r w:rsidRPr="003D7908">
        <w:rPr>
          <w:rFonts w:eastAsia="Times New Roman" w:cs="Arial"/>
          <w:b/>
          <w:bCs/>
          <w:i/>
          <w:iCs/>
          <w:color w:val="000000" w:themeColor="text1"/>
          <w:sz w:val="24"/>
          <w:szCs w:val="24"/>
        </w:rPr>
        <w:t>notebook</w:t>
      </w:r>
      <w:r w:rsidRPr="003D7908">
        <w:rPr>
          <w:rFonts w:eastAsia="Times New Roman" w:cs="Arial"/>
          <w:b/>
          <w:bCs/>
          <w:color w:val="000000" w:themeColor="text1"/>
          <w:sz w:val="24"/>
          <w:szCs w:val="24"/>
        </w:rPr>
        <w:t>, </w:t>
      </w:r>
      <w:r w:rsidRPr="003D7908">
        <w:rPr>
          <w:rFonts w:eastAsia="Times New Roman" w:cs="Arial"/>
          <w:b/>
          <w:bCs/>
          <w:i/>
          <w:iCs/>
          <w:color w:val="000000" w:themeColor="text1"/>
          <w:sz w:val="24"/>
          <w:szCs w:val="24"/>
        </w:rPr>
        <w:t>tablet</w:t>
      </w:r>
      <w:r w:rsidRPr="003D7908">
        <w:rPr>
          <w:rFonts w:eastAsia="Times New Roman" w:cs="Arial"/>
          <w:b/>
          <w:bCs/>
          <w:color w:val="000000" w:themeColor="text1"/>
          <w:sz w:val="24"/>
          <w:szCs w:val="24"/>
        </w:rPr>
        <w:t> e dispositivi analoghi che comportino anche solo temporaneamente l'allontanamento delle mani dal volante»;</w:t>
      </w:r>
    </w:p>
    <w:p w14:paraId="26526AF6" w14:textId="77777777" w:rsidR="009963F7" w:rsidRPr="003D7908" w:rsidRDefault="009963F7" w:rsidP="009963F7">
      <w:pPr>
        <w:shd w:val="clear" w:color="auto" w:fill="FFFFFF"/>
        <w:spacing w:after="0" w:line="240" w:lineRule="auto"/>
        <w:jc w:val="both"/>
        <w:rPr>
          <w:rFonts w:eastAsia="Times New Roman" w:cs="Arial"/>
          <w:b/>
          <w:bCs/>
          <w:color w:val="000000" w:themeColor="text1"/>
          <w:sz w:val="24"/>
          <w:szCs w:val="24"/>
        </w:rPr>
      </w:pPr>
      <w:r w:rsidRPr="003D7908">
        <w:rPr>
          <w:rFonts w:eastAsia="Times New Roman" w:cs="Arial"/>
          <w:b/>
          <w:bCs/>
          <w:color w:val="000000" w:themeColor="text1"/>
          <w:sz w:val="24"/>
          <w:szCs w:val="24"/>
        </w:rPr>
        <w:t> </w:t>
      </w:r>
      <w:r w:rsidRPr="003D7908">
        <w:rPr>
          <w:rFonts w:eastAsia="Times New Roman" w:cs="Arial"/>
          <w:b/>
          <w:bCs/>
          <w:color w:val="000000" w:themeColor="text1"/>
          <w:sz w:val="24"/>
          <w:szCs w:val="24"/>
        </w:rPr>
        <w:t> </w:t>
      </w:r>
      <w:r w:rsidRPr="003D7908">
        <w:rPr>
          <w:rFonts w:eastAsia="Times New Roman" w:cs="Arial"/>
          <w:b/>
          <w:bCs/>
          <w:color w:val="000000" w:themeColor="text1"/>
          <w:sz w:val="24"/>
          <w:szCs w:val="24"/>
        </w:rPr>
        <w:t> </w:t>
      </w:r>
      <w:r w:rsidRPr="003D7908">
        <w:rPr>
          <w:rFonts w:eastAsia="Times New Roman" w:cs="Arial"/>
          <w:b/>
          <w:bCs/>
          <w:i/>
          <w:iCs/>
          <w:color w:val="000000" w:themeColor="text1"/>
          <w:sz w:val="24"/>
          <w:szCs w:val="24"/>
        </w:rPr>
        <w:t>e-quater)</w:t>
      </w:r>
      <w:r w:rsidRPr="003D7908">
        <w:rPr>
          <w:rFonts w:eastAsia="Times New Roman" w:cs="Arial"/>
          <w:b/>
          <w:bCs/>
          <w:color w:val="000000" w:themeColor="text1"/>
          <w:sz w:val="24"/>
          <w:szCs w:val="24"/>
        </w:rPr>
        <w:t> all'articolo 175, comma 2, la lettera </w:t>
      </w:r>
      <w:r w:rsidRPr="003D7908">
        <w:rPr>
          <w:rFonts w:eastAsia="Times New Roman" w:cs="Arial"/>
          <w:b/>
          <w:bCs/>
          <w:i/>
          <w:iCs/>
          <w:color w:val="000000" w:themeColor="text1"/>
          <w:sz w:val="24"/>
          <w:szCs w:val="24"/>
        </w:rPr>
        <w:t>a)</w:t>
      </w:r>
      <w:r w:rsidRPr="003D7908">
        <w:rPr>
          <w:rFonts w:eastAsia="Times New Roman" w:cs="Arial"/>
          <w:b/>
          <w:bCs/>
          <w:color w:val="000000" w:themeColor="text1"/>
          <w:sz w:val="24"/>
          <w:szCs w:val="24"/>
        </w:rPr>
        <w:t> è sostituita dalla seguente:</w:t>
      </w:r>
    </w:p>
    <w:p w14:paraId="42DE256D" w14:textId="30406B80" w:rsidR="009963F7" w:rsidRDefault="009963F7" w:rsidP="009963F7">
      <w:pPr>
        <w:shd w:val="clear" w:color="auto" w:fill="FFFFFF"/>
        <w:spacing w:after="0" w:line="240" w:lineRule="auto"/>
        <w:jc w:val="both"/>
        <w:rPr>
          <w:rFonts w:eastAsia="Times New Roman" w:cs="Arial"/>
          <w:b/>
          <w:bCs/>
          <w:color w:val="000000" w:themeColor="text1"/>
          <w:sz w:val="24"/>
          <w:szCs w:val="24"/>
        </w:rPr>
      </w:pPr>
      <w:r w:rsidRPr="003D7908">
        <w:rPr>
          <w:rFonts w:eastAsia="Times New Roman" w:cs="Arial"/>
          <w:b/>
          <w:bCs/>
          <w:color w:val="000000" w:themeColor="text1"/>
          <w:sz w:val="24"/>
          <w:szCs w:val="24"/>
        </w:rPr>
        <w:t> </w:t>
      </w:r>
      <w:r w:rsidRPr="003D7908">
        <w:rPr>
          <w:rFonts w:eastAsia="Times New Roman" w:cs="Arial"/>
          <w:b/>
          <w:bCs/>
          <w:color w:val="000000" w:themeColor="text1"/>
          <w:sz w:val="24"/>
          <w:szCs w:val="24"/>
        </w:rPr>
        <w:t> </w:t>
      </w:r>
      <w:r w:rsidRPr="003D7908">
        <w:rPr>
          <w:rFonts w:eastAsia="Times New Roman" w:cs="Arial"/>
          <w:b/>
          <w:bCs/>
          <w:color w:val="000000" w:themeColor="text1"/>
          <w:sz w:val="24"/>
          <w:szCs w:val="24"/>
        </w:rPr>
        <w:t> </w:t>
      </w:r>
      <w:r w:rsidRPr="003D7908">
        <w:rPr>
          <w:rFonts w:eastAsia="Times New Roman" w:cs="Arial"/>
          <w:b/>
          <w:bCs/>
          <w:color w:val="000000" w:themeColor="text1"/>
          <w:sz w:val="24"/>
          <w:szCs w:val="24"/>
        </w:rPr>
        <w:t>«</w:t>
      </w:r>
      <w:r w:rsidRPr="003D7908">
        <w:rPr>
          <w:rFonts w:eastAsia="Times New Roman" w:cs="Arial"/>
          <w:b/>
          <w:bCs/>
          <w:i/>
          <w:iCs/>
          <w:color w:val="000000" w:themeColor="text1"/>
          <w:sz w:val="24"/>
          <w:szCs w:val="24"/>
        </w:rPr>
        <w:t>a)</w:t>
      </w:r>
      <w:r w:rsidRPr="003D7908">
        <w:rPr>
          <w:rFonts w:eastAsia="Times New Roman" w:cs="Arial"/>
          <w:b/>
          <w:bCs/>
          <w:color w:val="000000" w:themeColor="text1"/>
          <w:sz w:val="24"/>
          <w:szCs w:val="24"/>
        </w:rPr>
        <w:t> velocipedi, ciclomotori, motocicli di cilindrata inferiore a 150 centimetri cubici se a motore termico, ovvero di potenza inferiore a 11 kW se a motore elettrico, e motocarrozzette di cilindrata inferiore a 250 cm³ se a motore termico»;</w:t>
      </w:r>
      <w:r>
        <w:rPr>
          <w:rStyle w:val="Rimandonotaapidipagina"/>
          <w:rFonts w:eastAsia="Times New Roman" w:cs="Arial"/>
          <w:b/>
          <w:bCs/>
          <w:color w:val="000000" w:themeColor="text1"/>
          <w:sz w:val="24"/>
          <w:szCs w:val="24"/>
        </w:rPr>
        <w:footnoteReference w:id="28"/>
      </w:r>
    </w:p>
    <w:p w14:paraId="7CE76D21" w14:textId="2A86060B" w:rsidR="00AC04E6" w:rsidRDefault="00AC04E6" w:rsidP="00AC04E6">
      <w:pPr>
        <w:shd w:val="clear" w:color="auto" w:fill="FFFFFF"/>
        <w:spacing w:after="0" w:line="240" w:lineRule="auto"/>
        <w:jc w:val="both"/>
        <w:rPr>
          <w:rFonts w:eastAsia="Times New Roman" w:cs="Arial"/>
          <w:b/>
          <w:bCs/>
          <w:color w:val="000000" w:themeColor="text1"/>
          <w:sz w:val="24"/>
          <w:szCs w:val="24"/>
        </w:rPr>
      </w:pPr>
      <w:r w:rsidRPr="00155015">
        <w:rPr>
          <w:rFonts w:eastAsia="Times New Roman" w:cs="Arial"/>
          <w:color w:val="000000" w:themeColor="text1"/>
          <w:sz w:val="24"/>
          <w:szCs w:val="24"/>
        </w:rPr>
        <w:t> </w:t>
      </w:r>
      <w:r w:rsidRPr="00155015">
        <w:rPr>
          <w:rFonts w:eastAsia="Times New Roman" w:cs="Arial"/>
          <w:color w:val="000000" w:themeColor="text1"/>
          <w:sz w:val="24"/>
          <w:szCs w:val="24"/>
        </w:rPr>
        <w:t> </w:t>
      </w:r>
      <w:r w:rsidRPr="00155015">
        <w:rPr>
          <w:rFonts w:eastAsia="Times New Roman" w:cs="Arial"/>
          <w:color w:val="000000" w:themeColor="text1"/>
          <w:sz w:val="24"/>
          <w:szCs w:val="24"/>
        </w:rPr>
        <w:t> </w:t>
      </w:r>
      <w:r w:rsidRPr="003F6EEB">
        <w:rPr>
          <w:rFonts w:eastAsia="Times New Roman" w:cs="Arial"/>
          <w:b/>
          <w:bCs/>
          <w:i/>
          <w:iCs/>
          <w:color w:val="000000" w:themeColor="text1"/>
          <w:sz w:val="24"/>
          <w:szCs w:val="24"/>
        </w:rPr>
        <w:t>e-bis)</w:t>
      </w:r>
      <w:r w:rsidRPr="003F6EEB">
        <w:rPr>
          <w:rFonts w:eastAsia="Times New Roman" w:cs="Arial"/>
          <w:b/>
          <w:bCs/>
          <w:color w:val="000000" w:themeColor="text1"/>
          <w:sz w:val="24"/>
          <w:szCs w:val="24"/>
        </w:rPr>
        <w:t xml:space="preserve"> all'articolo 180, comma 8, è aggiunto, in fine, il seguente periodo: «L'invito a presentarsi per esibire i documenti di cui al presente articolo non si applica nel caso in cui l'esistenza e la validità della documentazione richiesta possano essere accertate tramite consultazione di archivi o banche dati pubblici o gestiti da Amministrazioni dello Stato accessibili da parte degli organi di polizia stradale, ad </w:t>
      </w:r>
      <w:r w:rsidRPr="003F6EEB">
        <w:rPr>
          <w:rFonts w:eastAsia="Times New Roman" w:cs="Arial"/>
          <w:b/>
          <w:bCs/>
          <w:color w:val="000000" w:themeColor="text1"/>
          <w:sz w:val="24"/>
          <w:szCs w:val="24"/>
        </w:rPr>
        <w:lastRenderedPageBreak/>
        <w:t>eccezione delle ipotesi in cui l'accesso ai relativi archivi non sia tecnicamente possibile al momento della contestazione.»</w:t>
      </w:r>
      <w:r>
        <w:rPr>
          <w:rStyle w:val="Rimandonotaapidipagina"/>
          <w:rFonts w:eastAsia="Times New Roman" w:cs="Arial"/>
          <w:b/>
          <w:bCs/>
          <w:color w:val="000000" w:themeColor="text1"/>
          <w:sz w:val="24"/>
          <w:szCs w:val="24"/>
        </w:rPr>
        <w:footnoteReference w:id="29"/>
      </w:r>
    </w:p>
    <w:p w14:paraId="108F18A3" w14:textId="77777777" w:rsidR="00660EE5" w:rsidRPr="00AC04E6" w:rsidRDefault="00660EE5" w:rsidP="00660EE5">
      <w:pPr>
        <w:spacing w:after="0" w:line="240" w:lineRule="auto"/>
        <w:jc w:val="both"/>
        <w:rPr>
          <w:rFonts w:asciiTheme="minorHAnsi" w:hAnsiTheme="minorHAnsi"/>
          <w:strike/>
          <w:color w:val="000000" w:themeColor="text1"/>
          <w:sz w:val="24"/>
          <w:szCs w:val="24"/>
          <w:highlight w:val="yellow"/>
        </w:rPr>
      </w:pPr>
      <w:r w:rsidRPr="00AC04E6">
        <w:rPr>
          <w:rFonts w:asciiTheme="minorHAnsi" w:hAnsiTheme="minorHAnsi"/>
          <w:strike/>
          <w:color w:val="000000" w:themeColor="text1"/>
          <w:sz w:val="24"/>
          <w:szCs w:val="24"/>
          <w:highlight w:val="yellow"/>
        </w:rPr>
        <w:t>   f) all'articolo 188:</w:t>
      </w:r>
    </w:p>
    <w:p w14:paraId="5CB0D16C" w14:textId="77777777" w:rsidR="00660EE5" w:rsidRPr="00AC04E6" w:rsidRDefault="00660EE5" w:rsidP="00660EE5">
      <w:pPr>
        <w:spacing w:after="0" w:line="240" w:lineRule="auto"/>
        <w:jc w:val="both"/>
        <w:rPr>
          <w:rFonts w:asciiTheme="minorHAnsi" w:hAnsiTheme="minorHAnsi"/>
          <w:strike/>
          <w:color w:val="000000" w:themeColor="text1"/>
          <w:sz w:val="24"/>
          <w:szCs w:val="24"/>
          <w:highlight w:val="yellow"/>
        </w:rPr>
      </w:pPr>
      <w:r w:rsidRPr="00AC04E6">
        <w:rPr>
          <w:rFonts w:asciiTheme="minorHAnsi" w:hAnsiTheme="minorHAnsi"/>
          <w:strike/>
          <w:color w:val="000000" w:themeColor="text1"/>
          <w:sz w:val="24"/>
          <w:szCs w:val="24"/>
          <w:highlight w:val="yellow"/>
        </w:rPr>
        <w:t>    1) al comma 4, le parole «una somma da euro 87 a euro 344» sono sostituite dalle seguenti: «una somma da euro 168 ad euro 672»;</w:t>
      </w:r>
    </w:p>
    <w:p w14:paraId="065EFC85" w14:textId="6C6C3A10" w:rsidR="00660EE5" w:rsidRDefault="00660EE5" w:rsidP="00660EE5">
      <w:pPr>
        <w:spacing w:after="0" w:line="240" w:lineRule="auto"/>
        <w:jc w:val="both"/>
        <w:rPr>
          <w:rFonts w:asciiTheme="minorHAnsi" w:hAnsiTheme="minorHAnsi"/>
          <w:color w:val="000000" w:themeColor="text1"/>
          <w:sz w:val="24"/>
          <w:szCs w:val="24"/>
        </w:rPr>
      </w:pPr>
      <w:r w:rsidRPr="00AC04E6">
        <w:rPr>
          <w:rFonts w:asciiTheme="minorHAnsi" w:hAnsiTheme="minorHAnsi"/>
          <w:strike/>
          <w:color w:val="000000" w:themeColor="text1"/>
          <w:sz w:val="24"/>
          <w:szCs w:val="24"/>
          <w:highlight w:val="yellow"/>
        </w:rPr>
        <w:t>    2) al comma 5, le parole «una somma da euro 42 a euro 173» sono sostituite dalle seguenti: «una somma da euro 87 ad euro 344»</w:t>
      </w:r>
      <w:r w:rsidRPr="00660EE5">
        <w:rPr>
          <w:rFonts w:asciiTheme="minorHAnsi" w:hAnsiTheme="minorHAnsi"/>
          <w:color w:val="000000" w:themeColor="text1"/>
          <w:sz w:val="24"/>
          <w:szCs w:val="24"/>
        </w:rPr>
        <w:t>;</w:t>
      </w:r>
    </w:p>
    <w:p w14:paraId="035C083F" w14:textId="52F566C5" w:rsidR="00AC04E6" w:rsidRPr="003F6EEB" w:rsidRDefault="00AC04E6" w:rsidP="00AC04E6">
      <w:pPr>
        <w:shd w:val="clear" w:color="auto" w:fill="FFFFFF"/>
        <w:spacing w:after="0" w:line="240" w:lineRule="auto"/>
        <w:jc w:val="both"/>
        <w:rPr>
          <w:rFonts w:eastAsia="Times New Roman" w:cs="Arial"/>
          <w:b/>
          <w:bCs/>
          <w:color w:val="000000" w:themeColor="text1"/>
          <w:sz w:val="24"/>
          <w:szCs w:val="24"/>
        </w:rPr>
      </w:pPr>
      <w:r>
        <w:rPr>
          <w:rFonts w:eastAsia="Times New Roman" w:cs="Arial"/>
          <w:b/>
          <w:bCs/>
          <w:i/>
          <w:iCs/>
          <w:color w:val="000000" w:themeColor="text1"/>
          <w:sz w:val="24"/>
          <w:szCs w:val="24"/>
        </w:rPr>
        <w:t xml:space="preserve">         </w:t>
      </w:r>
      <w:r w:rsidRPr="003F6EEB">
        <w:rPr>
          <w:rFonts w:eastAsia="Times New Roman" w:cs="Arial"/>
          <w:b/>
          <w:bCs/>
          <w:i/>
          <w:iCs/>
          <w:color w:val="000000" w:themeColor="text1"/>
          <w:sz w:val="24"/>
          <w:szCs w:val="24"/>
        </w:rPr>
        <w:t>f)</w:t>
      </w:r>
      <w:r w:rsidRPr="003F6EEB">
        <w:rPr>
          <w:rFonts w:eastAsia="Times New Roman" w:cs="Arial"/>
          <w:b/>
          <w:bCs/>
          <w:color w:val="000000" w:themeColor="text1"/>
          <w:sz w:val="24"/>
          <w:szCs w:val="24"/>
        </w:rPr>
        <w:t> all'articolo 188:</w:t>
      </w:r>
    </w:p>
    <w:p w14:paraId="7CB50564" w14:textId="77777777" w:rsidR="00AC04E6" w:rsidRPr="003F6EEB" w:rsidRDefault="00AC04E6" w:rsidP="00AC04E6">
      <w:pPr>
        <w:shd w:val="clear" w:color="auto" w:fill="FFFFFF"/>
        <w:spacing w:after="0" w:line="240" w:lineRule="auto"/>
        <w:jc w:val="both"/>
        <w:rPr>
          <w:rFonts w:eastAsia="Times New Roman" w:cs="Arial"/>
          <w:b/>
          <w:bCs/>
          <w:color w:val="000000" w:themeColor="text1"/>
          <w:sz w:val="24"/>
          <w:szCs w:val="24"/>
        </w:rPr>
      </w:pPr>
      <w:r w:rsidRPr="003F6EEB">
        <w:rPr>
          <w:rFonts w:eastAsia="Times New Roman" w:cs="Arial"/>
          <w:b/>
          <w:bCs/>
          <w:color w:val="000000" w:themeColor="text1"/>
          <w:sz w:val="24"/>
          <w:szCs w:val="24"/>
        </w:rPr>
        <w:t> </w:t>
      </w:r>
      <w:r w:rsidRPr="003F6EEB">
        <w:rPr>
          <w:rFonts w:eastAsia="Times New Roman" w:cs="Arial"/>
          <w:b/>
          <w:bCs/>
          <w:color w:val="000000" w:themeColor="text1"/>
          <w:sz w:val="24"/>
          <w:szCs w:val="24"/>
        </w:rPr>
        <w:t> </w:t>
      </w:r>
      <w:r w:rsidRPr="003F6EEB">
        <w:rPr>
          <w:rFonts w:eastAsia="Times New Roman" w:cs="Arial"/>
          <w:b/>
          <w:bCs/>
          <w:color w:val="000000" w:themeColor="text1"/>
          <w:sz w:val="24"/>
          <w:szCs w:val="24"/>
        </w:rPr>
        <w:t> </w:t>
      </w:r>
      <w:r w:rsidRPr="003F6EEB">
        <w:rPr>
          <w:rFonts w:eastAsia="Times New Roman" w:cs="Arial"/>
          <w:b/>
          <w:bCs/>
          <w:color w:val="000000" w:themeColor="text1"/>
          <w:sz w:val="24"/>
          <w:szCs w:val="24"/>
        </w:rPr>
        <w:t> </w:t>
      </w:r>
      <w:r w:rsidRPr="003F6EEB">
        <w:rPr>
          <w:rFonts w:eastAsia="Times New Roman" w:cs="Arial"/>
          <w:b/>
          <w:bCs/>
          <w:color w:val="000000" w:themeColor="text1"/>
          <w:sz w:val="24"/>
          <w:szCs w:val="24"/>
        </w:rPr>
        <w:t>1) dopo il comma 3, è aggiunto il seguente:</w:t>
      </w:r>
    </w:p>
    <w:p w14:paraId="479CC97C" w14:textId="77777777" w:rsidR="00AC04E6" w:rsidRPr="003F6EEB" w:rsidRDefault="00AC04E6" w:rsidP="00AC04E6">
      <w:pPr>
        <w:shd w:val="clear" w:color="auto" w:fill="FFFFFF"/>
        <w:spacing w:after="0" w:line="240" w:lineRule="auto"/>
        <w:jc w:val="both"/>
        <w:rPr>
          <w:rFonts w:eastAsia="Times New Roman" w:cs="Arial"/>
          <w:b/>
          <w:bCs/>
          <w:color w:val="000000" w:themeColor="text1"/>
          <w:sz w:val="24"/>
          <w:szCs w:val="24"/>
        </w:rPr>
      </w:pPr>
      <w:r w:rsidRPr="003F6EEB">
        <w:rPr>
          <w:rFonts w:eastAsia="Times New Roman" w:cs="Arial"/>
          <w:b/>
          <w:bCs/>
          <w:color w:val="000000" w:themeColor="text1"/>
          <w:sz w:val="24"/>
          <w:szCs w:val="24"/>
        </w:rPr>
        <w:t> </w:t>
      </w:r>
      <w:r w:rsidRPr="003F6EEB">
        <w:rPr>
          <w:rFonts w:eastAsia="Times New Roman" w:cs="Arial"/>
          <w:b/>
          <w:bCs/>
          <w:color w:val="000000" w:themeColor="text1"/>
          <w:sz w:val="24"/>
          <w:szCs w:val="24"/>
        </w:rPr>
        <w:t> </w:t>
      </w:r>
      <w:r w:rsidRPr="003F6EEB">
        <w:rPr>
          <w:rFonts w:eastAsia="Times New Roman" w:cs="Arial"/>
          <w:b/>
          <w:bCs/>
          <w:color w:val="000000" w:themeColor="text1"/>
          <w:sz w:val="24"/>
          <w:szCs w:val="24"/>
        </w:rPr>
        <w:t> </w:t>
      </w:r>
      <w:r w:rsidRPr="003F6EEB">
        <w:rPr>
          <w:rFonts w:eastAsia="Times New Roman" w:cs="Arial"/>
          <w:b/>
          <w:bCs/>
          <w:color w:val="000000" w:themeColor="text1"/>
          <w:sz w:val="24"/>
          <w:szCs w:val="24"/>
        </w:rPr>
        <w:t>«3-bis. Ai veicoli al servizio di persone con disabilità, titolari del contrassegno speciale ai sensi dell'articolo 381, comma 2, del regolamento, è consentito di sostare gratuitamente nelle aree di sosta o parcheggio a pagamento, qualora risultino già occupati o indisponibili gli stalli a loro riservati.»</w:t>
      </w:r>
    </w:p>
    <w:p w14:paraId="64EA7322" w14:textId="77777777" w:rsidR="00AC04E6" w:rsidRPr="003F6EEB" w:rsidRDefault="00AC04E6" w:rsidP="00AC04E6">
      <w:pPr>
        <w:shd w:val="clear" w:color="auto" w:fill="FFFFFF"/>
        <w:spacing w:after="0" w:line="240" w:lineRule="auto"/>
        <w:jc w:val="both"/>
        <w:rPr>
          <w:rFonts w:eastAsia="Times New Roman" w:cs="Arial"/>
          <w:b/>
          <w:bCs/>
          <w:color w:val="000000" w:themeColor="text1"/>
          <w:sz w:val="24"/>
          <w:szCs w:val="24"/>
        </w:rPr>
      </w:pPr>
      <w:r w:rsidRPr="003F6EEB">
        <w:rPr>
          <w:rFonts w:eastAsia="Times New Roman" w:cs="Arial"/>
          <w:b/>
          <w:bCs/>
          <w:color w:val="000000" w:themeColor="text1"/>
          <w:sz w:val="24"/>
          <w:szCs w:val="24"/>
        </w:rPr>
        <w:t> </w:t>
      </w:r>
      <w:r w:rsidRPr="003F6EEB">
        <w:rPr>
          <w:rFonts w:eastAsia="Times New Roman" w:cs="Arial"/>
          <w:b/>
          <w:bCs/>
          <w:color w:val="000000" w:themeColor="text1"/>
          <w:sz w:val="24"/>
          <w:szCs w:val="24"/>
        </w:rPr>
        <w:t> </w:t>
      </w:r>
      <w:r w:rsidRPr="003F6EEB">
        <w:rPr>
          <w:rFonts w:eastAsia="Times New Roman" w:cs="Arial"/>
          <w:b/>
          <w:bCs/>
          <w:color w:val="000000" w:themeColor="text1"/>
          <w:sz w:val="24"/>
          <w:szCs w:val="24"/>
        </w:rPr>
        <w:t> </w:t>
      </w:r>
      <w:r w:rsidRPr="003F6EEB">
        <w:rPr>
          <w:rFonts w:eastAsia="Times New Roman" w:cs="Arial"/>
          <w:b/>
          <w:bCs/>
          <w:color w:val="000000" w:themeColor="text1"/>
          <w:sz w:val="24"/>
          <w:szCs w:val="24"/>
        </w:rPr>
        <w:t> </w:t>
      </w:r>
      <w:r w:rsidRPr="003F6EEB">
        <w:rPr>
          <w:rFonts w:eastAsia="Times New Roman" w:cs="Arial"/>
          <w:b/>
          <w:bCs/>
          <w:color w:val="000000" w:themeColor="text1"/>
          <w:sz w:val="24"/>
          <w:szCs w:val="24"/>
        </w:rPr>
        <w:t>2) al comma 4, le parole «una somma da euro 87 a euro 344» sono sostituite dalle seguenti: «una somma da euro 168 ad euro 672»;</w:t>
      </w:r>
    </w:p>
    <w:p w14:paraId="114FDE6F" w14:textId="1731CA9E" w:rsidR="00AC04E6" w:rsidRPr="003F6EEB" w:rsidRDefault="00AC04E6" w:rsidP="00AC04E6">
      <w:pPr>
        <w:shd w:val="clear" w:color="auto" w:fill="FFFFFF"/>
        <w:spacing w:after="0" w:line="240" w:lineRule="auto"/>
        <w:jc w:val="both"/>
        <w:rPr>
          <w:rFonts w:eastAsia="Times New Roman" w:cs="Arial"/>
          <w:b/>
          <w:bCs/>
          <w:color w:val="000000" w:themeColor="text1"/>
          <w:sz w:val="24"/>
          <w:szCs w:val="24"/>
        </w:rPr>
      </w:pPr>
      <w:r w:rsidRPr="003F6EEB">
        <w:rPr>
          <w:rFonts w:eastAsia="Times New Roman" w:cs="Arial"/>
          <w:b/>
          <w:bCs/>
          <w:color w:val="000000" w:themeColor="text1"/>
          <w:sz w:val="24"/>
          <w:szCs w:val="24"/>
        </w:rPr>
        <w:t> </w:t>
      </w:r>
      <w:r w:rsidRPr="003F6EEB">
        <w:rPr>
          <w:rFonts w:eastAsia="Times New Roman" w:cs="Arial"/>
          <w:b/>
          <w:bCs/>
          <w:color w:val="000000" w:themeColor="text1"/>
          <w:sz w:val="24"/>
          <w:szCs w:val="24"/>
        </w:rPr>
        <w:t> </w:t>
      </w:r>
      <w:r w:rsidRPr="003F6EEB">
        <w:rPr>
          <w:rFonts w:eastAsia="Times New Roman" w:cs="Arial"/>
          <w:b/>
          <w:bCs/>
          <w:color w:val="000000" w:themeColor="text1"/>
          <w:sz w:val="24"/>
          <w:szCs w:val="24"/>
        </w:rPr>
        <w:t> </w:t>
      </w:r>
      <w:r w:rsidRPr="003F6EEB">
        <w:rPr>
          <w:rFonts w:eastAsia="Times New Roman" w:cs="Arial"/>
          <w:b/>
          <w:bCs/>
          <w:color w:val="000000" w:themeColor="text1"/>
          <w:sz w:val="24"/>
          <w:szCs w:val="24"/>
        </w:rPr>
        <w:t> </w:t>
      </w:r>
      <w:r w:rsidRPr="003F6EEB">
        <w:rPr>
          <w:rFonts w:eastAsia="Times New Roman" w:cs="Arial"/>
          <w:b/>
          <w:bCs/>
          <w:color w:val="000000" w:themeColor="text1"/>
          <w:sz w:val="24"/>
          <w:szCs w:val="24"/>
        </w:rPr>
        <w:t>3) al comma 5, le parole «una somma da euro 42 a euro 173» sono sostituite dalle seguenti: «una somma da euro 87 ad euro 344»</w:t>
      </w:r>
      <w:r>
        <w:rPr>
          <w:rFonts w:eastAsia="Times New Roman" w:cs="Arial"/>
          <w:b/>
          <w:bCs/>
          <w:color w:val="000000" w:themeColor="text1"/>
          <w:sz w:val="24"/>
          <w:szCs w:val="24"/>
        </w:rPr>
        <w:t>;</w:t>
      </w:r>
      <w:r>
        <w:rPr>
          <w:rStyle w:val="Rimandonotaapidipagina"/>
          <w:rFonts w:eastAsia="Times New Roman" w:cs="Arial"/>
          <w:b/>
          <w:bCs/>
          <w:color w:val="000000" w:themeColor="text1"/>
          <w:sz w:val="24"/>
          <w:szCs w:val="24"/>
        </w:rPr>
        <w:footnoteReference w:id="30"/>
      </w:r>
    </w:p>
    <w:p w14:paraId="050A3D75"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   g) dopo l'articolo 188, è inserito il seguente:</w:t>
      </w:r>
    </w:p>
    <w:p w14:paraId="74E45B63"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   «Art. 188-bis (Sosta dei veicoli al servizio delle donne in stato di gravidanza o di genitori con un bambino di età non superiore a due anni). – 1. Per la sosta dei veicoli al servizio delle donne in stato di gravidanza o di genitori con un bambino di età non superiore a due anni gli enti proprietari della strada possono allestire spazi per la sosta, mediante la segnaletica necessaria, per consentire ed agevolare la mobilità di tali soggetti secondo le modalità stabilite nel regolamento.</w:t>
      </w:r>
    </w:p>
    <w:p w14:paraId="7792D368"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   2. Per usufruire delle strutture di cui al comma 1, le donne in stato di gravidanza o i genitori con un bambino di età non superiore a due anni sono autorizzati dal comune di residenza, nei casi e con le modalità, relativi al rilascio del permesso rosa, stabiliti dal regolamento.</w:t>
      </w:r>
    </w:p>
    <w:p w14:paraId="56C53318"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   3. Chiunque usufruisce delle strutture di cui al comma 1, senza avere l'autorizzazione prescritta dal comma 2 o ne faccia uso improprio, è soggetto alla sanzione amministrativa del pagamento di una somma da euro 87 a euro 344.</w:t>
      </w:r>
    </w:p>
    <w:p w14:paraId="6645F25D" w14:textId="15A53E65" w:rsid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   4. Chiunque, pur avendone diritto, usa delle strutture di cui al comma 1 non osservando le condizioni ed i limiti indicati nell'autorizzazione prescritta dal comma 2, è soggetto alla sanzione amministrativa del pagamento di una somma da euro 42 a euro 173.».</w:t>
      </w:r>
    </w:p>
    <w:p w14:paraId="58602DCC" w14:textId="77777777" w:rsidR="002513B9" w:rsidRPr="00D746BD" w:rsidRDefault="002513B9" w:rsidP="002513B9">
      <w:pPr>
        <w:shd w:val="clear" w:color="auto" w:fill="FFFFFF"/>
        <w:spacing w:after="0" w:line="240" w:lineRule="auto"/>
        <w:jc w:val="both"/>
        <w:rPr>
          <w:rFonts w:eastAsia="Times New Roman" w:cs="Arial"/>
          <w:b/>
          <w:bCs/>
          <w:color w:val="000000" w:themeColor="text1"/>
          <w:sz w:val="24"/>
          <w:szCs w:val="24"/>
        </w:rPr>
      </w:pPr>
      <w:r w:rsidRPr="00D746BD">
        <w:rPr>
          <w:rFonts w:eastAsia="Times New Roman" w:cs="Arial"/>
          <w:b/>
          <w:bCs/>
          <w:color w:val="000000" w:themeColor="text1"/>
          <w:sz w:val="24"/>
          <w:szCs w:val="24"/>
        </w:rPr>
        <w:lastRenderedPageBreak/>
        <w:t> </w:t>
      </w:r>
      <w:r w:rsidRPr="00D746BD">
        <w:rPr>
          <w:rFonts w:eastAsia="Times New Roman" w:cs="Arial"/>
          <w:b/>
          <w:bCs/>
          <w:color w:val="000000" w:themeColor="text1"/>
          <w:sz w:val="24"/>
          <w:szCs w:val="24"/>
        </w:rPr>
        <w:t> </w:t>
      </w:r>
      <w:r w:rsidRPr="00D746BD">
        <w:rPr>
          <w:rFonts w:eastAsia="Times New Roman" w:cs="Arial"/>
          <w:b/>
          <w:bCs/>
          <w:color w:val="000000" w:themeColor="text1"/>
          <w:sz w:val="24"/>
          <w:szCs w:val="24"/>
        </w:rPr>
        <w:t> </w:t>
      </w:r>
      <w:r w:rsidRPr="00D746BD">
        <w:rPr>
          <w:rFonts w:eastAsia="Times New Roman" w:cs="Arial"/>
          <w:b/>
          <w:bCs/>
          <w:i/>
          <w:iCs/>
          <w:color w:val="000000" w:themeColor="text1"/>
          <w:sz w:val="24"/>
          <w:szCs w:val="24"/>
        </w:rPr>
        <w:t>g-bis)</w:t>
      </w:r>
      <w:r w:rsidRPr="00D746BD">
        <w:rPr>
          <w:rFonts w:eastAsia="Times New Roman" w:cs="Arial"/>
          <w:b/>
          <w:bCs/>
          <w:color w:val="000000" w:themeColor="text1"/>
          <w:sz w:val="24"/>
          <w:szCs w:val="24"/>
        </w:rPr>
        <w:t> all'articolo 191, il comma 1 è sostituito dal seguente:</w:t>
      </w:r>
    </w:p>
    <w:p w14:paraId="7CC9CB64" w14:textId="77777777" w:rsidR="002513B9" w:rsidRPr="00D746BD" w:rsidRDefault="002513B9" w:rsidP="002513B9">
      <w:pPr>
        <w:shd w:val="clear" w:color="auto" w:fill="FFFFFF"/>
        <w:spacing w:after="0" w:line="240" w:lineRule="auto"/>
        <w:jc w:val="both"/>
        <w:rPr>
          <w:rFonts w:eastAsia="Times New Roman" w:cs="Arial"/>
          <w:b/>
          <w:bCs/>
          <w:color w:val="000000" w:themeColor="text1"/>
          <w:sz w:val="24"/>
          <w:szCs w:val="24"/>
        </w:rPr>
      </w:pPr>
      <w:r w:rsidRPr="00D746BD">
        <w:rPr>
          <w:rFonts w:eastAsia="Times New Roman" w:cs="Arial"/>
          <w:b/>
          <w:bCs/>
          <w:color w:val="000000" w:themeColor="text1"/>
          <w:sz w:val="24"/>
          <w:szCs w:val="24"/>
        </w:rPr>
        <w:t> </w:t>
      </w:r>
      <w:r w:rsidRPr="00D746BD">
        <w:rPr>
          <w:rFonts w:eastAsia="Times New Roman" w:cs="Arial"/>
          <w:b/>
          <w:bCs/>
          <w:color w:val="000000" w:themeColor="text1"/>
          <w:sz w:val="24"/>
          <w:szCs w:val="24"/>
        </w:rPr>
        <w:t> </w:t>
      </w:r>
      <w:r w:rsidRPr="00D746BD">
        <w:rPr>
          <w:rFonts w:eastAsia="Times New Roman" w:cs="Arial"/>
          <w:b/>
          <w:bCs/>
          <w:color w:val="000000" w:themeColor="text1"/>
          <w:sz w:val="24"/>
          <w:szCs w:val="24"/>
        </w:rPr>
        <w:t> </w:t>
      </w:r>
      <w:r w:rsidRPr="00D746BD">
        <w:rPr>
          <w:rFonts w:eastAsia="Times New Roman" w:cs="Arial"/>
          <w:b/>
          <w:bCs/>
          <w:color w:val="000000" w:themeColor="text1"/>
          <w:sz w:val="24"/>
          <w:szCs w:val="24"/>
        </w:rPr>
        <w:t>«</w:t>
      </w:r>
      <w:r w:rsidRPr="00D746BD">
        <w:rPr>
          <w:rFonts w:eastAsia="Times New Roman" w:cs="Arial"/>
          <w:b/>
          <w:bCs/>
          <w:i/>
          <w:iCs/>
          <w:color w:val="000000" w:themeColor="text1"/>
          <w:sz w:val="24"/>
          <w:szCs w:val="24"/>
        </w:rPr>
        <w:t>1</w:t>
      </w:r>
      <w:r w:rsidRPr="00D746BD">
        <w:rPr>
          <w:rFonts w:eastAsia="Times New Roman" w:cs="Arial"/>
          <w:b/>
          <w:bCs/>
          <w:color w:val="000000" w:themeColor="text1"/>
          <w:sz w:val="24"/>
          <w:szCs w:val="24"/>
        </w:rPr>
        <w:t>. Quando il traffico non è regolato da agenti o da semafori, i conducenti devono dare la precedenza, rallentando gradualmente e fermandosi, ai pedoni che transitano sugli attraversamenti pedonali o si trovino nelle loro immediate prossimità. I conducenti che svoltano per inoltrarsi in un'altra strada al cui ingresso si trova un attraversamento pedonale devono dare la precedenza, rallentando gradualmente e fermandosi, ai pedoni che transitano sull'attraversamento medesimo o si trovino nelle sue immediate prossimità, quando a essi non sia vietato il passaggio. Resta fermo il divieto per i pedoni di cui all'articolo 190, comma 4»;</w:t>
      </w:r>
    </w:p>
    <w:p w14:paraId="648CA4D3" w14:textId="77777777" w:rsidR="002513B9" w:rsidRPr="00D746BD" w:rsidRDefault="002513B9" w:rsidP="002513B9">
      <w:pPr>
        <w:shd w:val="clear" w:color="auto" w:fill="FFFFFF"/>
        <w:spacing w:after="0" w:line="240" w:lineRule="auto"/>
        <w:jc w:val="both"/>
        <w:rPr>
          <w:rFonts w:eastAsia="Times New Roman" w:cs="Arial"/>
          <w:b/>
          <w:bCs/>
          <w:color w:val="000000" w:themeColor="text1"/>
          <w:sz w:val="24"/>
          <w:szCs w:val="24"/>
        </w:rPr>
      </w:pPr>
      <w:r w:rsidRPr="00D746BD">
        <w:rPr>
          <w:rFonts w:eastAsia="Times New Roman" w:cs="Arial"/>
          <w:b/>
          <w:bCs/>
          <w:color w:val="000000" w:themeColor="text1"/>
          <w:sz w:val="24"/>
          <w:szCs w:val="24"/>
        </w:rPr>
        <w:t> </w:t>
      </w:r>
      <w:r w:rsidRPr="00D746BD">
        <w:rPr>
          <w:rFonts w:eastAsia="Times New Roman" w:cs="Arial"/>
          <w:b/>
          <w:bCs/>
          <w:color w:val="000000" w:themeColor="text1"/>
          <w:sz w:val="24"/>
          <w:szCs w:val="24"/>
        </w:rPr>
        <w:t> </w:t>
      </w:r>
      <w:r w:rsidRPr="00D746BD">
        <w:rPr>
          <w:rFonts w:eastAsia="Times New Roman" w:cs="Arial"/>
          <w:b/>
          <w:bCs/>
          <w:color w:val="000000" w:themeColor="text1"/>
          <w:sz w:val="24"/>
          <w:szCs w:val="24"/>
        </w:rPr>
        <w:t> </w:t>
      </w:r>
      <w:r w:rsidRPr="00D746BD">
        <w:rPr>
          <w:rFonts w:eastAsia="Times New Roman" w:cs="Arial"/>
          <w:b/>
          <w:bCs/>
          <w:i/>
          <w:iCs/>
          <w:color w:val="000000" w:themeColor="text1"/>
          <w:sz w:val="24"/>
          <w:szCs w:val="24"/>
        </w:rPr>
        <w:t>g-ter)</w:t>
      </w:r>
      <w:r w:rsidRPr="00D746BD">
        <w:rPr>
          <w:rFonts w:eastAsia="Times New Roman" w:cs="Arial"/>
          <w:b/>
          <w:bCs/>
          <w:color w:val="000000" w:themeColor="text1"/>
          <w:sz w:val="24"/>
          <w:szCs w:val="24"/>
        </w:rPr>
        <w:t> all'articolo 196, comma 1, secondo periodo, le parole: «risponde solidalmente il locatario e» sono sostituite dalle seguenti: «il locatario, in vece del proprietario, risponde solidalmente con l'autore della violazione o, per i ciclomotori, con l'intestatario del contrassegno di identificazione;»;</w:t>
      </w:r>
    </w:p>
    <w:p w14:paraId="029C2945" w14:textId="77777777" w:rsidR="002513B9" w:rsidRPr="00D746BD" w:rsidRDefault="002513B9" w:rsidP="002513B9">
      <w:pPr>
        <w:shd w:val="clear" w:color="auto" w:fill="FFFFFF"/>
        <w:spacing w:after="0" w:line="240" w:lineRule="auto"/>
        <w:jc w:val="both"/>
        <w:rPr>
          <w:rFonts w:eastAsia="Times New Roman" w:cs="Arial"/>
          <w:b/>
          <w:bCs/>
          <w:color w:val="000000" w:themeColor="text1"/>
          <w:sz w:val="24"/>
          <w:szCs w:val="24"/>
        </w:rPr>
      </w:pPr>
      <w:r w:rsidRPr="00D746BD">
        <w:rPr>
          <w:rFonts w:eastAsia="Times New Roman" w:cs="Arial"/>
          <w:b/>
          <w:bCs/>
          <w:color w:val="000000" w:themeColor="text1"/>
          <w:sz w:val="24"/>
          <w:szCs w:val="24"/>
        </w:rPr>
        <w:t> </w:t>
      </w:r>
      <w:r w:rsidRPr="00D746BD">
        <w:rPr>
          <w:rFonts w:eastAsia="Times New Roman" w:cs="Arial"/>
          <w:b/>
          <w:bCs/>
          <w:color w:val="000000" w:themeColor="text1"/>
          <w:sz w:val="24"/>
          <w:szCs w:val="24"/>
        </w:rPr>
        <w:t> </w:t>
      </w:r>
      <w:r w:rsidRPr="00D746BD">
        <w:rPr>
          <w:rFonts w:eastAsia="Times New Roman" w:cs="Arial"/>
          <w:b/>
          <w:bCs/>
          <w:color w:val="000000" w:themeColor="text1"/>
          <w:sz w:val="24"/>
          <w:szCs w:val="24"/>
        </w:rPr>
        <w:t> </w:t>
      </w:r>
      <w:r w:rsidRPr="00D746BD">
        <w:rPr>
          <w:rFonts w:eastAsia="Times New Roman" w:cs="Arial"/>
          <w:b/>
          <w:bCs/>
          <w:i/>
          <w:iCs/>
          <w:color w:val="000000" w:themeColor="text1"/>
          <w:sz w:val="24"/>
          <w:szCs w:val="24"/>
        </w:rPr>
        <w:t>g-quater)</w:t>
      </w:r>
      <w:r w:rsidRPr="00D746BD">
        <w:rPr>
          <w:rFonts w:eastAsia="Times New Roman" w:cs="Arial"/>
          <w:b/>
          <w:bCs/>
          <w:color w:val="000000" w:themeColor="text1"/>
          <w:sz w:val="24"/>
          <w:szCs w:val="24"/>
        </w:rPr>
        <w:t> all'articolo 203:</w:t>
      </w:r>
    </w:p>
    <w:p w14:paraId="3BE7DDC9" w14:textId="77777777" w:rsidR="002513B9" w:rsidRPr="00D746BD" w:rsidRDefault="002513B9" w:rsidP="002513B9">
      <w:pPr>
        <w:shd w:val="clear" w:color="auto" w:fill="FFFFFF"/>
        <w:spacing w:after="0" w:line="240" w:lineRule="auto"/>
        <w:jc w:val="both"/>
        <w:rPr>
          <w:rFonts w:eastAsia="Times New Roman" w:cs="Arial"/>
          <w:b/>
          <w:bCs/>
          <w:color w:val="000000" w:themeColor="text1"/>
          <w:sz w:val="24"/>
          <w:szCs w:val="24"/>
        </w:rPr>
      </w:pPr>
      <w:r w:rsidRPr="00D746BD">
        <w:rPr>
          <w:rFonts w:eastAsia="Times New Roman" w:cs="Arial"/>
          <w:b/>
          <w:bCs/>
          <w:color w:val="000000" w:themeColor="text1"/>
          <w:sz w:val="24"/>
          <w:szCs w:val="24"/>
        </w:rPr>
        <w:t> </w:t>
      </w:r>
      <w:r w:rsidRPr="00D746BD">
        <w:rPr>
          <w:rFonts w:eastAsia="Times New Roman" w:cs="Arial"/>
          <w:b/>
          <w:bCs/>
          <w:color w:val="000000" w:themeColor="text1"/>
          <w:sz w:val="24"/>
          <w:szCs w:val="24"/>
        </w:rPr>
        <w:t> </w:t>
      </w:r>
      <w:r w:rsidRPr="00D746BD">
        <w:rPr>
          <w:rFonts w:eastAsia="Times New Roman" w:cs="Arial"/>
          <w:b/>
          <w:bCs/>
          <w:color w:val="000000" w:themeColor="text1"/>
          <w:sz w:val="24"/>
          <w:szCs w:val="24"/>
        </w:rPr>
        <w:t> </w:t>
      </w:r>
      <w:r w:rsidRPr="00D746BD">
        <w:rPr>
          <w:rFonts w:eastAsia="Times New Roman" w:cs="Arial"/>
          <w:b/>
          <w:bCs/>
          <w:color w:val="000000" w:themeColor="text1"/>
          <w:sz w:val="24"/>
          <w:szCs w:val="24"/>
        </w:rPr>
        <w:t> </w:t>
      </w:r>
      <w:r w:rsidRPr="00D746BD">
        <w:rPr>
          <w:rFonts w:eastAsia="Times New Roman" w:cs="Arial"/>
          <w:b/>
          <w:bCs/>
          <w:color w:val="000000" w:themeColor="text1"/>
          <w:sz w:val="24"/>
          <w:szCs w:val="24"/>
        </w:rPr>
        <w:t>1) al comma 1, primo periodo, dopo le parole: «con raccomandata con ricevuta di ritorno» sono aggiunte le seguenti: «o per via telematica, a mezzo di posta elettronica certificata o di altro servizio elettronico di recapito certificato qualificato, secondo le modalità previste dall'articolo 65 del codice dell'amministrazione digitale, di cui al decreto legislativo 7 marzo 2005, n. 82»;</w:t>
      </w:r>
    </w:p>
    <w:p w14:paraId="493437D2" w14:textId="77777777" w:rsidR="002513B9" w:rsidRPr="00D746BD" w:rsidRDefault="002513B9" w:rsidP="002513B9">
      <w:pPr>
        <w:shd w:val="clear" w:color="auto" w:fill="FFFFFF"/>
        <w:spacing w:after="0" w:line="240" w:lineRule="auto"/>
        <w:jc w:val="both"/>
        <w:rPr>
          <w:rFonts w:eastAsia="Times New Roman" w:cs="Arial"/>
          <w:b/>
          <w:bCs/>
          <w:color w:val="000000" w:themeColor="text1"/>
          <w:sz w:val="24"/>
          <w:szCs w:val="24"/>
        </w:rPr>
      </w:pPr>
      <w:r w:rsidRPr="00D746BD">
        <w:rPr>
          <w:rFonts w:eastAsia="Times New Roman" w:cs="Arial"/>
          <w:b/>
          <w:bCs/>
          <w:color w:val="000000" w:themeColor="text1"/>
          <w:sz w:val="24"/>
          <w:szCs w:val="24"/>
        </w:rPr>
        <w:t> </w:t>
      </w:r>
      <w:r w:rsidRPr="00D746BD">
        <w:rPr>
          <w:rFonts w:eastAsia="Times New Roman" w:cs="Arial"/>
          <w:b/>
          <w:bCs/>
          <w:color w:val="000000" w:themeColor="text1"/>
          <w:sz w:val="24"/>
          <w:szCs w:val="24"/>
        </w:rPr>
        <w:t> </w:t>
      </w:r>
      <w:r w:rsidRPr="00D746BD">
        <w:rPr>
          <w:rFonts w:eastAsia="Times New Roman" w:cs="Arial"/>
          <w:b/>
          <w:bCs/>
          <w:color w:val="000000" w:themeColor="text1"/>
          <w:sz w:val="24"/>
          <w:szCs w:val="24"/>
        </w:rPr>
        <w:t> </w:t>
      </w:r>
      <w:r w:rsidRPr="00D746BD">
        <w:rPr>
          <w:rFonts w:eastAsia="Times New Roman" w:cs="Arial"/>
          <w:b/>
          <w:bCs/>
          <w:color w:val="000000" w:themeColor="text1"/>
          <w:sz w:val="24"/>
          <w:szCs w:val="24"/>
        </w:rPr>
        <w:t> </w:t>
      </w:r>
      <w:r w:rsidRPr="00D746BD">
        <w:rPr>
          <w:rFonts w:eastAsia="Times New Roman" w:cs="Arial"/>
          <w:b/>
          <w:bCs/>
          <w:color w:val="000000" w:themeColor="text1"/>
          <w:sz w:val="24"/>
          <w:szCs w:val="24"/>
        </w:rPr>
        <w:t>2) al comma 1-</w:t>
      </w:r>
      <w:r w:rsidRPr="00D746BD">
        <w:rPr>
          <w:rFonts w:eastAsia="Times New Roman" w:cs="Arial"/>
          <w:b/>
          <w:bCs/>
          <w:i/>
          <w:iCs/>
          <w:color w:val="000000" w:themeColor="text1"/>
          <w:sz w:val="24"/>
          <w:szCs w:val="24"/>
        </w:rPr>
        <w:t>bis</w:t>
      </w:r>
      <w:r w:rsidRPr="00D746BD">
        <w:rPr>
          <w:rFonts w:eastAsia="Times New Roman" w:cs="Arial"/>
          <w:b/>
          <w:bCs/>
          <w:color w:val="000000" w:themeColor="text1"/>
          <w:sz w:val="24"/>
          <w:szCs w:val="24"/>
        </w:rPr>
        <w:t>, primo periodo, dopo le parole: «con raccomandata con avviso di ricevimento» sono aggiunte le seguenti: «o trasmesso per via telematica, a mezzo di posta elettronica certificata o di altro servizio elettronico di recapito certificato qualificato, secondo le modalità previste dall'articolo 65 del codice di cui al decreto legislativo 7 marzo 2005, n. 82»;</w:t>
      </w:r>
    </w:p>
    <w:p w14:paraId="734E4EEC" w14:textId="77777777" w:rsidR="002513B9" w:rsidRPr="00D746BD" w:rsidRDefault="002513B9" w:rsidP="002513B9">
      <w:pPr>
        <w:shd w:val="clear" w:color="auto" w:fill="FFFFFF"/>
        <w:spacing w:after="0" w:line="240" w:lineRule="auto"/>
        <w:jc w:val="both"/>
        <w:rPr>
          <w:rFonts w:eastAsia="Times New Roman" w:cs="Arial"/>
          <w:b/>
          <w:bCs/>
          <w:color w:val="000000" w:themeColor="text1"/>
          <w:sz w:val="24"/>
          <w:szCs w:val="24"/>
        </w:rPr>
      </w:pPr>
      <w:r w:rsidRPr="00D746BD">
        <w:rPr>
          <w:rFonts w:eastAsia="Times New Roman" w:cs="Arial"/>
          <w:b/>
          <w:bCs/>
          <w:color w:val="000000" w:themeColor="text1"/>
          <w:sz w:val="24"/>
          <w:szCs w:val="24"/>
        </w:rPr>
        <w:t> </w:t>
      </w:r>
      <w:r w:rsidRPr="00D746BD">
        <w:rPr>
          <w:rFonts w:eastAsia="Times New Roman" w:cs="Arial"/>
          <w:b/>
          <w:bCs/>
          <w:color w:val="000000" w:themeColor="text1"/>
          <w:sz w:val="24"/>
          <w:szCs w:val="24"/>
        </w:rPr>
        <w:t> </w:t>
      </w:r>
      <w:r w:rsidRPr="00D746BD">
        <w:rPr>
          <w:rFonts w:eastAsia="Times New Roman" w:cs="Arial"/>
          <w:b/>
          <w:bCs/>
          <w:color w:val="000000" w:themeColor="text1"/>
          <w:sz w:val="24"/>
          <w:szCs w:val="24"/>
        </w:rPr>
        <w:t> </w:t>
      </w:r>
      <w:r w:rsidRPr="00D746BD">
        <w:rPr>
          <w:rFonts w:eastAsia="Times New Roman" w:cs="Arial"/>
          <w:b/>
          <w:bCs/>
          <w:i/>
          <w:iCs/>
          <w:color w:val="000000" w:themeColor="text1"/>
          <w:sz w:val="24"/>
          <w:szCs w:val="24"/>
        </w:rPr>
        <w:t>g-quinquies)</w:t>
      </w:r>
      <w:r w:rsidRPr="00D746BD">
        <w:rPr>
          <w:rFonts w:eastAsia="Times New Roman" w:cs="Arial"/>
          <w:b/>
          <w:bCs/>
          <w:color w:val="000000" w:themeColor="text1"/>
          <w:sz w:val="24"/>
          <w:szCs w:val="24"/>
        </w:rPr>
        <w:t> alla tabella dei punteggi previsti all'art. 126-</w:t>
      </w:r>
      <w:r w:rsidRPr="00D746BD">
        <w:rPr>
          <w:rFonts w:eastAsia="Times New Roman" w:cs="Arial"/>
          <w:b/>
          <w:bCs/>
          <w:i/>
          <w:iCs/>
          <w:color w:val="000000" w:themeColor="text1"/>
          <w:sz w:val="24"/>
          <w:szCs w:val="24"/>
        </w:rPr>
        <w:t>bis</w:t>
      </w:r>
      <w:r w:rsidRPr="00D746BD">
        <w:rPr>
          <w:rFonts w:eastAsia="Times New Roman" w:cs="Arial"/>
          <w:b/>
          <w:bCs/>
          <w:color w:val="000000" w:themeColor="text1"/>
          <w:sz w:val="24"/>
          <w:szCs w:val="24"/>
        </w:rPr>
        <w:t>:</w:t>
      </w:r>
    </w:p>
    <w:p w14:paraId="1E36B98F" w14:textId="77777777" w:rsidR="002513B9" w:rsidRPr="00D746BD" w:rsidRDefault="002513B9" w:rsidP="002513B9">
      <w:pPr>
        <w:shd w:val="clear" w:color="auto" w:fill="FFFFFF"/>
        <w:spacing w:after="0" w:line="240" w:lineRule="auto"/>
        <w:jc w:val="both"/>
        <w:rPr>
          <w:rFonts w:eastAsia="Times New Roman" w:cs="Arial"/>
          <w:b/>
          <w:bCs/>
          <w:color w:val="000000" w:themeColor="text1"/>
          <w:sz w:val="24"/>
          <w:szCs w:val="24"/>
        </w:rPr>
      </w:pPr>
      <w:r w:rsidRPr="00D746BD">
        <w:rPr>
          <w:rFonts w:eastAsia="Times New Roman" w:cs="Arial"/>
          <w:b/>
          <w:bCs/>
          <w:color w:val="000000" w:themeColor="text1"/>
          <w:sz w:val="24"/>
          <w:szCs w:val="24"/>
        </w:rPr>
        <w:t> </w:t>
      </w:r>
      <w:r w:rsidRPr="00D746BD">
        <w:rPr>
          <w:rFonts w:eastAsia="Times New Roman" w:cs="Arial"/>
          <w:b/>
          <w:bCs/>
          <w:color w:val="000000" w:themeColor="text1"/>
          <w:sz w:val="24"/>
          <w:szCs w:val="24"/>
        </w:rPr>
        <w:t> </w:t>
      </w:r>
      <w:r w:rsidRPr="00D746BD">
        <w:rPr>
          <w:rFonts w:eastAsia="Times New Roman" w:cs="Arial"/>
          <w:b/>
          <w:bCs/>
          <w:color w:val="000000" w:themeColor="text1"/>
          <w:sz w:val="24"/>
          <w:szCs w:val="24"/>
        </w:rPr>
        <w:t> </w:t>
      </w:r>
      <w:r w:rsidRPr="00D746BD">
        <w:rPr>
          <w:rFonts w:eastAsia="Times New Roman" w:cs="Arial"/>
          <w:b/>
          <w:bCs/>
          <w:color w:val="000000" w:themeColor="text1"/>
          <w:sz w:val="24"/>
          <w:szCs w:val="24"/>
        </w:rPr>
        <w:t> </w:t>
      </w:r>
      <w:r w:rsidRPr="00D746BD">
        <w:rPr>
          <w:rFonts w:eastAsia="Times New Roman" w:cs="Arial"/>
          <w:b/>
          <w:bCs/>
          <w:color w:val="000000" w:themeColor="text1"/>
          <w:sz w:val="24"/>
          <w:szCs w:val="24"/>
        </w:rPr>
        <w:t>1) al capoverso «Art. 158», alla voce «Comma 2», le parole: «lettere </w:t>
      </w:r>
      <w:r w:rsidRPr="00D746BD">
        <w:rPr>
          <w:rFonts w:eastAsia="Times New Roman" w:cs="Arial"/>
          <w:b/>
          <w:bCs/>
          <w:i/>
          <w:iCs/>
          <w:color w:val="000000" w:themeColor="text1"/>
          <w:sz w:val="24"/>
          <w:szCs w:val="24"/>
        </w:rPr>
        <w:t>d)</w:t>
      </w:r>
      <w:r w:rsidRPr="00D746BD">
        <w:rPr>
          <w:rFonts w:eastAsia="Times New Roman" w:cs="Arial"/>
          <w:b/>
          <w:bCs/>
          <w:color w:val="000000" w:themeColor="text1"/>
          <w:sz w:val="24"/>
          <w:szCs w:val="24"/>
        </w:rPr>
        <w:t>, </w:t>
      </w:r>
      <w:r w:rsidRPr="00D746BD">
        <w:rPr>
          <w:rFonts w:eastAsia="Times New Roman" w:cs="Arial"/>
          <w:b/>
          <w:bCs/>
          <w:i/>
          <w:iCs/>
          <w:color w:val="000000" w:themeColor="text1"/>
          <w:sz w:val="24"/>
          <w:szCs w:val="24"/>
        </w:rPr>
        <w:t>g)</w:t>
      </w:r>
      <w:r w:rsidRPr="00D746BD">
        <w:rPr>
          <w:rFonts w:eastAsia="Times New Roman" w:cs="Arial"/>
          <w:b/>
          <w:bCs/>
          <w:color w:val="000000" w:themeColor="text1"/>
          <w:sz w:val="24"/>
          <w:szCs w:val="24"/>
        </w:rPr>
        <w:t> e </w:t>
      </w:r>
      <w:r w:rsidRPr="00D746BD">
        <w:rPr>
          <w:rFonts w:eastAsia="Times New Roman" w:cs="Arial"/>
          <w:b/>
          <w:bCs/>
          <w:i/>
          <w:iCs/>
          <w:color w:val="000000" w:themeColor="text1"/>
          <w:sz w:val="24"/>
          <w:szCs w:val="24"/>
        </w:rPr>
        <w:t>h)</w:t>
      </w:r>
      <w:r w:rsidRPr="00D746BD">
        <w:rPr>
          <w:rFonts w:eastAsia="Times New Roman" w:cs="Arial"/>
          <w:b/>
          <w:bCs/>
          <w:color w:val="000000" w:themeColor="text1"/>
          <w:sz w:val="24"/>
          <w:szCs w:val="24"/>
        </w:rPr>
        <w:t>» sono sostituite dalle seguenti: «lettere </w:t>
      </w:r>
      <w:r w:rsidRPr="00D746BD">
        <w:rPr>
          <w:rFonts w:eastAsia="Times New Roman" w:cs="Arial"/>
          <w:b/>
          <w:bCs/>
          <w:i/>
          <w:iCs/>
          <w:color w:val="000000" w:themeColor="text1"/>
          <w:sz w:val="24"/>
          <w:szCs w:val="24"/>
        </w:rPr>
        <w:t>d)</w:t>
      </w:r>
      <w:r w:rsidRPr="00D746BD">
        <w:rPr>
          <w:rFonts w:eastAsia="Times New Roman" w:cs="Arial"/>
          <w:b/>
          <w:bCs/>
          <w:color w:val="000000" w:themeColor="text1"/>
          <w:sz w:val="24"/>
          <w:szCs w:val="24"/>
        </w:rPr>
        <w:t> e </w:t>
      </w:r>
      <w:r w:rsidRPr="00D746BD">
        <w:rPr>
          <w:rFonts w:eastAsia="Times New Roman" w:cs="Arial"/>
          <w:b/>
          <w:bCs/>
          <w:i/>
          <w:iCs/>
          <w:color w:val="000000" w:themeColor="text1"/>
          <w:sz w:val="24"/>
          <w:szCs w:val="24"/>
        </w:rPr>
        <w:t>h)</w:t>
      </w:r>
      <w:r w:rsidRPr="00D746BD">
        <w:rPr>
          <w:rFonts w:eastAsia="Times New Roman" w:cs="Arial"/>
          <w:b/>
          <w:bCs/>
          <w:color w:val="000000" w:themeColor="text1"/>
          <w:sz w:val="24"/>
          <w:szCs w:val="24"/>
        </w:rPr>
        <w:t>» ed è aggiunta, in fine, la seguente voce: «Comma 2, lettera </w:t>
      </w:r>
      <w:r w:rsidRPr="00D746BD">
        <w:rPr>
          <w:rFonts w:eastAsia="Times New Roman" w:cs="Arial"/>
          <w:b/>
          <w:bCs/>
          <w:i/>
          <w:iCs/>
          <w:color w:val="000000" w:themeColor="text1"/>
          <w:sz w:val="24"/>
          <w:szCs w:val="24"/>
        </w:rPr>
        <w:t>g)</w:t>
      </w:r>
      <w:r w:rsidRPr="00D746BD">
        <w:rPr>
          <w:rFonts w:eastAsia="Times New Roman" w:cs="Arial"/>
          <w:b/>
          <w:bCs/>
          <w:color w:val="000000" w:themeColor="text1"/>
          <w:sz w:val="24"/>
          <w:szCs w:val="24"/>
        </w:rPr>
        <w:t> – 4»;</w:t>
      </w:r>
    </w:p>
    <w:p w14:paraId="7F576F92" w14:textId="3B1A7EB7" w:rsidR="002513B9" w:rsidRPr="00660EE5" w:rsidRDefault="002513B9" w:rsidP="002513B9">
      <w:pPr>
        <w:spacing w:after="0" w:line="240" w:lineRule="auto"/>
        <w:jc w:val="both"/>
        <w:rPr>
          <w:rFonts w:asciiTheme="minorHAnsi" w:hAnsiTheme="minorHAnsi"/>
          <w:color w:val="000000" w:themeColor="text1"/>
          <w:sz w:val="24"/>
          <w:szCs w:val="24"/>
        </w:rPr>
      </w:pPr>
      <w:r w:rsidRPr="00D746BD">
        <w:rPr>
          <w:rFonts w:eastAsia="Times New Roman" w:cs="Arial"/>
          <w:b/>
          <w:bCs/>
          <w:color w:val="000000" w:themeColor="text1"/>
          <w:sz w:val="24"/>
          <w:szCs w:val="24"/>
        </w:rPr>
        <w:t> </w:t>
      </w:r>
      <w:r w:rsidRPr="00D746BD">
        <w:rPr>
          <w:rFonts w:eastAsia="Times New Roman" w:cs="Arial"/>
          <w:b/>
          <w:bCs/>
          <w:color w:val="000000" w:themeColor="text1"/>
          <w:sz w:val="24"/>
          <w:szCs w:val="24"/>
        </w:rPr>
        <w:t> </w:t>
      </w:r>
      <w:r w:rsidRPr="00D746BD">
        <w:rPr>
          <w:rFonts w:eastAsia="Times New Roman" w:cs="Arial"/>
          <w:b/>
          <w:bCs/>
          <w:color w:val="000000" w:themeColor="text1"/>
          <w:sz w:val="24"/>
          <w:szCs w:val="24"/>
        </w:rPr>
        <w:t> </w:t>
      </w:r>
      <w:r w:rsidRPr="00D746BD">
        <w:rPr>
          <w:rFonts w:eastAsia="Times New Roman" w:cs="Arial"/>
          <w:b/>
          <w:bCs/>
          <w:color w:val="000000" w:themeColor="text1"/>
          <w:sz w:val="24"/>
          <w:szCs w:val="24"/>
        </w:rPr>
        <w:t> </w:t>
      </w:r>
      <w:r w:rsidRPr="00D746BD">
        <w:rPr>
          <w:rFonts w:eastAsia="Times New Roman" w:cs="Arial"/>
          <w:b/>
          <w:bCs/>
          <w:color w:val="000000" w:themeColor="text1"/>
          <w:sz w:val="24"/>
          <w:szCs w:val="24"/>
        </w:rPr>
        <w:t>2) il capoverso «Art. 188» è sostituito dal seguente: «Art. 188 – Comma 4 – 6 – Comma 5 – 3».</w:t>
      </w:r>
      <w:r>
        <w:rPr>
          <w:rStyle w:val="Rimandonotaapidipagina"/>
          <w:rFonts w:eastAsia="Times New Roman" w:cs="Arial"/>
          <w:b/>
          <w:bCs/>
          <w:color w:val="000000" w:themeColor="text1"/>
          <w:sz w:val="24"/>
          <w:szCs w:val="24"/>
        </w:rPr>
        <w:footnoteReference w:id="31"/>
      </w:r>
    </w:p>
    <w:p w14:paraId="5D858791" w14:textId="6EC12BA5" w:rsidR="00AC04E6" w:rsidRDefault="00AC04E6" w:rsidP="00660EE5">
      <w:pPr>
        <w:spacing w:after="0" w:line="240" w:lineRule="auto"/>
        <w:jc w:val="both"/>
        <w:rPr>
          <w:rFonts w:eastAsia="Times New Roman" w:cs="Arial"/>
          <w:b/>
          <w:bCs/>
          <w:color w:val="000000" w:themeColor="text1"/>
          <w:sz w:val="24"/>
          <w:szCs w:val="24"/>
        </w:rPr>
      </w:pPr>
      <w:r w:rsidRPr="003F6EEB">
        <w:rPr>
          <w:rFonts w:eastAsia="Times New Roman" w:cs="Arial"/>
          <w:b/>
          <w:bCs/>
          <w:i/>
          <w:iCs/>
          <w:color w:val="000000" w:themeColor="text1"/>
          <w:sz w:val="24"/>
          <w:szCs w:val="24"/>
        </w:rPr>
        <w:t>g-bis)</w:t>
      </w:r>
      <w:r w:rsidRPr="003F6EEB">
        <w:rPr>
          <w:rFonts w:eastAsia="Times New Roman" w:cs="Arial"/>
          <w:b/>
          <w:bCs/>
          <w:color w:val="000000" w:themeColor="text1"/>
          <w:sz w:val="24"/>
          <w:szCs w:val="24"/>
        </w:rPr>
        <w:t xml:space="preserve"> all'articolo 213, dopo il comma 10 è inserito il seguente: «10-bis. Il provvedimento con il quale viene disposto il sequestro del veicolo è comunicato dall'organo di polizia procedente ai competenti uffici del Dipartimento per la mobilità sostenibile di cui al comma 10 per l'annotazione al P.R.A. In caso </w:t>
      </w:r>
      <w:r w:rsidRPr="003F6EEB">
        <w:rPr>
          <w:rFonts w:eastAsia="Times New Roman" w:cs="Arial"/>
          <w:b/>
          <w:bCs/>
          <w:color w:val="000000" w:themeColor="text1"/>
          <w:sz w:val="24"/>
          <w:szCs w:val="24"/>
        </w:rPr>
        <w:lastRenderedPageBreak/>
        <w:t>di dissequestro, il medesimo organo di polizia provvede alla comunicazione per la cancellazione dell'annotazione nell'Archivio nazionale dei veicoli e al P.R.A.»</w:t>
      </w:r>
      <w:r>
        <w:rPr>
          <w:rStyle w:val="Rimandonotaapidipagina"/>
          <w:rFonts w:eastAsia="Times New Roman" w:cs="Arial"/>
          <w:b/>
          <w:bCs/>
          <w:color w:val="000000" w:themeColor="text1"/>
          <w:sz w:val="24"/>
          <w:szCs w:val="24"/>
        </w:rPr>
        <w:footnoteReference w:id="32"/>
      </w:r>
    </w:p>
    <w:p w14:paraId="3768423A" w14:textId="77777777" w:rsidR="0032471E" w:rsidRPr="00F51981" w:rsidRDefault="0032471E" w:rsidP="0032471E">
      <w:pPr>
        <w:shd w:val="clear" w:color="auto" w:fill="FFFFFF"/>
        <w:spacing w:after="0" w:line="240" w:lineRule="auto"/>
        <w:jc w:val="both"/>
        <w:rPr>
          <w:rFonts w:eastAsia="Times New Roman" w:cs="Arial"/>
          <w:b/>
          <w:bCs/>
          <w:color w:val="000000" w:themeColor="text1"/>
          <w:sz w:val="24"/>
          <w:szCs w:val="24"/>
        </w:rPr>
      </w:pP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i/>
          <w:iCs/>
          <w:color w:val="000000" w:themeColor="text1"/>
          <w:sz w:val="24"/>
          <w:szCs w:val="24"/>
        </w:rPr>
        <w:t>g-bis)</w:t>
      </w:r>
      <w:r w:rsidRPr="00F51981">
        <w:rPr>
          <w:rFonts w:eastAsia="Times New Roman" w:cs="Arial"/>
          <w:b/>
          <w:bCs/>
          <w:color w:val="000000" w:themeColor="text1"/>
          <w:sz w:val="24"/>
          <w:szCs w:val="24"/>
        </w:rPr>
        <w:t> all'articolo 213:</w:t>
      </w:r>
    </w:p>
    <w:p w14:paraId="35C1715B" w14:textId="77777777" w:rsidR="0032471E" w:rsidRPr="00F51981" w:rsidRDefault="0032471E" w:rsidP="0032471E">
      <w:pPr>
        <w:shd w:val="clear" w:color="auto" w:fill="FFFFFF"/>
        <w:spacing w:after="0" w:line="240" w:lineRule="auto"/>
        <w:jc w:val="both"/>
        <w:rPr>
          <w:rFonts w:eastAsia="Times New Roman" w:cs="Arial"/>
          <w:b/>
          <w:bCs/>
          <w:color w:val="000000" w:themeColor="text1"/>
          <w:sz w:val="24"/>
          <w:szCs w:val="24"/>
        </w:rPr>
      </w:pP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1) al comma 3, terzo periodo, la parola: «trasmissione» è sostituita dalla seguente: «ricezione» e dopo le parole: «del provvedimento» sono aggiunte le seguenti «adottato dal prefetto»;</w:t>
      </w:r>
    </w:p>
    <w:p w14:paraId="59267212" w14:textId="77777777" w:rsidR="0032471E" w:rsidRPr="00F51981" w:rsidRDefault="0032471E" w:rsidP="0032471E">
      <w:pPr>
        <w:shd w:val="clear" w:color="auto" w:fill="FFFFFF"/>
        <w:spacing w:after="0" w:line="240" w:lineRule="auto"/>
        <w:jc w:val="both"/>
        <w:rPr>
          <w:rFonts w:eastAsia="Times New Roman" w:cs="Arial"/>
          <w:b/>
          <w:bCs/>
          <w:color w:val="000000" w:themeColor="text1"/>
          <w:sz w:val="24"/>
          <w:szCs w:val="24"/>
        </w:rPr>
      </w:pP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2) al comma 5:</w:t>
      </w:r>
    </w:p>
    <w:p w14:paraId="32F2F75A" w14:textId="77777777" w:rsidR="0032471E" w:rsidRDefault="0032471E" w:rsidP="0032471E">
      <w:pPr>
        <w:shd w:val="clear" w:color="auto" w:fill="FFFFFF"/>
        <w:spacing w:after="0" w:line="240" w:lineRule="auto"/>
        <w:jc w:val="both"/>
        <w:rPr>
          <w:rFonts w:eastAsia="Times New Roman" w:cs="Arial"/>
          <w:b/>
          <w:bCs/>
          <w:color w:val="000000" w:themeColor="text1"/>
          <w:sz w:val="24"/>
          <w:szCs w:val="24"/>
        </w:rPr>
      </w:pP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2.1) al sesto periodo sono aggiunte, in fine, le seguenti parole «; la medesima comunicazione reca altresì l'avviso che, se l'avente diritto non assumerà la custodia del veicolo nei successivi cinque giorni, previo pagamento dei relativi oneri di recupero e custodia, il veicolo sarà alienato anche ai soli fini della sua rottamazione»;</w:t>
      </w:r>
    </w:p>
    <w:p w14:paraId="2E08173B" w14:textId="77777777" w:rsidR="0032471E" w:rsidRPr="00F51981" w:rsidRDefault="0032471E" w:rsidP="0032471E">
      <w:pPr>
        <w:shd w:val="clear" w:color="auto" w:fill="FFFFFF"/>
        <w:spacing w:after="0" w:line="240" w:lineRule="auto"/>
        <w:jc w:val="both"/>
        <w:rPr>
          <w:rFonts w:eastAsia="Times New Roman" w:cs="Arial"/>
          <w:b/>
          <w:bCs/>
          <w:color w:val="000000" w:themeColor="text1"/>
          <w:sz w:val="24"/>
          <w:szCs w:val="24"/>
        </w:rPr>
      </w:pP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2.2) sono aggiunti, in fine, i seguenti periodi: «Nel caso di veicoli sequestrati in assenza dell'autore della violazione, per i quali non sia stato possibile rintracciare contestualmente il proprietario o altro obbligato in solido, e affidati a uno dei soggetti di cui all'articolo 214-</w:t>
      </w:r>
      <w:r w:rsidRPr="00F51981">
        <w:rPr>
          <w:rFonts w:eastAsia="Times New Roman" w:cs="Arial"/>
          <w:b/>
          <w:bCs/>
          <w:i/>
          <w:iCs/>
          <w:color w:val="000000" w:themeColor="text1"/>
          <w:sz w:val="24"/>
          <w:szCs w:val="24"/>
        </w:rPr>
        <w:t>bis</w:t>
      </w:r>
      <w:r w:rsidRPr="00F51981">
        <w:rPr>
          <w:rFonts w:eastAsia="Times New Roman" w:cs="Arial"/>
          <w:b/>
          <w:bCs/>
          <w:color w:val="000000" w:themeColor="text1"/>
          <w:sz w:val="24"/>
          <w:szCs w:val="24"/>
        </w:rPr>
        <w:t>, il verbale di contestazione, unitamente a quello di sequestro recante l'avviso ad assumerne la custodia, è notificato senza ritardo dall'organo di polizia che ha eseguito il sequestro. Contestualmente, il medesimo organo di polizia provvede altresì a dare comunicazione del deposito del veicolo presso il soggetto di cui all'articolo 214-</w:t>
      </w:r>
      <w:r w:rsidRPr="00F51981">
        <w:rPr>
          <w:rFonts w:eastAsia="Times New Roman" w:cs="Arial"/>
          <w:b/>
          <w:bCs/>
          <w:i/>
          <w:iCs/>
          <w:color w:val="000000" w:themeColor="text1"/>
          <w:sz w:val="24"/>
          <w:szCs w:val="24"/>
        </w:rPr>
        <w:t>bis</w:t>
      </w:r>
      <w:r w:rsidRPr="00F51981">
        <w:rPr>
          <w:rFonts w:eastAsia="Times New Roman" w:cs="Arial"/>
          <w:b/>
          <w:bCs/>
          <w:color w:val="000000" w:themeColor="text1"/>
          <w:sz w:val="24"/>
          <w:szCs w:val="24"/>
        </w:rPr>
        <w:t> mediante pubblicazione di apposito avviso nell'albo pretorio del comune ove è avvenuto l'accertamento della violazione. Qualora, per comprovate difficoltà oggettive, non sia stato possibile eseguire la notifica e il veicolo risulti ancora affidato a uno dei soggetti di cui all'articolo 214-</w:t>
      </w:r>
      <w:r w:rsidRPr="00F51981">
        <w:rPr>
          <w:rFonts w:eastAsia="Times New Roman" w:cs="Arial"/>
          <w:b/>
          <w:bCs/>
          <w:i/>
          <w:iCs/>
          <w:color w:val="000000" w:themeColor="text1"/>
          <w:sz w:val="24"/>
          <w:szCs w:val="24"/>
        </w:rPr>
        <w:t>bis</w:t>
      </w:r>
      <w:r w:rsidRPr="00F51981">
        <w:rPr>
          <w:rFonts w:eastAsia="Times New Roman" w:cs="Arial"/>
          <w:b/>
          <w:bCs/>
          <w:color w:val="000000" w:themeColor="text1"/>
          <w:sz w:val="24"/>
          <w:szCs w:val="24"/>
        </w:rPr>
        <w:t>, la notifica si ha per eseguita nel trentesimo giorno successivo a quello di pubblicazione della comunicazione di deposito del veicolo nell'albo pretorio del comune ove è avvenuto l'accertamento della violazione»;</w:t>
      </w:r>
    </w:p>
    <w:p w14:paraId="076FFC9E" w14:textId="77777777" w:rsidR="0032471E" w:rsidRPr="00F51981" w:rsidRDefault="0032471E" w:rsidP="0032471E">
      <w:pPr>
        <w:shd w:val="clear" w:color="auto" w:fill="FFFFFF"/>
        <w:spacing w:after="0" w:line="240" w:lineRule="auto"/>
        <w:jc w:val="both"/>
        <w:rPr>
          <w:rFonts w:eastAsia="Times New Roman" w:cs="Arial"/>
          <w:b/>
          <w:bCs/>
          <w:color w:val="000000" w:themeColor="text1"/>
          <w:sz w:val="24"/>
          <w:szCs w:val="24"/>
        </w:rPr>
      </w:pP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3) al comma 7, quinto periodo, la parola: «distrutto» è sostituita dalla seguente: «alienato»;</w:t>
      </w:r>
    </w:p>
    <w:p w14:paraId="6E3AE621" w14:textId="77777777" w:rsidR="0032471E" w:rsidRPr="00F51981" w:rsidRDefault="0032471E" w:rsidP="0032471E">
      <w:pPr>
        <w:shd w:val="clear" w:color="auto" w:fill="FFFFFF"/>
        <w:spacing w:after="0" w:line="240" w:lineRule="auto"/>
        <w:jc w:val="both"/>
        <w:rPr>
          <w:rFonts w:eastAsia="Times New Roman" w:cs="Arial"/>
          <w:b/>
          <w:bCs/>
          <w:color w:val="000000" w:themeColor="text1"/>
          <w:sz w:val="24"/>
          <w:szCs w:val="24"/>
        </w:rPr>
      </w:pP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i/>
          <w:iCs/>
          <w:color w:val="000000" w:themeColor="text1"/>
          <w:sz w:val="24"/>
          <w:szCs w:val="24"/>
        </w:rPr>
        <w:t>g-ter)</w:t>
      </w:r>
      <w:r w:rsidRPr="00F51981">
        <w:rPr>
          <w:rFonts w:eastAsia="Times New Roman" w:cs="Arial"/>
          <w:b/>
          <w:bCs/>
          <w:color w:val="000000" w:themeColor="text1"/>
          <w:sz w:val="24"/>
          <w:szCs w:val="24"/>
        </w:rPr>
        <w:t> all'articolo 214, comma 5, secondo periodo, la parola: «sequestro» è sostituita dalle seguenti «fermo amministrativo»;</w:t>
      </w:r>
    </w:p>
    <w:p w14:paraId="649B6AAF" w14:textId="77777777" w:rsidR="0032471E" w:rsidRPr="00F51981" w:rsidRDefault="0032471E" w:rsidP="0032471E">
      <w:pPr>
        <w:shd w:val="clear" w:color="auto" w:fill="FFFFFF"/>
        <w:spacing w:after="0" w:line="240" w:lineRule="auto"/>
        <w:jc w:val="both"/>
        <w:rPr>
          <w:rFonts w:eastAsia="Times New Roman" w:cs="Arial"/>
          <w:b/>
          <w:bCs/>
          <w:color w:val="000000" w:themeColor="text1"/>
          <w:sz w:val="24"/>
          <w:szCs w:val="24"/>
        </w:rPr>
      </w:pP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i/>
          <w:iCs/>
          <w:color w:val="000000" w:themeColor="text1"/>
          <w:sz w:val="24"/>
          <w:szCs w:val="24"/>
        </w:rPr>
        <w:t>g-quater)</w:t>
      </w:r>
      <w:r w:rsidRPr="00F51981">
        <w:rPr>
          <w:rFonts w:eastAsia="Times New Roman" w:cs="Arial"/>
          <w:b/>
          <w:bCs/>
          <w:color w:val="000000" w:themeColor="text1"/>
          <w:sz w:val="24"/>
          <w:szCs w:val="24"/>
        </w:rPr>
        <w:t> all'articolo 215-</w:t>
      </w:r>
      <w:r w:rsidRPr="00F51981">
        <w:rPr>
          <w:rFonts w:eastAsia="Times New Roman" w:cs="Arial"/>
          <w:b/>
          <w:bCs/>
          <w:i/>
          <w:iCs/>
          <w:color w:val="000000" w:themeColor="text1"/>
          <w:sz w:val="24"/>
          <w:szCs w:val="24"/>
        </w:rPr>
        <w:t>bis</w:t>
      </w:r>
      <w:r w:rsidRPr="00F51981">
        <w:rPr>
          <w:rFonts w:eastAsia="Times New Roman" w:cs="Arial"/>
          <w:b/>
          <w:bCs/>
          <w:color w:val="000000" w:themeColor="text1"/>
          <w:sz w:val="24"/>
          <w:szCs w:val="24"/>
        </w:rPr>
        <w:t>:</w:t>
      </w:r>
    </w:p>
    <w:p w14:paraId="3958AE97" w14:textId="77777777" w:rsidR="0032471E" w:rsidRPr="00F51981" w:rsidRDefault="0032471E" w:rsidP="0032471E">
      <w:pPr>
        <w:shd w:val="clear" w:color="auto" w:fill="FFFFFF"/>
        <w:spacing w:after="0" w:line="240" w:lineRule="auto"/>
        <w:jc w:val="both"/>
        <w:rPr>
          <w:rFonts w:eastAsia="Times New Roman" w:cs="Arial"/>
          <w:b/>
          <w:bCs/>
          <w:color w:val="000000" w:themeColor="text1"/>
          <w:sz w:val="24"/>
          <w:szCs w:val="24"/>
        </w:rPr>
      </w:pP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1) al comma 1, secondo periodo, le parole «, in cui, per ciascun veicolo, sono riportati altresì i dati identificativi del proprietario risultanti al pubblico registro automobilistico» sono soppresse;</w:t>
      </w:r>
    </w:p>
    <w:p w14:paraId="1A2EA9BB" w14:textId="77777777" w:rsidR="0032471E" w:rsidRPr="00F51981" w:rsidRDefault="0032471E" w:rsidP="0032471E">
      <w:pPr>
        <w:shd w:val="clear" w:color="auto" w:fill="FFFFFF"/>
        <w:spacing w:after="0" w:line="240" w:lineRule="auto"/>
        <w:jc w:val="both"/>
        <w:rPr>
          <w:rFonts w:eastAsia="Times New Roman" w:cs="Arial"/>
          <w:b/>
          <w:bCs/>
          <w:color w:val="000000" w:themeColor="text1"/>
          <w:sz w:val="24"/>
          <w:szCs w:val="24"/>
        </w:rPr>
      </w:pP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2) al comma 4, le parole: «comunicazione, tra gli uffici interessati, dei dati necessari all'espletamento delle procedure di cui al» sono sostituite con le seguenti «attuazione delle disposizioni del»;</w:t>
      </w:r>
    </w:p>
    <w:p w14:paraId="0B321A5E" w14:textId="17E31B45" w:rsidR="0032471E" w:rsidRDefault="0032471E" w:rsidP="0032471E">
      <w:pPr>
        <w:shd w:val="clear" w:color="auto" w:fill="FFFFFF"/>
        <w:spacing w:after="0" w:line="240" w:lineRule="auto"/>
        <w:jc w:val="both"/>
        <w:rPr>
          <w:rFonts w:eastAsia="Times New Roman" w:cs="Arial"/>
          <w:b/>
          <w:bCs/>
          <w:color w:val="000000" w:themeColor="text1"/>
          <w:sz w:val="24"/>
          <w:szCs w:val="24"/>
        </w:rPr>
      </w:pP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3) alla rubrica, la parola: «rimossi,» è soppressa.</w:t>
      </w:r>
      <w:r>
        <w:rPr>
          <w:rStyle w:val="Rimandonotaapidipagina"/>
          <w:rFonts w:eastAsia="Times New Roman" w:cs="Arial"/>
          <w:b/>
          <w:bCs/>
          <w:color w:val="000000" w:themeColor="text1"/>
          <w:sz w:val="24"/>
          <w:szCs w:val="24"/>
        </w:rPr>
        <w:footnoteReference w:id="33"/>
      </w:r>
    </w:p>
    <w:p w14:paraId="6C2C4134" w14:textId="77777777" w:rsidR="00AC04E6" w:rsidRPr="00660EE5" w:rsidRDefault="00AC04E6" w:rsidP="00660EE5">
      <w:pPr>
        <w:spacing w:after="0" w:line="240" w:lineRule="auto"/>
        <w:jc w:val="both"/>
        <w:rPr>
          <w:rFonts w:asciiTheme="minorHAnsi" w:hAnsiTheme="minorHAnsi"/>
          <w:color w:val="000000" w:themeColor="text1"/>
          <w:sz w:val="24"/>
          <w:szCs w:val="24"/>
        </w:rPr>
      </w:pPr>
    </w:p>
    <w:p w14:paraId="5CAF3576" w14:textId="19D982C9" w:rsidR="008533A9" w:rsidRDefault="008533A9" w:rsidP="008533A9">
      <w:pPr>
        <w:shd w:val="clear" w:color="auto" w:fill="FFFFFF"/>
        <w:spacing w:after="0" w:line="240" w:lineRule="auto"/>
        <w:jc w:val="both"/>
        <w:rPr>
          <w:rFonts w:eastAsia="Times New Roman" w:cs="Arial"/>
          <w:b/>
          <w:bCs/>
          <w:color w:val="000000" w:themeColor="text1"/>
          <w:sz w:val="24"/>
          <w:szCs w:val="24"/>
        </w:rPr>
      </w:pPr>
      <w:r w:rsidRPr="00923866">
        <w:rPr>
          <w:rFonts w:eastAsia="Times New Roman" w:cs="Arial"/>
          <w:b/>
          <w:bCs/>
          <w:color w:val="000000" w:themeColor="text1"/>
          <w:sz w:val="24"/>
          <w:szCs w:val="24"/>
        </w:rPr>
        <w:lastRenderedPageBreak/>
        <w:t>1-</w:t>
      </w:r>
      <w:r w:rsidRPr="00923866">
        <w:rPr>
          <w:rFonts w:eastAsia="Times New Roman" w:cs="Arial"/>
          <w:b/>
          <w:bCs/>
          <w:i/>
          <w:iCs/>
          <w:color w:val="000000" w:themeColor="text1"/>
          <w:sz w:val="24"/>
          <w:szCs w:val="24"/>
        </w:rPr>
        <w:t>bis</w:t>
      </w:r>
      <w:r w:rsidRPr="00923866">
        <w:rPr>
          <w:rFonts w:eastAsia="Times New Roman" w:cs="Arial"/>
          <w:b/>
          <w:bCs/>
          <w:color w:val="000000" w:themeColor="text1"/>
          <w:sz w:val="24"/>
          <w:szCs w:val="24"/>
        </w:rPr>
        <w:t>. Al fine di ridurre i tempi di sottoscrizione degli atti convenzionali previsti dall'articolo 25, commi 1-</w:t>
      </w:r>
      <w:r w:rsidRPr="00923866">
        <w:rPr>
          <w:rFonts w:eastAsia="Times New Roman" w:cs="Arial"/>
          <w:b/>
          <w:bCs/>
          <w:i/>
          <w:iCs/>
          <w:color w:val="000000" w:themeColor="text1"/>
          <w:sz w:val="24"/>
          <w:szCs w:val="24"/>
        </w:rPr>
        <w:t>quater</w:t>
      </w:r>
      <w:r w:rsidRPr="00923866">
        <w:rPr>
          <w:rFonts w:eastAsia="Times New Roman" w:cs="Arial"/>
          <w:b/>
          <w:bCs/>
          <w:color w:val="000000" w:themeColor="text1"/>
          <w:sz w:val="24"/>
          <w:szCs w:val="24"/>
        </w:rPr>
        <w:t> e 1-</w:t>
      </w:r>
      <w:r w:rsidRPr="00923866">
        <w:rPr>
          <w:rFonts w:eastAsia="Times New Roman" w:cs="Arial"/>
          <w:b/>
          <w:bCs/>
          <w:i/>
          <w:iCs/>
          <w:color w:val="000000" w:themeColor="text1"/>
          <w:sz w:val="24"/>
          <w:szCs w:val="24"/>
        </w:rPr>
        <w:t>quinquies</w:t>
      </w:r>
      <w:r w:rsidRPr="00923866">
        <w:rPr>
          <w:rFonts w:eastAsia="Times New Roman" w:cs="Arial"/>
          <w:b/>
          <w:bCs/>
          <w:color w:val="000000" w:themeColor="text1"/>
          <w:sz w:val="24"/>
          <w:szCs w:val="24"/>
        </w:rPr>
        <w:t>, del codice della strada, di cui al decreto legislativo 30 aprile 1992, n. 285, con decreto del Ministro delle infrastrutture e della mobilità sostenibili, adottato entro trenta giorni dalla data di entrata in vigore della legge di conversione del presente decreto, è approvato, in relazione agli attraversamenti tra le strade di tipo A o di tipo B statali e le strade di classificazione inferiore ai sensi dell'articolo 2 del medesimo codice di cui al decreto legislativo n. 285 del 1992, l'elenco delle strutture delle opere d'arte dei sottopassi e sovrappassi, comprese le barriere di sicurezza nei sovrappassi, con l'indicazione dei relativi enti titolari, ai sensi e per gli effetti dei commi 1-</w:t>
      </w:r>
      <w:r w:rsidRPr="00923866">
        <w:rPr>
          <w:rFonts w:eastAsia="Times New Roman" w:cs="Arial"/>
          <w:b/>
          <w:bCs/>
          <w:i/>
          <w:iCs/>
          <w:color w:val="000000" w:themeColor="text1"/>
          <w:sz w:val="24"/>
          <w:szCs w:val="24"/>
        </w:rPr>
        <w:t>bis</w:t>
      </w:r>
      <w:r w:rsidRPr="00923866">
        <w:rPr>
          <w:rFonts w:eastAsia="Times New Roman" w:cs="Arial"/>
          <w:b/>
          <w:bCs/>
          <w:color w:val="000000" w:themeColor="text1"/>
          <w:sz w:val="24"/>
          <w:szCs w:val="24"/>
        </w:rPr>
        <w:t> e 1-</w:t>
      </w:r>
      <w:r w:rsidRPr="00923866">
        <w:rPr>
          <w:rFonts w:eastAsia="Times New Roman" w:cs="Arial"/>
          <w:b/>
          <w:bCs/>
          <w:i/>
          <w:iCs/>
          <w:color w:val="000000" w:themeColor="text1"/>
          <w:sz w:val="24"/>
          <w:szCs w:val="24"/>
        </w:rPr>
        <w:t>ter</w:t>
      </w:r>
      <w:r w:rsidRPr="00923866">
        <w:rPr>
          <w:rFonts w:eastAsia="Times New Roman" w:cs="Arial"/>
          <w:b/>
          <w:bCs/>
          <w:color w:val="000000" w:themeColor="text1"/>
          <w:sz w:val="24"/>
          <w:szCs w:val="24"/>
        </w:rPr>
        <w:t> del medesimo articolo 25.</w:t>
      </w:r>
      <w:r>
        <w:rPr>
          <w:rStyle w:val="Rimandonotaapidipagina"/>
          <w:rFonts w:eastAsia="Times New Roman" w:cs="Arial"/>
          <w:b/>
          <w:bCs/>
          <w:color w:val="000000" w:themeColor="text1"/>
          <w:sz w:val="24"/>
          <w:szCs w:val="24"/>
        </w:rPr>
        <w:footnoteReference w:id="34"/>
      </w:r>
    </w:p>
    <w:p w14:paraId="487B1AA8" w14:textId="35BA7D5E" w:rsidR="00AC04E6" w:rsidRDefault="00AC04E6" w:rsidP="008533A9">
      <w:pPr>
        <w:shd w:val="clear" w:color="auto" w:fill="FFFFFF"/>
        <w:spacing w:after="0" w:line="240" w:lineRule="auto"/>
        <w:jc w:val="both"/>
        <w:rPr>
          <w:rFonts w:eastAsia="Times New Roman" w:cs="Arial"/>
          <w:b/>
          <w:bCs/>
          <w:color w:val="000000" w:themeColor="text1"/>
          <w:sz w:val="24"/>
          <w:szCs w:val="24"/>
        </w:rPr>
      </w:pPr>
    </w:p>
    <w:p w14:paraId="63FF8571" w14:textId="4DE61CBE" w:rsidR="008533A9" w:rsidRDefault="00AC04E6" w:rsidP="00AC04E6">
      <w:pPr>
        <w:shd w:val="clear" w:color="auto" w:fill="FFFFFF"/>
        <w:spacing w:after="0" w:line="240" w:lineRule="auto"/>
        <w:jc w:val="both"/>
        <w:rPr>
          <w:rFonts w:asciiTheme="minorHAnsi" w:hAnsiTheme="minorHAnsi"/>
          <w:color w:val="000000" w:themeColor="text1"/>
          <w:sz w:val="24"/>
          <w:szCs w:val="24"/>
        </w:rPr>
      </w:pPr>
      <w:r w:rsidRPr="003F6EEB">
        <w:rPr>
          <w:rFonts w:eastAsia="Times New Roman" w:cs="Arial"/>
          <w:b/>
          <w:bCs/>
          <w:color w:val="000000" w:themeColor="text1"/>
          <w:sz w:val="24"/>
          <w:szCs w:val="24"/>
        </w:rPr>
        <w:t>1-</w:t>
      </w:r>
      <w:r w:rsidRPr="003F6EEB">
        <w:rPr>
          <w:rFonts w:eastAsia="Times New Roman" w:cs="Arial"/>
          <w:b/>
          <w:bCs/>
          <w:i/>
          <w:iCs/>
          <w:color w:val="000000" w:themeColor="text1"/>
          <w:sz w:val="24"/>
          <w:szCs w:val="24"/>
        </w:rPr>
        <w:t>bis. </w:t>
      </w:r>
      <w:r w:rsidRPr="003F6EEB">
        <w:rPr>
          <w:rFonts w:eastAsia="Times New Roman" w:cs="Arial"/>
          <w:b/>
          <w:bCs/>
          <w:color w:val="000000" w:themeColor="text1"/>
          <w:sz w:val="24"/>
          <w:szCs w:val="24"/>
        </w:rPr>
        <w:t>L'articolo 188, comma 3-</w:t>
      </w:r>
      <w:r w:rsidRPr="003F6EEB">
        <w:rPr>
          <w:rFonts w:eastAsia="Times New Roman" w:cs="Arial"/>
          <w:b/>
          <w:bCs/>
          <w:i/>
          <w:iCs/>
          <w:color w:val="000000" w:themeColor="text1"/>
          <w:sz w:val="24"/>
          <w:szCs w:val="24"/>
        </w:rPr>
        <w:t>bis</w:t>
      </w:r>
      <w:r w:rsidRPr="003F6EEB">
        <w:rPr>
          <w:rFonts w:eastAsia="Times New Roman" w:cs="Arial"/>
          <w:b/>
          <w:bCs/>
          <w:color w:val="000000" w:themeColor="text1"/>
          <w:sz w:val="24"/>
          <w:szCs w:val="24"/>
        </w:rPr>
        <w:t>, del decreto legislativo 30 aprile 1992, n. 285, introdotto dal comma 1, lettera </w:t>
      </w:r>
      <w:r w:rsidRPr="003F6EEB">
        <w:rPr>
          <w:rFonts w:eastAsia="Times New Roman" w:cs="Arial"/>
          <w:b/>
          <w:bCs/>
          <w:i/>
          <w:iCs/>
          <w:color w:val="000000" w:themeColor="text1"/>
          <w:sz w:val="24"/>
          <w:szCs w:val="24"/>
        </w:rPr>
        <w:t>f)</w:t>
      </w:r>
      <w:r w:rsidRPr="003F6EEB">
        <w:rPr>
          <w:rFonts w:eastAsia="Times New Roman" w:cs="Arial"/>
          <w:b/>
          <w:bCs/>
          <w:color w:val="000000" w:themeColor="text1"/>
          <w:sz w:val="24"/>
          <w:szCs w:val="24"/>
        </w:rPr>
        <w:t>, numero 1), si applica a decorrere dal 1° gennaio 2022. Nell'eventualità in cui dall'attuazione del comma 1, lettera </w:t>
      </w:r>
      <w:r w:rsidRPr="003F6EEB">
        <w:rPr>
          <w:rFonts w:eastAsia="Times New Roman" w:cs="Arial"/>
          <w:b/>
          <w:bCs/>
          <w:i/>
          <w:iCs/>
          <w:color w:val="000000" w:themeColor="text1"/>
          <w:sz w:val="24"/>
          <w:szCs w:val="24"/>
        </w:rPr>
        <w:t>f)</w:t>
      </w:r>
      <w:r w:rsidRPr="003F6EEB">
        <w:rPr>
          <w:rFonts w:eastAsia="Times New Roman" w:cs="Arial"/>
          <w:b/>
          <w:bCs/>
          <w:color w:val="000000" w:themeColor="text1"/>
          <w:sz w:val="24"/>
          <w:szCs w:val="24"/>
        </w:rPr>
        <w:t xml:space="preserve">, derivino minori entrate per il bilancio degli enti locali, attestate dall'organo competente, gli enti stessi provvedono a rivedere le tariffe per la sosta o il parcheggio nelle aree a pagamento, al solo ed esclusivo fine di compensare le </w:t>
      </w:r>
      <w:proofErr w:type="gramStart"/>
      <w:r w:rsidRPr="003F6EEB">
        <w:rPr>
          <w:rFonts w:eastAsia="Times New Roman" w:cs="Arial"/>
          <w:b/>
          <w:bCs/>
          <w:color w:val="000000" w:themeColor="text1"/>
          <w:sz w:val="24"/>
          <w:szCs w:val="24"/>
        </w:rPr>
        <w:t>predette</w:t>
      </w:r>
      <w:proofErr w:type="gramEnd"/>
      <w:r w:rsidRPr="003F6EEB">
        <w:rPr>
          <w:rFonts w:eastAsia="Times New Roman" w:cs="Arial"/>
          <w:b/>
          <w:bCs/>
          <w:color w:val="000000" w:themeColor="text1"/>
          <w:sz w:val="24"/>
          <w:szCs w:val="24"/>
        </w:rPr>
        <w:t xml:space="preserve"> minori entrate.</w:t>
      </w:r>
      <w:r>
        <w:rPr>
          <w:rStyle w:val="Rimandonotaapidipagina"/>
          <w:rFonts w:eastAsia="Times New Roman" w:cs="Arial"/>
          <w:b/>
          <w:bCs/>
          <w:color w:val="000000" w:themeColor="text1"/>
          <w:sz w:val="24"/>
          <w:szCs w:val="24"/>
        </w:rPr>
        <w:footnoteReference w:id="35"/>
      </w:r>
      <w:r w:rsidRPr="003F6EEB">
        <w:rPr>
          <w:rFonts w:eastAsia="Times New Roman" w:cs="Arial"/>
          <w:b/>
          <w:bCs/>
          <w:color w:val="000000" w:themeColor="text1"/>
          <w:sz w:val="24"/>
          <w:szCs w:val="24"/>
        </w:rPr>
        <w:br/>
      </w:r>
    </w:p>
    <w:p w14:paraId="6E4D5BA5" w14:textId="13E219AC"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2. All'articolo 1 della legge 30 dicembre 2020, n. 178, sono apportate le seguenti modificazioni:</w:t>
      </w:r>
    </w:p>
    <w:p w14:paraId="28C1BFEE"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   a) al comma 819, le parole «30 giugno 2021» sono sostituite dalle seguenti: «15 ottobre 2021» e le parole «di persone con limitata o impedita capacità motoria muniti di contrassegno speciale ovvero delle donne in stato di gravidanza» sono sostituite dalle seguenti: «delle donne in stato di gravidanza o di genitori con un bambino di età non superiore a due anni ovvero a prevedere la gratuità della sosta dei veicoli adibiti al servizio di persone con limitata o impedita capacità motoria muniti di contrassegno speciale, nelle aree di sosta o di parcheggio a pagamento, qualora risultino già occupati o indisponibili gli stalli a loro riservati»;</w:t>
      </w:r>
    </w:p>
    <w:p w14:paraId="2BECD206" w14:textId="49854937" w:rsid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   b) al comma 820, le parole «Con decreto del Ministro delle infrastrutture e dei trasporti di concerto con il Ministro dell'economia e delle finanze» sono sostituite dalle seguenti: «Con decreto del Ministro delle infrastrutture e della mobilità sostenibili, di concerto con i Ministri dell'economia e delle finanze e per le disabilità».</w:t>
      </w:r>
    </w:p>
    <w:p w14:paraId="19569494" w14:textId="298EC430" w:rsidR="000D7841" w:rsidRDefault="000D7841" w:rsidP="00660EE5">
      <w:pPr>
        <w:spacing w:after="0" w:line="240" w:lineRule="auto"/>
        <w:jc w:val="both"/>
        <w:rPr>
          <w:rFonts w:asciiTheme="minorHAnsi" w:hAnsiTheme="minorHAnsi"/>
          <w:color w:val="000000" w:themeColor="text1"/>
          <w:sz w:val="24"/>
          <w:szCs w:val="24"/>
        </w:rPr>
      </w:pPr>
    </w:p>
    <w:p w14:paraId="62708CF4" w14:textId="1BFD67F4" w:rsidR="000D7841" w:rsidRDefault="000D7841" w:rsidP="000D7841">
      <w:pPr>
        <w:shd w:val="clear" w:color="auto" w:fill="FFFFFF"/>
        <w:spacing w:after="0" w:line="240" w:lineRule="auto"/>
        <w:jc w:val="both"/>
        <w:rPr>
          <w:rFonts w:eastAsia="Times New Roman" w:cs="Arial"/>
          <w:b/>
          <w:bCs/>
          <w:color w:val="000000" w:themeColor="text1"/>
          <w:sz w:val="24"/>
          <w:szCs w:val="24"/>
        </w:rPr>
      </w:pPr>
      <w:r w:rsidRPr="007B080C">
        <w:rPr>
          <w:rFonts w:eastAsia="Times New Roman" w:cs="Arial"/>
          <w:b/>
          <w:bCs/>
          <w:color w:val="000000" w:themeColor="text1"/>
          <w:sz w:val="24"/>
          <w:szCs w:val="24"/>
        </w:rPr>
        <w:t>2-</w:t>
      </w:r>
      <w:r w:rsidRPr="007B080C">
        <w:rPr>
          <w:rFonts w:eastAsia="Times New Roman" w:cs="Arial"/>
          <w:b/>
          <w:bCs/>
          <w:i/>
          <w:iCs/>
          <w:color w:val="000000" w:themeColor="text1"/>
          <w:sz w:val="24"/>
          <w:szCs w:val="24"/>
        </w:rPr>
        <w:t>bis</w:t>
      </w:r>
      <w:r w:rsidRPr="007B080C">
        <w:rPr>
          <w:rFonts w:eastAsia="Times New Roman" w:cs="Arial"/>
          <w:b/>
          <w:bCs/>
          <w:color w:val="000000" w:themeColor="text1"/>
          <w:sz w:val="24"/>
          <w:szCs w:val="24"/>
        </w:rPr>
        <w:t xml:space="preserve">. Sono classificate d'interesse storico o collezionistico ai sensi dell'articolo 215 del regolamento di cui al decreto del Presidente della Repubblica 16 dicembre 1992, n. 495, le macchine agricole la cui data di costruzione è precedente di almeno quaranta anni a quella della richiesta di riconoscimento nella categoria in questione. Le caratteristiche tecniche devono comprendere almeno tutte quelle necessarie </w:t>
      </w:r>
      <w:r w:rsidRPr="007B080C">
        <w:rPr>
          <w:rFonts w:eastAsia="Times New Roman" w:cs="Arial"/>
          <w:b/>
          <w:bCs/>
          <w:color w:val="000000" w:themeColor="text1"/>
          <w:sz w:val="24"/>
          <w:szCs w:val="24"/>
        </w:rPr>
        <w:lastRenderedPageBreak/>
        <w:t>per la verifica di idoneità alla circolazione del motoveicolo o dell'autoveicolo ai sensi dei commi 5 e 6 del citato articolo 215 del regolamento di cui al decreto del Presidente della Repubblica n. 495 del 1992. Entro un mese dalla data di entrata in vigore della presente disposizione, il Governo provvede ad apportare le modifiche necessarie al citato articolo 215 del regolamento di cui al decreto del Presidente della Repubblica n. 495 del 1992 al fine di adeguarlo a quanto disposto dal presente comma.</w:t>
      </w:r>
      <w:r>
        <w:rPr>
          <w:rStyle w:val="Rimandonotaapidipagina"/>
          <w:rFonts w:eastAsia="Times New Roman" w:cs="Arial"/>
          <w:b/>
          <w:bCs/>
          <w:color w:val="000000" w:themeColor="text1"/>
          <w:sz w:val="24"/>
          <w:szCs w:val="24"/>
        </w:rPr>
        <w:footnoteReference w:id="36"/>
      </w:r>
    </w:p>
    <w:p w14:paraId="3741EB60"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76EF8861"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3. L'autorizzazione alla circolazione di prova di cui all'articolo 1 del decreto del Presidente della Repubblica 24 novembre 2001, n. 474, può essere utilizzata per la circolazione su strada dei veicoli non immatricolati e di quelli già muniti della carta di circolazione di cui agli articoli 93, 110 e 114 del decreto legislativo 30 aprile 1992, n. 285 o del certificato di circolazione di cui all'articolo 97 del predetto decreto legislativo, anche in deroga agli obblighi previsti dall'articolo 80 del decreto legislativo n. 285 del 1992, qualora detti veicoli circolino su strada per esigenze connesse a prove tecniche, sperimentali o costruttive, dimostrazioni o trasferimenti, anche per ragioni di vendita o di allestimento. Ai fini della circolazione di cui al primo periodo, resta comunque fermo l'obbligo di copertura assicurativa da parte del titolare dell'autorizzazione alla circolazione di prova, ai sensi delle vigenti disposizioni in materia di responsabilità civile verso terzi. Dei danni cagionati dal veicolo in circolazione di prova, anche se munito della carta o del certificato di circolazione, risponde, ove ne ricorrono i presupposti, l'assicuratore dell'autorizzazione alla circolazione di prova.</w:t>
      </w:r>
    </w:p>
    <w:p w14:paraId="5E4FEE84"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3B7E32C4" w14:textId="54F9BF15" w:rsid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4. Entro novanta giorni dalla data di entrata in vigore della legge di conversione del presente decreto, si provvede all'aggiornamento del decreto del Presidente della Repubblica 24 novembre 2001, n. 474, anche al fine di stabilire le condizioni e il numero massimo di autorizzazioni alla circolazione di prova rilasciabili ad ogni titolare in ragione del tipo di attività esercitata e del numero di addetti.</w:t>
      </w:r>
    </w:p>
    <w:p w14:paraId="0C247A60" w14:textId="6E775E02" w:rsidR="00AC04E6" w:rsidRDefault="00AC04E6" w:rsidP="00660EE5">
      <w:pPr>
        <w:spacing w:after="0" w:line="240" w:lineRule="auto"/>
        <w:jc w:val="both"/>
        <w:rPr>
          <w:rFonts w:asciiTheme="minorHAnsi" w:hAnsiTheme="minorHAnsi"/>
          <w:color w:val="000000" w:themeColor="text1"/>
          <w:sz w:val="24"/>
          <w:szCs w:val="24"/>
        </w:rPr>
      </w:pPr>
    </w:p>
    <w:p w14:paraId="64D0D8A0" w14:textId="4A631DE3" w:rsidR="00AC04E6" w:rsidRDefault="00AC04E6" w:rsidP="00AC04E6">
      <w:pPr>
        <w:shd w:val="clear" w:color="auto" w:fill="FFFFFF"/>
        <w:spacing w:after="0" w:line="240" w:lineRule="auto"/>
        <w:jc w:val="both"/>
        <w:rPr>
          <w:rFonts w:eastAsia="Times New Roman" w:cs="Arial"/>
          <w:b/>
          <w:bCs/>
          <w:color w:val="000000" w:themeColor="text1"/>
          <w:sz w:val="24"/>
          <w:szCs w:val="24"/>
        </w:rPr>
      </w:pPr>
      <w:r w:rsidRPr="003F6EEB">
        <w:rPr>
          <w:rFonts w:eastAsia="Times New Roman" w:cs="Arial"/>
          <w:b/>
          <w:bCs/>
          <w:color w:val="000000" w:themeColor="text1"/>
          <w:sz w:val="24"/>
          <w:szCs w:val="24"/>
        </w:rPr>
        <w:t>4-</w:t>
      </w:r>
      <w:r w:rsidRPr="003F6EEB">
        <w:rPr>
          <w:rFonts w:eastAsia="Times New Roman" w:cs="Arial"/>
          <w:b/>
          <w:bCs/>
          <w:i/>
          <w:iCs/>
          <w:color w:val="000000" w:themeColor="text1"/>
          <w:sz w:val="24"/>
          <w:szCs w:val="24"/>
        </w:rPr>
        <w:t>bis</w:t>
      </w:r>
      <w:r w:rsidRPr="003F6EEB">
        <w:rPr>
          <w:rFonts w:eastAsia="Times New Roman" w:cs="Arial"/>
          <w:b/>
          <w:bCs/>
          <w:color w:val="000000" w:themeColor="text1"/>
          <w:sz w:val="24"/>
          <w:szCs w:val="24"/>
        </w:rPr>
        <w:t>. Al fine di semplificare le attività degli uffici della motorizzazione civile, il Ministro delle infrastrutture e della mobilità sostenibili, con proprio decreto da adottare entro novanta giorni dalla data di entrata in vigore della legge di conversione del presente decreto, è autorizzato a modificare l'allegato A del decreto del Ministro delle infrastrutture e dei trasporti 8 gennaio 2021, pubblicato nella </w:t>
      </w:r>
      <w:r w:rsidRPr="003F6EEB">
        <w:rPr>
          <w:rFonts w:eastAsia="Times New Roman" w:cs="Arial"/>
          <w:b/>
          <w:bCs/>
          <w:i/>
          <w:iCs/>
          <w:color w:val="000000" w:themeColor="text1"/>
          <w:sz w:val="24"/>
          <w:szCs w:val="24"/>
        </w:rPr>
        <w:t>Gazzetta Ufficiale</w:t>
      </w:r>
      <w:r w:rsidRPr="003F6EEB">
        <w:rPr>
          <w:rFonts w:eastAsia="Times New Roman" w:cs="Arial"/>
          <w:b/>
          <w:bCs/>
          <w:color w:val="000000" w:themeColor="text1"/>
          <w:sz w:val="24"/>
          <w:szCs w:val="24"/>
        </w:rPr>
        <w:t> n. 37 del 13 febbraio 2021, inserendo tra le modifiche ai veicoli per le quali l'aggiornamento della carta di circolazione non è subordinato a visita e prova ai sensi dell'articolo 78, comma 1, del codice della strada, di cui al decreto legislativo 30 aprile 1992, n. 285, anche quelle riguardanti i sistemi ruota previsti dal regolamento di cui al decreto del Ministro delle infrastrutture e dei trasporti 10 gennaio 2013, n. 20.</w:t>
      </w:r>
      <w:r>
        <w:rPr>
          <w:rStyle w:val="Rimandonotaapidipagina"/>
          <w:rFonts w:eastAsia="Times New Roman" w:cs="Arial"/>
          <w:b/>
          <w:bCs/>
          <w:color w:val="000000" w:themeColor="text1"/>
          <w:sz w:val="24"/>
          <w:szCs w:val="24"/>
        </w:rPr>
        <w:footnoteReference w:id="37"/>
      </w:r>
    </w:p>
    <w:p w14:paraId="6DE002E6" w14:textId="243CC520" w:rsidR="00660EE5" w:rsidRPr="00660EE5" w:rsidRDefault="00AC04E6" w:rsidP="00AC04E6">
      <w:pPr>
        <w:shd w:val="clear" w:color="auto" w:fill="FFFFFF"/>
        <w:spacing w:after="0" w:line="240" w:lineRule="auto"/>
        <w:jc w:val="both"/>
        <w:rPr>
          <w:rFonts w:asciiTheme="minorHAnsi" w:hAnsiTheme="minorHAnsi"/>
          <w:color w:val="000000" w:themeColor="text1"/>
          <w:sz w:val="24"/>
          <w:szCs w:val="24"/>
        </w:rPr>
      </w:pPr>
      <w:r w:rsidRPr="00155015">
        <w:rPr>
          <w:rFonts w:eastAsia="Times New Roman" w:cs="Arial"/>
          <w:color w:val="000000" w:themeColor="text1"/>
          <w:sz w:val="24"/>
          <w:szCs w:val="24"/>
        </w:rPr>
        <w:br/>
      </w:r>
      <w:r w:rsidR="00660EE5" w:rsidRPr="00660EE5">
        <w:rPr>
          <w:rFonts w:asciiTheme="minorHAnsi" w:hAnsiTheme="minorHAnsi"/>
          <w:color w:val="000000" w:themeColor="text1"/>
          <w:sz w:val="24"/>
          <w:szCs w:val="24"/>
        </w:rPr>
        <w:t>5. Al decreto legislativo 21 novembre 2005, n. 286, sono apportate le seguenti modificazioni:</w:t>
      </w:r>
    </w:p>
    <w:p w14:paraId="45DC13A3"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   a) all'articolo 14, comma 1, dopo le parole «per mezzo dei veicoli» sono inserite le seguenti: «adibiti al trasporto di cose e di passeggeri»;</w:t>
      </w:r>
    </w:p>
    <w:p w14:paraId="26EA2537"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   b) all'articolo 22:</w:t>
      </w:r>
    </w:p>
    <w:p w14:paraId="7FA27004"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lastRenderedPageBreak/>
        <w:t xml:space="preserve">    1) il comma 1 è sostituito dal seguente: «1. Ai fini del possesso della carta di qualificazione del conducente da parte di titolare di patente di guida rilasciata in Italia, la qualificazione iniziale e la formazione periodica sono comprovate mediante l'apposizione sulla medesima patente del codice </w:t>
      </w:r>
      <w:proofErr w:type="spellStart"/>
      <w:r w:rsidRPr="00660EE5">
        <w:rPr>
          <w:rFonts w:asciiTheme="minorHAnsi" w:hAnsiTheme="minorHAnsi"/>
          <w:color w:val="000000" w:themeColor="text1"/>
          <w:sz w:val="24"/>
          <w:szCs w:val="24"/>
        </w:rPr>
        <w:t>unionale</w:t>
      </w:r>
      <w:proofErr w:type="spellEnd"/>
      <w:r w:rsidRPr="00660EE5">
        <w:rPr>
          <w:rFonts w:asciiTheme="minorHAnsi" w:hAnsiTheme="minorHAnsi"/>
          <w:color w:val="000000" w:themeColor="text1"/>
          <w:sz w:val="24"/>
          <w:szCs w:val="24"/>
        </w:rPr>
        <w:t xml:space="preserve"> armonizzato "95", secondo le modalità di cui ai commi 2 e 3.»;</w:t>
      </w:r>
    </w:p>
    <w:p w14:paraId="15B03CC5"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    2) al comma 3-bis, le parole «formazione periodica di» sono sostituite dalle seguenti: «formazione periodica conseguite in Italia ai sensi dell'articolo 21 da» e le parole «dei trasporti, Dipartimento per i trasporti, la navigazione ed i sistemi informativi e statistici» sono sostituite dalle seguenti: «della mobilità sostenibili, Dipartimento per i trasporti e la navigazione»;</w:t>
      </w:r>
    </w:p>
    <w:p w14:paraId="25181A06"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    3) al comma 6:</w:t>
      </w:r>
    </w:p>
    <w:p w14:paraId="28AB2475"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     3.1. all'alinea, le parole «diverso dall'Italia» sono soppresse;</w:t>
      </w:r>
    </w:p>
    <w:p w14:paraId="48A272E5"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     3.2. alla lettera b), le parole «Con decreto del Ministero delle infrastrutture e dei trasporti» sono sostituite dalle seguenti: «Nel caso in cui l'impresa sia stabilita in Italia, con decreto del Ministero delle infrastrutture e della mobilità sostenibili»;</w:t>
      </w:r>
    </w:p>
    <w:p w14:paraId="1B1EA598" w14:textId="5C38979E" w:rsid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   4) al comma 7, alinea, le parole «diverso dall'Italia» sono soppresse.</w:t>
      </w:r>
    </w:p>
    <w:p w14:paraId="021D7174" w14:textId="3E961594" w:rsidR="00AC04E6" w:rsidRDefault="00AC04E6" w:rsidP="00660EE5">
      <w:pPr>
        <w:spacing w:after="0" w:line="240" w:lineRule="auto"/>
        <w:jc w:val="both"/>
        <w:rPr>
          <w:rFonts w:asciiTheme="minorHAnsi" w:hAnsiTheme="minorHAnsi"/>
          <w:color w:val="000000" w:themeColor="text1"/>
          <w:sz w:val="24"/>
          <w:szCs w:val="24"/>
        </w:rPr>
      </w:pPr>
    </w:p>
    <w:p w14:paraId="3CED203F" w14:textId="77777777" w:rsidR="00AC04E6" w:rsidRDefault="00AC04E6" w:rsidP="00AC04E6">
      <w:pPr>
        <w:shd w:val="clear" w:color="auto" w:fill="FFFFFF"/>
        <w:spacing w:after="0" w:line="240" w:lineRule="auto"/>
        <w:jc w:val="both"/>
        <w:rPr>
          <w:rFonts w:eastAsia="Times New Roman" w:cs="Arial"/>
          <w:b/>
          <w:bCs/>
          <w:color w:val="000000" w:themeColor="text1"/>
          <w:sz w:val="24"/>
          <w:szCs w:val="24"/>
        </w:rPr>
      </w:pPr>
      <w:r w:rsidRPr="003F6EEB">
        <w:rPr>
          <w:rFonts w:eastAsia="Times New Roman" w:cs="Arial"/>
          <w:b/>
          <w:bCs/>
          <w:color w:val="000000" w:themeColor="text1"/>
          <w:sz w:val="24"/>
          <w:szCs w:val="24"/>
        </w:rPr>
        <w:t>5-</w:t>
      </w:r>
      <w:r w:rsidRPr="003F6EEB">
        <w:rPr>
          <w:rFonts w:eastAsia="Times New Roman" w:cs="Arial"/>
          <w:b/>
          <w:bCs/>
          <w:i/>
          <w:iCs/>
          <w:color w:val="000000" w:themeColor="text1"/>
          <w:sz w:val="24"/>
          <w:szCs w:val="24"/>
        </w:rPr>
        <w:t>bis</w:t>
      </w:r>
      <w:r w:rsidRPr="003F6EEB">
        <w:rPr>
          <w:rFonts w:eastAsia="Times New Roman" w:cs="Arial"/>
          <w:b/>
          <w:bCs/>
          <w:color w:val="000000" w:themeColor="text1"/>
          <w:sz w:val="24"/>
          <w:szCs w:val="24"/>
        </w:rPr>
        <w:t>. Fino al 30 giugno 2022, ai giovani fino al trentacinquesimo anno d'età e ai soggetti che percepiscono il reddito di cittadinanza ovvero ammortizzatori sociali, a qualsiasi titolo e comunque denominati, è riconosciuto, nei limiti delle risorse di cui al presente comma, un contributo, a titolo di rimborso delle spese sostenute e documentate per il conseguimento della patente e delle abilitazioni professionali per la guida di veicoli destinati all'attività di autotrasporto di merci per conto di terzi di cui al decreto legislativo 21 novembre 2005, n. 286, di importo pari a 1.000 euro e comunque non superiore al 50 per cento dell'importo di dette spese. Ai fini del riconoscimento del contributo di cui al primo periodo, i richiedenti devono dimostrare di avere stipulato, entro tre mesi dal conseguimento della patente o dell'abilitazione professionale, un contratto di lavoro in qualità di conducente con un operatore economico del settore dell'autotrasporto di merci per conto di terzi, per un periodo di almeno sei mesi. Per le finalità di cui al presente comma è autorizzata la spesa di 1 milione di euro per l'anno 2022.</w:t>
      </w:r>
    </w:p>
    <w:p w14:paraId="2D5DD835" w14:textId="6559B121" w:rsidR="00AC04E6" w:rsidRPr="003F6EEB" w:rsidRDefault="00AC04E6" w:rsidP="00AC04E6">
      <w:pPr>
        <w:shd w:val="clear" w:color="auto" w:fill="FFFFFF"/>
        <w:spacing w:after="0" w:line="240" w:lineRule="auto"/>
        <w:jc w:val="both"/>
        <w:rPr>
          <w:rFonts w:eastAsia="Times New Roman" w:cs="Arial"/>
          <w:b/>
          <w:bCs/>
          <w:color w:val="000000" w:themeColor="text1"/>
          <w:sz w:val="24"/>
          <w:szCs w:val="24"/>
        </w:rPr>
      </w:pPr>
      <w:r w:rsidRPr="003F6EEB">
        <w:rPr>
          <w:rFonts w:eastAsia="Times New Roman" w:cs="Arial"/>
          <w:b/>
          <w:bCs/>
          <w:color w:val="000000" w:themeColor="text1"/>
          <w:sz w:val="24"/>
          <w:szCs w:val="24"/>
        </w:rPr>
        <w:t> </w:t>
      </w:r>
      <w:r w:rsidRPr="003F6EEB">
        <w:rPr>
          <w:rFonts w:eastAsia="Times New Roman" w:cs="Arial"/>
          <w:b/>
          <w:bCs/>
          <w:color w:val="000000" w:themeColor="text1"/>
          <w:sz w:val="24"/>
          <w:szCs w:val="24"/>
        </w:rPr>
        <w:t> </w:t>
      </w:r>
    </w:p>
    <w:p w14:paraId="39D356EC" w14:textId="77777777" w:rsidR="00AC04E6" w:rsidRDefault="00AC04E6" w:rsidP="00AC04E6">
      <w:pPr>
        <w:shd w:val="clear" w:color="auto" w:fill="FFFFFF"/>
        <w:spacing w:after="0" w:line="240" w:lineRule="auto"/>
        <w:jc w:val="both"/>
        <w:rPr>
          <w:rFonts w:eastAsia="Times New Roman" w:cs="Arial"/>
          <w:b/>
          <w:bCs/>
          <w:color w:val="000000" w:themeColor="text1"/>
          <w:sz w:val="24"/>
          <w:szCs w:val="24"/>
        </w:rPr>
      </w:pPr>
      <w:r w:rsidRPr="003F6EEB">
        <w:rPr>
          <w:rFonts w:eastAsia="Times New Roman" w:cs="Arial"/>
          <w:b/>
          <w:bCs/>
          <w:color w:val="000000" w:themeColor="text1"/>
          <w:sz w:val="24"/>
          <w:szCs w:val="24"/>
        </w:rPr>
        <w:t>5-</w:t>
      </w:r>
      <w:r w:rsidRPr="003F6EEB">
        <w:rPr>
          <w:rFonts w:eastAsia="Times New Roman" w:cs="Arial"/>
          <w:b/>
          <w:bCs/>
          <w:i/>
          <w:iCs/>
          <w:color w:val="000000" w:themeColor="text1"/>
          <w:sz w:val="24"/>
          <w:szCs w:val="24"/>
        </w:rPr>
        <w:t>ter</w:t>
      </w:r>
      <w:r w:rsidRPr="003F6EEB">
        <w:rPr>
          <w:rFonts w:eastAsia="Times New Roman" w:cs="Arial"/>
          <w:b/>
          <w:bCs/>
          <w:color w:val="000000" w:themeColor="text1"/>
          <w:sz w:val="24"/>
          <w:szCs w:val="24"/>
        </w:rPr>
        <w:t>. Con decreto del Ministro delle infrastrutture e della modalità sostenibili, adottato entro sessanta giorni dalla data di entrata in vigore della legge di conversione del presente decreto, sono indicati i termini e le modalità di presentazione delle domande per il riconoscimento del contributo di cui al comma 5-</w:t>
      </w:r>
      <w:r w:rsidRPr="003F6EEB">
        <w:rPr>
          <w:rFonts w:eastAsia="Times New Roman" w:cs="Arial"/>
          <w:b/>
          <w:bCs/>
          <w:i/>
          <w:iCs/>
          <w:color w:val="000000" w:themeColor="text1"/>
          <w:sz w:val="24"/>
          <w:szCs w:val="24"/>
        </w:rPr>
        <w:t>bis</w:t>
      </w:r>
      <w:r w:rsidRPr="003F6EEB">
        <w:rPr>
          <w:rFonts w:eastAsia="Times New Roman" w:cs="Arial"/>
          <w:b/>
          <w:bCs/>
          <w:color w:val="000000" w:themeColor="text1"/>
          <w:sz w:val="24"/>
          <w:szCs w:val="24"/>
        </w:rPr>
        <w:t>, nonché le modalità di erogazione dello stesso.</w:t>
      </w:r>
    </w:p>
    <w:p w14:paraId="043C2427" w14:textId="7BBA6A08" w:rsidR="00AC04E6" w:rsidRPr="003F6EEB" w:rsidRDefault="00AC04E6" w:rsidP="00AC04E6">
      <w:pPr>
        <w:shd w:val="clear" w:color="auto" w:fill="FFFFFF"/>
        <w:spacing w:after="0" w:line="240" w:lineRule="auto"/>
        <w:jc w:val="both"/>
        <w:rPr>
          <w:rFonts w:eastAsia="Times New Roman" w:cs="Arial"/>
          <w:b/>
          <w:bCs/>
          <w:color w:val="000000" w:themeColor="text1"/>
          <w:sz w:val="24"/>
          <w:szCs w:val="24"/>
        </w:rPr>
      </w:pPr>
      <w:r w:rsidRPr="003F6EEB">
        <w:rPr>
          <w:rFonts w:eastAsia="Times New Roman" w:cs="Arial"/>
          <w:b/>
          <w:bCs/>
          <w:color w:val="000000" w:themeColor="text1"/>
          <w:sz w:val="24"/>
          <w:szCs w:val="24"/>
        </w:rPr>
        <w:t> </w:t>
      </w:r>
      <w:r w:rsidRPr="003F6EEB">
        <w:rPr>
          <w:rFonts w:eastAsia="Times New Roman" w:cs="Arial"/>
          <w:b/>
          <w:bCs/>
          <w:color w:val="000000" w:themeColor="text1"/>
          <w:sz w:val="24"/>
          <w:szCs w:val="24"/>
        </w:rPr>
        <w:t> </w:t>
      </w:r>
    </w:p>
    <w:p w14:paraId="124396CE" w14:textId="77777777" w:rsidR="00AC04E6" w:rsidRDefault="00AC04E6" w:rsidP="00AC04E6">
      <w:pPr>
        <w:shd w:val="clear" w:color="auto" w:fill="FFFFFF"/>
        <w:spacing w:after="0" w:line="240" w:lineRule="auto"/>
        <w:jc w:val="both"/>
        <w:rPr>
          <w:rFonts w:eastAsia="Times New Roman" w:cs="Arial"/>
          <w:b/>
          <w:bCs/>
          <w:color w:val="000000" w:themeColor="text1"/>
          <w:sz w:val="24"/>
          <w:szCs w:val="24"/>
        </w:rPr>
      </w:pPr>
      <w:r w:rsidRPr="003F6EEB">
        <w:rPr>
          <w:rFonts w:eastAsia="Times New Roman" w:cs="Arial"/>
          <w:b/>
          <w:bCs/>
          <w:color w:val="000000" w:themeColor="text1"/>
          <w:sz w:val="24"/>
          <w:szCs w:val="24"/>
        </w:rPr>
        <w:t>5-</w:t>
      </w:r>
      <w:r w:rsidRPr="003F6EEB">
        <w:rPr>
          <w:rFonts w:eastAsia="Times New Roman" w:cs="Arial"/>
          <w:b/>
          <w:bCs/>
          <w:i/>
          <w:iCs/>
          <w:color w:val="000000" w:themeColor="text1"/>
          <w:sz w:val="24"/>
          <w:szCs w:val="24"/>
        </w:rPr>
        <w:t>quater</w:t>
      </w:r>
      <w:r w:rsidRPr="003F6EEB">
        <w:rPr>
          <w:rFonts w:eastAsia="Times New Roman" w:cs="Arial"/>
          <w:b/>
          <w:bCs/>
          <w:color w:val="000000" w:themeColor="text1"/>
          <w:sz w:val="24"/>
          <w:szCs w:val="24"/>
        </w:rPr>
        <w:t>. Agli oneri derivanti dall'attuazione del comma 5-</w:t>
      </w:r>
      <w:r w:rsidRPr="003F6EEB">
        <w:rPr>
          <w:rFonts w:eastAsia="Times New Roman" w:cs="Arial"/>
          <w:b/>
          <w:bCs/>
          <w:i/>
          <w:iCs/>
          <w:color w:val="000000" w:themeColor="text1"/>
          <w:sz w:val="24"/>
          <w:szCs w:val="24"/>
        </w:rPr>
        <w:t>bis</w:t>
      </w:r>
      <w:r w:rsidRPr="003F6EEB">
        <w:rPr>
          <w:rFonts w:eastAsia="Times New Roman" w:cs="Arial"/>
          <w:b/>
          <w:bCs/>
          <w:color w:val="000000" w:themeColor="text1"/>
          <w:sz w:val="24"/>
          <w:szCs w:val="24"/>
        </w:rPr>
        <w:t>, pari a 1 milione di euro per l'anno 2022, si provvede mediante corrispondente riduzione del Fondo di parte corrente di cui all'articolo 34-</w:t>
      </w:r>
      <w:r w:rsidRPr="003F6EEB">
        <w:rPr>
          <w:rFonts w:eastAsia="Times New Roman" w:cs="Arial"/>
          <w:b/>
          <w:bCs/>
          <w:i/>
          <w:iCs/>
          <w:color w:val="000000" w:themeColor="text1"/>
          <w:sz w:val="24"/>
          <w:szCs w:val="24"/>
        </w:rPr>
        <w:t>ter</w:t>
      </w:r>
      <w:r w:rsidRPr="003F6EEB">
        <w:rPr>
          <w:rFonts w:eastAsia="Times New Roman" w:cs="Arial"/>
          <w:b/>
          <w:bCs/>
          <w:color w:val="000000" w:themeColor="text1"/>
          <w:sz w:val="24"/>
          <w:szCs w:val="24"/>
        </w:rPr>
        <w:t>, comma 5, della legge 31 dicembre 2009, n. 196, iscritto nello stato di previsione del Ministero delle infrastrutture e della mobilità sostenibili.</w:t>
      </w:r>
    </w:p>
    <w:p w14:paraId="45FD1DE0" w14:textId="77777777" w:rsidR="00AC04E6" w:rsidRPr="003F6EEB" w:rsidRDefault="00AC04E6" w:rsidP="00AC04E6">
      <w:pPr>
        <w:shd w:val="clear" w:color="auto" w:fill="FFFFFF"/>
        <w:spacing w:after="0" w:line="240" w:lineRule="auto"/>
        <w:jc w:val="both"/>
        <w:rPr>
          <w:rFonts w:eastAsia="Times New Roman" w:cs="Arial"/>
          <w:b/>
          <w:bCs/>
          <w:color w:val="000000" w:themeColor="text1"/>
          <w:sz w:val="24"/>
          <w:szCs w:val="24"/>
        </w:rPr>
      </w:pPr>
      <w:r w:rsidRPr="003F6EEB">
        <w:rPr>
          <w:rFonts w:eastAsia="Times New Roman" w:cs="Arial"/>
          <w:b/>
          <w:bCs/>
          <w:color w:val="000000" w:themeColor="text1"/>
          <w:sz w:val="24"/>
          <w:szCs w:val="24"/>
        </w:rPr>
        <w:t> </w:t>
      </w:r>
      <w:r w:rsidRPr="003F6EEB">
        <w:rPr>
          <w:rFonts w:eastAsia="Times New Roman" w:cs="Arial"/>
          <w:b/>
          <w:bCs/>
          <w:color w:val="000000" w:themeColor="text1"/>
          <w:sz w:val="24"/>
          <w:szCs w:val="24"/>
        </w:rPr>
        <w:t> </w:t>
      </w:r>
    </w:p>
    <w:p w14:paraId="1A6FE754" w14:textId="61CAD6BF" w:rsidR="00AC04E6" w:rsidRDefault="00AC04E6" w:rsidP="00AC04E6">
      <w:pPr>
        <w:shd w:val="clear" w:color="auto" w:fill="FFFFFF"/>
        <w:spacing w:after="0" w:line="240" w:lineRule="auto"/>
        <w:jc w:val="both"/>
        <w:rPr>
          <w:rFonts w:eastAsia="Times New Roman" w:cs="Arial"/>
          <w:b/>
          <w:bCs/>
          <w:color w:val="000000" w:themeColor="text1"/>
          <w:sz w:val="24"/>
          <w:szCs w:val="24"/>
        </w:rPr>
      </w:pPr>
      <w:r w:rsidRPr="003F6EEB">
        <w:rPr>
          <w:rFonts w:eastAsia="Times New Roman" w:cs="Arial"/>
          <w:b/>
          <w:bCs/>
          <w:color w:val="000000" w:themeColor="text1"/>
          <w:sz w:val="24"/>
          <w:szCs w:val="24"/>
        </w:rPr>
        <w:t>5-</w:t>
      </w:r>
      <w:r w:rsidRPr="003F6EEB">
        <w:rPr>
          <w:rFonts w:eastAsia="Times New Roman" w:cs="Arial"/>
          <w:b/>
          <w:bCs/>
          <w:i/>
          <w:iCs/>
          <w:color w:val="000000" w:themeColor="text1"/>
          <w:sz w:val="24"/>
          <w:szCs w:val="24"/>
        </w:rPr>
        <w:t>quinquies</w:t>
      </w:r>
      <w:r w:rsidRPr="003F6EEB">
        <w:rPr>
          <w:rFonts w:eastAsia="Times New Roman" w:cs="Arial"/>
          <w:b/>
          <w:bCs/>
          <w:color w:val="000000" w:themeColor="text1"/>
          <w:sz w:val="24"/>
          <w:szCs w:val="24"/>
        </w:rPr>
        <w:t>. In deroga a quanto disposto dall'articolo 54, comma 1, lettera </w:t>
      </w:r>
      <w:r w:rsidRPr="003F6EEB">
        <w:rPr>
          <w:rFonts w:eastAsia="Times New Roman" w:cs="Arial"/>
          <w:b/>
          <w:bCs/>
          <w:i/>
          <w:iCs/>
          <w:color w:val="000000" w:themeColor="text1"/>
          <w:sz w:val="24"/>
          <w:szCs w:val="24"/>
        </w:rPr>
        <w:t>d)</w:t>
      </w:r>
      <w:r w:rsidRPr="003F6EEB">
        <w:rPr>
          <w:rFonts w:eastAsia="Times New Roman" w:cs="Arial"/>
          <w:b/>
          <w:bCs/>
          <w:color w:val="000000" w:themeColor="text1"/>
          <w:sz w:val="24"/>
          <w:szCs w:val="24"/>
        </w:rPr>
        <w:t xml:space="preserve">, del codice della strada, di cui al decreto legislativo 30 aprile 1992, n. 285, sugli autocarri è possibile la presenza a bordo, oltre </w:t>
      </w:r>
      <w:r w:rsidRPr="003F6EEB">
        <w:rPr>
          <w:rFonts w:eastAsia="Times New Roman" w:cs="Arial"/>
          <w:b/>
          <w:bCs/>
          <w:color w:val="000000" w:themeColor="text1"/>
          <w:sz w:val="24"/>
          <w:szCs w:val="24"/>
        </w:rPr>
        <w:lastRenderedPageBreak/>
        <w:t>che delle persone addette all'uso o al trasporto delle cose trasportate, anche di un soggetto neoassunto, in possesso dei titoli professionali previsti per l'esercizio della professione, per un periodo di addestramento di durata massima di tre mesi.</w:t>
      </w:r>
      <w:r>
        <w:rPr>
          <w:rStyle w:val="Rimandonotaapidipagina"/>
          <w:rFonts w:eastAsia="Times New Roman" w:cs="Arial"/>
          <w:b/>
          <w:bCs/>
          <w:color w:val="000000" w:themeColor="text1"/>
          <w:sz w:val="24"/>
          <w:szCs w:val="24"/>
        </w:rPr>
        <w:footnoteReference w:id="38"/>
      </w:r>
    </w:p>
    <w:p w14:paraId="3D9D3A86" w14:textId="53DAF80D" w:rsidR="00A128D4" w:rsidRDefault="00A128D4" w:rsidP="00AC04E6">
      <w:pPr>
        <w:shd w:val="clear" w:color="auto" w:fill="FFFFFF"/>
        <w:spacing w:after="0" w:line="240" w:lineRule="auto"/>
        <w:jc w:val="both"/>
        <w:rPr>
          <w:rFonts w:eastAsia="Times New Roman" w:cs="Arial"/>
          <w:b/>
          <w:bCs/>
          <w:color w:val="000000" w:themeColor="text1"/>
          <w:sz w:val="24"/>
          <w:szCs w:val="24"/>
        </w:rPr>
      </w:pPr>
    </w:p>
    <w:p w14:paraId="2B5068A8" w14:textId="77777777" w:rsidR="00A128D4" w:rsidRPr="00DF7FC6" w:rsidRDefault="00A128D4" w:rsidP="00A128D4">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5-</w:t>
      </w:r>
      <w:r w:rsidRPr="00DF7FC6">
        <w:rPr>
          <w:rFonts w:eastAsia="Times New Roman" w:cs="Arial"/>
          <w:b/>
          <w:bCs/>
          <w:i/>
          <w:iCs/>
          <w:color w:val="000000" w:themeColor="text1"/>
          <w:sz w:val="24"/>
          <w:szCs w:val="24"/>
        </w:rPr>
        <w:t>bis</w:t>
      </w:r>
      <w:r w:rsidRPr="00DF7FC6">
        <w:rPr>
          <w:rFonts w:eastAsia="Times New Roman" w:cs="Arial"/>
          <w:b/>
          <w:bCs/>
          <w:color w:val="000000" w:themeColor="text1"/>
          <w:sz w:val="24"/>
          <w:szCs w:val="24"/>
        </w:rPr>
        <w:t>. Al decreto legislativo 21 novembre 2005, n. 285, sono apportate le seguenti modificazioni:</w:t>
      </w:r>
    </w:p>
    <w:p w14:paraId="46CBBF49" w14:textId="77777777" w:rsidR="00A128D4" w:rsidRPr="00DF7FC6" w:rsidRDefault="00A128D4" w:rsidP="00A128D4">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i/>
          <w:iCs/>
          <w:color w:val="000000" w:themeColor="text1"/>
          <w:sz w:val="24"/>
          <w:szCs w:val="24"/>
        </w:rPr>
        <w:t>a)</w:t>
      </w:r>
      <w:r w:rsidRPr="00DF7FC6">
        <w:rPr>
          <w:rFonts w:eastAsia="Times New Roman" w:cs="Arial"/>
          <w:b/>
          <w:bCs/>
          <w:color w:val="000000" w:themeColor="text1"/>
          <w:sz w:val="24"/>
          <w:szCs w:val="24"/>
        </w:rPr>
        <w:t> all'articolo 2, comma 1, la lettera a) è sostituita dalla seguente: «a) servizi automobilistici interregionali di competenza statale, di seguito “servizi di linea”: i servizi di trasporto di persone effettuati su strada mediante autobus, ad offerta indifferenziata, ed aventi itinerari, orari e frequenze prestabiliti che si svolgono in modo continuativo o periodico su un percorso la cui lunghezza sia pari o superiore a 250 km e che collegano almeno due regioni, restando ferma, per tali servizi di linea, la possibilità per i passeggeri di concludere il viaggio all'interno della stessa regione nella quale detto itinerario di viaggio è iniziato e, per le tratte all'interno della medesima regione e oggetto di contratto di servizio, la possibilità di servire relazioni di traffico limitate ai capoluoghi di provincia, nonché i servizi integrativi di cui al regio decreto-legge 21 dicembre 1931, n. 1575, convertito dalla legge 24 marzo 1932, n. 386, aventi le predette caratteristiche;»;</w:t>
      </w:r>
    </w:p>
    <w:p w14:paraId="11762D96" w14:textId="77777777" w:rsidR="00A128D4" w:rsidRPr="00DF7FC6" w:rsidRDefault="00A128D4" w:rsidP="00A128D4">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i/>
          <w:iCs/>
          <w:color w:val="000000" w:themeColor="text1"/>
          <w:sz w:val="24"/>
          <w:szCs w:val="24"/>
        </w:rPr>
        <w:t>b)</w:t>
      </w:r>
      <w:r w:rsidRPr="00DF7FC6">
        <w:rPr>
          <w:rFonts w:eastAsia="Times New Roman" w:cs="Arial"/>
          <w:b/>
          <w:bCs/>
          <w:color w:val="000000" w:themeColor="text1"/>
          <w:sz w:val="24"/>
          <w:szCs w:val="24"/>
        </w:rPr>
        <w:t> all'articolo 3:</w:t>
      </w:r>
    </w:p>
    <w:p w14:paraId="7DBF93B4" w14:textId="77777777" w:rsidR="00A128D4" w:rsidRPr="00DF7FC6" w:rsidRDefault="00A128D4" w:rsidP="00A128D4">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1) al comma 1, le parole: «rilasciata dal Ministero delle infrastrutture e dei trasporti,» sono sostituite dalle seguenti: «rilasciata dal Ministero delle infrastrutture e della mobilità sostenibili, nel rispetto della vigente normativa in materia di sicurezza, relativamente al percorso e alle aree di fermata del servizio di linea proposto e»;</w:t>
      </w:r>
    </w:p>
    <w:p w14:paraId="399253C8" w14:textId="77777777" w:rsidR="00A128D4" w:rsidRPr="00DF7FC6" w:rsidRDefault="00A128D4" w:rsidP="00A128D4">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2) al comma 2,</w:t>
      </w:r>
    </w:p>
    <w:p w14:paraId="3DA4EF01" w14:textId="77777777" w:rsidR="00A128D4" w:rsidRPr="00DF7FC6" w:rsidRDefault="00A128D4" w:rsidP="00A128D4">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2.1. la lettera g) è sostituita dalla seguente: «g) proporre un servizio di linea nel rispetto della vigente normativa in materia di sicurezza, sul percorso e sulle aree di fermata del servizio di linea proposto»;</w:t>
      </w:r>
      <w:r w:rsidRPr="00DF7FC6">
        <w:rPr>
          <w:rFonts w:eastAsia="Times New Roman" w:cs="Arial"/>
          <w:b/>
          <w:bCs/>
          <w:color w:val="000000" w:themeColor="text1"/>
          <w:sz w:val="24"/>
          <w:szCs w:val="24"/>
        </w:rPr>
        <w:br/>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2.2. la lettera m) è soppressa;</w:t>
      </w:r>
    </w:p>
    <w:p w14:paraId="7B71E0E9" w14:textId="77777777" w:rsidR="00A128D4" w:rsidRPr="00DF7FC6" w:rsidRDefault="00A128D4" w:rsidP="00A128D4">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3) al comma 3, le parole: «, g) e m)» sono sostituite dalle seguenti: «e g)»;</w:t>
      </w:r>
    </w:p>
    <w:p w14:paraId="5ACE4BE5" w14:textId="77777777" w:rsidR="00A128D4" w:rsidRPr="00DF7FC6" w:rsidRDefault="00A128D4" w:rsidP="00A128D4">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i/>
          <w:iCs/>
          <w:color w:val="000000" w:themeColor="text1"/>
          <w:sz w:val="24"/>
          <w:szCs w:val="24"/>
        </w:rPr>
        <w:t>c)</w:t>
      </w:r>
      <w:r w:rsidRPr="00DF7FC6">
        <w:rPr>
          <w:rFonts w:eastAsia="Times New Roman" w:cs="Arial"/>
          <w:b/>
          <w:bCs/>
          <w:color w:val="000000" w:themeColor="text1"/>
          <w:sz w:val="24"/>
          <w:szCs w:val="24"/>
        </w:rPr>
        <w:t> all'articolo 5, comma 2, la lettera c) è sostituita dalla seguente: «c) tenere a bordo dell'autobus adibito al servizio la copia dell'autorizzazione rilasciata dal Ministero delle infrastrutture e della mobilità sostenibili, certificata conforme da quest'ultimo oppure in formato digitale originato dall'applicazione informatica gestita dal medesimo Ministero, come disciplinato dal decreto del Ministro delle infrastrutture e della mobilità sostenibili adottato in attuazione dell'articolo 4, comma 1. La documentazione, redatta nella forma specificata nel citato decreto ministeriale, dalla quale risulti che il conducente abbia un regolare rapporto di lavoro secondo la normativa vigente, deve essere tenuta a bordo del veicolo;».</w:t>
      </w:r>
    </w:p>
    <w:p w14:paraId="374276C5" w14:textId="77777777" w:rsidR="00A128D4" w:rsidRDefault="00A128D4" w:rsidP="00A128D4">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p>
    <w:p w14:paraId="0BD33099" w14:textId="77777777" w:rsidR="00A128D4" w:rsidRDefault="00A128D4" w:rsidP="00A128D4">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5-</w:t>
      </w:r>
      <w:r w:rsidRPr="00DF7FC6">
        <w:rPr>
          <w:rFonts w:eastAsia="Times New Roman" w:cs="Arial"/>
          <w:b/>
          <w:bCs/>
          <w:i/>
          <w:iCs/>
          <w:color w:val="000000" w:themeColor="text1"/>
          <w:sz w:val="24"/>
          <w:szCs w:val="24"/>
        </w:rPr>
        <w:t>ter</w:t>
      </w:r>
      <w:r w:rsidRPr="00DF7FC6">
        <w:rPr>
          <w:rFonts w:eastAsia="Times New Roman" w:cs="Arial"/>
          <w:b/>
          <w:bCs/>
          <w:color w:val="000000" w:themeColor="text1"/>
          <w:sz w:val="24"/>
          <w:szCs w:val="24"/>
        </w:rPr>
        <w:t>. Le disposizioni di cui al comma 5-bis, lettera a), si applicano a partire dal 31 marzo 2022.</w:t>
      </w:r>
      <w:r w:rsidRPr="00DF7FC6">
        <w:rPr>
          <w:rFonts w:eastAsia="Times New Roman" w:cs="Arial"/>
          <w:b/>
          <w:bCs/>
          <w:color w:val="000000" w:themeColor="text1"/>
          <w:sz w:val="24"/>
          <w:szCs w:val="24"/>
        </w:rPr>
        <w:br/>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p>
    <w:p w14:paraId="3FFC0691" w14:textId="5EA595CF" w:rsidR="00A128D4" w:rsidRDefault="00A128D4" w:rsidP="00A128D4">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lastRenderedPageBreak/>
        <w:t>5-</w:t>
      </w:r>
      <w:r w:rsidRPr="00DF7FC6">
        <w:rPr>
          <w:rFonts w:eastAsia="Times New Roman" w:cs="Arial"/>
          <w:b/>
          <w:bCs/>
          <w:i/>
          <w:iCs/>
          <w:color w:val="000000" w:themeColor="text1"/>
          <w:sz w:val="24"/>
          <w:szCs w:val="24"/>
        </w:rPr>
        <w:t>quater.</w:t>
      </w:r>
      <w:r w:rsidRPr="00DF7FC6">
        <w:rPr>
          <w:rFonts w:eastAsia="Times New Roman" w:cs="Arial"/>
          <w:b/>
          <w:bCs/>
          <w:color w:val="000000" w:themeColor="text1"/>
          <w:sz w:val="24"/>
          <w:szCs w:val="24"/>
        </w:rPr>
        <w:t> Con decreto del Ministro delle infrastrutture e della mobilità sostenibili, da adottarsi entro sessanta giorni dalla data di entrata in vigore della legge di conversione del presente decreto, si procede ad aggiornare e adeguare il decreto ministeriale 1 dicembre 2006, n. 316, «Regolamento recante riordino dei servizi automobilistici di competenza statale», anche al fine di semplificare il procedimento autorizzatorio, con particolare riferimento alla riduzione dei termini del medesimo procedimento e alla sua conclusione anche secondo le modalità di cui all'articolo 20 della legge 7 agosto 1990, n. 241.</w:t>
      </w:r>
      <w:r>
        <w:rPr>
          <w:rStyle w:val="Rimandonotaapidipagina"/>
          <w:rFonts w:eastAsia="Times New Roman" w:cs="Arial"/>
          <w:b/>
          <w:bCs/>
          <w:color w:val="000000" w:themeColor="text1"/>
          <w:sz w:val="24"/>
          <w:szCs w:val="24"/>
        </w:rPr>
        <w:footnoteReference w:id="39"/>
      </w:r>
    </w:p>
    <w:p w14:paraId="409FE1FE" w14:textId="49ABCB5D" w:rsidR="00660EE5" w:rsidRPr="00660EE5" w:rsidRDefault="00A128D4" w:rsidP="00A128D4">
      <w:pPr>
        <w:shd w:val="clear" w:color="auto" w:fill="FFFFFF"/>
        <w:spacing w:after="0" w:line="240" w:lineRule="auto"/>
        <w:jc w:val="both"/>
        <w:rPr>
          <w:rFonts w:asciiTheme="minorHAnsi" w:hAnsiTheme="minorHAnsi"/>
          <w:color w:val="000000" w:themeColor="text1"/>
          <w:sz w:val="24"/>
          <w:szCs w:val="24"/>
        </w:rPr>
      </w:pPr>
      <w:r w:rsidRPr="00DF7FC6">
        <w:rPr>
          <w:rFonts w:eastAsia="Times New Roman" w:cs="Arial"/>
          <w:b/>
          <w:bCs/>
          <w:color w:val="000000" w:themeColor="text1"/>
          <w:sz w:val="24"/>
          <w:szCs w:val="24"/>
        </w:rPr>
        <w:br/>
      </w:r>
      <w:r w:rsidR="00660EE5" w:rsidRPr="00660EE5">
        <w:rPr>
          <w:rFonts w:asciiTheme="minorHAnsi" w:hAnsiTheme="minorHAnsi"/>
          <w:color w:val="000000" w:themeColor="text1"/>
          <w:sz w:val="24"/>
          <w:szCs w:val="24"/>
        </w:rPr>
        <w:t>6. All'articolo 92 del decreto-legge 17 marzo 2020, n. 18, convertito, con modificazioni, dalla legge 24 aprile 2020, n. 27, dopo il comma 4-septies, sono aggiunti i seguenti:</w:t>
      </w:r>
    </w:p>
    <w:p w14:paraId="50ADA192"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   «4-octies. Il Ministro delle infrastrutture e della mobilità sostenibili, con decreto da adottarsi entro trenta giorni dalla data di entrata in vigore della presente disposizione, individua il numero e la composizione delle commissioni di esame, nonché i requisiti e le modalità di nomina dei relativi componenti ai fini degli esami di abilitazione degli ispettori che svolgono gli accertamenti periodici dei veicoli a motore e dei loro rimorchi di cui al comma 4-septies. Per la determinazione della misura dei compensi a favore dei componenti delle commissioni si applica la disciplina prevista dal decreto di cui all'articolo 3, comma 13, della legge 19 giugno 2019, n. 56.</w:t>
      </w:r>
    </w:p>
    <w:p w14:paraId="301C35C8"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   4-nonies. Le spese per la partecipazione agli esami di cui al comma 4-octies, per la prima iscrizione e per l'aggiornamento dell'iscrizione nel registro degli ispettori di cui al decreto del Ministro delle infrastrutture e dei trasporti 11 dicembre 2019, pubblicato nella Gazzetta Ufficiale della Repubblica italiana n. 22 del 28 gennaio 2020, nonché quelle per il funzionamento delle commissioni esaminatrici e le indennità da corrispondere ai componenti delle commissioni medesime sono a carico dei richiedenti.</w:t>
      </w:r>
    </w:p>
    <w:p w14:paraId="45480808"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   4-decies. Gli importi e le modalità di versamento dei diritti di cui al comma 4-nonies sono determinati secondo le modalità previste dai provvedimenti adottati in attuazione dell'articolo 11, commi 12 e 13, del decreto legislativo 27 gennaio 2010, n. 35. Le relative somme sono versate all'entrata del bilancio dello Stato per essere riassegnate, con decreto del Ministro dell'economia e delle finanze, ad apposito capitolo istituito nello stato di previsione del Ministero delle infrastrutture e della mobilità sostenibili e destinate al finanziamento delle spese di funzionamento delle commissioni esaminatrici di cui al comma 4-nonies e delle indennità da corrispondere ai componenti delle medesime commissioni.</w:t>
      </w:r>
    </w:p>
    <w:p w14:paraId="7768F498" w14:textId="6B151640" w:rsid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   4-undecies. In relazione all'anno 2021, al fine di consentire l'avvio delle attività delle commissioni esaminatrici di cui al comma 4-octies è autorizzata la spesa di euro 200.000, cui si provvede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delle infrastrutture e dei trasporti. Il Ministro dell'economia e delle finanze è autorizzato ad apportare, con propri decreti, le occorrenti variazioni di bilancio.».</w:t>
      </w:r>
    </w:p>
    <w:p w14:paraId="23038F76" w14:textId="5AA35F3B" w:rsidR="00A128D4" w:rsidRDefault="00A128D4" w:rsidP="00660EE5">
      <w:pPr>
        <w:spacing w:after="0" w:line="240" w:lineRule="auto"/>
        <w:jc w:val="both"/>
        <w:rPr>
          <w:rFonts w:asciiTheme="minorHAnsi" w:hAnsiTheme="minorHAnsi"/>
          <w:color w:val="000000" w:themeColor="text1"/>
          <w:sz w:val="24"/>
          <w:szCs w:val="24"/>
        </w:rPr>
      </w:pPr>
    </w:p>
    <w:p w14:paraId="570B2089" w14:textId="77777777" w:rsidR="00A128D4" w:rsidRPr="00DF7FC6" w:rsidRDefault="00A128D4" w:rsidP="00A128D4">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lastRenderedPageBreak/>
        <w:t> </w:t>
      </w:r>
      <w:r w:rsidRPr="00DF7FC6">
        <w:rPr>
          <w:rFonts w:eastAsia="Times New Roman" w:cs="Arial"/>
          <w:b/>
          <w:bCs/>
          <w:color w:val="000000" w:themeColor="text1"/>
          <w:sz w:val="24"/>
          <w:szCs w:val="24"/>
        </w:rPr>
        <w:t> </w:t>
      </w:r>
      <w:r w:rsidRPr="00DF7FC6">
        <w:rPr>
          <w:rFonts w:eastAsia="Times New Roman" w:cs="Arial"/>
          <w:b/>
          <w:bCs/>
          <w:i/>
          <w:iCs/>
          <w:color w:val="000000" w:themeColor="text1"/>
          <w:sz w:val="24"/>
          <w:szCs w:val="24"/>
        </w:rPr>
        <w:t>6-bis.</w:t>
      </w:r>
      <w:r w:rsidRPr="00DF7FC6">
        <w:rPr>
          <w:rFonts w:eastAsia="Times New Roman" w:cs="Arial"/>
          <w:b/>
          <w:bCs/>
          <w:color w:val="000000" w:themeColor="text1"/>
          <w:sz w:val="24"/>
          <w:szCs w:val="24"/>
        </w:rPr>
        <w:t> All'articolo 1, comma 48, della legge 27 dicembre 2019, n. 160, è aggiunto in fine il seguente periodo: «Il Fondo finanzia altresì il 50 per cento del costo complessivo degli interventi posti in essere da comuni e unioni di comuni relativi a:</w:t>
      </w:r>
    </w:p>
    <w:p w14:paraId="60EC0115" w14:textId="77777777" w:rsidR="00A128D4" w:rsidRPr="00DF7FC6" w:rsidRDefault="00A128D4" w:rsidP="00A128D4">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i/>
          <w:iCs/>
          <w:color w:val="000000" w:themeColor="text1"/>
          <w:sz w:val="24"/>
          <w:szCs w:val="24"/>
        </w:rPr>
        <w:t>a)</w:t>
      </w:r>
      <w:r w:rsidRPr="00DF7FC6">
        <w:rPr>
          <w:rFonts w:eastAsia="Times New Roman" w:cs="Arial"/>
          <w:b/>
          <w:bCs/>
          <w:color w:val="000000" w:themeColor="text1"/>
          <w:sz w:val="24"/>
          <w:szCs w:val="24"/>
        </w:rPr>
        <w:t> messa in sicurezza della mobilità ciclistica urbana, comprese l'istituzione di zone a velocità limitata, inferiore o uguale a 30 km/h, e l'installazione della relativa segnaletica;</w:t>
      </w:r>
    </w:p>
    <w:p w14:paraId="58F2703F" w14:textId="77777777" w:rsidR="00A128D4" w:rsidRPr="00DF7FC6" w:rsidRDefault="00A128D4" w:rsidP="00A128D4">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i/>
          <w:iCs/>
          <w:color w:val="000000" w:themeColor="text1"/>
          <w:sz w:val="24"/>
          <w:szCs w:val="24"/>
        </w:rPr>
        <w:t>b)</w:t>
      </w:r>
      <w:r w:rsidRPr="00DF7FC6">
        <w:rPr>
          <w:rFonts w:eastAsia="Times New Roman" w:cs="Arial"/>
          <w:b/>
          <w:bCs/>
          <w:color w:val="000000" w:themeColor="text1"/>
          <w:sz w:val="24"/>
          <w:szCs w:val="24"/>
        </w:rPr>
        <w:t> realizzazione di stalli o aree sosta dei velocipedi;</w:t>
      </w:r>
    </w:p>
    <w:p w14:paraId="4C851EF3" w14:textId="2A012685" w:rsidR="00A128D4" w:rsidRDefault="00A128D4" w:rsidP="00A128D4">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i/>
          <w:iCs/>
          <w:color w:val="000000" w:themeColor="text1"/>
          <w:sz w:val="24"/>
          <w:szCs w:val="24"/>
        </w:rPr>
        <w:t>c)</w:t>
      </w:r>
      <w:r w:rsidRPr="00DF7FC6">
        <w:rPr>
          <w:rFonts w:eastAsia="Times New Roman" w:cs="Arial"/>
          <w:b/>
          <w:bCs/>
          <w:color w:val="000000" w:themeColor="text1"/>
          <w:sz w:val="24"/>
          <w:szCs w:val="24"/>
        </w:rPr>
        <w:t> realizzazione della casa avanzata e delle corsie ciclabili di cui all'articolo 3, comma 1, numeri 7-</w:t>
      </w:r>
      <w:r w:rsidRPr="00DF7FC6">
        <w:rPr>
          <w:rFonts w:eastAsia="Times New Roman" w:cs="Arial"/>
          <w:b/>
          <w:bCs/>
          <w:i/>
          <w:iCs/>
          <w:color w:val="000000" w:themeColor="text1"/>
          <w:sz w:val="24"/>
          <w:szCs w:val="24"/>
        </w:rPr>
        <w:t>bis)</w:t>
      </w:r>
      <w:r w:rsidRPr="00DF7FC6">
        <w:rPr>
          <w:rFonts w:eastAsia="Times New Roman" w:cs="Arial"/>
          <w:b/>
          <w:bCs/>
          <w:color w:val="000000" w:themeColor="text1"/>
          <w:sz w:val="24"/>
          <w:szCs w:val="24"/>
        </w:rPr>
        <w:t>, 12-</w:t>
      </w:r>
      <w:r w:rsidRPr="00DF7FC6">
        <w:rPr>
          <w:rFonts w:eastAsia="Times New Roman" w:cs="Arial"/>
          <w:b/>
          <w:bCs/>
          <w:i/>
          <w:iCs/>
          <w:color w:val="000000" w:themeColor="text1"/>
          <w:sz w:val="24"/>
          <w:szCs w:val="24"/>
        </w:rPr>
        <w:t>bis)</w:t>
      </w:r>
      <w:r w:rsidRPr="00DF7FC6">
        <w:rPr>
          <w:rFonts w:eastAsia="Times New Roman" w:cs="Arial"/>
          <w:b/>
          <w:bCs/>
          <w:color w:val="000000" w:themeColor="text1"/>
          <w:sz w:val="24"/>
          <w:szCs w:val="24"/>
        </w:rPr>
        <w:t> e 12-</w:t>
      </w:r>
      <w:r w:rsidRPr="00DF7FC6">
        <w:rPr>
          <w:rFonts w:eastAsia="Times New Roman" w:cs="Arial"/>
          <w:b/>
          <w:bCs/>
          <w:i/>
          <w:iCs/>
          <w:color w:val="000000" w:themeColor="text1"/>
          <w:sz w:val="24"/>
          <w:szCs w:val="24"/>
        </w:rPr>
        <w:t>ter),</w:t>
      </w:r>
      <w:r w:rsidRPr="00DF7FC6">
        <w:rPr>
          <w:rFonts w:eastAsia="Times New Roman" w:cs="Arial"/>
          <w:b/>
          <w:bCs/>
          <w:color w:val="000000" w:themeColor="text1"/>
          <w:sz w:val="24"/>
          <w:szCs w:val="24"/>
        </w:rPr>
        <w:t> del decreto legislativo 30 aprile 1992, n. 285».</w:t>
      </w:r>
      <w:r>
        <w:rPr>
          <w:rStyle w:val="Rimandonotaapidipagina"/>
          <w:rFonts w:eastAsia="Times New Roman" w:cs="Arial"/>
          <w:b/>
          <w:bCs/>
          <w:color w:val="000000" w:themeColor="text1"/>
          <w:sz w:val="24"/>
          <w:szCs w:val="24"/>
        </w:rPr>
        <w:footnoteReference w:id="40"/>
      </w:r>
    </w:p>
    <w:p w14:paraId="04EF503E" w14:textId="77777777" w:rsidR="00A128D4" w:rsidRPr="00DF7FC6" w:rsidRDefault="00A128D4" w:rsidP="00A128D4">
      <w:pPr>
        <w:shd w:val="clear" w:color="auto" w:fill="FFFFFF"/>
        <w:spacing w:after="0" w:line="240" w:lineRule="auto"/>
        <w:jc w:val="both"/>
        <w:rPr>
          <w:rFonts w:eastAsia="Times New Roman" w:cs="Arial"/>
          <w:b/>
          <w:bCs/>
          <w:color w:val="000000" w:themeColor="text1"/>
          <w:sz w:val="24"/>
          <w:szCs w:val="24"/>
        </w:rPr>
      </w:pPr>
      <w:r w:rsidRPr="00155015">
        <w:rPr>
          <w:rFonts w:eastAsia="Times New Roman" w:cs="Arial"/>
          <w:color w:val="000000" w:themeColor="text1"/>
          <w:sz w:val="24"/>
          <w:szCs w:val="24"/>
        </w:rPr>
        <w:br/>
      </w:r>
      <w:r w:rsidRPr="00155015">
        <w:rPr>
          <w:rFonts w:eastAsia="Times New Roman" w:cs="Arial"/>
          <w:color w:val="000000" w:themeColor="text1"/>
          <w:sz w:val="24"/>
          <w:szCs w:val="24"/>
        </w:rPr>
        <w:t> </w:t>
      </w:r>
      <w:r w:rsidRPr="00155015">
        <w:rPr>
          <w:rFonts w:eastAsia="Times New Roman" w:cs="Arial"/>
          <w:color w:val="000000" w:themeColor="text1"/>
          <w:sz w:val="24"/>
          <w:szCs w:val="24"/>
        </w:rPr>
        <w:t> </w:t>
      </w:r>
      <w:r w:rsidRPr="00DF7FC6">
        <w:rPr>
          <w:rFonts w:eastAsia="Times New Roman" w:cs="Arial"/>
          <w:b/>
          <w:bCs/>
          <w:color w:val="000000" w:themeColor="text1"/>
          <w:sz w:val="24"/>
          <w:szCs w:val="24"/>
        </w:rPr>
        <w:t>6-</w:t>
      </w:r>
      <w:r w:rsidRPr="00DF7FC6">
        <w:rPr>
          <w:rFonts w:eastAsia="Times New Roman" w:cs="Arial"/>
          <w:b/>
          <w:bCs/>
          <w:i/>
          <w:iCs/>
          <w:color w:val="000000" w:themeColor="text1"/>
          <w:sz w:val="24"/>
          <w:szCs w:val="24"/>
        </w:rPr>
        <w:t>bis</w:t>
      </w:r>
      <w:r w:rsidRPr="00DF7FC6">
        <w:rPr>
          <w:rFonts w:eastAsia="Times New Roman" w:cs="Arial"/>
          <w:b/>
          <w:bCs/>
          <w:color w:val="000000" w:themeColor="text1"/>
          <w:sz w:val="24"/>
          <w:szCs w:val="24"/>
        </w:rPr>
        <w:t>. All'articolo 200-</w:t>
      </w:r>
      <w:r w:rsidRPr="00DF7FC6">
        <w:rPr>
          <w:rFonts w:eastAsia="Times New Roman" w:cs="Arial"/>
          <w:b/>
          <w:bCs/>
          <w:i/>
          <w:iCs/>
          <w:color w:val="000000" w:themeColor="text1"/>
          <w:sz w:val="24"/>
          <w:szCs w:val="24"/>
        </w:rPr>
        <w:t>bis</w:t>
      </w:r>
      <w:r w:rsidRPr="00DF7FC6">
        <w:rPr>
          <w:rFonts w:eastAsia="Times New Roman" w:cs="Arial"/>
          <w:b/>
          <w:bCs/>
          <w:color w:val="000000" w:themeColor="text1"/>
          <w:sz w:val="24"/>
          <w:szCs w:val="24"/>
        </w:rPr>
        <w:t> del decreto-legge 19 maggio 2020, n. 34, convertito, con modificazioni, dalla legge 17 luglio 2020, n. 77, sono apportate le seguenti modificazioni:</w:t>
      </w:r>
    </w:p>
    <w:p w14:paraId="6BE619B0" w14:textId="77777777" w:rsidR="00A128D4" w:rsidRPr="00DF7FC6" w:rsidRDefault="00A128D4" w:rsidP="00A128D4">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i/>
          <w:iCs/>
          <w:color w:val="000000" w:themeColor="text1"/>
          <w:sz w:val="24"/>
          <w:szCs w:val="24"/>
        </w:rPr>
        <w:t>a)</w:t>
      </w:r>
      <w:r w:rsidRPr="00DF7FC6">
        <w:rPr>
          <w:rFonts w:eastAsia="Times New Roman" w:cs="Arial"/>
          <w:b/>
          <w:bCs/>
          <w:color w:val="000000" w:themeColor="text1"/>
          <w:sz w:val="24"/>
          <w:szCs w:val="24"/>
        </w:rPr>
        <w:t> al comma 1, le parole: «in favore delle persone fisicamente impedite o comunque a mobilità ridotta, con patologie accertate, anche se accompagnate, ovvero appartenenti a nuclei familiari più esposti agli effetti economici derivanti dall'emergenza epidemiologica da virus COVID-19 o in stato di bisogno» sono sostituite dalle seguenti: «in favore delle persone fisicamente impedite, a mobilità ridotta anche se accompagnate, ovvero persone con invalidità o affette da malattie che necessitano di cure continuative, ovvero appartenenti a nuclei familiari più esposti agli effetti economici derivanti dall'emergenza epidemiologica da virus COVID-19 o in stato di bisogno, ovvero di donne in gravidanza, ovvero di persone di età pari o superiore a sessantacinque anni»;</w:t>
      </w:r>
    </w:p>
    <w:p w14:paraId="7574537E" w14:textId="77777777" w:rsidR="00A128D4" w:rsidRPr="00DF7FC6" w:rsidRDefault="00A128D4" w:rsidP="00A128D4">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i/>
          <w:iCs/>
          <w:color w:val="000000" w:themeColor="text1"/>
          <w:sz w:val="24"/>
          <w:szCs w:val="24"/>
        </w:rPr>
        <w:t>b)</w:t>
      </w:r>
      <w:r w:rsidRPr="00DF7FC6">
        <w:rPr>
          <w:rFonts w:eastAsia="Times New Roman" w:cs="Arial"/>
          <w:b/>
          <w:bCs/>
          <w:color w:val="000000" w:themeColor="text1"/>
          <w:sz w:val="24"/>
          <w:szCs w:val="24"/>
        </w:rPr>
        <w:t> dopo il comma 4, sono inseriti i seguenti:</w:t>
      </w:r>
    </w:p>
    <w:p w14:paraId="0AB411F9" w14:textId="77777777" w:rsidR="00A128D4" w:rsidRPr="00DF7FC6" w:rsidRDefault="00A128D4" w:rsidP="00A128D4">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i/>
          <w:iCs/>
          <w:color w:val="000000" w:themeColor="text1"/>
          <w:sz w:val="24"/>
          <w:szCs w:val="24"/>
        </w:rPr>
        <w:t>«</w:t>
      </w:r>
      <w:r w:rsidRPr="00DF7FC6">
        <w:rPr>
          <w:rFonts w:eastAsia="Times New Roman" w:cs="Arial"/>
          <w:b/>
          <w:bCs/>
          <w:color w:val="000000" w:themeColor="text1"/>
          <w:sz w:val="24"/>
          <w:szCs w:val="24"/>
        </w:rPr>
        <w:t>4-</w:t>
      </w:r>
      <w:r w:rsidRPr="00DF7FC6">
        <w:rPr>
          <w:rFonts w:eastAsia="Times New Roman" w:cs="Arial"/>
          <w:b/>
          <w:bCs/>
          <w:i/>
          <w:iCs/>
          <w:color w:val="000000" w:themeColor="text1"/>
          <w:sz w:val="24"/>
          <w:szCs w:val="24"/>
        </w:rPr>
        <w:t>bis</w:t>
      </w:r>
      <w:r w:rsidRPr="00DF7FC6">
        <w:rPr>
          <w:rFonts w:eastAsia="Times New Roman" w:cs="Arial"/>
          <w:b/>
          <w:bCs/>
          <w:color w:val="000000" w:themeColor="text1"/>
          <w:sz w:val="24"/>
          <w:szCs w:val="24"/>
        </w:rPr>
        <w:t>. Nei limiti delle risorse ad essi assegnate, i comuni possono prevedere il superamento del limite del 50 per cento della spesa sostenuta per persone in condizioni di particolare fragilità, anche economica, appartenenti alle categorie di cui al comma 1.</w:t>
      </w:r>
    </w:p>
    <w:p w14:paraId="3922210C" w14:textId="742D5D23" w:rsidR="00A128D4" w:rsidRDefault="00A128D4" w:rsidP="00A128D4">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Pr>
          <w:rFonts w:eastAsia="Times New Roman" w:cs="Arial"/>
          <w:b/>
          <w:bCs/>
          <w:color w:val="000000" w:themeColor="text1"/>
          <w:sz w:val="24"/>
          <w:szCs w:val="24"/>
        </w:rPr>
        <w:t xml:space="preserve">    </w:t>
      </w:r>
      <w:r w:rsidRPr="00DF7FC6">
        <w:rPr>
          <w:rFonts w:eastAsia="Times New Roman" w:cs="Arial"/>
          <w:b/>
          <w:bCs/>
          <w:color w:val="000000" w:themeColor="text1"/>
          <w:sz w:val="24"/>
          <w:szCs w:val="24"/>
        </w:rPr>
        <w:t>4-</w:t>
      </w:r>
      <w:r w:rsidRPr="00DF7FC6">
        <w:rPr>
          <w:rFonts w:eastAsia="Times New Roman" w:cs="Arial"/>
          <w:b/>
          <w:bCs/>
          <w:i/>
          <w:iCs/>
          <w:color w:val="000000" w:themeColor="text1"/>
          <w:sz w:val="24"/>
          <w:szCs w:val="24"/>
        </w:rPr>
        <w:t>ter</w:t>
      </w:r>
      <w:r w:rsidRPr="00DF7FC6">
        <w:rPr>
          <w:rFonts w:eastAsia="Times New Roman" w:cs="Arial"/>
          <w:b/>
          <w:bCs/>
          <w:color w:val="000000" w:themeColor="text1"/>
          <w:sz w:val="24"/>
          <w:szCs w:val="24"/>
        </w:rPr>
        <w:t>. Nell'ambito e nei limiti delle risorse loro assegnate, i comuni possono utilizzare una quota pari al 5 per cento delle medesime risorse anche per finanziare le spese necessarie per promuovere ed attivare la misura di cui al presente articolo».</w:t>
      </w:r>
      <w:r>
        <w:rPr>
          <w:rStyle w:val="Rimandonotaapidipagina"/>
          <w:rFonts w:eastAsia="Times New Roman" w:cs="Arial"/>
          <w:b/>
          <w:bCs/>
          <w:color w:val="000000" w:themeColor="text1"/>
          <w:sz w:val="24"/>
          <w:szCs w:val="24"/>
        </w:rPr>
        <w:footnoteReference w:id="41"/>
      </w:r>
    </w:p>
    <w:p w14:paraId="0B5B1076" w14:textId="3F934560" w:rsidR="00A128D4" w:rsidRDefault="00A128D4" w:rsidP="00A128D4">
      <w:pPr>
        <w:shd w:val="clear" w:color="auto" w:fill="FFFFFF"/>
        <w:spacing w:after="0" w:line="240" w:lineRule="auto"/>
        <w:jc w:val="both"/>
        <w:rPr>
          <w:rFonts w:eastAsia="Times New Roman" w:cs="Arial"/>
          <w:b/>
          <w:bCs/>
          <w:color w:val="000000" w:themeColor="text1"/>
          <w:sz w:val="24"/>
          <w:szCs w:val="24"/>
        </w:rPr>
      </w:pPr>
    </w:p>
    <w:p w14:paraId="1E171C33" w14:textId="64347DE4" w:rsidR="00A128D4" w:rsidRDefault="00A128D4" w:rsidP="00A128D4">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6-</w:t>
      </w:r>
      <w:r w:rsidRPr="00DF7FC6">
        <w:rPr>
          <w:rFonts w:eastAsia="Times New Roman" w:cs="Arial"/>
          <w:b/>
          <w:bCs/>
          <w:i/>
          <w:iCs/>
          <w:color w:val="000000" w:themeColor="text1"/>
          <w:sz w:val="24"/>
          <w:szCs w:val="24"/>
        </w:rPr>
        <w:t>bis</w:t>
      </w:r>
      <w:r w:rsidRPr="00DF7FC6">
        <w:rPr>
          <w:rFonts w:eastAsia="Times New Roman" w:cs="Arial"/>
          <w:b/>
          <w:bCs/>
          <w:color w:val="000000" w:themeColor="text1"/>
          <w:sz w:val="24"/>
          <w:szCs w:val="24"/>
        </w:rPr>
        <w:t xml:space="preserve">. Al fine di sostenere le attività di trasformazione digitale dei servizi di motorizzazione resi a cittadini e imprese dagli uffici del Dipartimento per la mobilità sostenibile del Ministero delle infrastrutture e della mobilità sostenibili, nonché di garantire elevati livelli di sicurezza cibernetica in relazione al trattamento dei dati, è istituito, nello stato di previsione del Ministero delle infrastrutture e della mobilità sostenibili, un apposito fondo con una dotazione pari a 25 milioni di euro per ciascuno degli anni 2022, 2023 e 2024. Ai relativi oneri si provvede mediante corrispondente riduzione delle proiezioni dello stanziamento del fondo speciale di conto capitale iscritto, ai fini del bilancio triennale </w:t>
      </w:r>
      <w:r w:rsidRPr="00DF7FC6">
        <w:rPr>
          <w:rFonts w:eastAsia="Times New Roman" w:cs="Arial"/>
          <w:b/>
          <w:bCs/>
          <w:color w:val="000000" w:themeColor="text1"/>
          <w:sz w:val="24"/>
          <w:szCs w:val="24"/>
        </w:rPr>
        <w:lastRenderedPageBreak/>
        <w:t>2021-2023, nell'ambito del programma «Fondi di riserva e speciali» della missione «Fondi da ripartire» dello stato di previsione del Ministero dell'economia e delle finanze per l'anno 2021, allo scopo parzialmente utilizzando l'accantonamento relativo al Ministero delle infrastrutture e dei trasporti. Il Ministro dell'economia e delle finanze è autorizzato ad apportare, con propri decreti, le occorrenti variazioni di bilancio.</w:t>
      </w:r>
      <w:r>
        <w:rPr>
          <w:rStyle w:val="Rimandonotaapidipagina"/>
          <w:rFonts w:eastAsia="Times New Roman" w:cs="Arial"/>
          <w:b/>
          <w:bCs/>
          <w:color w:val="000000" w:themeColor="text1"/>
          <w:sz w:val="24"/>
          <w:szCs w:val="24"/>
        </w:rPr>
        <w:footnoteReference w:id="42"/>
      </w:r>
    </w:p>
    <w:p w14:paraId="4CCE760F" w14:textId="2793FC4F" w:rsidR="00A128D4" w:rsidRDefault="00A128D4" w:rsidP="00A128D4">
      <w:pPr>
        <w:shd w:val="clear" w:color="auto" w:fill="FFFFFF"/>
        <w:spacing w:after="0" w:line="240" w:lineRule="auto"/>
        <w:jc w:val="both"/>
        <w:rPr>
          <w:rFonts w:eastAsia="Times New Roman" w:cs="Arial"/>
          <w:b/>
          <w:bCs/>
          <w:color w:val="000000" w:themeColor="text1"/>
          <w:sz w:val="24"/>
          <w:szCs w:val="24"/>
        </w:rPr>
      </w:pPr>
    </w:p>
    <w:p w14:paraId="0191F355" w14:textId="77777777" w:rsidR="00A128D4" w:rsidRDefault="00A128D4" w:rsidP="00A128D4">
      <w:pPr>
        <w:shd w:val="clear" w:color="auto" w:fill="FFFFFF"/>
        <w:spacing w:after="0" w:line="240" w:lineRule="auto"/>
        <w:rPr>
          <w:rFonts w:eastAsia="Times New Roman" w:cs="Arial"/>
          <w:b/>
          <w:bCs/>
          <w:color w:val="000000" w:themeColor="text1"/>
          <w:sz w:val="24"/>
          <w:szCs w:val="24"/>
        </w:rPr>
      </w:pPr>
      <w:r w:rsidRPr="00DF7FC6">
        <w:rPr>
          <w:rFonts w:eastAsia="Times New Roman" w:cs="Arial"/>
          <w:b/>
          <w:bCs/>
          <w:i/>
          <w:iCs/>
          <w:color w:val="000000" w:themeColor="text1"/>
          <w:sz w:val="24"/>
          <w:szCs w:val="24"/>
        </w:rPr>
        <w:t>6-bis.</w:t>
      </w:r>
      <w:r w:rsidRPr="00DF7FC6">
        <w:rPr>
          <w:rFonts w:eastAsia="Times New Roman" w:cs="Arial"/>
          <w:b/>
          <w:bCs/>
          <w:color w:val="000000" w:themeColor="text1"/>
          <w:sz w:val="24"/>
          <w:szCs w:val="24"/>
        </w:rPr>
        <w:t> All'articolo 22, comma 6, lettera </w:t>
      </w:r>
      <w:r w:rsidRPr="00DF7FC6">
        <w:rPr>
          <w:rFonts w:eastAsia="Times New Roman" w:cs="Arial"/>
          <w:b/>
          <w:bCs/>
          <w:i/>
          <w:iCs/>
          <w:color w:val="000000" w:themeColor="text1"/>
          <w:sz w:val="24"/>
          <w:szCs w:val="24"/>
        </w:rPr>
        <w:t>b)</w:t>
      </w:r>
      <w:r w:rsidRPr="00DF7FC6">
        <w:rPr>
          <w:rFonts w:eastAsia="Times New Roman" w:cs="Arial"/>
          <w:b/>
          <w:bCs/>
          <w:color w:val="000000" w:themeColor="text1"/>
          <w:sz w:val="24"/>
          <w:szCs w:val="24"/>
        </w:rPr>
        <w:t>, del decreto legislativo 21 novembre 2005, n. 286, il secondo periodo è soppresso.</w:t>
      </w:r>
      <w:r>
        <w:rPr>
          <w:rStyle w:val="Rimandonotaapidipagina"/>
          <w:rFonts w:eastAsia="Times New Roman" w:cs="Arial"/>
          <w:b/>
          <w:bCs/>
          <w:color w:val="000000" w:themeColor="text1"/>
          <w:sz w:val="24"/>
          <w:szCs w:val="24"/>
        </w:rPr>
        <w:footnoteReference w:id="43"/>
      </w:r>
    </w:p>
    <w:p w14:paraId="035E6B14" w14:textId="77777777" w:rsidR="00A128D4" w:rsidRDefault="00A128D4" w:rsidP="00A128D4">
      <w:pPr>
        <w:shd w:val="clear" w:color="auto" w:fill="FFFFFF"/>
        <w:spacing w:after="0" w:line="240" w:lineRule="auto"/>
        <w:rPr>
          <w:rFonts w:eastAsia="Times New Roman" w:cs="Arial"/>
          <w:b/>
          <w:bCs/>
          <w:color w:val="000000" w:themeColor="text1"/>
          <w:sz w:val="24"/>
          <w:szCs w:val="24"/>
        </w:rPr>
      </w:pPr>
    </w:p>
    <w:p w14:paraId="583EA1DA" w14:textId="77777777" w:rsidR="00A128D4" w:rsidRPr="00DF7FC6" w:rsidRDefault="00A128D4" w:rsidP="00A128D4">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6-</w:t>
      </w:r>
      <w:r w:rsidRPr="00DF7FC6">
        <w:rPr>
          <w:rFonts w:eastAsia="Times New Roman" w:cs="Arial"/>
          <w:b/>
          <w:bCs/>
          <w:i/>
          <w:iCs/>
          <w:color w:val="000000" w:themeColor="text1"/>
          <w:sz w:val="24"/>
          <w:szCs w:val="24"/>
        </w:rPr>
        <w:t>bis</w:t>
      </w:r>
      <w:r w:rsidRPr="00DF7FC6">
        <w:rPr>
          <w:rFonts w:eastAsia="Times New Roman" w:cs="Arial"/>
          <w:b/>
          <w:bCs/>
          <w:color w:val="000000" w:themeColor="text1"/>
          <w:sz w:val="24"/>
          <w:szCs w:val="24"/>
        </w:rPr>
        <w:t>. In fase di progettazione ed esecuzione di infrastrutture di tipo stradale, autostradale e ferroviario devono essere previste infrastrutture complementari atte a consentire il passaggio in sicurezza di fauna selvatica nelle aree in cui è maggiore la loro presenza nel territorio.</w:t>
      </w:r>
      <w:r w:rsidRPr="00DF7FC6">
        <w:rPr>
          <w:rFonts w:eastAsia="Times New Roman" w:cs="Arial"/>
          <w:b/>
          <w:bCs/>
          <w:color w:val="000000" w:themeColor="text1"/>
          <w:sz w:val="24"/>
          <w:szCs w:val="24"/>
        </w:rPr>
        <w:br/>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p>
    <w:p w14:paraId="75D3FBE3" w14:textId="77777777" w:rsidR="00A128D4" w:rsidRDefault="00A128D4" w:rsidP="00A128D4">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6-</w:t>
      </w:r>
      <w:r w:rsidRPr="00DF7FC6">
        <w:rPr>
          <w:rFonts w:eastAsia="Times New Roman" w:cs="Arial"/>
          <w:b/>
          <w:bCs/>
          <w:i/>
          <w:iCs/>
          <w:color w:val="000000" w:themeColor="text1"/>
          <w:sz w:val="24"/>
          <w:szCs w:val="24"/>
        </w:rPr>
        <w:t>ter</w:t>
      </w:r>
      <w:r w:rsidRPr="00DF7FC6">
        <w:rPr>
          <w:rFonts w:eastAsia="Times New Roman" w:cs="Arial"/>
          <w:b/>
          <w:bCs/>
          <w:color w:val="000000" w:themeColor="text1"/>
          <w:sz w:val="24"/>
          <w:szCs w:val="24"/>
        </w:rPr>
        <w:t>. Le disposizioni del comma 6-</w:t>
      </w:r>
      <w:r w:rsidRPr="00DF7FC6">
        <w:rPr>
          <w:rFonts w:eastAsia="Times New Roman" w:cs="Arial"/>
          <w:b/>
          <w:bCs/>
          <w:i/>
          <w:iCs/>
          <w:color w:val="000000" w:themeColor="text1"/>
          <w:sz w:val="24"/>
          <w:szCs w:val="24"/>
        </w:rPr>
        <w:t>bis</w:t>
      </w:r>
      <w:r w:rsidRPr="00DF7FC6">
        <w:rPr>
          <w:rFonts w:eastAsia="Times New Roman" w:cs="Arial"/>
          <w:b/>
          <w:bCs/>
          <w:color w:val="000000" w:themeColor="text1"/>
          <w:sz w:val="24"/>
          <w:szCs w:val="24"/>
        </w:rPr>
        <w:t> si applicano alle infrastrutture di tipo stradale, autostradale e ferroviario la cui attività di progettazione è avviata successivamente alla data di entrata in vigore della legge di conversione del presente decreto.</w:t>
      </w:r>
    </w:p>
    <w:p w14:paraId="60732F8B" w14:textId="77777777" w:rsidR="00A128D4" w:rsidRPr="00DF7FC6" w:rsidRDefault="00A128D4" w:rsidP="00A128D4">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p>
    <w:p w14:paraId="3DF3DFE8" w14:textId="77777777" w:rsidR="00A128D4" w:rsidRPr="00DF7FC6" w:rsidRDefault="00A128D4" w:rsidP="00A128D4">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6-</w:t>
      </w:r>
      <w:r w:rsidRPr="00DF7FC6">
        <w:rPr>
          <w:rFonts w:eastAsia="Times New Roman" w:cs="Arial"/>
          <w:b/>
          <w:bCs/>
          <w:i/>
          <w:iCs/>
          <w:color w:val="000000" w:themeColor="text1"/>
          <w:sz w:val="24"/>
          <w:szCs w:val="24"/>
        </w:rPr>
        <w:t>quater</w:t>
      </w:r>
      <w:r w:rsidRPr="00DF7FC6">
        <w:rPr>
          <w:rFonts w:eastAsia="Times New Roman" w:cs="Arial"/>
          <w:b/>
          <w:bCs/>
          <w:color w:val="000000" w:themeColor="text1"/>
          <w:sz w:val="24"/>
          <w:szCs w:val="24"/>
        </w:rPr>
        <w:t>. Con decreto del Ministro delle infrastrutture e della mobilità sostenibili, di concerto con il Ministro della transizione ecologica, sono definite le specifiche tecniche destinate ai gestori e finalizzate ad assicurare modalità standardizzate ai fini della progettazione di cui al comma 6-</w:t>
      </w:r>
      <w:r w:rsidRPr="00DF7FC6">
        <w:rPr>
          <w:rFonts w:eastAsia="Times New Roman" w:cs="Arial"/>
          <w:b/>
          <w:bCs/>
          <w:i/>
          <w:iCs/>
          <w:color w:val="000000" w:themeColor="text1"/>
          <w:sz w:val="24"/>
          <w:szCs w:val="24"/>
        </w:rPr>
        <w:t>bis</w:t>
      </w:r>
      <w:r w:rsidRPr="00DF7FC6">
        <w:rPr>
          <w:rFonts w:eastAsia="Times New Roman" w:cs="Arial"/>
          <w:b/>
          <w:bCs/>
          <w:color w:val="000000" w:themeColor="text1"/>
          <w:sz w:val="24"/>
          <w:szCs w:val="24"/>
        </w:rPr>
        <w:t>.</w:t>
      </w:r>
      <w:r w:rsidRPr="00DF7FC6">
        <w:rPr>
          <w:rFonts w:eastAsia="Times New Roman" w:cs="Arial"/>
          <w:b/>
          <w:bCs/>
          <w:color w:val="000000" w:themeColor="text1"/>
          <w:sz w:val="24"/>
          <w:szCs w:val="24"/>
        </w:rPr>
        <w:br/>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p>
    <w:p w14:paraId="4FE19D26" w14:textId="687708A9" w:rsidR="00A128D4" w:rsidRDefault="00A128D4" w:rsidP="00A128D4">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6-</w:t>
      </w:r>
      <w:r w:rsidRPr="00DF7FC6">
        <w:rPr>
          <w:rFonts w:eastAsia="Times New Roman" w:cs="Arial"/>
          <w:b/>
          <w:bCs/>
          <w:i/>
          <w:iCs/>
          <w:color w:val="000000" w:themeColor="text1"/>
          <w:sz w:val="24"/>
          <w:szCs w:val="24"/>
        </w:rPr>
        <w:t>quinquies</w:t>
      </w:r>
      <w:r w:rsidRPr="00DF7FC6">
        <w:rPr>
          <w:rFonts w:eastAsia="Times New Roman" w:cs="Arial"/>
          <w:b/>
          <w:bCs/>
          <w:color w:val="000000" w:themeColor="text1"/>
          <w:sz w:val="24"/>
          <w:szCs w:val="24"/>
        </w:rPr>
        <w:t>. Dall'attuazione delle disposizioni di cui ai commi 6-</w:t>
      </w:r>
      <w:r w:rsidRPr="00DF7FC6">
        <w:rPr>
          <w:rFonts w:eastAsia="Times New Roman" w:cs="Arial"/>
          <w:b/>
          <w:bCs/>
          <w:i/>
          <w:iCs/>
          <w:color w:val="000000" w:themeColor="text1"/>
          <w:sz w:val="24"/>
          <w:szCs w:val="24"/>
        </w:rPr>
        <w:t>bis</w:t>
      </w:r>
      <w:r w:rsidRPr="00DF7FC6">
        <w:rPr>
          <w:rFonts w:eastAsia="Times New Roman" w:cs="Arial"/>
          <w:b/>
          <w:bCs/>
          <w:color w:val="000000" w:themeColor="text1"/>
          <w:sz w:val="24"/>
          <w:szCs w:val="24"/>
        </w:rPr>
        <w:t>, 6-</w:t>
      </w:r>
      <w:r w:rsidRPr="00DF7FC6">
        <w:rPr>
          <w:rFonts w:eastAsia="Times New Roman" w:cs="Arial"/>
          <w:b/>
          <w:bCs/>
          <w:i/>
          <w:iCs/>
          <w:color w:val="000000" w:themeColor="text1"/>
          <w:sz w:val="24"/>
          <w:szCs w:val="24"/>
        </w:rPr>
        <w:t>ter</w:t>
      </w:r>
      <w:r w:rsidRPr="00DF7FC6">
        <w:rPr>
          <w:rFonts w:eastAsia="Times New Roman" w:cs="Arial"/>
          <w:b/>
          <w:bCs/>
          <w:color w:val="000000" w:themeColor="text1"/>
          <w:sz w:val="24"/>
          <w:szCs w:val="24"/>
        </w:rPr>
        <w:t> e 6-</w:t>
      </w:r>
      <w:r w:rsidRPr="00DF7FC6">
        <w:rPr>
          <w:rFonts w:eastAsia="Times New Roman" w:cs="Arial"/>
          <w:b/>
          <w:bCs/>
          <w:i/>
          <w:iCs/>
          <w:color w:val="000000" w:themeColor="text1"/>
          <w:sz w:val="24"/>
          <w:szCs w:val="24"/>
        </w:rPr>
        <w:t>quater</w:t>
      </w:r>
      <w:r w:rsidRPr="00DF7FC6">
        <w:rPr>
          <w:rFonts w:eastAsia="Times New Roman" w:cs="Arial"/>
          <w:b/>
          <w:bCs/>
          <w:color w:val="000000" w:themeColor="text1"/>
          <w:sz w:val="24"/>
          <w:szCs w:val="24"/>
        </w:rPr>
        <w:t> non devono derivare nuovi o maggiori oneri a carico della finanza pubblica.</w:t>
      </w:r>
      <w:r>
        <w:rPr>
          <w:rStyle w:val="Rimandonotaapidipagina"/>
          <w:rFonts w:eastAsia="Times New Roman" w:cs="Arial"/>
          <w:b/>
          <w:bCs/>
          <w:color w:val="000000" w:themeColor="text1"/>
          <w:sz w:val="24"/>
          <w:szCs w:val="24"/>
        </w:rPr>
        <w:footnoteReference w:id="44"/>
      </w:r>
    </w:p>
    <w:p w14:paraId="75370EA6" w14:textId="42ED4A59" w:rsidR="00A128D4" w:rsidRDefault="00A128D4" w:rsidP="00A128D4">
      <w:pPr>
        <w:shd w:val="clear" w:color="auto" w:fill="FFFFFF"/>
        <w:spacing w:after="0" w:line="240" w:lineRule="auto"/>
        <w:rPr>
          <w:rFonts w:eastAsia="Times New Roman" w:cs="Arial"/>
          <w:color w:val="000000" w:themeColor="text1"/>
          <w:sz w:val="24"/>
          <w:szCs w:val="24"/>
        </w:rPr>
      </w:pPr>
    </w:p>
    <w:p w14:paraId="6A7717FB" w14:textId="77777777" w:rsidR="0032471E" w:rsidRDefault="00A128D4" w:rsidP="00A128D4">
      <w:pPr>
        <w:shd w:val="clear" w:color="auto" w:fill="FFFFFF"/>
        <w:spacing w:after="0" w:line="240" w:lineRule="auto"/>
        <w:rPr>
          <w:rFonts w:eastAsia="Times New Roman" w:cs="Arial"/>
          <w:b/>
          <w:bCs/>
          <w:color w:val="000000" w:themeColor="text1"/>
          <w:sz w:val="24"/>
          <w:szCs w:val="24"/>
        </w:rPr>
      </w:pPr>
      <w:r w:rsidRPr="00DF7FC6">
        <w:rPr>
          <w:rFonts w:eastAsia="Times New Roman" w:cs="Arial"/>
          <w:b/>
          <w:bCs/>
          <w:color w:val="000000" w:themeColor="text1"/>
          <w:sz w:val="24"/>
          <w:szCs w:val="24"/>
        </w:rPr>
        <w:t>6-</w:t>
      </w:r>
      <w:r w:rsidRPr="00DF7FC6">
        <w:rPr>
          <w:rFonts w:eastAsia="Times New Roman" w:cs="Arial"/>
          <w:b/>
          <w:bCs/>
          <w:i/>
          <w:iCs/>
          <w:color w:val="000000" w:themeColor="text1"/>
          <w:sz w:val="24"/>
          <w:szCs w:val="24"/>
        </w:rPr>
        <w:t>bis</w:t>
      </w:r>
      <w:r w:rsidRPr="00DF7FC6">
        <w:rPr>
          <w:rFonts w:eastAsia="Times New Roman" w:cs="Arial"/>
          <w:b/>
          <w:bCs/>
          <w:color w:val="000000" w:themeColor="text1"/>
          <w:sz w:val="24"/>
          <w:szCs w:val="24"/>
        </w:rPr>
        <w:t>. All'articolo 18 del decreto-legge 24 aprile 2017, n. 50, convertito, con modificazioni, dalla legge 21 giugno 2017, n. 96, il comma 3-</w:t>
      </w:r>
      <w:r w:rsidRPr="00DF7FC6">
        <w:rPr>
          <w:rFonts w:eastAsia="Times New Roman" w:cs="Arial"/>
          <w:b/>
          <w:bCs/>
          <w:i/>
          <w:iCs/>
          <w:color w:val="000000" w:themeColor="text1"/>
          <w:sz w:val="24"/>
          <w:szCs w:val="24"/>
        </w:rPr>
        <w:t>bis</w:t>
      </w:r>
      <w:r w:rsidRPr="00DF7FC6">
        <w:rPr>
          <w:rFonts w:eastAsia="Times New Roman" w:cs="Arial"/>
          <w:b/>
          <w:bCs/>
          <w:color w:val="000000" w:themeColor="text1"/>
          <w:sz w:val="24"/>
          <w:szCs w:val="24"/>
        </w:rPr>
        <w:t> è abrogato.</w:t>
      </w:r>
      <w:r>
        <w:rPr>
          <w:rStyle w:val="Rimandonotaapidipagina"/>
          <w:rFonts w:eastAsia="Times New Roman" w:cs="Arial"/>
          <w:b/>
          <w:bCs/>
          <w:color w:val="000000" w:themeColor="text1"/>
          <w:sz w:val="24"/>
          <w:szCs w:val="24"/>
        </w:rPr>
        <w:footnoteReference w:id="45"/>
      </w:r>
    </w:p>
    <w:p w14:paraId="2940A28E" w14:textId="77777777" w:rsidR="0032471E" w:rsidRDefault="0032471E" w:rsidP="00A128D4">
      <w:pPr>
        <w:shd w:val="clear" w:color="auto" w:fill="FFFFFF"/>
        <w:spacing w:after="0" w:line="240" w:lineRule="auto"/>
        <w:rPr>
          <w:rFonts w:eastAsia="Times New Roman" w:cs="Arial"/>
          <w:b/>
          <w:bCs/>
          <w:color w:val="000000" w:themeColor="text1"/>
          <w:sz w:val="24"/>
          <w:szCs w:val="24"/>
        </w:rPr>
      </w:pPr>
    </w:p>
    <w:p w14:paraId="2FA8FB20" w14:textId="77777777" w:rsidR="0032471E" w:rsidRPr="00DF7FC6" w:rsidRDefault="0032471E" w:rsidP="0032471E">
      <w:pPr>
        <w:shd w:val="clear" w:color="auto" w:fill="FFFFFF"/>
        <w:spacing w:after="0" w:line="240" w:lineRule="auto"/>
        <w:jc w:val="center"/>
        <w:rPr>
          <w:rFonts w:eastAsia="Times New Roman" w:cs="Arial"/>
          <w:b/>
          <w:bCs/>
          <w:color w:val="000000" w:themeColor="text1"/>
          <w:sz w:val="24"/>
          <w:szCs w:val="24"/>
        </w:rPr>
      </w:pPr>
      <w:r w:rsidRPr="00DF7FC6">
        <w:rPr>
          <w:rFonts w:eastAsia="Times New Roman" w:cs="Arial"/>
          <w:b/>
          <w:bCs/>
          <w:color w:val="000000" w:themeColor="text1"/>
          <w:sz w:val="24"/>
          <w:szCs w:val="24"/>
        </w:rPr>
        <w:t>Art. 1-</w:t>
      </w:r>
      <w:r w:rsidRPr="00DF7FC6">
        <w:rPr>
          <w:rFonts w:eastAsia="Times New Roman" w:cs="Arial"/>
          <w:b/>
          <w:bCs/>
          <w:i/>
          <w:iCs/>
          <w:color w:val="000000" w:themeColor="text1"/>
          <w:sz w:val="24"/>
          <w:szCs w:val="24"/>
        </w:rPr>
        <w:t>bis.</w:t>
      </w:r>
      <w:r w:rsidRPr="00DF7FC6">
        <w:rPr>
          <w:rFonts w:eastAsia="Times New Roman" w:cs="Arial"/>
          <w:b/>
          <w:bCs/>
          <w:color w:val="000000" w:themeColor="text1"/>
          <w:sz w:val="24"/>
          <w:szCs w:val="24"/>
        </w:rPr>
        <w:br/>
      </w:r>
      <w:r w:rsidRPr="00DF7FC6">
        <w:rPr>
          <w:rFonts w:eastAsia="Times New Roman" w:cs="Arial"/>
          <w:b/>
          <w:bCs/>
          <w:i/>
          <w:iCs/>
          <w:color w:val="000000" w:themeColor="text1"/>
          <w:sz w:val="24"/>
          <w:szCs w:val="24"/>
        </w:rPr>
        <w:t>(Disposizioni per garantire la sicurezza della circolazione dei monopattini a propulsione prevalentemente elettrica)</w:t>
      </w:r>
    </w:p>
    <w:p w14:paraId="00B6D6CA" w14:textId="77777777" w:rsidR="0032471E" w:rsidRDefault="0032471E" w:rsidP="0032471E">
      <w:pPr>
        <w:shd w:val="clear" w:color="auto" w:fill="FFFFFF"/>
        <w:spacing w:after="0" w:line="240" w:lineRule="auto"/>
        <w:rPr>
          <w:rFonts w:eastAsia="Times New Roman" w:cs="Arial"/>
          <w:b/>
          <w:bCs/>
          <w:color w:val="000000" w:themeColor="text1"/>
          <w:sz w:val="24"/>
          <w:szCs w:val="24"/>
        </w:rPr>
      </w:pPr>
    </w:p>
    <w:p w14:paraId="015AC6E6" w14:textId="77777777" w:rsidR="0032471E" w:rsidRPr="00DF7FC6" w:rsidRDefault="0032471E" w:rsidP="0032471E">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1. All'articolo 1 della legge 27 dicembre 2019, n. 160, i commi da 75 a 75-</w:t>
      </w:r>
      <w:r w:rsidRPr="00DF7FC6">
        <w:rPr>
          <w:rFonts w:eastAsia="Times New Roman" w:cs="Arial"/>
          <w:b/>
          <w:bCs/>
          <w:i/>
          <w:iCs/>
          <w:color w:val="000000" w:themeColor="text1"/>
          <w:sz w:val="24"/>
          <w:szCs w:val="24"/>
        </w:rPr>
        <w:t>septies</w:t>
      </w:r>
      <w:r w:rsidRPr="00DF7FC6">
        <w:rPr>
          <w:rFonts w:eastAsia="Times New Roman" w:cs="Arial"/>
          <w:b/>
          <w:bCs/>
          <w:color w:val="000000" w:themeColor="text1"/>
          <w:sz w:val="24"/>
          <w:szCs w:val="24"/>
        </w:rPr>
        <w:t> sono sostituiti dai seguenti:</w:t>
      </w:r>
    </w:p>
    <w:p w14:paraId="128D0BEC" w14:textId="77777777" w:rsidR="0032471E" w:rsidRPr="00DF7FC6" w:rsidRDefault="0032471E" w:rsidP="0032471E">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«75. I monopattini a propulsione prevalentemente elettrica possiedono i seguenti requisiti:</w:t>
      </w:r>
    </w:p>
    <w:p w14:paraId="480F1BB6" w14:textId="77777777" w:rsidR="0032471E" w:rsidRPr="00DF7FC6" w:rsidRDefault="0032471E" w:rsidP="0032471E">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lastRenderedPageBreak/>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i/>
          <w:iCs/>
          <w:color w:val="000000" w:themeColor="text1"/>
          <w:sz w:val="24"/>
          <w:szCs w:val="24"/>
        </w:rPr>
        <w:t>a)</w:t>
      </w:r>
      <w:r w:rsidRPr="00DF7FC6">
        <w:rPr>
          <w:rFonts w:eastAsia="Times New Roman" w:cs="Arial"/>
          <w:b/>
          <w:bCs/>
          <w:color w:val="000000" w:themeColor="text1"/>
          <w:sz w:val="24"/>
          <w:szCs w:val="24"/>
        </w:rPr>
        <w:t> caratteristiche costruttive di cui all'allegato 1 del decreto del Ministro delle infrastrutture e dei trasporti 4 giugno 2019;</w:t>
      </w:r>
    </w:p>
    <w:p w14:paraId="06A6DE70" w14:textId="77777777" w:rsidR="0032471E" w:rsidRPr="00DF7FC6" w:rsidRDefault="0032471E" w:rsidP="0032471E">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i/>
          <w:iCs/>
          <w:color w:val="000000" w:themeColor="text1"/>
          <w:sz w:val="24"/>
          <w:szCs w:val="24"/>
        </w:rPr>
        <w:t>b)</w:t>
      </w:r>
      <w:r w:rsidRPr="00DF7FC6">
        <w:rPr>
          <w:rFonts w:eastAsia="Times New Roman" w:cs="Arial"/>
          <w:b/>
          <w:bCs/>
          <w:color w:val="000000" w:themeColor="text1"/>
          <w:sz w:val="24"/>
          <w:szCs w:val="24"/>
        </w:rPr>
        <w:t> assenza di posti a sedere;</w:t>
      </w:r>
    </w:p>
    <w:p w14:paraId="4AB02B3B" w14:textId="77777777" w:rsidR="0032471E" w:rsidRPr="00DF7FC6" w:rsidRDefault="0032471E" w:rsidP="0032471E">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i/>
          <w:iCs/>
          <w:color w:val="000000" w:themeColor="text1"/>
          <w:sz w:val="24"/>
          <w:szCs w:val="24"/>
        </w:rPr>
        <w:t>c)</w:t>
      </w:r>
      <w:r w:rsidRPr="00DF7FC6">
        <w:rPr>
          <w:rFonts w:eastAsia="Times New Roman" w:cs="Arial"/>
          <w:b/>
          <w:bCs/>
          <w:color w:val="000000" w:themeColor="text1"/>
          <w:sz w:val="24"/>
          <w:szCs w:val="24"/>
        </w:rPr>
        <w:t> motore elettrico di potenza nominale continua non superiore a 0,50 kW;</w:t>
      </w:r>
    </w:p>
    <w:p w14:paraId="63774748" w14:textId="77777777" w:rsidR="0032471E" w:rsidRPr="00DF7FC6" w:rsidRDefault="0032471E" w:rsidP="0032471E">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i/>
          <w:iCs/>
          <w:color w:val="000000" w:themeColor="text1"/>
          <w:sz w:val="24"/>
          <w:szCs w:val="24"/>
        </w:rPr>
        <w:t>d)</w:t>
      </w:r>
      <w:r w:rsidRPr="00DF7FC6">
        <w:rPr>
          <w:rFonts w:eastAsia="Times New Roman" w:cs="Arial"/>
          <w:b/>
          <w:bCs/>
          <w:color w:val="000000" w:themeColor="text1"/>
          <w:sz w:val="24"/>
          <w:szCs w:val="24"/>
        </w:rPr>
        <w:t> segnalatore acustico;</w:t>
      </w:r>
    </w:p>
    <w:p w14:paraId="71F66E9E" w14:textId="77777777" w:rsidR="0032471E" w:rsidRPr="00DF7FC6" w:rsidRDefault="0032471E" w:rsidP="0032471E">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i/>
          <w:iCs/>
          <w:color w:val="000000" w:themeColor="text1"/>
          <w:sz w:val="24"/>
          <w:szCs w:val="24"/>
        </w:rPr>
        <w:t>e)</w:t>
      </w:r>
      <w:r w:rsidRPr="00DF7FC6">
        <w:rPr>
          <w:rFonts w:eastAsia="Times New Roman" w:cs="Arial"/>
          <w:b/>
          <w:bCs/>
          <w:color w:val="000000" w:themeColor="text1"/>
          <w:sz w:val="24"/>
          <w:szCs w:val="24"/>
        </w:rPr>
        <w:t> regolatore di velocità configurabile in funzione dei limiti di cui al comma 75-</w:t>
      </w:r>
      <w:r w:rsidRPr="00DF7FC6">
        <w:rPr>
          <w:rFonts w:eastAsia="Times New Roman" w:cs="Arial"/>
          <w:b/>
          <w:bCs/>
          <w:i/>
          <w:iCs/>
          <w:color w:val="000000" w:themeColor="text1"/>
          <w:sz w:val="24"/>
          <w:szCs w:val="24"/>
        </w:rPr>
        <w:t>quaterdecies</w:t>
      </w:r>
      <w:r w:rsidRPr="00DF7FC6">
        <w:rPr>
          <w:rFonts w:eastAsia="Times New Roman" w:cs="Arial"/>
          <w:b/>
          <w:bCs/>
          <w:color w:val="000000" w:themeColor="text1"/>
          <w:sz w:val="24"/>
          <w:szCs w:val="24"/>
        </w:rPr>
        <w:t>;</w:t>
      </w:r>
    </w:p>
    <w:p w14:paraId="15FE9EF5" w14:textId="77777777" w:rsidR="0032471E" w:rsidRPr="00DF7FC6" w:rsidRDefault="0032471E" w:rsidP="0032471E">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i/>
          <w:iCs/>
          <w:color w:val="000000" w:themeColor="text1"/>
          <w:sz w:val="24"/>
          <w:szCs w:val="24"/>
        </w:rPr>
        <w:t>f)</w:t>
      </w:r>
      <w:r w:rsidRPr="00DF7FC6">
        <w:rPr>
          <w:rFonts w:eastAsia="Times New Roman" w:cs="Arial"/>
          <w:b/>
          <w:bCs/>
          <w:color w:val="000000" w:themeColor="text1"/>
          <w:sz w:val="24"/>
          <w:szCs w:val="24"/>
        </w:rPr>
        <w:t> marcatura CE prevista dalla direttiva n. 2006/42/CE.</w:t>
      </w:r>
    </w:p>
    <w:p w14:paraId="238BDFA0" w14:textId="77777777" w:rsidR="0032471E" w:rsidRDefault="0032471E" w:rsidP="0032471E">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75-</w:t>
      </w:r>
      <w:r w:rsidRPr="00DF7FC6">
        <w:rPr>
          <w:rFonts w:eastAsia="Times New Roman" w:cs="Arial"/>
          <w:b/>
          <w:bCs/>
          <w:i/>
          <w:iCs/>
          <w:color w:val="000000" w:themeColor="text1"/>
          <w:sz w:val="24"/>
          <w:szCs w:val="24"/>
        </w:rPr>
        <w:t>bis</w:t>
      </w:r>
      <w:r w:rsidRPr="00DF7FC6">
        <w:rPr>
          <w:rFonts w:eastAsia="Times New Roman" w:cs="Arial"/>
          <w:b/>
          <w:bCs/>
          <w:color w:val="000000" w:themeColor="text1"/>
          <w:sz w:val="24"/>
          <w:szCs w:val="24"/>
        </w:rPr>
        <w:t>. A partire dal 1° luglio 2022, i monopattini a propulsione prevalentemente elettrica commercializzati in Italia devono essere dotati di indicatori luminosi di svolta e di freno su entrambe le ruote. Per i monopattini a propulsione prevalentemente elettrica già in circolazione prima di tale termine, è fatto obbligo di adeguarsi entro il 1° gennaio 2024.</w:t>
      </w:r>
    </w:p>
    <w:p w14:paraId="6424E4B5" w14:textId="480ED398" w:rsidR="0032471E" w:rsidRPr="00DF7FC6" w:rsidRDefault="0032471E" w:rsidP="0032471E">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75-</w:t>
      </w:r>
      <w:r w:rsidRPr="00DF7FC6">
        <w:rPr>
          <w:rFonts w:eastAsia="Times New Roman" w:cs="Arial"/>
          <w:b/>
          <w:bCs/>
          <w:i/>
          <w:iCs/>
          <w:color w:val="000000" w:themeColor="text1"/>
          <w:sz w:val="24"/>
          <w:szCs w:val="24"/>
        </w:rPr>
        <w:t>ter</w:t>
      </w:r>
      <w:r w:rsidRPr="00DF7FC6">
        <w:rPr>
          <w:rFonts w:eastAsia="Times New Roman" w:cs="Arial"/>
          <w:b/>
          <w:bCs/>
          <w:color w:val="000000" w:themeColor="text1"/>
          <w:sz w:val="24"/>
          <w:szCs w:val="24"/>
        </w:rPr>
        <w:t>. Fermo restando quanto previsto dai commi da 75 a 75-</w:t>
      </w:r>
      <w:r w:rsidRPr="00DF7FC6">
        <w:rPr>
          <w:rFonts w:eastAsia="Times New Roman" w:cs="Arial"/>
          <w:b/>
          <w:bCs/>
          <w:i/>
          <w:iCs/>
          <w:color w:val="000000" w:themeColor="text1"/>
          <w:sz w:val="24"/>
          <w:szCs w:val="24"/>
        </w:rPr>
        <w:t>vicies bis</w:t>
      </w:r>
      <w:r w:rsidRPr="00DF7FC6">
        <w:rPr>
          <w:rFonts w:eastAsia="Times New Roman" w:cs="Arial"/>
          <w:b/>
          <w:bCs/>
          <w:color w:val="000000" w:themeColor="text1"/>
          <w:sz w:val="24"/>
          <w:szCs w:val="24"/>
        </w:rPr>
        <w:t>, i servizi di noleggio dei monopattini a propulsione prevalentemente elettrica, anche in modalità </w:t>
      </w:r>
      <w:r w:rsidRPr="00DF7FC6">
        <w:rPr>
          <w:rFonts w:eastAsia="Times New Roman" w:cs="Arial"/>
          <w:b/>
          <w:bCs/>
          <w:i/>
          <w:iCs/>
          <w:color w:val="000000" w:themeColor="text1"/>
          <w:sz w:val="24"/>
          <w:szCs w:val="24"/>
        </w:rPr>
        <w:t>free-</w:t>
      </w:r>
      <w:proofErr w:type="spellStart"/>
      <w:r w:rsidRPr="00DF7FC6">
        <w:rPr>
          <w:rFonts w:eastAsia="Times New Roman" w:cs="Arial"/>
          <w:b/>
          <w:bCs/>
          <w:i/>
          <w:iCs/>
          <w:color w:val="000000" w:themeColor="text1"/>
          <w:sz w:val="24"/>
          <w:szCs w:val="24"/>
        </w:rPr>
        <w:t>floating</w:t>
      </w:r>
      <w:proofErr w:type="spellEnd"/>
      <w:r w:rsidRPr="00DF7FC6">
        <w:rPr>
          <w:rFonts w:eastAsia="Times New Roman" w:cs="Arial"/>
          <w:b/>
          <w:bCs/>
          <w:color w:val="000000" w:themeColor="text1"/>
          <w:sz w:val="24"/>
          <w:szCs w:val="24"/>
        </w:rPr>
        <w:t>, possono essere attivati esclusivamente con apposita delibera della Giunta comunale, nella quale devono essere previsti, oltre al numero delle licenze attivabili e al numero massimo dei dispositivi in circolazione:</w:t>
      </w:r>
    </w:p>
    <w:p w14:paraId="7666ED6F" w14:textId="77777777" w:rsidR="0032471E" w:rsidRPr="00DF7FC6" w:rsidRDefault="0032471E" w:rsidP="0032471E">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i/>
          <w:iCs/>
          <w:color w:val="000000" w:themeColor="text1"/>
          <w:sz w:val="24"/>
          <w:szCs w:val="24"/>
        </w:rPr>
        <w:t>a)</w:t>
      </w:r>
      <w:r w:rsidRPr="00DF7FC6">
        <w:rPr>
          <w:rFonts w:eastAsia="Times New Roman" w:cs="Arial"/>
          <w:b/>
          <w:bCs/>
          <w:color w:val="000000" w:themeColor="text1"/>
          <w:sz w:val="24"/>
          <w:szCs w:val="24"/>
        </w:rPr>
        <w:t> l'obbligo di copertura assicurativa per lo svolgimento del servizio stesso;</w:t>
      </w:r>
    </w:p>
    <w:p w14:paraId="65AFBAED" w14:textId="77777777" w:rsidR="0032471E" w:rsidRPr="00DF7FC6" w:rsidRDefault="0032471E" w:rsidP="0032471E">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i/>
          <w:iCs/>
          <w:color w:val="000000" w:themeColor="text1"/>
          <w:sz w:val="24"/>
          <w:szCs w:val="24"/>
        </w:rPr>
        <w:t>b)</w:t>
      </w:r>
      <w:r w:rsidRPr="00DF7FC6">
        <w:rPr>
          <w:rFonts w:eastAsia="Times New Roman" w:cs="Arial"/>
          <w:b/>
          <w:bCs/>
          <w:color w:val="000000" w:themeColor="text1"/>
          <w:sz w:val="24"/>
          <w:szCs w:val="24"/>
        </w:rPr>
        <w:t> le modalità di sosta consentite per i dispositivi interessati;</w:t>
      </w:r>
    </w:p>
    <w:p w14:paraId="21A2FCD4" w14:textId="77777777" w:rsidR="0032471E" w:rsidRPr="00DF7FC6" w:rsidRDefault="0032471E" w:rsidP="0032471E">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i/>
          <w:iCs/>
          <w:color w:val="000000" w:themeColor="text1"/>
          <w:sz w:val="24"/>
          <w:szCs w:val="24"/>
        </w:rPr>
        <w:t>c)</w:t>
      </w:r>
      <w:r w:rsidRPr="00DF7FC6">
        <w:rPr>
          <w:rFonts w:eastAsia="Times New Roman" w:cs="Arial"/>
          <w:b/>
          <w:bCs/>
          <w:color w:val="000000" w:themeColor="text1"/>
          <w:sz w:val="24"/>
          <w:szCs w:val="24"/>
        </w:rPr>
        <w:t> le eventuali limitazioni alla circolazione in determinate aree della città;</w:t>
      </w:r>
    </w:p>
    <w:p w14:paraId="04CA059F" w14:textId="77777777" w:rsidR="0032471E" w:rsidRDefault="0032471E" w:rsidP="0032471E">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75-</w:t>
      </w:r>
      <w:r w:rsidRPr="00DF7FC6">
        <w:rPr>
          <w:rFonts w:eastAsia="Times New Roman" w:cs="Arial"/>
          <w:b/>
          <w:bCs/>
          <w:i/>
          <w:iCs/>
          <w:color w:val="000000" w:themeColor="text1"/>
          <w:sz w:val="24"/>
          <w:szCs w:val="24"/>
        </w:rPr>
        <w:t>quater</w:t>
      </w:r>
      <w:r w:rsidRPr="00DF7FC6">
        <w:rPr>
          <w:rFonts w:eastAsia="Times New Roman" w:cs="Arial"/>
          <w:b/>
          <w:bCs/>
          <w:color w:val="000000" w:themeColor="text1"/>
          <w:sz w:val="24"/>
          <w:szCs w:val="24"/>
        </w:rPr>
        <w:t>. È vietata la circolazione ai monopattini a motore con requisiti diversi da quelli di cui al comma 75.</w:t>
      </w:r>
    </w:p>
    <w:p w14:paraId="0FE84F46" w14:textId="77777777" w:rsidR="0032471E" w:rsidRDefault="0032471E" w:rsidP="0032471E">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75-</w:t>
      </w:r>
      <w:r w:rsidRPr="00DF7FC6">
        <w:rPr>
          <w:rFonts w:eastAsia="Times New Roman" w:cs="Arial"/>
          <w:b/>
          <w:bCs/>
          <w:i/>
          <w:iCs/>
          <w:color w:val="000000" w:themeColor="text1"/>
          <w:sz w:val="24"/>
          <w:szCs w:val="24"/>
        </w:rPr>
        <w:t>quinquies</w:t>
      </w:r>
      <w:r w:rsidRPr="00DF7FC6">
        <w:rPr>
          <w:rFonts w:eastAsia="Times New Roman" w:cs="Arial"/>
          <w:b/>
          <w:bCs/>
          <w:color w:val="000000" w:themeColor="text1"/>
          <w:sz w:val="24"/>
          <w:szCs w:val="24"/>
        </w:rPr>
        <w:t>. I monopattini a propulsione prevalentemente elettrica, in relazione a tutto ciò che non è previsto nei commi da 75 a 75 </w:t>
      </w:r>
      <w:proofErr w:type="spellStart"/>
      <w:r w:rsidRPr="00DF7FC6">
        <w:rPr>
          <w:rFonts w:eastAsia="Times New Roman" w:cs="Arial"/>
          <w:b/>
          <w:bCs/>
          <w:i/>
          <w:iCs/>
          <w:color w:val="000000" w:themeColor="text1"/>
          <w:sz w:val="24"/>
          <w:szCs w:val="24"/>
        </w:rPr>
        <w:t>vicies</w:t>
      </w:r>
      <w:proofErr w:type="spellEnd"/>
      <w:r w:rsidRPr="00DF7FC6">
        <w:rPr>
          <w:rFonts w:eastAsia="Times New Roman" w:cs="Arial"/>
          <w:b/>
          <w:bCs/>
          <w:i/>
          <w:iCs/>
          <w:color w:val="000000" w:themeColor="text1"/>
          <w:sz w:val="24"/>
          <w:szCs w:val="24"/>
        </w:rPr>
        <w:t xml:space="preserve"> ter</w:t>
      </w:r>
      <w:r w:rsidRPr="00DF7FC6">
        <w:rPr>
          <w:rFonts w:eastAsia="Times New Roman" w:cs="Arial"/>
          <w:b/>
          <w:bCs/>
          <w:color w:val="000000" w:themeColor="text1"/>
          <w:sz w:val="24"/>
          <w:szCs w:val="24"/>
        </w:rPr>
        <w:t>, sono equiparati ai velocipedi.</w:t>
      </w:r>
    </w:p>
    <w:p w14:paraId="6F4BC3C8" w14:textId="5E35E58D" w:rsidR="0032471E" w:rsidRDefault="0032471E" w:rsidP="0032471E">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75-</w:t>
      </w:r>
      <w:r w:rsidRPr="00DF7FC6">
        <w:rPr>
          <w:rFonts w:eastAsia="Times New Roman" w:cs="Arial"/>
          <w:b/>
          <w:bCs/>
          <w:i/>
          <w:iCs/>
          <w:color w:val="000000" w:themeColor="text1"/>
          <w:sz w:val="24"/>
          <w:szCs w:val="24"/>
        </w:rPr>
        <w:t>sexies</w:t>
      </w:r>
      <w:r w:rsidRPr="00DF7FC6">
        <w:rPr>
          <w:rFonts w:eastAsia="Times New Roman" w:cs="Arial"/>
          <w:b/>
          <w:bCs/>
          <w:color w:val="000000" w:themeColor="text1"/>
          <w:sz w:val="24"/>
          <w:szCs w:val="24"/>
        </w:rPr>
        <w:t>. Da mezz'ora dopo il tramonto, durante tutto il periodo dell'oscurità e di giorno, qualora le condizioni di visibilità lo richiedano, i monopattini a propulsione prevalentemente elettrica, per poter circolare su strada pubblica, devono essere provvisti anteriormente di luce bianca o gialla fissa e posteriormente di luce rossa fissa, entrambe accese e ben funzionanti. I monopattini elettrici sono altresì dotati posteriormente di catadiottri rossi.</w:t>
      </w:r>
    </w:p>
    <w:p w14:paraId="55464581" w14:textId="48A2CC7D" w:rsidR="0032471E" w:rsidRDefault="0032471E" w:rsidP="0032471E">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75-</w:t>
      </w:r>
      <w:r w:rsidRPr="00DF7FC6">
        <w:rPr>
          <w:rFonts w:eastAsia="Times New Roman" w:cs="Arial"/>
          <w:b/>
          <w:bCs/>
          <w:i/>
          <w:iCs/>
          <w:color w:val="000000" w:themeColor="text1"/>
          <w:sz w:val="24"/>
          <w:szCs w:val="24"/>
        </w:rPr>
        <w:t>septies</w:t>
      </w:r>
      <w:r w:rsidRPr="00DF7FC6">
        <w:rPr>
          <w:rFonts w:eastAsia="Times New Roman" w:cs="Arial"/>
          <w:b/>
          <w:bCs/>
          <w:color w:val="000000" w:themeColor="text1"/>
          <w:sz w:val="24"/>
          <w:szCs w:val="24"/>
        </w:rPr>
        <w:t>. Da mezz'ora dopo il tramonto e durante tutto il periodo dell'oscurità' il conducente del monopattino a propulsione prevalentemente elettrica deve circolare indossando il giubbotto o le bretelle retroriflettenti ad alta visibilità', di cui al comma 4-</w:t>
      </w:r>
      <w:r w:rsidRPr="00DF7FC6">
        <w:rPr>
          <w:rFonts w:eastAsia="Times New Roman" w:cs="Arial"/>
          <w:b/>
          <w:bCs/>
          <w:i/>
          <w:iCs/>
          <w:color w:val="000000" w:themeColor="text1"/>
          <w:sz w:val="24"/>
          <w:szCs w:val="24"/>
        </w:rPr>
        <w:t>ter</w:t>
      </w:r>
      <w:r w:rsidRPr="00DF7FC6">
        <w:rPr>
          <w:rFonts w:eastAsia="Times New Roman" w:cs="Arial"/>
          <w:b/>
          <w:bCs/>
          <w:color w:val="000000" w:themeColor="text1"/>
          <w:sz w:val="24"/>
          <w:szCs w:val="24"/>
        </w:rPr>
        <w:t> dell'articolo 162 del codice di cui al decreto legislativo 30 aprile 1992, n. 285.</w:t>
      </w:r>
    </w:p>
    <w:p w14:paraId="03E54E2B" w14:textId="77777777" w:rsidR="0032471E" w:rsidRDefault="0032471E" w:rsidP="0032471E">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75-</w:t>
      </w:r>
      <w:r w:rsidRPr="00DF7FC6">
        <w:rPr>
          <w:rFonts w:eastAsia="Times New Roman" w:cs="Arial"/>
          <w:b/>
          <w:bCs/>
          <w:i/>
          <w:iCs/>
          <w:color w:val="000000" w:themeColor="text1"/>
          <w:sz w:val="24"/>
          <w:szCs w:val="24"/>
        </w:rPr>
        <w:t>octies</w:t>
      </w:r>
      <w:r w:rsidRPr="00DF7FC6">
        <w:rPr>
          <w:rFonts w:eastAsia="Times New Roman" w:cs="Arial"/>
          <w:b/>
          <w:bCs/>
          <w:color w:val="000000" w:themeColor="text1"/>
          <w:sz w:val="24"/>
          <w:szCs w:val="24"/>
        </w:rPr>
        <w:t>. I monopattini a propulsione prevalentemente elettrica possono essere condotti solo da utilizzatori che abbiano compiuto il quattordicesimo anno di età'.</w:t>
      </w:r>
    </w:p>
    <w:p w14:paraId="0EF4751B" w14:textId="77777777" w:rsidR="0032471E" w:rsidRDefault="0032471E" w:rsidP="0032471E">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75-</w:t>
      </w:r>
      <w:r w:rsidRPr="00DF7FC6">
        <w:rPr>
          <w:rFonts w:eastAsia="Times New Roman" w:cs="Arial"/>
          <w:b/>
          <w:bCs/>
          <w:i/>
          <w:iCs/>
          <w:color w:val="000000" w:themeColor="text1"/>
          <w:sz w:val="24"/>
          <w:szCs w:val="24"/>
        </w:rPr>
        <w:t>novies</w:t>
      </w:r>
      <w:r w:rsidRPr="00DF7FC6">
        <w:rPr>
          <w:rFonts w:eastAsia="Times New Roman" w:cs="Arial"/>
          <w:b/>
          <w:bCs/>
          <w:color w:val="000000" w:themeColor="text1"/>
          <w:sz w:val="24"/>
          <w:szCs w:val="24"/>
        </w:rPr>
        <w:t>. I conducenti di età inferiore ai diciotto anni hanno l'obbligo di indossare un idoneo casco protettivo conforme alle norme tecniche armonizzate UNI EN 1078 o UNI EN 1080.</w:t>
      </w:r>
      <w:r w:rsidRPr="00DF7FC6">
        <w:rPr>
          <w:rFonts w:eastAsia="Times New Roman" w:cs="Arial"/>
          <w:b/>
          <w:bCs/>
          <w:color w:val="000000" w:themeColor="text1"/>
          <w:sz w:val="24"/>
          <w:szCs w:val="24"/>
        </w:rPr>
        <w:br/>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75-</w:t>
      </w:r>
      <w:r w:rsidRPr="00DF7FC6">
        <w:rPr>
          <w:rFonts w:eastAsia="Times New Roman" w:cs="Arial"/>
          <w:b/>
          <w:bCs/>
          <w:i/>
          <w:iCs/>
          <w:color w:val="000000" w:themeColor="text1"/>
          <w:sz w:val="24"/>
          <w:szCs w:val="24"/>
        </w:rPr>
        <w:t>decies</w:t>
      </w:r>
      <w:r w:rsidRPr="00DF7FC6">
        <w:rPr>
          <w:rFonts w:eastAsia="Times New Roman" w:cs="Arial"/>
          <w:b/>
          <w:bCs/>
          <w:color w:val="000000" w:themeColor="text1"/>
          <w:sz w:val="24"/>
          <w:szCs w:val="24"/>
        </w:rPr>
        <w:t>. È fatto divieto di trasportare altre persone, oggetti o animali, di trainare veicoli, di condurre animali e di farsi trainare da un altro veicolo.</w:t>
      </w:r>
    </w:p>
    <w:p w14:paraId="533D4A19" w14:textId="77777777" w:rsidR="0032471E" w:rsidRDefault="0032471E" w:rsidP="0032471E">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75-</w:t>
      </w:r>
      <w:r w:rsidRPr="00DF7FC6">
        <w:rPr>
          <w:rFonts w:eastAsia="Times New Roman" w:cs="Arial"/>
          <w:b/>
          <w:bCs/>
          <w:i/>
          <w:iCs/>
          <w:color w:val="000000" w:themeColor="text1"/>
          <w:sz w:val="24"/>
          <w:szCs w:val="24"/>
        </w:rPr>
        <w:t>undecies</w:t>
      </w:r>
      <w:r w:rsidRPr="00DF7FC6">
        <w:rPr>
          <w:rFonts w:eastAsia="Times New Roman" w:cs="Arial"/>
          <w:b/>
          <w:bCs/>
          <w:color w:val="000000" w:themeColor="text1"/>
          <w:sz w:val="24"/>
          <w:szCs w:val="24"/>
        </w:rPr>
        <w:t xml:space="preserve">. È vietata la circolazione dei monopattini a propulsione prevalentemente elettrica sui marciapiedi. Sui marciapiedi è consentita esclusivamente la conduzione a mano dei monopattini a </w:t>
      </w:r>
      <w:r w:rsidRPr="00DF7FC6">
        <w:rPr>
          <w:rFonts w:eastAsia="Times New Roman" w:cs="Arial"/>
          <w:b/>
          <w:bCs/>
          <w:color w:val="000000" w:themeColor="text1"/>
          <w:sz w:val="24"/>
          <w:szCs w:val="24"/>
        </w:rPr>
        <w:lastRenderedPageBreak/>
        <w:t>propulsione prevalentemente elettrica. È altresì vietato circolare contromano salvo nelle strade con doppio senso ciclabile.</w:t>
      </w:r>
    </w:p>
    <w:p w14:paraId="6EF2F8C5" w14:textId="77777777" w:rsidR="0032471E" w:rsidRDefault="0032471E" w:rsidP="0032471E">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75-</w:t>
      </w:r>
      <w:r w:rsidRPr="00DF7FC6">
        <w:rPr>
          <w:rFonts w:eastAsia="Times New Roman" w:cs="Arial"/>
          <w:b/>
          <w:bCs/>
          <w:i/>
          <w:iCs/>
          <w:color w:val="000000" w:themeColor="text1"/>
          <w:sz w:val="24"/>
          <w:szCs w:val="24"/>
        </w:rPr>
        <w:t>duodecies</w:t>
      </w:r>
      <w:r w:rsidRPr="00DF7FC6">
        <w:rPr>
          <w:rFonts w:eastAsia="Times New Roman" w:cs="Arial"/>
          <w:b/>
          <w:bCs/>
          <w:color w:val="000000" w:themeColor="text1"/>
          <w:sz w:val="24"/>
          <w:szCs w:val="24"/>
        </w:rPr>
        <w:t>. I conducenti dei monopattini a propulsione prevalentemente elettrica devono avere libero l'uso delle braccia e delle mani e reggere il manubrio sempre con entrambe le mani, salvo che non sia necessario segnalare la manovra di svolta sui mezzi privi indicatori di direzione.</w:t>
      </w:r>
      <w:r w:rsidRPr="00DF7FC6">
        <w:rPr>
          <w:rFonts w:eastAsia="Times New Roman" w:cs="Arial"/>
          <w:b/>
          <w:bCs/>
          <w:color w:val="000000" w:themeColor="text1"/>
          <w:sz w:val="24"/>
          <w:szCs w:val="24"/>
        </w:rPr>
        <w:br/>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75-</w:t>
      </w:r>
      <w:r w:rsidRPr="00DF7FC6">
        <w:rPr>
          <w:rFonts w:eastAsia="Times New Roman" w:cs="Arial"/>
          <w:b/>
          <w:bCs/>
          <w:i/>
          <w:iCs/>
          <w:color w:val="000000" w:themeColor="text1"/>
          <w:sz w:val="24"/>
          <w:szCs w:val="24"/>
        </w:rPr>
        <w:t>terdecies</w:t>
      </w:r>
      <w:r w:rsidRPr="00DF7FC6">
        <w:rPr>
          <w:rFonts w:eastAsia="Times New Roman" w:cs="Arial"/>
          <w:b/>
          <w:bCs/>
          <w:color w:val="000000" w:themeColor="text1"/>
          <w:sz w:val="24"/>
          <w:szCs w:val="24"/>
        </w:rPr>
        <w:t>. I monopattini a propulsione prevalentemente elettrica possono circolare esclusivamente su strade urbane con limite di velocità di 50 km/h, nelle aree pedonali, su percorsi pedonali e ciclabili, su corsie ciclabili, su strade a priorità ciclabile, su piste ciclabili in sede propria e su corsia riservata ovvero dovunque sia consentita la circolazione dei velocipedi.</w:t>
      </w:r>
    </w:p>
    <w:p w14:paraId="1536E0F1" w14:textId="7A3E97FF" w:rsidR="0032471E" w:rsidRDefault="0032471E" w:rsidP="0032471E">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75-</w:t>
      </w:r>
      <w:r w:rsidRPr="00DF7FC6">
        <w:rPr>
          <w:rFonts w:eastAsia="Times New Roman" w:cs="Arial"/>
          <w:b/>
          <w:bCs/>
          <w:i/>
          <w:iCs/>
          <w:color w:val="000000" w:themeColor="text1"/>
          <w:sz w:val="24"/>
          <w:szCs w:val="24"/>
        </w:rPr>
        <w:t>quaterdecies</w:t>
      </w:r>
      <w:r w:rsidRPr="00DF7FC6">
        <w:rPr>
          <w:rFonts w:eastAsia="Times New Roman" w:cs="Arial"/>
          <w:b/>
          <w:bCs/>
          <w:color w:val="000000" w:themeColor="text1"/>
          <w:sz w:val="24"/>
          <w:szCs w:val="24"/>
        </w:rPr>
        <w:t>. I monopattini a propulsione prevalentemente elettrica non possono superare il limite di velocità di 6 km/h quando circolano nelle aree pedonali. Non possono superare il limite di 20 km/h in tutti gli altri casi di circolazione di cui al comma 75-</w:t>
      </w:r>
      <w:r w:rsidRPr="00DF7FC6">
        <w:rPr>
          <w:rFonts w:eastAsia="Times New Roman" w:cs="Arial"/>
          <w:b/>
          <w:bCs/>
          <w:i/>
          <w:iCs/>
          <w:color w:val="000000" w:themeColor="text1"/>
          <w:sz w:val="24"/>
          <w:szCs w:val="24"/>
        </w:rPr>
        <w:t>terdecies</w:t>
      </w:r>
      <w:r w:rsidRPr="00DF7FC6">
        <w:rPr>
          <w:rFonts w:eastAsia="Times New Roman" w:cs="Arial"/>
          <w:b/>
          <w:bCs/>
          <w:color w:val="000000" w:themeColor="text1"/>
          <w:sz w:val="24"/>
          <w:szCs w:val="24"/>
        </w:rPr>
        <w:t>.</w:t>
      </w:r>
    </w:p>
    <w:p w14:paraId="311812BB" w14:textId="77777777" w:rsidR="0032471E" w:rsidRDefault="0032471E" w:rsidP="0032471E">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75-</w:t>
      </w:r>
      <w:r w:rsidRPr="00DF7FC6">
        <w:rPr>
          <w:rFonts w:eastAsia="Times New Roman" w:cs="Arial"/>
          <w:b/>
          <w:bCs/>
          <w:i/>
          <w:iCs/>
          <w:color w:val="000000" w:themeColor="text1"/>
          <w:sz w:val="24"/>
          <w:szCs w:val="24"/>
        </w:rPr>
        <w:t>quindecies</w:t>
      </w:r>
      <w:r w:rsidRPr="00DF7FC6">
        <w:rPr>
          <w:rFonts w:eastAsia="Times New Roman" w:cs="Arial"/>
          <w:b/>
          <w:bCs/>
          <w:color w:val="000000" w:themeColor="text1"/>
          <w:sz w:val="24"/>
          <w:szCs w:val="24"/>
        </w:rPr>
        <w:t>. È fatto divieto di sosta sul marciapiede, salvo nelle aree individuate dai comuni. I comuni possono individuare tali aree, garantendo adeguata capillarità, privilegiando la scelta di localizzazioni alternative ai marciapiedi. Tali aree possono essere prive di segnaletica orizzontale e verticale, purché le coordinate GPS della loro localizzazione siano consultabili pubblicamente sul sito istituzionale del comune. Ai monopattini a propulsione prevalentemente elettrica è comunque consentita la sosta negli stalli riservati a velocipedi, ciclomotori e motoveicoli.</w:t>
      </w:r>
    </w:p>
    <w:p w14:paraId="7150913F" w14:textId="03934D4E" w:rsidR="0032471E" w:rsidRDefault="0032471E" w:rsidP="0032471E">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75-</w:t>
      </w:r>
      <w:r w:rsidRPr="00DF7FC6">
        <w:rPr>
          <w:rFonts w:eastAsia="Times New Roman" w:cs="Arial"/>
          <w:b/>
          <w:bCs/>
          <w:i/>
          <w:iCs/>
          <w:color w:val="000000" w:themeColor="text1"/>
          <w:sz w:val="24"/>
          <w:szCs w:val="24"/>
        </w:rPr>
        <w:t>sedecies</w:t>
      </w:r>
      <w:r w:rsidRPr="00DF7FC6">
        <w:rPr>
          <w:rFonts w:eastAsia="Times New Roman" w:cs="Arial"/>
          <w:b/>
          <w:bCs/>
          <w:color w:val="000000" w:themeColor="text1"/>
          <w:sz w:val="24"/>
          <w:szCs w:val="24"/>
        </w:rPr>
        <w:t>. Gli operatori di noleggio di monopattini elettrici, al fine di scongiurare la pratica diffusa del parcheggio irregolare dei loro mezzi, devono altresì prevedere l'obbligo di acquisizione della foto al termine di ogni noleggio, dalla quale si desuma chiaramente la posizione dello stesso nella pubblica via.</w:t>
      </w:r>
    </w:p>
    <w:p w14:paraId="0D395578" w14:textId="77777777" w:rsidR="0032471E" w:rsidRDefault="0032471E" w:rsidP="0032471E">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75-</w:t>
      </w:r>
      <w:r w:rsidRPr="00DF7FC6">
        <w:rPr>
          <w:rFonts w:eastAsia="Times New Roman" w:cs="Arial"/>
          <w:b/>
          <w:bCs/>
          <w:i/>
          <w:iCs/>
          <w:color w:val="000000" w:themeColor="text1"/>
          <w:sz w:val="24"/>
          <w:szCs w:val="24"/>
        </w:rPr>
        <w:t>septiesdecies</w:t>
      </w:r>
      <w:r w:rsidRPr="00DF7FC6">
        <w:rPr>
          <w:rFonts w:eastAsia="Times New Roman" w:cs="Arial"/>
          <w:b/>
          <w:bCs/>
          <w:color w:val="000000" w:themeColor="text1"/>
          <w:sz w:val="24"/>
          <w:szCs w:val="24"/>
        </w:rPr>
        <w:t>. Gli operatori di noleggio di monopattini elettrici sono tenuti ad organizzare, in accordo con i comuni nei quali operano, adeguate campagne informative sull'uso corretto del monopattino elettrico e ad inserire nelle </w:t>
      </w:r>
      <w:r w:rsidRPr="00DF7FC6">
        <w:rPr>
          <w:rFonts w:eastAsia="Times New Roman" w:cs="Arial"/>
          <w:b/>
          <w:bCs/>
          <w:i/>
          <w:iCs/>
          <w:color w:val="000000" w:themeColor="text1"/>
          <w:sz w:val="24"/>
          <w:szCs w:val="24"/>
        </w:rPr>
        <w:t>app</w:t>
      </w:r>
      <w:r w:rsidRPr="00DF7FC6">
        <w:rPr>
          <w:rFonts w:eastAsia="Times New Roman" w:cs="Arial"/>
          <w:b/>
          <w:bCs/>
          <w:color w:val="000000" w:themeColor="text1"/>
          <w:sz w:val="24"/>
          <w:szCs w:val="24"/>
        </w:rPr>
        <w:t> per il noleggio le regole fondamentali, impiegando tutti gli strumenti tecnologici utili a coadiuvare il rispetto delle regole.</w:t>
      </w:r>
    </w:p>
    <w:p w14:paraId="3AE11ADE" w14:textId="6B908401" w:rsidR="0032471E" w:rsidRDefault="0032471E" w:rsidP="0032471E">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75-</w:t>
      </w:r>
      <w:r w:rsidRPr="00DF7FC6">
        <w:rPr>
          <w:rFonts w:eastAsia="Times New Roman" w:cs="Arial"/>
          <w:b/>
          <w:bCs/>
          <w:i/>
          <w:iCs/>
          <w:color w:val="000000" w:themeColor="text1"/>
          <w:sz w:val="24"/>
          <w:szCs w:val="24"/>
        </w:rPr>
        <w:t>octiesdecies</w:t>
      </w:r>
      <w:r w:rsidRPr="00DF7FC6">
        <w:rPr>
          <w:rFonts w:eastAsia="Times New Roman" w:cs="Arial"/>
          <w:b/>
          <w:bCs/>
          <w:color w:val="000000" w:themeColor="text1"/>
          <w:sz w:val="24"/>
          <w:szCs w:val="24"/>
        </w:rPr>
        <w:t>. Chiunque viola le disposizioni di cui ai commi da 75-</w:t>
      </w:r>
      <w:r w:rsidRPr="00DF7FC6">
        <w:rPr>
          <w:rFonts w:eastAsia="Times New Roman" w:cs="Arial"/>
          <w:b/>
          <w:bCs/>
          <w:i/>
          <w:iCs/>
          <w:color w:val="000000" w:themeColor="text1"/>
          <w:sz w:val="24"/>
          <w:szCs w:val="24"/>
        </w:rPr>
        <w:t>sexies</w:t>
      </w:r>
      <w:r w:rsidRPr="00DF7FC6">
        <w:rPr>
          <w:rFonts w:eastAsia="Times New Roman" w:cs="Arial"/>
          <w:b/>
          <w:bCs/>
          <w:color w:val="000000" w:themeColor="text1"/>
          <w:sz w:val="24"/>
          <w:szCs w:val="24"/>
        </w:rPr>
        <w:t> a 75-</w:t>
      </w:r>
      <w:r w:rsidRPr="00DF7FC6">
        <w:rPr>
          <w:rFonts w:eastAsia="Times New Roman" w:cs="Arial"/>
          <w:b/>
          <w:bCs/>
          <w:i/>
          <w:iCs/>
          <w:color w:val="000000" w:themeColor="text1"/>
          <w:sz w:val="24"/>
          <w:szCs w:val="24"/>
        </w:rPr>
        <w:t>quaterdecies</w:t>
      </w:r>
      <w:r w:rsidRPr="00DF7FC6">
        <w:rPr>
          <w:rFonts w:eastAsia="Times New Roman" w:cs="Arial"/>
          <w:b/>
          <w:bCs/>
          <w:color w:val="000000" w:themeColor="text1"/>
          <w:sz w:val="24"/>
          <w:szCs w:val="24"/>
        </w:rPr>
        <w:t> del presente articolo è soggetto alla sanzione amministrativa del pagamento di una somma da euro 50 a euro 250.</w:t>
      </w:r>
    </w:p>
    <w:p w14:paraId="01D85CB0" w14:textId="77777777" w:rsidR="0032471E" w:rsidRDefault="0032471E" w:rsidP="0032471E">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75-</w:t>
      </w:r>
      <w:r w:rsidRPr="00DF7FC6">
        <w:rPr>
          <w:rFonts w:eastAsia="Times New Roman" w:cs="Arial"/>
          <w:b/>
          <w:bCs/>
          <w:i/>
          <w:iCs/>
          <w:color w:val="000000" w:themeColor="text1"/>
          <w:sz w:val="24"/>
          <w:szCs w:val="24"/>
        </w:rPr>
        <w:t>noviesdecies</w:t>
      </w:r>
      <w:r w:rsidRPr="00DF7FC6">
        <w:rPr>
          <w:rFonts w:eastAsia="Times New Roman" w:cs="Arial"/>
          <w:b/>
          <w:bCs/>
          <w:color w:val="000000" w:themeColor="text1"/>
          <w:sz w:val="24"/>
          <w:szCs w:val="24"/>
        </w:rPr>
        <w:t>. Chiunque circola con un monopattino a motore avente requisiti diversi da quelli di cui al comma 75 è soggetto alla sanzione amministrativa del pagamento di una somma da euro 100 a euro 400. Alla violazione consegue la sanzione amministrativa accessoria della confisca del monopattino, ai sensi delle disposizioni del titolo VI, capo I, sezione II, del codice di cui al decreto legislativo 30 aprile 1992, n. 285, quando il monopattino ha un motore termico o un motore elettrico avente potenza nominale continua superiore a 1 Kw.</w:t>
      </w:r>
    </w:p>
    <w:p w14:paraId="11DE98E3" w14:textId="77777777" w:rsidR="0032471E" w:rsidRDefault="0032471E" w:rsidP="0032471E">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75-</w:t>
      </w:r>
      <w:r w:rsidRPr="00DF7FC6">
        <w:rPr>
          <w:rFonts w:eastAsia="Times New Roman" w:cs="Arial"/>
          <w:b/>
          <w:bCs/>
          <w:i/>
          <w:iCs/>
          <w:color w:val="000000" w:themeColor="text1"/>
          <w:sz w:val="24"/>
          <w:szCs w:val="24"/>
        </w:rPr>
        <w:t>vicies</w:t>
      </w:r>
      <w:r w:rsidRPr="00DF7FC6">
        <w:rPr>
          <w:rFonts w:eastAsia="Times New Roman" w:cs="Arial"/>
          <w:b/>
          <w:bCs/>
          <w:color w:val="000000" w:themeColor="text1"/>
          <w:sz w:val="24"/>
          <w:szCs w:val="24"/>
        </w:rPr>
        <w:t>. Alla violazione delle disposizioni di cui al comma 75-</w:t>
      </w:r>
      <w:r w:rsidRPr="00DF7FC6">
        <w:rPr>
          <w:rFonts w:eastAsia="Times New Roman" w:cs="Arial"/>
          <w:b/>
          <w:bCs/>
          <w:i/>
          <w:iCs/>
          <w:color w:val="000000" w:themeColor="text1"/>
          <w:sz w:val="24"/>
          <w:szCs w:val="24"/>
        </w:rPr>
        <w:t>quater</w:t>
      </w:r>
      <w:r w:rsidRPr="00DF7FC6">
        <w:rPr>
          <w:rFonts w:eastAsia="Times New Roman" w:cs="Arial"/>
          <w:b/>
          <w:bCs/>
          <w:color w:val="000000" w:themeColor="text1"/>
          <w:sz w:val="24"/>
          <w:szCs w:val="24"/>
        </w:rPr>
        <w:t>, consegue la sanzione amministrativa accessoria della confisca del monopattino, ai sensi delle disposizioni del titolo VI, capo I, sezione II, del codice di cui al decreto legislativo 30 aprile 1992, n. 285.</w:t>
      </w:r>
    </w:p>
    <w:p w14:paraId="68D08F96" w14:textId="239BEF6B" w:rsidR="0032471E" w:rsidRDefault="0032471E" w:rsidP="0032471E">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lastRenderedPageBreak/>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75-</w:t>
      </w:r>
      <w:r w:rsidRPr="00DF7FC6">
        <w:rPr>
          <w:rFonts w:eastAsia="Times New Roman" w:cs="Arial"/>
          <w:b/>
          <w:bCs/>
          <w:i/>
          <w:iCs/>
          <w:color w:val="000000" w:themeColor="text1"/>
          <w:sz w:val="24"/>
          <w:szCs w:val="24"/>
        </w:rPr>
        <w:t>vicies semel</w:t>
      </w:r>
      <w:r w:rsidRPr="00DF7FC6">
        <w:rPr>
          <w:rFonts w:eastAsia="Times New Roman" w:cs="Arial"/>
          <w:b/>
          <w:bCs/>
          <w:color w:val="000000" w:themeColor="text1"/>
          <w:sz w:val="24"/>
          <w:szCs w:val="24"/>
        </w:rPr>
        <w:t>. Nei casi di violazione della disposizione di cui al comma 75-</w:t>
      </w:r>
      <w:r w:rsidRPr="00DF7FC6">
        <w:rPr>
          <w:rFonts w:eastAsia="Times New Roman" w:cs="Arial"/>
          <w:b/>
          <w:bCs/>
          <w:i/>
          <w:iCs/>
          <w:color w:val="000000" w:themeColor="text1"/>
          <w:sz w:val="24"/>
          <w:szCs w:val="24"/>
        </w:rPr>
        <w:t>quindecies</w:t>
      </w:r>
      <w:r w:rsidRPr="00DF7FC6">
        <w:rPr>
          <w:rFonts w:eastAsia="Times New Roman" w:cs="Arial"/>
          <w:b/>
          <w:bCs/>
          <w:color w:val="000000" w:themeColor="text1"/>
          <w:sz w:val="24"/>
          <w:szCs w:val="24"/>
        </w:rPr>
        <w:t> si applica la sanzione di cui all'articolo 158, comma 5, del decreto legislativo 30 aprile 1992, n. 285, prevista per i ciclomotori e i motoveicoli.</w:t>
      </w:r>
    </w:p>
    <w:p w14:paraId="24215EA3" w14:textId="77777777" w:rsidR="0032471E" w:rsidRDefault="0032471E" w:rsidP="0032471E">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75-</w:t>
      </w:r>
      <w:r w:rsidRPr="00DF7FC6">
        <w:rPr>
          <w:rFonts w:eastAsia="Times New Roman" w:cs="Arial"/>
          <w:b/>
          <w:bCs/>
          <w:i/>
          <w:iCs/>
          <w:color w:val="000000" w:themeColor="text1"/>
          <w:sz w:val="24"/>
          <w:szCs w:val="24"/>
        </w:rPr>
        <w:t>vicies bis</w:t>
      </w:r>
      <w:r w:rsidRPr="00DF7FC6">
        <w:rPr>
          <w:rFonts w:eastAsia="Times New Roman" w:cs="Arial"/>
          <w:b/>
          <w:bCs/>
          <w:color w:val="000000" w:themeColor="text1"/>
          <w:sz w:val="24"/>
          <w:szCs w:val="24"/>
        </w:rPr>
        <w:t>. Ai fini delle sanzioni di cui alle disposizioni dei commi da 75 a 75-</w:t>
      </w:r>
      <w:r w:rsidRPr="00DF7FC6">
        <w:rPr>
          <w:rFonts w:eastAsia="Times New Roman" w:cs="Arial"/>
          <w:b/>
          <w:bCs/>
          <w:i/>
          <w:iCs/>
          <w:color w:val="000000" w:themeColor="text1"/>
          <w:sz w:val="24"/>
          <w:szCs w:val="24"/>
        </w:rPr>
        <w:t>vicies semel</w:t>
      </w:r>
      <w:r w:rsidRPr="00DF7FC6">
        <w:rPr>
          <w:rFonts w:eastAsia="Times New Roman" w:cs="Arial"/>
          <w:b/>
          <w:bCs/>
          <w:color w:val="000000" w:themeColor="text1"/>
          <w:sz w:val="24"/>
          <w:szCs w:val="24"/>
        </w:rPr>
        <w:t>, si applicano le disposizioni del titolo VI del codice di cui al decreto legislativo 30 aprile 1992, n. 285 del 1992. Si considerano in circolazione i veicoli o i dispositivi di mobilità personale che sono condotti nelle aree e negli spazi individuati dal medesimo codice di cui al decreto legislativo n. 285 del 1992.</w:t>
      </w:r>
    </w:p>
    <w:p w14:paraId="2F385155" w14:textId="543A01E3" w:rsidR="0032471E" w:rsidRDefault="0032471E" w:rsidP="0032471E">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75-</w:t>
      </w:r>
      <w:r w:rsidRPr="00DF7FC6">
        <w:rPr>
          <w:rFonts w:eastAsia="Times New Roman" w:cs="Arial"/>
          <w:b/>
          <w:bCs/>
          <w:i/>
          <w:iCs/>
          <w:color w:val="000000" w:themeColor="text1"/>
          <w:sz w:val="24"/>
          <w:szCs w:val="24"/>
        </w:rPr>
        <w:t>vicies ter</w:t>
      </w:r>
      <w:r w:rsidRPr="00DF7FC6">
        <w:rPr>
          <w:rFonts w:eastAsia="Times New Roman" w:cs="Arial"/>
          <w:b/>
          <w:bCs/>
          <w:color w:val="000000" w:themeColor="text1"/>
          <w:sz w:val="24"/>
          <w:szCs w:val="24"/>
        </w:rPr>
        <w:t>. Il Ministero delle infrastrutture e della mobilità sostenibili avvia, in collaborazione con il Ministero dell'interno e con il Ministero dello sviluppo economico, apposita istruttoria finalizzata alla verifica della necessità dell'introduzione dell'obbligo di assicurazione sulla responsabilità civile contro i danni a terzi derivante dalla circolazione dei monopattini elettrici. Il Ministro delle infrastrutture e della mobilità sostenibili trasmette alle competenti Commissioni parlamentari la relazione sugli esiti dell'attività istruttoria di cui al primo periodo entro 180 giorni dall'entrata in vigore della presente disposizione.»</w:t>
      </w:r>
      <w:r>
        <w:rPr>
          <w:rStyle w:val="Rimandonotaapidipagina"/>
          <w:rFonts w:eastAsia="Times New Roman" w:cs="Arial"/>
          <w:b/>
          <w:bCs/>
          <w:color w:val="000000" w:themeColor="text1"/>
          <w:sz w:val="24"/>
          <w:szCs w:val="24"/>
        </w:rPr>
        <w:footnoteReference w:id="46"/>
      </w:r>
    </w:p>
    <w:p w14:paraId="1E94F39C" w14:textId="77777777" w:rsidR="0032471E" w:rsidRDefault="0032471E" w:rsidP="0032471E">
      <w:pPr>
        <w:shd w:val="clear" w:color="auto" w:fill="FFFFFF"/>
        <w:spacing w:after="0" w:line="240" w:lineRule="auto"/>
        <w:jc w:val="both"/>
        <w:rPr>
          <w:rFonts w:eastAsia="Times New Roman" w:cs="Arial"/>
          <w:b/>
          <w:bCs/>
          <w:color w:val="000000" w:themeColor="text1"/>
          <w:sz w:val="24"/>
          <w:szCs w:val="24"/>
        </w:rPr>
      </w:pPr>
    </w:p>
    <w:p w14:paraId="0CE1E610"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Articolo 2.</w:t>
      </w:r>
    </w:p>
    <w:p w14:paraId="51439AED"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(Disposizioni urgenti in materia di investimenti e sicurezza nel settore delle infrastrutture autostradali e idriche)</w:t>
      </w:r>
    </w:p>
    <w:p w14:paraId="299B48E5"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45484804" w14:textId="3653E88B"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1. In considerazione dei provvedimenti di regolazione e limitazione della circolazione stradale adottati nel periodo emergenziale da COVID-19 e della conseguente incidenza di detti provvedimenti sulla dinamica dei transiti sulla rete autostradale all'articolo 13, comma 3, del decreto-legge 30 dicembre 2019, n. 162, convertito, con modificazioni, dalla legge 28 febbraio 2020, n. 8, le parole </w:t>
      </w:r>
      <w:r w:rsidR="0032471E">
        <w:rPr>
          <w:rFonts w:asciiTheme="minorHAnsi" w:hAnsiTheme="minorHAnsi"/>
          <w:color w:val="000000" w:themeColor="text1"/>
          <w:sz w:val="24"/>
          <w:szCs w:val="24"/>
        </w:rPr>
        <w:t xml:space="preserve"> </w:t>
      </w:r>
      <w:r w:rsidR="0032471E" w:rsidRPr="0032471E">
        <w:rPr>
          <w:rFonts w:eastAsia="Times New Roman" w:cs="Arial"/>
          <w:b/>
          <w:bCs/>
          <w:color w:val="000000" w:themeColor="text1"/>
          <w:sz w:val="24"/>
          <w:szCs w:val="24"/>
        </w:rPr>
        <w:t>“relative all'anno 2020 e all'anno 2021” sono sostituite dalle seguenti</w:t>
      </w:r>
      <w:r w:rsidR="0032471E" w:rsidRPr="0032471E">
        <w:rPr>
          <w:rFonts w:eastAsia="Times New Roman" w:cs="Arial"/>
          <w:b/>
          <w:bCs/>
          <w:i/>
          <w:iCs/>
          <w:color w:val="000000" w:themeColor="text1"/>
          <w:sz w:val="24"/>
          <w:szCs w:val="24"/>
        </w:rPr>
        <w:t>:</w:t>
      </w:r>
      <w:r w:rsidR="0032471E" w:rsidRPr="0032471E">
        <w:rPr>
          <w:rFonts w:eastAsia="Times New Roman" w:cs="Arial"/>
          <w:b/>
          <w:bCs/>
          <w:color w:val="000000" w:themeColor="text1"/>
          <w:sz w:val="24"/>
          <w:szCs w:val="24"/>
        </w:rPr>
        <w:t> “relative agli anni 2020 e 2021 e di quelle relative a tutte le annualità comprese nel nuovo periodo regolatorio” e le parole</w:t>
      </w:r>
      <w:r w:rsidR="0032471E">
        <w:rPr>
          <w:rStyle w:val="Rimandonotaapidipagina"/>
          <w:rFonts w:eastAsia="Times New Roman" w:cs="Arial"/>
          <w:b/>
          <w:bCs/>
          <w:color w:val="000000" w:themeColor="text1"/>
          <w:sz w:val="24"/>
          <w:szCs w:val="24"/>
        </w:rPr>
        <w:footnoteReference w:id="47"/>
      </w:r>
      <w:r w:rsidR="0032471E" w:rsidRPr="00660EE5">
        <w:rPr>
          <w:rFonts w:asciiTheme="minorHAnsi" w:hAnsiTheme="minorHAnsi"/>
          <w:color w:val="000000" w:themeColor="text1"/>
          <w:sz w:val="24"/>
          <w:szCs w:val="24"/>
        </w:rPr>
        <w:t xml:space="preserve"> </w:t>
      </w:r>
      <w:r w:rsidRPr="00660EE5">
        <w:rPr>
          <w:rFonts w:asciiTheme="minorHAnsi" w:hAnsiTheme="minorHAnsi"/>
          <w:color w:val="000000" w:themeColor="text1"/>
          <w:sz w:val="24"/>
          <w:szCs w:val="24"/>
        </w:rPr>
        <w:t>«non oltre il 31 luglio 2021» sono sostituite dalle seguenti: «non oltre il 31 dicembre 2021».</w:t>
      </w:r>
    </w:p>
    <w:p w14:paraId="79942EE6" w14:textId="77777777" w:rsidR="0032471E" w:rsidRDefault="0032471E" w:rsidP="00660EE5">
      <w:pPr>
        <w:spacing w:after="0" w:line="240" w:lineRule="auto"/>
        <w:jc w:val="both"/>
        <w:rPr>
          <w:rFonts w:asciiTheme="minorHAnsi" w:hAnsiTheme="minorHAnsi"/>
          <w:color w:val="000000" w:themeColor="text1"/>
          <w:sz w:val="24"/>
          <w:szCs w:val="24"/>
        </w:rPr>
      </w:pPr>
    </w:p>
    <w:p w14:paraId="44D81FE5" w14:textId="77777777" w:rsidR="0032471E" w:rsidRDefault="0032471E" w:rsidP="0032471E">
      <w:pPr>
        <w:shd w:val="clear" w:color="auto" w:fill="FFFFFF"/>
        <w:spacing w:after="0" w:line="240" w:lineRule="auto"/>
        <w:jc w:val="both"/>
        <w:rPr>
          <w:rFonts w:eastAsia="Times New Roman" w:cs="Arial"/>
          <w:b/>
          <w:bCs/>
          <w:color w:val="000000" w:themeColor="text1"/>
          <w:sz w:val="24"/>
          <w:szCs w:val="24"/>
        </w:rPr>
      </w:pPr>
      <w:r w:rsidRPr="00F51981">
        <w:rPr>
          <w:rFonts w:eastAsia="Times New Roman" w:cs="Arial"/>
          <w:b/>
          <w:bCs/>
          <w:color w:val="000000" w:themeColor="text1"/>
          <w:sz w:val="24"/>
          <w:szCs w:val="24"/>
        </w:rPr>
        <w:t>1-</w:t>
      </w:r>
      <w:r w:rsidRPr="00F51981">
        <w:rPr>
          <w:rFonts w:eastAsia="Times New Roman" w:cs="Arial"/>
          <w:b/>
          <w:bCs/>
          <w:i/>
          <w:iCs/>
          <w:color w:val="000000" w:themeColor="text1"/>
          <w:sz w:val="24"/>
          <w:szCs w:val="24"/>
        </w:rPr>
        <w:t>bis.</w:t>
      </w:r>
      <w:r w:rsidRPr="00F51981">
        <w:rPr>
          <w:rFonts w:eastAsia="Times New Roman" w:cs="Arial"/>
          <w:b/>
          <w:bCs/>
          <w:color w:val="000000" w:themeColor="text1"/>
          <w:sz w:val="24"/>
          <w:szCs w:val="24"/>
        </w:rPr>
        <w:t> Al fine di accelerare la realizzazione delle infrastrutture autostradali e l'effettuazione degli interventi di manutenzione straordinaria, nonché di promuovere l'innovazione tecnologica e la sostenibilità delle medesime infrastrutture, l'affidamento delle concessioni relative alla tratta autostradale di cui all'articolo 13-</w:t>
      </w:r>
      <w:r w:rsidRPr="00F51981">
        <w:rPr>
          <w:rFonts w:eastAsia="Times New Roman" w:cs="Arial"/>
          <w:b/>
          <w:bCs/>
          <w:i/>
          <w:iCs/>
          <w:color w:val="000000" w:themeColor="text1"/>
          <w:sz w:val="24"/>
          <w:szCs w:val="24"/>
        </w:rPr>
        <w:t>bis</w:t>
      </w:r>
      <w:r w:rsidRPr="00F51981">
        <w:rPr>
          <w:rFonts w:eastAsia="Times New Roman" w:cs="Arial"/>
          <w:b/>
          <w:bCs/>
          <w:color w:val="000000" w:themeColor="text1"/>
          <w:sz w:val="24"/>
          <w:szCs w:val="24"/>
        </w:rPr>
        <w:t>, comma 2, del decreto-legge 16 ottobre 2017, n. 148, convertito, con modificazioni, dalla legge 4 dicembre 2017, n. 172, può avvenire, in deroga alle previsioni di cui al comma 1 del medesimo articolo 13-</w:t>
      </w:r>
      <w:r w:rsidRPr="00F51981">
        <w:rPr>
          <w:rFonts w:eastAsia="Times New Roman" w:cs="Arial"/>
          <w:b/>
          <w:bCs/>
          <w:i/>
          <w:iCs/>
          <w:color w:val="000000" w:themeColor="text1"/>
          <w:sz w:val="24"/>
          <w:szCs w:val="24"/>
        </w:rPr>
        <w:t>bis</w:t>
      </w:r>
      <w:r w:rsidRPr="00F51981">
        <w:rPr>
          <w:rFonts w:eastAsia="Times New Roman" w:cs="Arial"/>
          <w:b/>
          <w:bCs/>
          <w:color w:val="000000" w:themeColor="text1"/>
          <w:sz w:val="24"/>
          <w:szCs w:val="24"/>
        </w:rPr>
        <w:t xml:space="preserve">, anche facendo ricorso alle procedure previste dall'articolo 183 del decreto legislativo 18 aprile 2016, n. 50, da concludersi entro la data del 31 dicembre 2022. In caso di avvio della procedura di affidamento della concessione secondo le modalità di cui al primo periodo </w:t>
      </w:r>
      <w:r w:rsidRPr="00F51981">
        <w:rPr>
          <w:rFonts w:eastAsia="Times New Roman" w:cs="Arial"/>
          <w:b/>
          <w:bCs/>
          <w:color w:val="000000" w:themeColor="text1"/>
          <w:sz w:val="24"/>
          <w:szCs w:val="24"/>
        </w:rPr>
        <w:lastRenderedPageBreak/>
        <w:t>e nelle more del suo svolgimento, la società Autobrennero Spa, fermo restando quanto previsto dall'articolo 13-</w:t>
      </w:r>
      <w:r w:rsidRPr="00F51981">
        <w:rPr>
          <w:rFonts w:eastAsia="Times New Roman" w:cs="Arial"/>
          <w:b/>
          <w:bCs/>
          <w:i/>
          <w:iCs/>
          <w:color w:val="000000" w:themeColor="text1"/>
          <w:sz w:val="24"/>
          <w:szCs w:val="24"/>
        </w:rPr>
        <w:t>bis</w:t>
      </w:r>
      <w:r w:rsidRPr="00F51981">
        <w:rPr>
          <w:rFonts w:eastAsia="Times New Roman" w:cs="Arial"/>
          <w:b/>
          <w:bCs/>
          <w:color w:val="000000" w:themeColor="text1"/>
          <w:sz w:val="24"/>
          <w:szCs w:val="24"/>
        </w:rPr>
        <w:t>, comma 2, del decreto-legge n. 148 del 2017, provvede, altresì, al versamento all'entrata del bilancio dello Stato, entro i termini di cui ai commi 3 e 4 del citato articolo 13-</w:t>
      </w:r>
      <w:r w:rsidRPr="00F51981">
        <w:rPr>
          <w:rFonts w:eastAsia="Times New Roman" w:cs="Arial"/>
          <w:b/>
          <w:bCs/>
          <w:i/>
          <w:iCs/>
          <w:color w:val="000000" w:themeColor="text1"/>
          <w:sz w:val="24"/>
          <w:szCs w:val="24"/>
        </w:rPr>
        <w:t>bis</w:t>
      </w:r>
      <w:r w:rsidRPr="00F51981">
        <w:rPr>
          <w:rFonts w:eastAsia="Times New Roman" w:cs="Arial"/>
          <w:b/>
          <w:bCs/>
          <w:color w:val="000000" w:themeColor="text1"/>
          <w:sz w:val="24"/>
          <w:szCs w:val="24"/>
        </w:rPr>
        <w:t xml:space="preserve">, di una somma corrispondente agli importi previsti dal medesimo comma 3 in relazione agli anni 2018, 2019, 2020 e 2021, a titolo di acconto delle somme dovute da detta società in forza della delibera del Comitato Interministeriale per la Programmazione Economica, di seguito CIPE, del 1° agosto 2019, pubblicata in Gazzetta Ufficiale della Repubblica italiana n. 225 del 30 ottobre 2019. In caso di affidamento della concessione ad un operatore economico diverso dalla società Autobrennero Spa e qualora le somme effettivamente dovute da detta società in forza della citata delibera CIPE risultino inferiori a quella corrisposte ai sensi del secondo periodo, il concessionario subentrante provvede a versare l'importo differenziale direttamente alla società Autobrennero </w:t>
      </w:r>
      <w:proofErr w:type="spellStart"/>
      <w:r w:rsidRPr="00F51981">
        <w:rPr>
          <w:rFonts w:eastAsia="Times New Roman" w:cs="Arial"/>
          <w:b/>
          <w:bCs/>
          <w:color w:val="000000" w:themeColor="text1"/>
          <w:sz w:val="24"/>
          <w:szCs w:val="24"/>
        </w:rPr>
        <w:t>s.p.a.</w:t>
      </w:r>
      <w:proofErr w:type="spellEnd"/>
      <w:r w:rsidRPr="00F51981">
        <w:rPr>
          <w:rFonts w:eastAsia="Times New Roman" w:cs="Arial"/>
          <w:b/>
          <w:bCs/>
          <w:color w:val="000000" w:themeColor="text1"/>
          <w:sz w:val="24"/>
          <w:szCs w:val="24"/>
        </w:rPr>
        <w:t xml:space="preserve"> mediante riduzione delle somme dovute al Ministero delle infrastrutture e della mobilità sostenibile, in qualità di concedente, a titolo di prezzo della concessione.</w:t>
      </w:r>
    </w:p>
    <w:p w14:paraId="324C753A" w14:textId="77777777" w:rsidR="0032471E" w:rsidRPr="00F51981" w:rsidRDefault="0032471E" w:rsidP="0032471E">
      <w:pPr>
        <w:shd w:val="clear" w:color="auto" w:fill="FFFFFF"/>
        <w:spacing w:after="0" w:line="240" w:lineRule="auto"/>
        <w:jc w:val="both"/>
        <w:rPr>
          <w:rFonts w:eastAsia="Times New Roman" w:cs="Arial"/>
          <w:b/>
          <w:bCs/>
          <w:color w:val="000000" w:themeColor="text1"/>
          <w:sz w:val="24"/>
          <w:szCs w:val="24"/>
        </w:rPr>
      </w:pPr>
      <w:r w:rsidRPr="00F51981">
        <w:rPr>
          <w:rFonts w:eastAsia="Times New Roman" w:cs="Arial"/>
          <w:b/>
          <w:bCs/>
          <w:color w:val="000000" w:themeColor="text1"/>
          <w:sz w:val="24"/>
          <w:szCs w:val="24"/>
        </w:rPr>
        <w:br/>
        <w:t>1-</w:t>
      </w:r>
      <w:r w:rsidRPr="00F51981">
        <w:rPr>
          <w:rFonts w:eastAsia="Times New Roman" w:cs="Arial"/>
          <w:b/>
          <w:bCs/>
          <w:i/>
          <w:iCs/>
          <w:color w:val="000000" w:themeColor="text1"/>
          <w:sz w:val="24"/>
          <w:szCs w:val="24"/>
        </w:rPr>
        <w:t>ter.</w:t>
      </w:r>
      <w:r w:rsidRPr="00F51981">
        <w:rPr>
          <w:rFonts w:eastAsia="Times New Roman" w:cs="Arial"/>
          <w:b/>
          <w:bCs/>
          <w:color w:val="000000" w:themeColor="text1"/>
          <w:sz w:val="24"/>
          <w:szCs w:val="24"/>
        </w:rPr>
        <w:t> Per le medesime finalità di cui al comma 1-</w:t>
      </w:r>
      <w:r w:rsidRPr="00F51981">
        <w:rPr>
          <w:rFonts w:eastAsia="Times New Roman" w:cs="Arial"/>
          <w:b/>
          <w:bCs/>
          <w:i/>
          <w:iCs/>
          <w:color w:val="000000" w:themeColor="text1"/>
          <w:sz w:val="24"/>
          <w:szCs w:val="24"/>
        </w:rPr>
        <w:t>bis</w:t>
      </w:r>
      <w:r w:rsidRPr="00F51981">
        <w:rPr>
          <w:rFonts w:eastAsia="Times New Roman" w:cs="Arial"/>
          <w:b/>
          <w:bCs/>
          <w:color w:val="000000" w:themeColor="text1"/>
          <w:sz w:val="24"/>
          <w:szCs w:val="24"/>
        </w:rPr>
        <w:t>, all'articolo 13–</w:t>
      </w:r>
      <w:r w:rsidRPr="00F51981">
        <w:rPr>
          <w:rFonts w:eastAsia="Times New Roman" w:cs="Arial"/>
          <w:b/>
          <w:bCs/>
          <w:i/>
          <w:iCs/>
          <w:color w:val="000000" w:themeColor="text1"/>
          <w:sz w:val="24"/>
          <w:szCs w:val="24"/>
        </w:rPr>
        <w:t>bis</w:t>
      </w:r>
      <w:r w:rsidRPr="00F51981">
        <w:rPr>
          <w:rFonts w:eastAsia="Times New Roman" w:cs="Arial"/>
          <w:b/>
          <w:bCs/>
          <w:color w:val="000000" w:themeColor="text1"/>
          <w:sz w:val="24"/>
          <w:szCs w:val="24"/>
        </w:rPr>
        <w:t> del decreto-legge 16 ottobre 2017, n. 148, convertito, con modificazioni, dalla legge 4 dicembre 2017, n. 172, sono apportate le seguenti modificazioni:</w:t>
      </w:r>
    </w:p>
    <w:p w14:paraId="3A39EE2A" w14:textId="77777777" w:rsidR="0032471E" w:rsidRPr="00F51981" w:rsidRDefault="0032471E" w:rsidP="0032471E">
      <w:pPr>
        <w:shd w:val="clear" w:color="auto" w:fill="FFFFFF"/>
        <w:spacing w:after="0" w:line="240" w:lineRule="auto"/>
        <w:jc w:val="both"/>
        <w:rPr>
          <w:rFonts w:eastAsia="Times New Roman" w:cs="Arial"/>
          <w:b/>
          <w:bCs/>
          <w:color w:val="000000" w:themeColor="text1"/>
          <w:sz w:val="24"/>
          <w:szCs w:val="24"/>
        </w:rPr>
      </w:pP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a) al comma 2, il primo e il secondo periodo sono sostituiti dai seguenti: «</w:t>
      </w:r>
      <w:r w:rsidRPr="00F51981">
        <w:rPr>
          <w:rFonts w:eastAsia="Times New Roman" w:cs="Arial"/>
          <w:b/>
          <w:bCs/>
          <w:i/>
          <w:iCs/>
          <w:color w:val="000000" w:themeColor="text1"/>
          <w:sz w:val="24"/>
          <w:szCs w:val="24"/>
        </w:rPr>
        <w:t>La società Autobrennero Spa provvede al trasferimento all'entrata del bilancio dello Stato delle risorse accantonate in regime di esenzione fiscale fino alla data di entrata in vigore della presente disposizione nel fondo di cui all'articolo 55, comma 13, della legge 27 dicembre 1997, n. 449, mediante versamenti rateizzati di pari importo, da effettuare entro l'anno 2028. La società Autobrennero Spa provvede al versamento dalla prima rata entro il 15 dicembre 2021 e delle successive rate entro il 15 dicembre di ciascun anno.</w:t>
      </w:r>
      <w:r w:rsidRPr="00F51981">
        <w:rPr>
          <w:rFonts w:eastAsia="Times New Roman" w:cs="Arial"/>
          <w:b/>
          <w:bCs/>
          <w:color w:val="000000" w:themeColor="text1"/>
          <w:sz w:val="24"/>
          <w:szCs w:val="24"/>
        </w:rPr>
        <w:t>»;</w:t>
      </w:r>
    </w:p>
    <w:p w14:paraId="5B728EA8" w14:textId="20221CA2" w:rsidR="0032471E" w:rsidRDefault="0032471E" w:rsidP="0032471E">
      <w:pPr>
        <w:shd w:val="clear" w:color="auto" w:fill="FFFFFF"/>
        <w:spacing w:after="0" w:line="240" w:lineRule="auto"/>
        <w:jc w:val="both"/>
        <w:rPr>
          <w:rFonts w:eastAsia="Times New Roman" w:cs="Arial"/>
          <w:b/>
          <w:bCs/>
          <w:color w:val="000000" w:themeColor="text1"/>
          <w:sz w:val="24"/>
          <w:szCs w:val="24"/>
        </w:rPr>
      </w:pP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b) al comma 4, le parole «</w:t>
      </w:r>
      <w:r w:rsidRPr="00F51981">
        <w:rPr>
          <w:rFonts w:eastAsia="Times New Roman" w:cs="Arial"/>
          <w:b/>
          <w:bCs/>
          <w:i/>
          <w:iCs/>
          <w:color w:val="000000" w:themeColor="text1"/>
          <w:sz w:val="24"/>
          <w:szCs w:val="24"/>
        </w:rPr>
        <w:t>entro il 31 luglio 2021</w:t>
      </w:r>
      <w:r w:rsidRPr="00F51981">
        <w:rPr>
          <w:rFonts w:eastAsia="Times New Roman" w:cs="Arial"/>
          <w:b/>
          <w:bCs/>
          <w:color w:val="000000" w:themeColor="text1"/>
          <w:sz w:val="24"/>
          <w:szCs w:val="24"/>
        </w:rPr>
        <w:t>» sono sostituite dalle seguenti: «</w:t>
      </w:r>
      <w:r w:rsidRPr="00F51981">
        <w:rPr>
          <w:rFonts w:eastAsia="Times New Roman" w:cs="Arial"/>
          <w:b/>
          <w:bCs/>
          <w:i/>
          <w:iCs/>
          <w:color w:val="000000" w:themeColor="text1"/>
          <w:sz w:val="24"/>
          <w:szCs w:val="24"/>
        </w:rPr>
        <w:t>entro il 15 dicembre 2021</w:t>
      </w:r>
      <w:r w:rsidRPr="00F51981">
        <w:rPr>
          <w:rFonts w:eastAsia="Times New Roman" w:cs="Arial"/>
          <w:b/>
          <w:bCs/>
          <w:color w:val="000000" w:themeColor="text1"/>
          <w:sz w:val="24"/>
          <w:szCs w:val="24"/>
        </w:rPr>
        <w:t>» e le parole «</w:t>
      </w:r>
      <w:r w:rsidRPr="00F51981">
        <w:rPr>
          <w:rFonts w:eastAsia="Times New Roman" w:cs="Arial"/>
          <w:b/>
          <w:bCs/>
          <w:i/>
          <w:iCs/>
          <w:color w:val="000000" w:themeColor="text1"/>
          <w:sz w:val="24"/>
          <w:szCs w:val="24"/>
        </w:rPr>
        <w:t>entro il 30 giugno 2021</w:t>
      </w:r>
      <w:r w:rsidRPr="00F51981">
        <w:rPr>
          <w:rFonts w:eastAsia="Times New Roman" w:cs="Arial"/>
          <w:b/>
          <w:bCs/>
          <w:color w:val="000000" w:themeColor="text1"/>
          <w:sz w:val="24"/>
          <w:szCs w:val="24"/>
        </w:rPr>
        <w:t>» sono sostituite dalle seguenti: «</w:t>
      </w:r>
      <w:r w:rsidRPr="00F51981">
        <w:rPr>
          <w:rFonts w:eastAsia="Times New Roman" w:cs="Arial"/>
          <w:b/>
          <w:bCs/>
          <w:i/>
          <w:iCs/>
          <w:color w:val="000000" w:themeColor="text1"/>
          <w:sz w:val="24"/>
          <w:szCs w:val="24"/>
        </w:rPr>
        <w:t>entro il 21 dicembre 2021</w:t>
      </w:r>
      <w:r w:rsidRPr="00F51981">
        <w:rPr>
          <w:rFonts w:eastAsia="Times New Roman" w:cs="Arial"/>
          <w:b/>
          <w:bCs/>
          <w:color w:val="000000" w:themeColor="text1"/>
          <w:sz w:val="24"/>
          <w:szCs w:val="24"/>
        </w:rPr>
        <w:t>».</w:t>
      </w:r>
      <w:r>
        <w:rPr>
          <w:rStyle w:val="Rimandonotaapidipagina"/>
          <w:rFonts w:eastAsia="Times New Roman" w:cs="Arial"/>
          <w:b/>
          <w:bCs/>
          <w:color w:val="000000" w:themeColor="text1"/>
          <w:sz w:val="24"/>
          <w:szCs w:val="24"/>
        </w:rPr>
        <w:footnoteReference w:id="48"/>
      </w:r>
    </w:p>
    <w:p w14:paraId="00FF9E98" w14:textId="451DB7D4" w:rsidR="00660EE5" w:rsidRPr="00660EE5" w:rsidRDefault="0032471E" w:rsidP="0032471E">
      <w:pPr>
        <w:shd w:val="clear" w:color="auto" w:fill="FFFFFF"/>
        <w:spacing w:after="0" w:line="240" w:lineRule="auto"/>
        <w:jc w:val="both"/>
        <w:rPr>
          <w:rFonts w:asciiTheme="minorHAnsi" w:hAnsiTheme="minorHAnsi"/>
          <w:color w:val="000000" w:themeColor="text1"/>
          <w:sz w:val="24"/>
          <w:szCs w:val="24"/>
        </w:rPr>
      </w:pPr>
      <w:r w:rsidRPr="00155015">
        <w:rPr>
          <w:rFonts w:eastAsia="Times New Roman" w:cs="Arial"/>
          <w:color w:val="000000" w:themeColor="text1"/>
          <w:sz w:val="24"/>
          <w:szCs w:val="24"/>
        </w:rPr>
        <w:br/>
      </w:r>
      <w:r w:rsidR="00660EE5" w:rsidRPr="00660EE5">
        <w:rPr>
          <w:rFonts w:asciiTheme="minorHAnsi" w:hAnsiTheme="minorHAnsi"/>
          <w:color w:val="000000" w:themeColor="text1"/>
          <w:sz w:val="24"/>
          <w:szCs w:val="24"/>
        </w:rPr>
        <w:t> </w:t>
      </w:r>
    </w:p>
    <w:p w14:paraId="6973D83A" w14:textId="6D7AF5E0" w:rsid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2. In considerazione del calo di traffico registrato sulle autostrade italiane derivante dall'emergenza epidemiologica da COVID-19 e dalle relative misure di limitazione del contagio adottate dallo Stato e dalle regioni, al fine di contenere i conseguenti effetti economici e di salvaguardare i livelli occupazionali, è prorogata di due anni la durata delle concessioni in corso alla data di entrata in vigore del presente decreto, relative ai servizi di distribuzione di </w:t>
      </w:r>
      <w:proofErr w:type="spellStart"/>
      <w:r w:rsidRPr="00660EE5">
        <w:rPr>
          <w:rFonts w:asciiTheme="minorHAnsi" w:hAnsiTheme="minorHAnsi"/>
          <w:color w:val="000000" w:themeColor="text1"/>
          <w:sz w:val="24"/>
          <w:szCs w:val="24"/>
        </w:rPr>
        <w:t>carbolubrificanti</w:t>
      </w:r>
      <w:proofErr w:type="spellEnd"/>
      <w:r w:rsidRPr="00660EE5">
        <w:rPr>
          <w:rFonts w:asciiTheme="minorHAnsi" w:hAnsiTheme="minorHAnsi"/>
          <w:color w:val="000000" w:themeColor="text1"/>
          <w:sz w:val="24"/>
          <w:szCs w:val="24"/>
        </w:rPr>
        <w:t xml:space="preserve"> e ai servizi di ristoro sulla rete autostradale. La proroga non si applica in presenza di procedure di evidenza pubblica finalizzate al nuovo affidamento delle concessioni di cui al primo periodo e già definite con l'aggiudicazione alla data di entrata in vigore del presente decreto.</w:t>
      </w:r>
    </w:p>
    <w:p w14:paraId="213779C7" w14:textId="6847943E" w:rsidR="0032471E" w:rsidRDefault="0032471E" w:rsidP="00660EE5">
      <w:pPr>
        <w:spacing w:after="0" w:line="240" w:lineRule="auto"/>
        <w:jc w:val="both"/>
        <w:rPr>
          <w:rFonts w:asciiTheme="minorHAnsi" w:hAnsiTheme="minorHAnsi"/>
          <w:color w:val="000000" w:themeColor="text1"/>
          <w:sz w:val="24"/>
          <w:szCs w:val="24"/>
        </w:rPr>
      </w:pPr>
    </w:p>
    <w:p w14:paraId="2A764A00" w14:textId="4ED2BBDD" w:rsidR="0032471E" w:rsidRDefault="0032471E" w:rsidP="0032471E">
      <w:pPr>
        <w:shd w:val="clear" w:color="auto" w:fill="FFFFFF"/>
        <w:spacing w:after="0" w:line="240" w:lineRule="auto"/>
        <w:jc w:val="both"/>
        <w:rPr>
          <w:rFonts w:eastAsia="Times New Roman" w:cs="Arial"/>
          <w:b/>
          <w:bCs/>
          <w:color w:val="000000" w:themeColor="text1"/>
          <w:sz w:val="24"/>
          <w:szCs w:val="24"/>
        </w:rPr>
      </w:pPr>
      <w:r w:rsidRPr="00F51981">
        <w:rPr>
          <w:rFonts w:eastAsia="Times New Roman" w:cs="Arial"/>
          <w:b/>
          <w:bCs/>
          <w:color w:val="000000" w:themeColor="text1"/>
          <w:sz w:val="24"/>
          <w:szCs w:val="24"/>
        </w:rPr>
        <w:lastRenderedPageBreak/>
        <w:t>2-</w:t>
      </w:r>
      <w:r w:rsidRPr="00F51981">
        <w:rPr>
          <w:rFonts w:eastAsia="Times New Roman" w:cs="Arial"/>
          <w:b/>
          <w:bCs/>
          <w:i/>
          <w:iCs/>
          <w:color w:val="000000" w:themeColor="text1"/>
          <w:sz w:val="24"/>
          <w:szCs w:val="24"/>
        </w:rPr>
        <w:t>bis.</w:t>
      </w:r>
      <w:r w:rsidRPr="00F51981">
        <w:rPr>
          <w:rFonts w:eastAsia="Times New Roman" w:cs="Arial"/>
          <w:b/>
          <w:bCs/>
          <w:color w:val="000000" w:themeColor="text1"/>
          <w:sz w:val="24"/>
          <w:szCs w:val="24"/>
        </w:rPr>
        <w:t> All'articolo 9-</w:t>
      </w:r>
      <w:r w:rsidRPr="00F51981">
        <w:rPr>
          <w:rFonts w:eastAsia="Times New Roman" w:cs="Arial"/>
          <w:b/>
          <w:bCs/>
          <w:i/>
          <w:iCs/>
          <w:color w:val="000000" w:themeColor="text1"/>
          <w:sz w:val="24"/>
          <w:szCs w:val="24"/>
        </w:rPr>
        <w:t>tricies semel</w:t>
      </w:r>
      <w:r w:rsidRPr="00F51981">
        <w:rPr>
          <w:rFonts w:eastAsia="Times New Roman" w:cs="Arial"/>
          <w:b/>
          <w:bCs/>
          <w:color w:val="000000" w:themeColor="text1"/>
          <w:sz w:val="24"/>
          <w:szCs w:val="24"/>
        </w:rPr>
        <w:t>, comma 1, del decreto-legge 24 ottobre 2019, n. 123, convertito, con modificazioni, dalla legge 12 dicembre 2019, n. 156, le parole: «31 ottobre 2021» ovunque ricorrano sono sostituite dalla seguente: «31 dicembre 2021».</w:t>
      </w:r>
      <w:r>
        <w:rPr>
          <w:rStyle w:val="Rimandonotaapidipagina"/>
          <w:rFonts w:eastAsia="Times New Roman" w:cs="Arial"/>
          <w:b/>
          <w:bCs/>
          <w:color w:val="000000" w:themeColor="text1"/>
          <w:sz w:val="24"/>
          <w:szCs w:val="24"/>
        </w:rPr>
        <w:footnoteReference w:id="49"/>
      </w:r>
    </w:p>
    <w:p w14:paraId="057DDAFD" w14:textId="4846DD3F" w:rsidR="0032471E" w:rsidRDefault="0032471E" w:rsidP="0032471E">
      <w:pPr>
        <w:shd w:val="clear" w:color="auto" w:fill="FFFFFF"/>
        <w:spacing w:after="0" w:line="240" w:lineRule="auto"/>
        <w:jc w:val="both"/>
        <w:rPr>
          <w:rFonts w:eastAsia="Times New Roman" w:cs="Arial"/>
          <w:b/>
          <w:bCs/>
          <w:color w:val="000000" w:themeColor="text1"/>
          <w:sz w:val="24"/>
          <w:szCs w:val="24"/>
        </w:rPr>
      </w:pPr>
    </w:p>
    <w:p w14:paraId="531BCA49" w14:textId="77777777" w:rsidR="0032471E" w:rsidRDefault="0032471E" w:rsidP="0032471E">
      <w:pPr>
        <w:shd w:val="clear" w:color="auto" w:fill="FFFFFF"/>
        <w:spacing w:after="0" w:line="240" w:lineRule="auto"/>
        <w:jc w:val="both"/>
        <w:rPr>
          <w:rFonts w:eastAsia="Times New Roman" w:cs="Arial"/>
          <w:b/>
          <w:bCs/>
          <w:color w:val="000000" w:themeColor="text1"/>
          <w:sz w:val="24"/>
          <w:szCs w:val="24"/>
        </w:rPr>
      </w:pPr>
      <w:r w:rsidRPr="00F51981">
        <w:rPr>
          <w:rFonts w:eastAsia="Times New Roman" w:cs="Arial"/>
          <w:b/>
          <w:bCs/>
          <w:i/>
          <w:iCs/>
          <w:color w:val="000000" w:themeColor="text1"/>
          <w:sz w:val="24"/>
          <w:szCs w:val="24"/>
        </w:rPr>
        <w:t>2-bis.</w:t>
      </w:r>
      <w:r w:rsidRPr="00F51981">
        <w:rPr>
          <w:rFonts w:eastAsia="Times New Roman" w:cs="Arial"/>
          <w:b/>
          <w:bCs/>
          <w:color w:val="000000" w:themeColor="text1"/>
          <w:sz w:val="24"/>
          <w:szCs w:val="24"/>
        </w:rPr>
        <w:t> Al fine di ridurre i tempi di realizzazione dell'intervento viario Tarquinia-San Pietro in Palazzi, di cui all'articolo 35, comma 1-</w:t>
      </w:r>
      <w:r w:rsidRPr="00F51981">
        <w:rPr>
          <w:rFonts w:eastAsia="Times New Roman" w:cs="Arial"/>
          <w:b/>
          <w:bCs/>
          <w:i/>
          <w:iCs/>
          <w:color w:val="000000" w:themeColor="text1"/>
          <w:sz w:val="24"/>
          <w:szCs w:val="24"/>
        </w:rPr>
        <w:t>ter</w:t>
      </w:r>
      <w:r w:rsidRPr="00F51981">
        <w:rPr>
          <w:rFonts w:eastAsia="Times New Roman" w:cs="Arial"/>
          <w:b/>
          <w:bCs/>
          <w:color w:val="000000" w:themeColor="text1"/>
          <w:sz w:val="24"/>
          <w:szCs w:val="24"/>
        </w:rPr>
        <w:t>, quarto periodo, del decreto–legge 30 dicembre 2019, n. 162, convertito, con modificazioni, dalla legge 28 febbraio 2020, n. 8, nella more della definizione del procedimento di revisione della concessione di cui al terzo periodo del medesimo articolo 35, comma 1-</w:t>
      </w:r>
      <w:r w:rsidRPr="00F51981">
        <w:rPr>
          <w:rFonts w:eastAsia="Times New Roman" w:cs="Arial"/>
          <w:b/>
          <w:bCs/>
          <w:i/>
          <w:iCs/>
          <w:color w:val="000000" w:themeColor="text1"/>
          <w:sz w:val="24"/>
          <w:szCs w:val="24"/>
        </w:rPr>
        <w:t>ter</w:t>
      </w:r>
      <w:r w:rsidRPr="00F51981">
        <w:rPr>
          <w:rFonts w:eastAsia="Times New Roman" w:cs="Arial"/>
          <w:b/>
          <w:bCs/>
          <w:color w:val="000000" w:themeColor="text1"/>
          <w:sz w:val="24"/>
          <w:szCs w:val="24"/>
        </w:rPr>
        <w:t xml:space="preserve">, è autorizzato l'acquisto da parte della società ANAS Spa dei progetti elaborati dalla Società Autostrada tirrenica Spa relativi al predetto intervento viario, previo pagamento di un corrispettivo determinato avendo riguardo ai soli costi di progettazione e ai diritti sulle opere dell'ingegno di cui all'articolo 2578 del codice civile. Per le finalità di cui al primo periodo, la società ANAS Spa provvede ad acquisire preventivamente il parere del Consiglio superiore dei lavori pubblici, che si pronuncia entro trenta giorni dalla data di ricezione della richiesta, in relazione alle eventuali integrazioni o modifiche da apportare ai </w:t>
      </w:r>
      <w:proofErr w:type="gramStart"/>
      <w:r w:rsidRPr="00F51981">
        <w:rPr>
          <w:rFonts w:eastAsia="Times New Roman" w:cs="Arial"/>
          <w:b/>
          <w:bCs/>
          <w:color w:val="000000" w:themeColor="text1"/>
          <w:sz w:val="24"/>
          <w:szCs w:val="24"/>
        </w:rPr>
        <w:t>predetti</w:t>
      </w:r>
      <w:proofErr w:type="gramEnd"/>
      <w:r w:rsidRPr="00F51981">
        <w:rPr>
          <w:rFonts w:eastAsia="Times New Roman" w:cs="Arial"/>
          <w:b/>
          <w:bCs/>
          <w:color w:val="000000" w:themeColor="text1"/>
          <w:sz w:val="24"/>
          <w:szCs w:val="24"/>
        </w:rPr>
        <w:t xml:space="preserve"> progetti, nonché all'entità del corrispettivo da riconoscere secondo i criteri di cui al primo periodo.</w:t>
      </w:r>
    </w:p>
    <w:p w14:paraId="3748FE61" w14:textId="6C2C23F7" w:rsidR="0032471E" w:rsidRPr="00F51981" w:rsidRDefault="0032471E" w:rsidP="0032471E">
      <w:pPr>
        <w:shd w:val="clear" w:color="auto" w:fill="FFFFFF"/>
        <w:spacing w:after="0" w:line="240" w:lineRule="auto"/>
        <w:jc w:val="both"/>
        <w:rPr>
          <w:rFonts w:eastAsia="Times New Roman" w:cs="Arial"/>
          <w:b/>
          <w:bCs/>
          <w:color w:val="000000" w:themeColor="text1"/>
          <w:sz w:val="24"/>
          <w:szCs w:val="24"/>
        </w:rPr>
      </w:pP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p>
    <w:p w14:paraId="0653960D" w14:textId="6428A280" w:rsidR="0032471E" w:rsidRDefault="0032471E" w:rsidP="0032471E">
      <w:pPr>
        <w:shd w:val="clear" w:color="auto" w:fill="FFFFFF"/>
        <w:spacing w:after="0" w:line="240" w:lineRule="auto"/>
        <w:jc w:val="both"/>
        <w:rPr>
          <w:rFonts w:eastAsia="Times New Roman" w:cs="Arial"/>
          <w:b/>
          <w:bCs/>
          <w:color w:val="000000" w:themeColor="text1"/>
          <w:sz w:val="24"/>
          <w:szCs w:val="24"/>
        </w:rPr>
      </w:pPr>
      <w:r w:rsidRPr="00F51981">
        <w:rPr>
          <w:rFonts w:eastAsia="Times New Roman" w:cs="Arial"/>
          <w:b/>
          <w:bCs/>
          <w:i/>
          <w:iCs/>
          <w:color w:val="000000" w:themeColor="text1"/>
          <w:sz w:val="24"/>
          <w:szCs w:val="24"/>
        </w:rPr>
        <w:t>2-ter.</w:t>
      </w:r>
      <w:r w:rsidRPr="00F51981">
        <w:rPr>
          <w:rFonts w:eastAsia="Times New Roman" w:cs="Arial"/>
          <w:b/>
          <w:bCs/>
          <w:color w:val="000000" w:themeColor="text1"/>
          <w:sz w:val="24"/>
          <w:szCs w:val="24"/>
        </w:rPr>
        <w:t> Agli oneri derivanti dal comma 2-</w:t>
      </w:r>
      <w:r w:rsidRPr="00F51981">
        <w:rPr>
          <w:rFonts w:eastAsia="Times New Roman" w:cs="Arial"/>
          <w:b/>
          <w:bCs/>
          <w:i/>
          <w:iCs/>
          <w:color w:val="000000" w:themeColor="text1"/>
          <w:sz w:val="24"/>
          <w:szCs w:val="24"/>
        </w:rPr>
        <w:t>bis</w:t>
      </w:r>
      <w:r w:rsidRPr="00F51981">
        <w:rPr>
          <w:rFonts w:eastAsia="Times New Roman" w:cs="Arial"/>
          <w:b/>
          <w:bCs/>
          <w:color w:val="000000" w:themeColor="text1"/>
          <w:sz w:val="24"/>
          <w:szCs w:val="24"/>
        </w:rPr>
        <w:t>, pari a euro 36,5 milioni di euro per l'anno 2021, si provvede, quanto a 35,8 milioni di euro mediante corrispondente riduzione dello stanziamento del fondo speciale di conto capitale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delle infrastrutture e dei trasporti, e quanto a 700.000 euro mediante corrispondente riduzione dell'autorizzazione di spesa di cui all'articolo 1, comma 1016, della legge 27 dicembre 2006, n. 296.</w:t>
      </w:r>
      <w:r>
        <w:rPr>
          <w:rStyle w:val="Rimandonotaapidipagina"/>
          <w:rFonts w:eastAsia="Times New Roman" w:cs="Arial"/>
          <w:b/>
          <w:bCs/>
          <w:color w:val="000000" w:themeColor="text1"/>
          <w:sz w:val="24"/>
          <w:szCs w:val="24"/>
        </w:rPr>
        <w:footnoteReference w:id="50"/>
      </w:r>
    </w:p>
    <w:p w14:paraId="083105D9" w14:textId="160FEB47" w:rsidR="0032471E" w:rsidRDefault="0032471E" w:rsidP="0032471E">
      <w:pPr>
        <w:shd w:val="clear" w:color="auto" w:fill="FFFFFF"/>
        <w:spacing w:after="0" w:line="240" w:lineRule="auto"/>
        <w:jc w:val="both"/>
        <w:rPr>
          <w:rFonts w:eastAsia="Times New Roman" w:cs="Arial"/>
          <w:b/>
          <w:bCs/>
          <w:color w:val="000000" w:themeColor="text1"/>
          <w:sz w:val="24"/>
          <w:szCs w:val="24"/>
        </w:rPr>
      </w:pPr>
      <w:r w:rsidRPr="00155015">
        <w:rPr>
          <w:rFonts w:eastAsia="Times New Roman" w:cs="Arial"/>
          <w:color w:val="000000" w:themeColor="text1"/>
          <w:sz w:val="24"/>
          <w:szCs w:val="24"/>
        </w:rPr>
        <w:br/>
      </w:r>
      <w:r w:rsidRPr="00F51981">
        <w:rPr>
          <w:rFonts w:eastAsia="Times New Roman" w:cs="Arial"/>
          <w:b/>
          <w:bCs/>
          <w:color w:val="000000" w:themeColor="text1"/>
          <w:sz w:val="24"/>
          <w:szCs w:val="24"/>
        </w:rPr>
        <w:t>2-</w:t>
      </w:r>
      <w:r w:rsidRPr="00F51981">
        <w:rPr>
          <w:rFonts w:eastAsia="Times New Roman" w:cs="Arial"/>
          <w:b/>
          <w:bCs/>
          <w:i/>
          <w:iCs/>
          <w:color w:val="000000" w:themeColor="text1"/>
          <w:sz w:val="24"/>
          <w:szCs w:val="24"/>
        </w:rPr>
        <w:t>bis</w:t>
      </w:r>
      <w:r w:rsidRPr="00F51981">
        <w:rPr>
          <w:rFonts w:eastAsia="Times New Roman" w:cs="Arial"/>
          <w:b/>
          <w:bCs/>
          <w:color w:val="000000" w:themeColor="text1"/>
          <w:sz w:val="24"/>
          <w:szCs w:val="24"/>
        </w:rPr>
        <w:t xml:space="preserve">. Al fine di favorire il superamento della grave crisi derivante dalle complesse problematiche del traffico e della mobilità lungo la rete stradale e autostradale della regione Liguria, nelle more della definizione del contratto di programma tra il Ministero delle infrastrutture e delle mobilità sostenibili e la società ANAS Spa relativo al periodo 2021-2025, è assegnato alla società ANAS un contributo di 3 milioni di euro per l'anno 2022 e di 5 milioni di euro per l'anno 2023 da destinare alla redazione della progettazione di fattibilità tecnico – economica relativa all'adeguamento e alla messa in sicurezza della strada statale 1 via Aurelia nel tratto compreso tra il comune di Sanremo e il comune di Ventimiglia. Ai relativi oneri si provvede mediante corrispondente riduzione delle proiezioni per i medesimi anni dello stanziamento del fondo speciale di conto capitale iscritto, ai fini del bilancio triennale 2021-2023, nell'ambito del programma «Fondi di riserva e speciali» della missione «Fondi da ripartire» dello stato </w:t>
      </w:r>
      <w:r w:rsidRPr="00F51981">
        <w:rPr>
          <w:rFonts w:eastAsia="Times New Roman" w:cs="Arial"/>
          <w:b/>
          <w:bCs/>
          <w:color w:val="000000" w:themeColor="text1"/>
          <w:sz w:val="24"/>
          <w:szCs w:val="24"/>
        </w:rPr>
        <w:lastRenderedPageBreak/>
        <w:t>di previsione del Ministero dell'economia e delle finanze per l'anno 2021, allo scopo parzialmente utilizzando l'accantonamento relativo al Ministero delle infrastrutture e dei trasporti.</w:t>
      </w:r>
      <w:r>
        <w:rPr>
          <w:rStyle w:val="Rimandonotaapidipagina"/>
          <w:rFonts w:eastAsia="Times New Roman" w:cs="Arial"/>
          <w:color w:val="000000" w:themeColor="text1"/>
          <w:sz w:val="24"/>
          <w:szCs w:val="24"/>
        </w:rPr>
        <w:footnoteReference w:id="51"/>
      </w:r>
    </w:p>
    <w:p w14:paraId="7BC1CD58" w14:textId="54EF9EE8" w:rsidR="00240A1E" w:rsidRDefault="00240A1E" w:rsidP="0032471E">
      <w:pPr>
        <w:shd w:val="clear" w:color="auto" w:fill="FFFFFF"/>
        <w:spacing w:after="0" w:line="240" w:lineRule="auto"/>
        <w:jc w:val="both"/>
        <w:rPr>
          <w:rFonts w:eastAsia="Times New Roman" w:cs="Arial"/>
          <w:b/>
          <w:bCs/>
          <w:color w:val="000000" w:themeColor="text1"/>
          <w:sz w:val="24"/>
          <w:szCs w:val="24"/>
        </w:rPr>
      </w:pPr>
    </w:p>
    <w:p w14:paraId="0610F125" w14:textId="77777777" w:rsidR="00240A1E" w:rsidRDefault="00240A1E" w:rsidP="00240A1E">
      <w:pPr>
        <w:shd w:val="clear" w:color="auto" w:fill="FFFFFF"/>
        <w:spacing w:after="0" w:line="240" w:lineRule="auto"/>
        <w:jc w:val="both"/>
        <w:rPr>
          <w:rFonts w:eastAsia="Times New Roman" w:cs="Arial"/>
          <w:b/>
          <w:bCs/>
          <w:color w:val="000000" w:themeColor="text1"/>
          <w:sz w:val="24"/>
          <w:szCs w:val="24"/>
        </w:rPr>
      </w:pPr>
      <w:r w:rsidRPr="003A05F4">
        <w:rPr>
          <w:rFonts w:eastAsia="Times New Roman" w:cs="Arial"/>
          <w:b/>
          <w:bCs/>
          <w:color w:val="000000" w:themeColor="text1"/>
          <w:sz w:val="24"/>
          <w:szCs w:val="24"/>
        </w:rPr>
        <w:t>2-</w:t>
      </w:r>
      <w:r w:rsidRPr="003A05F4">
        <w:rPr>
          <w:rFonts w:eastAsia="Times New Roman" w:cs="Arial"/>
          <w:b/>
          <w:bCs/>
          <w:i/>
          <w:iCs/>
          <w:color w:val="000000" w:themeColor="text1"/>
          <w:sz w:val="24"/>
          <w:szCs w:val="24"/>
        </w:rPr>
        <w:t>bis.</w:t>
      </w:r>
      <w:r w:rsidRPr="003A05F4">
        <w:rPr>
          <w:rFonts w:eastAsia="Times New Roman" w:cs="Arial"/>
          <w:b/>
          <w:bCs/>
          <w:color w:val="000000" w:themeColor="text1"/>
          <w:sz w:val="24"/>
          <w:szCs w:val="24"/>
        </w:rPr>
        <w:t> Per l'esercizio dell'attività di gestione delle autostrade statali in regime di concessione mediante affidamenti </w:t>
      </w:r>
      <w:r w:rsidRPr="003A05F4">
        <w:rPr>
          <w:rFonts w:eastAsia="Times New Roman" w:cs="Arial"/>
          <w:b/>
          <w:bCs/>
          <w:i/>
          <w:iCs/>
          <w:color w:val="000000" w:themeColor="text1"/>
          <w:sz w:val="24"/>
          <w:szCs w:val="24"/>
        </w:rPr>
        <w:t>in house</w:t>
      </w:r>
      <w:r w:rsidRPr="003A05F4">
        <w:rPr>
          <w:rFonts w:eastAsia="Times New Roman" w:cs="Arial"/>
          <w:b/>
          <w:bCs/>
          <w:color w:val="000000" w:themeColor="text1"/>
          <w:sz w:val="24"/>
          <w:szCs w:val="24"/>
        </w:rPr>
        <w:t> ai sensi dell'articolo 5 del decreto legislativo 18 aprile 2016, n. 50, è autorizzata la costituzione di una nuova società, interamente controllata dal Ministero dell'economia e delle finanze e soggetta al controllo analogo del Ministero delle infrastrutture e della mobilità sostenibili.</w:t>
      </w:r>
    </w:p>
    <w:p w14:paraId="52FFD176" w14:textId="77777777" w:rsidR="00240A1E" w:rsidRPr="003A05F4" w:rsidRDefault="00240A1E" w:rsidP="00240A1E">
      <w:pPr>
        <w:shd w:val="clear" w:color="auto" w:fill="FFFFFF"/>
        <w:spacing w:after="0" w:line="240" w:lineRule="auto"/>
        <w:jc w:val="both"/>
        <w:rPr>
          <w:rFonts w:eastAsia="Times New Roman" w:cs="Arial"/>
          <w:b/>
          <w:bCs/>
          <w:color w:val="000000" w:themeColor="text1"/>
          <w:sz w:val="24"/>
          <w:szCs w:val="24"/>
        </w:rPr>
      </w:pPr>
      <w:r w:rsidRPr="003A05F4">
        <w:rPr>
          <w:rFonts w:eastAsia="Times New Roman" w:cs="Arial"/>
          <w:b/>
          <w:bCs/>
          <w:color w:val="000000" w:themeColor="text1"/>
          <w:sz w:val="24"/>
          <w:szCs w:val="24"/>
        </w:rPr>
        <w:t> </w:t>
      </w:r>
      <w:r w:rsidRPr="003A05F4">
        <w:rPr>
          <w:rFonts w:eastAsia="Times New Roman" w:cs="Arial"/>
          <w:b/>
          <w:bCs/>
          <w:color w:val="000000" w:themeColor="text1"/>
          <w:sz w:val="24"/>
          <w:szCs w:val="24"/>
        </w:rPr>
        <w:t> </w:t>
      </w:r>
      <w:r w:rsidRPr="003A05F4">
        <w:rPr>
          <w:rFonts w:eastAsia="Times New Roman" w:cs="Arial"/>
          <w:b/>
          <w:bCs/>
          <w:color w:val="000000" w:themeColor="text1"/>
          <w:sz w:val="24"/>
          <w:szCs w:val="24"/>
        </w:rPr>
        <w:t> </w:t>
      </w:r>
    </w:p>
    <w:p w14:paraId="3B137E79" w14:textId="77777777" w:rsidR="00240A1E" w:rsidRDefault="00240A1E" w:rsidP="00240A1E">
      <w:pPr>
        <w:shd w:val="clear" w:color="auto" w:fill="FFFFFF"/>
        <w:spacing w:after="0" w:line="240" w:lineRule="auto"/>
        <w:jc w:val="both"/>
        <w:rPr>
          <w:rFonts w:eastAsia="Times New Roman" w:cs="Arial"/>
          <w:b/>
          <w:bCs/>
          <w:color w:val="000000" w:themeColor="text1"/>
          <w:sz w:val="24"/>
          <w:szCs w:val="24"/>
        </w:rPr>
      </w:pPr>
      <w:r w:rsidRPr="003A05F4">
        <w:rPr>
          <w:rFonts w:eastAsia="Times New Roman" w:cs="Arial"/>
          <w:b/>
          <w:bCs/>
          <w:color w:val="000000" w:themeColor="text1"/>
          <w:sz w:val="24"/>
          <w:szCs w:val="24"/>
        </w:rPr>
        <w:t>2-</w:t>
      </w:r>
      <w:r w:rsidRPr="003A05F4">
        <w:rPr>
          <w:rFonts w:eastAsia="Times New Roman" w:cs="Arial"/>
          <w:b/>
          <w:bCs/>
          <w:i/>
          <w:iCs/>
          <w:color w:val="000000" w:themeColor="text1"/>
          <w:sz w:val="24"/>
          <w:szCs w:val="24"/>
        </w:rPr>
        <w:t>ter</w:t>
      </w:r>
      <w:r w:rsidRPr="003A05F4">
        <w:rPr>
          <w:rFonts w:eastAsia="Times New Roman" w:cs="Arial"/>
          <w:b/>
          <w:bCs/>
          <w:color w:val="000000" w:themeColor="text1"/>
          <w:sz w:val="24"/>
          <w:szCs w:val="24"/>
        </w:rPr>
        <w:t>. Con decreto del Presidente del Consiglio dei ministri, adottato su proposta del Ministro dell'economia e delle finanze e del Ministro delle infrastrutture e della mobilità sostenibili, sono definiti l'atto costitutivo e lo statuto sociale, sono nominati gli organi sociali per il primo periodo di durata in carica, anche in deroga alle disposizioni di cui al decreto legislativo 19 agosto 2016, n. 175, sono stabilite le remunerazioni degli stessi organi ai sensi dell'articolo 2389, primo comma, del codice civile e sono definiti i criteri, in riferimento al mercato, per la remunerazione degli amministratori investiti di particolari cariche da parte del consiglio di amministrazione ai sensi dell'articolo 2389, terzo comma, del codice civile, in deroga dall'articolo 23-</w:t>
      </w:r>
      <w:r w:rsidRPr="003A05F4">
        <w:rPr>
          <w:rFonts w:eastAsia="Times New Roman" w:cs="Arial"/>
          <w:b/>
          <w:bCs/>
          <w:i/>
          <w:iCs/>
          <w:color w:val="000000" w:themeColor="text1"/>
          <w:sz w:val="24"/>
          <w:szCs w:val="24"/>
        </w:rPr>
        <w:t>bis</w:t>
      </w:r>
      <w:r w:rsidRPr="003A05F4">
        <w:rPr>
          <w:rFonts w:eastAsia="Times New Roman" w:cs="Arial"/>
          <w:b/>
          <w:bCs/>
          <w:color w:val="000000" w:themeColor="text1"/>
          <w:sz w:val="24"/>
          <w:szCs w:val="24"/>
        </w:rPr>
        <w:t xml:space="preserve"> del decreto-legge 6 dicembre 2011, n. 201, convertito, con modificazioni, dalla legge 22 dicembre 2011, n. 214. Le successive modifiche allo statuto e le successive nomine dei componenti degli organi sociali sono deliberate a norma del </w:t>
      </w:r>
      <w:proofErr w:type="gramStart"/>
      <w:r w:rsidRPr="003A05F4">
        <w:rPr>
          <w:rFonts w:eastAsia="Times New Roman" w:cs="Arial"/>
          <w:b/>
          <w:bCs/>
          <w:color w:val="000000" w:themeColor="text1"/>
          <w:sz w:val="24"/>
          <w:szCs w:val="24"/>
        </w:rPr>
        <w:t>codice civile</w:t>
      </w:r>
      <w:proofErr w:type="gramEnd"/>
      <w:r w:rsidRPr="003A05F4">
        <w:rPr>
          <w:rFonts w:eastAsia="Times New Roman" w:cs="Arial"/>
          <w:b/>
          <w:bCs/>
          <w:color w:val="000000" w:themeColor="text1"/>
          <w:sz w:val="24"/>
          <w:szCs w:val="24"/>
        </w:rPr>
        <w:t>.</w:t>
      </w:r>
    </w:p>
    <w:p w14:paraId="75E7C34B" w14:textId="77777777" w:rsidR="00240A1E" w:rsidRPr="003A05F4" w:rsidRDefault="00240A1E" w:rsidP="00240A1E">
      <w:pPr>
        <w:shd w:val="clear" w:color="auto" w:fill="FFFFFF"/>
        <w:spacing w:after="0" w:line="240" w:lineRule="auto"/>
        <w:jc w:val="both"/>
        <w:rPr>
          <w:rFonts w:eastAsia="Times New Roman" w:cs="Arial"/>
          <w:b/>
          <w:bCs/>
          <w:color w:val="000000" w:themeColor="text1"/>
          <w:sz w:val="24"/>
          <w:szCs w:val="24"/>
        </w:rPr>
      </w:pPr>
      <w:r w:rsidRPr="003A05F4">
        <w:rPr>
          <w:rFonts w:eastAsia="Times New Roman" w:cs="Arial"/>
          <w:b/>
          <w:bCs/>
          <w:color w:val="000000" w:themeColor="text1"/>
          <w:sz w:val="24"/>
          <w:szCs w:val="24"/>
        </w:rPr>
        <w:t> </w:t>
      </w:r>
      <w:r w:rsidRPr="003A05F4">
        <w:rPr>
          <w:rFonts w:eastAsia="Times New Roman" w:cs="Arial"/>
          <w:b/>
          <w:bCs/>
          <w:color w:val="000000" w:themeColor="text1"/>
          <w:sz w:val="24"/>
          <w:szCs w:val="24"/>
        </w:rPr>
        <w:t> </w:t>
      </w:r>
      <w:r w:rsidRPr="003A05F4">
        <w:rPr>
          <w:rFonts w:eastAsia="Times New Roman" w:cs="Arial"/>
          <w:b/>
          <w:bCs/>
          <w:color w:val="000000" w:themeColor="text1"/>
          <w:sz w:val="24"/>
          <w:szCs w:val="24"/>
        </w:rPr>
        <w:t> </w:t>
      </w:r>
    </w:p>
    <w:p w14:paraId="573BFE32" w14:textId="77777777" w:rsidR="00240A1E" w:rsidRDefault="00240A1E" w:rsidP="00240A1E">
      <w:pPr>
        <w:shd w:val="clear" w:color="auto" w:fill="FFFFFF"/>
        <w:spacing w:after="0" w:line="240" w:lineRule="auto"/>
        <w:jc w:val="both"/>
        <w:rPr>
          <w:rFonts w:eastAsia="Times New Roman" w:cs="Arial"/>
          <w:b/>
          <w:bCs/>
          <w:color w:val="000000" w:themeColor="text1"/>
          <w:sz w:val="24"/>
          <w:szCs w:val="24"/>
        </w:rPr>
      </w:pPr>
      <w:r w:rsidRPr="003A05F4">
        <w:rPr>
          <w:rFonts w:eastAsia="Times New Roman" w:cs="Arial"/>
          <w:b/>
          <w:bCs/>
          <w:color w:val="000000" w:themeColor="text1"/>
          <w:sz w:val="24"/>
          <w:szCs w:val="24"/>
        </w:rPr>
        <w:t>2-</w:t>
      </w:r>
      <w:r w:rsidRPr="003A05F4">
        <w:rPr>
          <w:rFonts w:eastAsia="Times New Roman" w:cs="Arial"/>
          <w:b/>
          <w:bCs/>
          <w:i/>
          <w:iCs/>
          <w:color w:val="000000" w:themeColor="text1"/>
          <w:sz w:val="24"/>
          <w:szCs w:val="24"/>
        </w:rPr>
        <w:t>quater</w:t>
      </w:r>
      <w:r w:rsidRPr="003A05F4">
        <w:rPr>
          <w:rFonts w:eastAsia="Times New Roman" w:cs="Arial"/>
          <w:b/>
          <w:bCs/>
          <w:color w:val="000000" w:themeColor="text1"/>
          <w:sz w:val="24"/>
          <w:szCs w:val="24"/>
        </w:rPr>
        <w:t>. Con decreto del Ministro delle infrastrutture e della mobilità sostenibili, adottato di concerto con il Ministro dell'economia e delle finanze, sono definiti i contenuti e le modalità di esercizio del controllo analogo.</w:t>
      </w:r>
    </w:p>
    <w:p w14:paraId="33939803" w14:textId="77777777" w:rsidR="00240A1E" w:rsidRPr="003A05F4" w:rsidRDefault="00240A1E" w:rsidP="00240A1E">
      <w:pPr>
        <w:shd w:val="clear" w:color="auto" w:fill="FFFFFF"/>
        <w:spacing w:after="0" w:line="240" w:lineRule="auto"/>
        <w:jc w:val="both"/>
        <w:rPr>
          <w:rFonts w:eastAsia="Times New Roman" w:cs="Arial"/>
          <w:b/>
          <w:bCs/>
          <w:color w:val="000000" w:themeColor="text1"/>
          <w:sz w:val="24"/>
          <w:szCs w:val="24"/>
        </w:rPr>
      </w:pPr>
      <w:r w:rsidRPr="003A05F4">
        <w:rPr>
          <w:rFonts w:eastAsia="Times New Roman" w:cs="Arial"/>
          <w:b/>
          <w:bCs/>
          <w:color w:val="000000" w:themeColor="text1"/>
          <w:sz w:val="24"/>
          <w:szCs w:val="24"/>
        </w:rPr>
        <w:t> </w:t>
      </w:r>
      <w:r w:rsidRPr="003A05F4">
        <w:rPr>
          <w:rFonts w:eastAsia="Times New Roman" w:cs="Arial"/>
          <w:b/>
          <w:bCs/>
          <w:color w:val="000000" w:themeColor="text1"/>
          <w:sz w:val="24"/>
          <w:szCs w:val="24"/>
        </w:rPr>
        <w:t> </w:t>
      </w:r>
      <w:r w:rsidRPr="003A05F4">
        <w:rPr>
          <w:rFonts w:eastAsia="Times New Roman" w:cs="Arial"/>
          <w:b/>
          <w:bCs/>
          <w:color w:val="000000" w:themeColor="text1"/>
          <w:sz w:val="24"/>
          <w:szCs w:val="24"/>
        </w:rPr>
        <w:t> </w:t>
      </w:r>
    </w:p>
    <w:p w14:paraId="403B6862" w14:textId="77777777" w:rsidR="00240A1E" w:rsidRPr="003A05F4" w:rsidRDefault="00240A1E" w:rsidP="00240A1E">
      <w:pPr>
        <w:shd w:val="clear" w:color="auto" w:fill="FFFFFF"/>
        <w:spacing w:after="0" w:line="240" w:lineRule="auto"/>
        <w:jc w:val="both"/>
        <w:rPr>
          <w:rFonts w:eastAsia="Times New Roman" w:cs="Arial"/>
          <w:b/>
          <w:bCs/>
          <w:color w:val="000000" w:themeColor="text1"/>
          <w:sz w:val="24"/>
          <w:szCs w:val="24"/>
        </w:rPr>
      </w:pPr>
      <w:r w:rsidRPr="003A05F4">
        <w:rPr>
          <w:rFonts w:eastAsia="Times New Roman" w:cs="Arial"/>
          <w:b/>
          <w:bCs/>
          <w:color w:val="000000" w:themeColor="text1"/>
          <w:sz w:val="24"/>
          <w:szCs w:val="24"/>
        </w:rPr>
        <w:t>2-</w:t>
      </w:r>
      <w:r w:rsidRPr="003A05F4">
        <w:rPr>
          <w:rFonts w:eastAsia="Times New Roman" w:cs="Arial"/>
          <w:b/>
          <w:bCs/>
          <w:i/>
          <w:iCs/>
          <w:color w:val="000000" w:themeColor="text1"/>
          <w:sz w:val="24"/>
          <w:szCs w:val="24"/>
        </w:rPr>
        <w:t>quinquies</w:t>
      </w:r>
      <w:r w:rsidRPr="003A05F4">
        <w:rPr>
          <w:rFonts w:eastAsia="Times New Roman" w:cs="Arial"/>
          <w:b/>
          <w:bCs/>
          <w:color w:val="000000" w:themeColor="text1"/>
          <w:sz w:val="24"/>
          <w:szCs w:val="24"/>
        </w:rPr>
        <w:t>. La società di cui al comma 2-</w:t>
      </w:r>
      <w:r w:rsidRPr="003A05F4">
        <w:rPr>
          <w:rFonts w:eastAsia="Times New Roman" w:cs="Arial"/>
          <w:b/>
          <w:bCs/>
          <w:i/>
          <w:iCs/>
          <w:color w:val="000000" w:themeColor="text1"/>
          <w:sz w:val="24"/>
          <w:szCs w:val="24"/>
        </w:rPr>
        <w:t>bis</w:t>
      </w:r>
      <w:r w:rsidRPr="003A05F4">
        <w:rPr>
          <w:rFonts w:eastAsia="Times New Roman" w:cs="Arial"/>
          <w:b/>
          <w:bCs/>
          <w:color w:val="000000" w:themeColor="text1"/>
          <w:sz w:val="24"/>
          <w:szCs w:val="24"/>
        </w:rPr>
        <w:t> può, nei limiti delle risorse disponibili, stipulare, anche in deroga alla disciplina del decreto legislativo 18 aprile 2016, n. 50, ad eccezione delle norme che costituiscono attuazione delle disposizioni delle direttive 2014/24/UE e 2014/25/UE, apposite convenzioni, anche a titolo oneroso, con società direttamente o indirettamente controllate dallo Stato ai fini dell'assistenza tecnica, operativa e gestionale nonché costituire ovvero acquisire partecipazioni in società di gestione di autostrade statali, secondo le modalità e le procedure definite dallo statuto di cui al comma 2-</w:t>
      </w:r>
      <w:r w:rsidRPr="003A05F4">
        <w:rPr>
          <w:rFonts w:eastAsia="Times New Roman" w:cs="Arial"/>
          <w:b/>
          <w:bCs/>
          <w:i/>
          <w:iCs/>
          <w:color w:val="000000" w:themeColor="text1"/>
          <w:sz w:val="24"/>
          <w:szCs w:val="24"/>
        </w:rPr>
        <w:t>ter</w:t>
      </w:r>
      <w:r w:rsidRPr="003A05F4">
        <w:rPr>
          <w:rFonts w:eastAsia="Times New Roman" w:cs="Arial"/>
          <w:b/>
          <w:bCs/>
          <w:color w:val="000000" w:themeColor="text1"/>
          <w:sz w:val="24"/>
          <w:szCs w:val="24"/>
        </w:rPr>
        <w:t> e dal decreto di cui al comma 2-</w:t>
      </w:r>
      <w:r w:rsidRPr="003A05F4">
        <w:rPr>
          <w:rFonts w:eastAsia="Times New Roman" w:cs="Arial"/>
          <w:b/>
          <w:bCs/>
          <w:i/>
          <w:iCs/>
          <w:color w:val="000000" w:themeColor="text1"/>
          <w:sz w:val="24"/>
          <w:szCs w:val="24"/>
        </w:rPr>
        <w:t>quater</w:t>
      </w:r>
      <w:r w:rsidRPr="003A05F4">
        <w:rPr>
          <w:rFonts w:eastAsia="Times New Roman" w:cs="Arial"/>
          <w:b/>
          <w:bCs/>
          <w:color w:val="000000" w:themeColor="text1"/>
          <w:sz w:val="24"/>
          <w:szCs w:val="24"/>
        </w:rPr>
        <w:t>.</w:t>
      </w:r>
      <w:r w:rsidRPr="003A05F4">
        <w:rPr>
          <w:rFonts w:eastAsia="Times New Roman" w:cs="Arial"/>
          <w:b/>
          <w:bCs/>
          <w:color w:val="000000" w:themeColor="text1"/>
          <w:sz w:val="24"/>
          <w:szCs w:val="24"/>
        </w:rPr>
        <w:br/>
      </w:r>
      <w:r w:rsidRPr="003A05F4">
        <w:rPr>
          <w:rFonts w:eastAsia="Times New Roman" w:cs="Arial"/>
          <w:b/>
          <w:bCs/>
          <w:color w:val="000000" w:themeColor="text1"/>
          <w:sz w:val="24"/>
          <w:szCs w:val="24"/>
        </w:rPr>
        <w:t> </w:t>
      </w:r>
      <w:r w:rsidRPr="003A05F4">
        <w:rPr>
          <w:rFonts w:eastAsia="Times New Roman" w:cs="Arial"/>
          <w:b/>
          <w:bCs/>
          <w:color w:val="000000" w:themeColor="text1"/>
          <w:sz w:val="24"/>
          <w:szCs w:val="24"/>
        </w:rPr>
        <w:t> </w:t>
      </w:r>
      <w:r w:rsidRPr="003A05F4">
        <w:rPr>
          <w:rFonts w:eastAsia="Times New Roman" w:cs="Arial"/>
          <w:b/>
          <w:bCs/>
          <w:color w:val="000000" w:themeColor="text1"/>
          <w:sz w:val="24"/>
          <w:szCs w:val="24"/>
        </w:rPr>
        <w:t> </w:t>
      </w:r>
    </w:p>
    <w:p w14:paraId="42204168" w14:textId="77777777" w:rsidR="00240A1E" w:rsidRPr="003A05F4" w:rsidRDefault="00240A1E" w:rsidP="00240A1E">
      <w:pPr>
        <w:shd w:val="clear" w:color="auto" w:fill="FFFFFF"/>
        <w:spacing w:after="0" w:line="240" w:lineRule="auto"/>
        <w:jc w:val="both"/>
        <w:rPr>
          <w:rFonts w:eastAsia="Times New Roman" w:cs="Arial"/>
          <w:b/>
          <w:bCs/>
          <w:color w:val="000000" w:themeColor="text1"/>
          <w:sz w:val="24"/>
          <w:szCs w:val="24"/>
        </w:rPr>
      </w:pPr>
      <w:r w:rsidRPr="003A05F4">
        <w:rPr>
          <w:rFonts w:eastAsia="Times New Roman" w:cs="Arial"/>
          <w:b/>
          <w:bCs/>
          <w:color w:val="000000" w:themeColor="text1"/>
          <w:sz w:val="24"/>
          <w:szCs w:val="24"/>
        </w:rPr>
        <w:t>2-</w:t>
      </w:r>
      <w:r w:rsidRPr="003A05F4">
        <w:rPr>
          <w:rFonts w:eastAsia="Times New Roman" w:cs="Arial"/>
          <w:b/>
          <w:bCs/>
          <w:i/>
          <w:iCs/>
          <w:color w:val="000000" w:themeColor="text1"/>
          <w:sz w:val="24"/>
          <w:szCs w:val="24"/>
        </w:rPr>
        <w:t>sexies</w:t>
      </w:r>
      <w:r w:rsidRPr="003A05F4">
        <w:rPr>
          <w:rFonts w:eastAsia="Times New Roman" w:cs="Arial"/>
          <w:b/>
          <w:bCs/>
          <w:color w:val="000000" w:themeColor="text1"/>
          <w:sz w:val="24"/>
          <w:szCs w:val="24"/>
        </w:rPr>
        <w:t>. A decorrere dalla data di efficacia del decreto di cui al comma 2-</w:t>
      </w:r>
      <w:r w:rsidRPr="003A05F4">
        <w:rPr>
          <w:rFonts w:eastAsia="Times New Roman" w:cs="Arial"/>
          <w:b/>
          <w:bCs/>
          <w:i/>
          <w:iCs/>
          <w:color w:val="000000" w:themeColor="text1"/>
          <w:sz w:val="24"/>
          <w:szCs w:val="24"/>
        </w:rPr>
        <w:t>ter</w:t>
      </w:r>
      <w:r w:rsidRPr="003A05F4">
        <w:rPr>
          <w:rFonts w:eastAsia="Times New Roman" w:cs="Arial"/>
          <w:b/>
          <w:bCs/>
          <w:color w:val="000000" w:themeColor="text1"/>
          <w:sz w:val="24"/>
          <w:szCs w:val="24"/>
        </w:rPr>
        <w:t>, con esclusivo riguardo alle autostrade statali a pedaggio, le funzioni e le attività attribuite dalle vigenti disposizioni ad ANAS S.p.A. sono trasferite alla società di cui al presente articolo.</w:t>
      </w:r>
      <w:r w:rsidRPr="003A05F4">
        <w:rPr>
          <w:rFonts w:eastAsia="Times New Roman" w:cs="Arial"/>
          <w:b/>
          <w:bCs/>
          <w:color w:val="000000" w:themeColor="text1"/>
          <w:sz w:val="24"/>
          <w:szCs w:val="24"/>
        </w:rPr>
        <w:br/>
      </w:r>
      <w:r w:rsidRPr="003A05F4">
        <w:rPr>
          <w:rFonts w:eastAsia="Times New Roman" w:cs="Arial"/>
          <w:b/>
          <w:bCs/>
          <w:color w:val="000000" w:themeColor="text1"/>
          <w:sz w:val="24"/>
          <w:szCs w:val="24"/>
        </w:rPr>
        <w:t> </w:t>
      </w:r>
      <w:r w:rsidRPr="003A05F4">
        <w:rPr>
          <w:rFonts w:eastAsia="Times New Roman" w:cs="Arial"/>
          <w:b/>
          <w:bCs/>
          <w:color w:val="000000" w:themeColor="text1"/>
          <w:sz w:val="24"/>
          <w:szCs w:val="24"/>
        </w:rPr>
        <w:t> </w:t>
      </w:r>
      <w:r w:rsidRPr="003A05F4">
        <w:rPr>
          <w:rFonts w:eastAsia="Times New Roman" w:cs="Arial"/>
          <w:b/>
          <w:bCs/>
          <w:color w:val="000000" w:themeColor="text1"/>
          <w:sz w:val="24"/>
          <w:szCs w:val="24"/>
        </w:rPr>
        <w:t> </w:t>
      </w:r>
    </w:p>
    <w:p w14:paraId="6A7A0965" w14:textId="77777777" w:rsidR="00240A1E" w:rsidRDefault="00240A1E" w:rsidP="00240A1E">
      <w:pPr>
        <w:shd w:val="clear" w:color="auto" w:fill="FFFFFF"/>
        <w:spacing w:after="0" w:line="240" w:lineRule="auto"/>
        <w:jc w:val="both"/>
        <w:rPr>
          <w:rFonts w:eastAsia="Times New Roman" w:cs="Arial"/>
          <w:b/>
          <w:bCs/>
          <w:color w:val="000000" w:themeColor="text1"/>
          <w:sz w:val="24"/>
          <w:szCs w:val="24"/>
        </w:rPr>
      </w:pPr>
      <w:r w:rsidRPr="003A05F4">
        <w:rPr>
          <w:rFonts w:eastAsia="Times New Roman" w:cs="Arial"/>
          <w:b/>
          <w:bCs/>
          <w:color w:val="000000" w:themeColor="text1"/>
          <w:sz w:val="24"/>
          <w:szCs w:val="24"/>
        </w:rPr>
        <w:t>2-</w:t>
      </w:r>
      <w:r w:rsidRPr="003A05F4">
        <w:rPr>
          <w:rFonts w:eastAsia="Times New Roman" w:cs="Arial"/>
          <w:b/>
          <w:bCs/>
          <w:i/>
          <w:iCs/>
          <w:color w:val="000000" w:themeColor="text1"/>
          <w:sz w:val="24"/>
          <w:szCs w:val="24"/>
        </w:rPr>
        <w:t>septies</w:t>
      </w:r>
      <w:r w:rsidRPr="003A05F4">
        <w:rPr>
          <w:rFonts w:eastAsia="Times New Roman" w:cs="Arial"/>
          <w:b/>
          <w:bCs/>
          <w:color w:val="000000" w:themeColor="text1"/>
          <w:sz w:val="24"/>
          <w:szCs w:val="24"/>
        </w:rPr>
        <w:t xml:space="preserve">. All'articolo 49 del decreto-legge 24 aprile 2017, n. 50, convertito, con modificazioni, dalla legge 21 giugno 2017, n. 96, dopo il comma 6, è inserito il seguente: «6-bis. ANAS S.p.A. adotta sistemi </w:t>
      </w:r>
      <w:r w:rsidRPr="003A05F4">
        <w:rPr>
          <w:rFonts w:eastAsia="Times New Roman" w:cs="Arial"/>
          <w:b/>
          <w:bCs/>
          <w:color w:val="000000" w:themeColor="text1"/>
          <w:sz w:val="24"/>
          <w:szCs w:val="24"/>
        </w:rPr>
        <w:lastRenderedPageBreak/>
        <w:t>di contabilità separata per le attività oggetto di diritti speciali o esclusivi, ivi compresi le concessioni, le autorizzazioni, le licenze, i nulla osta e tutti gli altri provvedimenti amministrativi comunque denominati previsti dal comma 4, e per ciascuna attività.». Le attività di cui al periodo precedente sono svolte attraverso il contratto di programma sottoscritto tra la società e il Ministro delle infrastrutture e della mobilità sostenibili.</w:t>
      </w:r>
    </w:p>
    <w:p w14:paraId="66C766FE" w14:textId="77777777" w:rsidR="00240A1E" w:rsidRPr="003A05F4" w:rsidRDefault="00240A1E" w:rsidP="00240A1E">
      <w:pPr>
        <w:shd w:val="clear" w:color="auto" w:fill="FFFFFF"/>
        <w:spacing w:after="0" w:line="240" w:lineRule="auto"/>
        <w:jc w:val="both"/>
        <w:rPr>
          <w:rFonts w:eastAsia="Times New Roman" w:cs="Arial"/>
          <w:b/>
          <w:bCs/>
          <w:color w:val="000000" w:themeColor="text1"/>
          <w:sz w:val="24"/>
          <w:szCs w:val="24"/>
        </w:rPr>
      </w:pPr>
      <w:r w:rsidRPr="003A05F4">
        <w:rPr>
          <w:rFonts w:eastAsia="Times New Roman" w:cs="Arial"/>
          <w:b/>
          <w:bCs/>
          <w:color w:val="000000" w:themeColor="text1"/>
          <w:sz w:val="24"/>
          <w:szCs w:val="24"/>
        </w:rPr>
        <w:t> </w:t>
      </w:r>
      <w:r w:rsidRPr="003A05F4">
        <w:rPr>
          <w:rFonts w:eastAsia="Times New Roman" w:cs="Arial"/>
          <w:b/>
          <w:bCs/>
          <w:color w:val="000000" w:themeColor="text1"/>
          <w:sz w:val="24"/>
          <w:szCs w:val="24"/>
        </w:rPr>
        <w:t> </w:t>
      </w:r>
      <w:r w:rsidRPr="003A05F4">
        <w:rPr>
          <w:rFonts w:eastAsia="Times New Roman" w:cs="Arial"/>
          <w:b/>
          <w:bCs/>
          <w:color w:val="000000" w:themeColor="text1"/>
          <w:sz w:val="24"/>
          <w:szCs w:val="24"/>
        </w:rPr>
        <w:t> </w:t>
      </w:r>
    </w:p>
    <w:p w14:paraId="0AC70F6B" w14:textId="1752A807" w:rsidR="00240A1E" w:rsidRDefault="00240A1E" w:rsidP="00240A1E">
      <w:pPr>
        <w:shd w:val="clear" w:color="auto" w:fill="FFFFFF"/>
        <w:spacing w:after="0" w:line="240" w:lineRule="auto"/>
        <w:jc w:val="both"/>
        <w:rPr>
          <w:rFonts w:eastAsia="Times New Roman" w:cs="Arial"/>
          <w:b/>
          <w:bCs/>
          <w:color w:val="000000" w:themeColor="text1"/>
          <w:sz w:val="24"/>
          <w:szCs w:val="24"/>
        </w:rPr>
      </w:pPr>
      <w:r w:rsidRPr="003A05F4">
        <w:rPr>
          <w:rFonts w:eastAsia="Times New Roman" w:cs="Arial"/>
          <w:b/>
          <w:bCs/>
          <w:color w:val="000000" w:themeColor="text1"/>
          <w:sz w:val="24"/>
          <w:szCs w:val="24"/>
        </w:rPr>
        <w:t>2-</w:t>
      </w:r>
      <w:r w:rsidRPr="003A05F4">
        <w:rPr>
          <w:rFonts w:eastAsia="Times New Roman" w:cs="Arial"/>
          <w:b/>
          <w:bCs/>
          <w:i/>
          <w:iCs/>
          <w:color w:val="000000" w:themeColor="text1"/>
          <w:sz w:val="24"/>
          <w:szCs w:val="24"/>
        </w:rPr>
        <w:t>octies</w:t>
      </w:r>
      <w:r w:rsidRPr="003A05F4">
        <w:rPr>
          <w:rFonts w:eastAsia="Times New Roman" w:cs="Arial"/>
          <w:b/>
          <w:bCs/>
          <w:color w:val="000000" w:themeColor="text1"/>
          <w:sz w:val="24"/>
          <w:szCs w:val="24"/>
        </w:rPr>
        <w:t>. All'articolo 1, comma 870, secondo periodo, della legge 28 dicembre 2015, n. 208, le parole «definisce il corrispettivo annuale a fronte delle opere da realizzare e dei servizi da rendere» sono sostituite dalle seguenti: «individua le opere da realizzare e i servizi da rendere». L'articolo 13, comma 5, del decreto-legge 30 dicembre 2019, n. 162, convertito, con modificazioni, dalla legge 28 febbraio 2020, n. 8, è abrogato.</w:t>
      </w:r>
    </w:p>
    <w:p w14:paraId="5904C6F8" w14:textId="2751FB4D" w:rsidR="00240A1E" w:rsidRDefault="00240A1E" w:rsidP="00240A1E">
      <w:pPr>
        <w:shd w:val="clear" w:color="auto" w:fill="FFFFFF"/>
        <w:spacing w:after="0" w:line="240" w:lineRule="auto"/>
        <w:jc w:val="both"/>
        <w:rPr>
          <w:rFonts w:eastAsia="Times New Roman" w:cs="Arial"/>
          <w:b/>
          <w:bCs/>
          <w:color w:val="000000" w:themeColor="text1"/>
          <w:sz w:val="24"/>
          <w:szCs w:val="24"/>
        </w:rPr>
      </w:pPr>
    </w:p>
    <w:p w14:paraId="397BA8DC" w14:textId="3F2E8834" w:rsidR="00240A1E" w:rsidRDefault="00240A1E" w:rsidP="00240A1E">
      <w:pPr>
        <w:shd w:val="clear" w:color="auto" w:fill="FFFFFF"/>
        <w:spacing w:after="0" w:line="240" w:lineRule="auto"/>
        <w:jc w:val="both"/>
        <w:rPr>
          <w:rFonts w:eastAsia="Times New Roman" w:cs="Arial"/>
          <w:color w:val="000000" w:themeColor="text1"/>
          <w:sz w:val="24"/>
          <w:szCs w:val="24"/>
        </w:rPr>
      </w:pPr>
      <w:r w:rsidRPr="003A05F4">
        <w:rPr>
          <w:rFonts w:eastAsia="Times New Roman" w:cs="Arial"/>
          <w:b/>
          <w:bCs/>
          <w:color w:val="000000" w:themeColor="text1"/>
          <w:sz w:val="24"/>
          <w:szCs w:val="24"/>
          <w:highlight w:val="red"/>
        </w:rPr>
        <w:t>2-</w:t>
      </w:r>
      <w:r w:rsidRPr="003A05F4">
        <w:rPr>
          <w:rFonts w:eastAsia="Times New Roman" w:cs="Arial"/>
          <w:b/>
          <w:bCs/>
          <w:i/>
          <w:iCs/>
          <w:color w:val="000000" w:themeColor="text1"/>
          <w:sz w:val="24"/>
          <w:szCs w:val="24"/>
          <w:highlight w:val="red"/>
        </w:rPr>
        <w:t>octies</w:t>
      </w:r>
      <w:r w:rsidRPr="003A05F4">
        <w:rPr>
          <w:rFonts w:eastAsia="Times New Roman" w:cs="Arial"/>
          <w:b/>
          <w:bCs/>
          <w:color w:val="000000" w:themeColor="text1"/>
          <w:sz w:val="24"/>
          <w:szCs w:val="24"/>
          <w:highlight w:val="red"/>
        </w:rPr>
        <w:t>.</w:t>
      </w:r>
      <w:r w:rsidRPr="003A05F4">
        <w:rPr>
          <w:rFonts w:eastAsia="Times New Roman" w:cs="Arial"/>
          <w:b/>
          <w:bCs/>
          <w:i/>
          <w:iCs/>
          <w:color w:val="000000" w:themeColor="text1"/>
          <w:sz w:val="24"/>
          <w:szCs w:val="24"/>
          <w:highlight w:val="red"/>
        </w:rPr>
        <w:t>1</w:t>
      </w:r>
      <w:r w:rsidRPr="003A05F4">
        <w:rPr>
          <w:rFonts w:eastAsia="Times New Roman" w:cs="Arial"/>
          <w:b/>
          <w:bCs/>
          <w:color w:val="000000" w:themeColor="text1"/>
          <w:sz w:val="24"/>
          <w:szCs w:val="24"/>
          <w:highlight w:val="red"/>
        </w:rPr>
        <w:t> Le società di cui all'articolo 36, comma 2, lettera </w:t>
      </w:r>
      <w:r w:rsidRPr="003A05F4">
        <w:rPr>
          <w:rFonts w:eastAsia="Times New Roman" w:cs="Arial"/>
          <w:b/>
          <w:bCs/>
          <w:i/>
          <w:iCs/>
          <w:color w:val="000000" w:themeColor="text1"/>
          <w:sz w:val="24"/>
          <w:szCs w:val="24"/>
          <w:highlight w:val="red"/>
        </w:rPr>
        <w:t>b)</w:t>
      </w:r>
      <w:r w:rsidRPr="003A05F4">
        <w:rPr>
          <w:rFonts w:eastAsia="Times New Roman" w:cs="Arial"/>
          <w:b/>
          <w:bCs/>
          <w:color w:val="000000" w:themeColor="text1"/>
          <w:sz w:val="24"/>
          <w:szCs w:val="24"/>
          <w:highlight w:val="red"/>
        </w:rPr>
        <w:t>, n. 4, del decreto-legge 6 luglio 2011, n. 98, convertito, con modificazioni, dalla legge 15 luglio 2011, n. 111, che non abbiano provveduto, alla data di entrata in vigore della legge di conversione del presente decreto ad avviare ovvero a concludere con un provvedimento di aggiudicazione le procedure di gara per l'affidamento delle autostrade di rilevanza regionale, sono sciolte e poste in liquidazione a decorrere dalla medesima data. Per lo svolgimento delle attività liquidatorie, con decreto del Ministero delle infrastrutture e della mobilità sostenibili, adottato entro trenta giorni dalla data di entrata in vigore della presente disposizione, è nominato un commissario liquidatore. Con il decreto di nomina viene determinato il compenso spettante al commissario liquidatore sulla base delle tabelle allegate al decreto di cui all'articolo 8 del decreto legislativo 4 febbraio 2010, n. 14. Gli oneri relativi al pagamento di tale compenso sono a carico delle società di cui al primo periodo. Resta ferma l'assegnazione al Ministero delle infrastrutture e della mobilità sostenibili delle risorse, già destinate alla realizzazione delle infrastrutture di rilevanza regionale di cui al primo periodo ed ancora disponibili alla data di entrata in vigore della presente disposizione, da impiegarsi per le medesime finalità.</w:t>
      </w:r>
      <w:r>
        <w:rPr>
          <w:rStyle w:val="Rimandonotaapidipagina"/>
          <w:rFonts w:eastAsia="Times New Roman" w:cs="Arial"/>
          <w:b/>
          <w:bCs/>
          <w:color w:val="000000" w:themeColor="text1"/>
          <w:sz w:val="24"/>
          <w:szCs w:val="24"/>
          <w:highlight w:val="red"/>
        </w:rPr>
        <w:footnoteReference w:id="52"/>
      </w:r>
    </w:p>
    <w:p w14:paraId="11A739FD" w14:textId="77777777" w:rsidR="00240A1E" w:rsidRPr="003A05F4" w:rsidRDefault="00240A1E" w:rsidP="00240A1E">
      <w:pPr>
        <w:shd w:val="clear" w:color="auto" w:fill="FFFFFF"/>
        <w:spacing w:after="0" w:line="240" w:lineRule="auto"/>
        <w:jc w:val="both"/>
        <w:rPr>
          <w:rFonts w:eastAsia="Times New Roman" w:cs="Arial"/>
          <w:b/>
          <w:bCs/>
          <w:color w:val="000000" w:themeColor="text1"/>
          <w:sz w:val="24"/>
          <w:szCs w:val="24"/>
        </w:rPr>
      </w:pPr>
      <w:r w:rsidRPr="003A05F4">
        <w:rPr>
          <w:rFonts w:eastAsia="Times New Roman" w:cs="Arial"/>
          <w:b/>
          <w:bCs/>
          <w:color w:val="000000" w:themeColor="text1"/>
          <w:sz w:val="24"/>
          <w:szCs w:val="24"/>
        </w:rPr>
        <w:t> </w:t>
      </w:r>
      <w:r w:rsidRPr="003A05F4">
        <w:rPr>
          <w:rFonts w:eastAsia="Times New Roman" w:cs="Arial"/>
          <w:b/>
          <w:bCs/>
          <w:color w:val="000000" w:themeColor="text1"/>
          <w:sz w:val="24"/>
          <w:szCs w:val="24"/>
        </w:rPr>
        <w:t> </w:t>
      </w:r>
      <w:r w:rsidRPr="003A05F4">
        <w:rPr>
          <w:rFonts w:eastAsia="Times New Roman" w:cs="Arial"/>
          <w:b/>
          <w:bCs/>
          <w:color w:val="000000" w:themeColor="text1"/>
          <w:sz w:val="24"/>
          <w:szCs w:val="24"/>
        </w:rPr>
        <w:t> </w:t>
      </w:r>
    </w:p>
    <w:p w14:paraId="589DFA8F" w14:textId="77777777" w:rsidR="00240A1E" w:rsidRDefault="00240A1E" w:rsidP="00240A1E">
      <w:pPr>
        <w:shd w:val="clear" w:color="auto" w:fill="FFFFFF"/>
        <w:spacing w:after="0" w:line="240" w:lineRule="auto"/>
        <w:jc w:val="both"/>
        <w:rPr>
          <w:rFonts w:eastAsia="Times New Roman" w:cs="Arial"/>
          <w:b/>
          <w:bCs/>
          <w:color w:val="000000" w:themeColor="text1"/>
          <w:sz w:val="24"/>
          <w:szCs w:val="24"/>
        </w:rPr>
      </w:pPr>
      <w:r w:rsidRPr="003A05F4">
        <w:rPr>
          <w:rFonts w:eastAsia="Times New Roman" w:cs="Arial"/>
          <w:b/>
          <w:bCs/>
          <w:color w:val="000000" w:themeColor="text1"/>
          <w:sz w:val="24"/>
          <w:szCs w:val="24"/>
        </w:rPr>
        <w:t>2-</w:t>
      </w:r>
      <w:r w:rsidRPr="003A05F4">
        <w:rPr>
          <w:rFonts w:eastAsia="Times New Roman" w:cs="Arial"/>
          <w:b/>
          <w:bCs/>
          <w:i/>
          <w:iCs/>
          <w:color w:val="000000" w:themeColor="text1"/>
          <w:sz w:val="24"/>
          <w:szCs w:val="24"/>
        </w:rPr>
        <w:t>novies</w:t>
      </w:r>
      <w:r w:rsidRPr="003A05F4">
        <w:rPr>
          <w:rFonts w:eastAsia="Times New Roman" w:cs="Arial"/>
          <w:b/>
          <w:bCs/>
          <w:color w:val="000000" w:themeColor="text1"/>
          <w:sz w:val="24"/>
          <w:szCs w:val="24"/>
        </w:rPr>
        <w:t xml:space="preserve"> All'articolo 36, comma 3-bis, del decreto-legge 6 luglio 2011, n. 98, convertito con modificazioni dalla legge 15 luglio 2011, n. 111, è aggiunto il seguente periodo: «Per i quadri economici approvati a decorrere dal 1° gennaio 2022 la quota di cui al precedente periodo non può superare il nove per cento dello stanziamento destinato alla realizzazione dell'intervento. Entro il </w:t>
      </w:r>
      <w:proofErr w:type="gramStart"/>
      <w:r w:rsidRPr="003A05F4">
        <w:rPr>
          <w:rFonts w:eastAsia="Times New Roman" w:cs="Arial"/>
          <w:b/>
          <w:bCs/>
          <w:color w:val="000000" w:themeColor="text1"/>
          <w:sz w:val="24"/>
          <w:szCs w:val="24"/>
        </w:rPr>
        <w:t>predetto</w:t>
      </w:r>
      <w:proofErr w:type="gramEnd"/>
      <w:r w:rsidRPr="003A05F4">
        <w:rPr>
          <w:rFonts w:eastAsia="Times New Roman" w:cs="Arial"/>
          <w:b/>
          <w:bCs/>
          <w:color w:val="000000" w:themeColor="text1"/>
          <w:sz w:val="24"/>
          <w:szCs w:val="24"/>
        </w:rPr>
        <w:t xml:space="preserve"> limite, il Ministero delle infrastrutture e della mobilità sostenibili, sulla base delle risultanze della contabilità analitica sulle spese effettivamente sostenute da parte di ANAS </w:t>
      </w:r>
      <w:proofErr w:type="spellStart"/>
      <w:r w:rsidRPr="003A05F4">
        <w:rPr>
          <w:rFonts w:eastAsia="Times New Roman" w:cs="Arial"/>
          <w:b/>
          <w:bCs/>
          <w:color w:val="000000" w:themeColor="text1"/>
          <w:sz w:val="24"/>
          <w:szCs w:val="24"/>
        </w:rPr>
        <w:t>SpA</w:t>
      </w:r>
      <w:proofErr w:type="spellEnd"/>
      <w:r w:rsidRPr="003A05F4">
        <w:rPr>
          <w:rFonts w:eastAsia="Times New Roman" w:cs="Arial"/>
          <w:b/>
          <w:bCs/>
          <w:color w:val="000000" w:themeColor="text1"/>
          <w:sz w:val="24"/>
          <w:szCs w:val="24"/>
        </w:rPr>
        <w:t>, stabilisce la quota da riconoscere alla Società con obiettivo di efficientamento dei costi.».</w:t>
      </w:r>
    </w:p>
    <w:p w14:paraId="576868A3" w14:textId="747571DC" w:rsidR="00240A1E" w:rsidRPr="003A05F4" w:rsidRDefault="00240A1E" w:rsidP="00240A1E">
      <w:pPr>
        <w:shd w:val="clear" w:color="auto" w:fill="FFFFFF"/>
        <w:spacing w:after="0" w:line="240" w:lineRule="auto"/>
        <w:jc w:val="both"/>
        <w:rPr>
          <w:rFonts w:eastAsia="Times New Roman" w:cs="Arial"/>
          <w:b/>
          <w:bCs/>
          <w:color w:val="000000" w:themeColor="text1"/>
          <w:sz w:val="24"/>
          <w:szCs w:val="24"/>
        </w:rPr>
      </w:pPr>
      <w:r w:rsidRPr="003A05F4">
        <w:rPr>
          <w:rFonts w:eastAsia="Times New Roman" w:cs="Arial"/>
          <w:b/>
          <w:bCs/>
          <w:color w:val="000000" w:themeColor="text1"/>
          <w:sz w:val="24"/>
          <w:szCs w:val="24"/>
        </w:rPr>
        <w:t> </w:t>
      </w:r>
      <w:r w:rsidRPr="003A05F4">
        <w:rPr>
          <w:rFonts w:eastAsia="Times New Roman" w:cs="Arial"/>
          <w:b/>
          <w:bCs/>
          <w:color w:val="000000" w:themeColor="text1"/>
          <w:sz w:val="24"/>
          <w:szCs w:val="24"/>
        </w:rPr>
        <w:t> </w:t>
      </w:r>
      <w:r w:rsidRPr="003A05F4">
        <w:rPr>
          <w:rFonts w:eastAsia="Times New Roman" w:cs="Arial"/>
          <w:b/>
          <w:bCs/>
          <w:color w:val="000000" w:themeColor="text1"/>
          <w:sz w:val="24"/>
          <w:szCs w:val="24"/>
        </w:rPr>
        <w:t> </w:t>
      </w:r>
    </w:p>
    <w:p w14:paraId="5B832B3A" w14:textId="77777777" w:rsidR="00240A1E" w:rsidRPr="003A05F4" w:rsidRDefault="00240A1E" w:rsidP="00240A1E">
      <w:pPr>
        <w:shd w:val="clear" w:color="auto" w:fill="FFFFFF"/>
        <w:spacing w:after="0" w:line="240" w:lineRule="auto"/>
        <w:jc w:val="both"/>
        <w:rPr>
          <w:rFonts w:eastAsia="Times New Roman" w:cs="Arial"/>
          <w:b/>
          <w:bCs/>
          <w:color w:val="000000" w:themeColor="text1"/>
          <w:sz w:val="24"/>
          <w:szCs w:val="24"/>
        </w:rPr>
      </w:pPr>
      <w:r w:rsidRPr="003A05F4">
        <w:rPr>
          <w:rFonts w:eastAsia="Times New Roman" w:cs="Arial"/>
          <w:b/>
          <w:bCs/>
          <w:color w:val="000000" w:themeColor="text1"/>
          <w:sz w:val="24"/>
          <w:szCs w:val="24"/>
        </w:rPr>
        <w:t>2-</w:t>
      </w:r>
      <w:r w:rsidRPr="003A05F4">
        <w:rPr>
          <w:rFonts w:eastAsia="Times New Roman" w:cs="Arial"/>
          <w:b/>
          <w:bCs/>
          <w:i/>
          <w:iCs/>
          <w:color w:val="000000" w:themeColor="text1"/>
          <w:sz w:val="24"/>
          <w:szCs w:val="24"/>
        </w:rPr>
        <w:t>decies</w:t>
      </w:r>
      <w:r w:rsidRPr="003A05F4">
        <w:rPr>
          <w:rFonts w:eastAsia="Times New Roman" w:cs="Arial"/>
          <w:b/>
          <w:bCs/>
          <w:color w:val="000000" w:themeColor="text1"/>
          <w:sz w:val="24"/>
          <w:szCs w:val="24"/>
        </w:rPr>
        <w:t>. Il Ministero dell'economia e delle finanze è autorizzato a partecipare al capitale sociale e a rafforzare la dotazione patrimoniale della società di cui al comma 2–</w:t>
      </w:r>
      <w:r w:rsidRPr="003A05F4">
        <w:rPr>
          <w:rFonts w:eastAsia="Times New Roman" w:cs="Arial"/>
          <w:b/>
          <w:bCs/>
          <w:i/>
          <w:iCs/>
          <w:color w:val="000000" w:themeColor="text1"/>
          <w:sz w:val="24"/>
          <w:szCs w:val="24"/>
        </w:rPr>
        <w:t>bis</w:t>
      </w:r>
      <w:r w:rsidRPr="003A05F4">
        <w:rPr>
          <w:rFonts w:eastAsia="Times New Roman" w:cs="Arial"/>
          <w:b/>
          <w:bCs/>
          <w:color w:val="000000" w:themeColor="text1"/>
          <w:sz w:val="24"/>
          <w:szCs w:val="24"/>
        </w:rPr>
        <w:t xml:space="preserve"> con un apporto complessivo di 52 milioni di euro, da sottoscrivere e versare anche in più fasi e per successivi aumenti di capitale della </w:t>
      </w:r>
      <w:r w:rsidRPr="003A05F4">
        <w:rPr>
          <w:rFonts w:eastAsia="Times New Roman" w:cs="Arial"/>
          <w:b/>
          <w:bCs/>
          <w:color w:val="000000" w:themeColor="text1"/>
          <w:sz w:val="24"/>
          <w:szCs w:val="24"/>
        </w:rPr>
        <w:lastRenderedPageBreak/>
        <w:t>dotazione patrimoniale nel limite di 2 milioni di euro per l'anno 2021, di 10 milioni di euro per l'anno 2022, 20 milioni di euro per ciascuno degli anni 2023 e 2024. Ai relativi oneri si provvede: quanto a 2 milioni di euro per l'anno 2021 mediante versamento nel predetto anno, all'entrata del bilancio dello Stato, di una corrispondente somma iscritta in conto residui, sullo stato di previsione del Ministero dell'economia e delle finanze, con riferimento all'autorizzazione di spesa di cui all'articolo 27, comma 17, del decreto-legge 19 maggio 2020, n. 34 convertito, con modificazioni, dalla legge 17 luglio 2020, n. 77; quanto a 10 milioni per l'anno 2022 e a 20 milioni per ciascuno degli anni 2023 e 2024 mediante corrispondente riduzione del Fondo di parte capitale di cui al comma 5 dell'articolo 34-ter della legge 31 dicembre 2009, n. 196, iscritto nello stato di previsione del Ministero delle infrastrutture e dei trasporti.</w:t>
      </w:r>
      <w:r w:rsidRPr="003A05F4">
        <w:rPr>
          <w:rFonts w:eastAsia="Times New Roman" w:cs="Arial"/>
          <w:b/>
          <w:bCs/>
          <w:color w:val="000000" w:themeColor="text1"/>
          <w:sz w:val="24"/>
          <w:szCs w:val="24"/>
        </w:rPr>
        <w:br/>
      </w:r>
      <w:r w:rsidRPr="003A05F4">
        <w:rPr>
          <w:rFonts w:eastAsia="Times New Roman" w:cs="Arial"/>
          <w:b/>
          <w:bCs/>
          <w:color w:val="000000" w:themeColor="text1"/>
          <w:sz w:val="24"/>
          <w:szCs w:val="24"/>
        </w:rPr>
        <w:t> </w:t>
      </w:r>
      <w:r w:rsidRPr="003A05F4">
        <w:rPr>
          <w:rFonts w:eastAsia="Times New Roman" w:cs="Arial"/>
          <w:b/>
          <w:bCs/>
          <w:color w:val="000000" w:themeColor="text1"/>
          <w:sz w:val="24"/>
          <w:szCs w:val="24"/>
        </w:rPr>
        <w:t> </w:t>
      </w:r>
      <w:r w:rsidRPr="003A05F4">
        <w:rPr>
          <w:rFonts w:eastAsia="Times New Roman" w:cs="Arial"/>
          <w:b/>
          <w:bCs/>
          <w:color w:val="000000" w:themeColor="text1"/>
          <w:sz w:val="24"/>
          <w:szCs w:val="24"/>
        </w:rPr>
        <w:t> </w:t>
      </w:r>
    </w:p>
    <w:p w14:paraId="521E2D21" w14:textId="33F06CED" w:rsidR="00240A1E" w:rsidRDefault="00240A1E" w:rsidP="00240A1E">
      <w:pPr>
        <w:shd w:val="clear" w:color="auto" w:fill="FFFFFF"/>
        <w:spacing w:after="0" w:line="240" w:lineRule="auto"/>
        <w:jc w:val="both"/>
        <w:rPr>
          <w:rFonts w:eastAsia="Times New Roman" w:cs="Arial"/>
          <w:b/>
          <w:bCs/>
          <w:color w:val="000000" w:themeColor="text1"/>
          <w:sz w:val="24"/>
          <w:szCs w:val="24"/>
        </w:rPr>
      </w:pPr>
      <w:r w:rsidRPr="003A05F4">
        <w:rPr>
          <w:rFonts w:eastAsia="Times New Roman" w:cs="Arial"/>
          <w:b/>
          <w:bCs/>
          <w:color w:val="000000" w:themeColor="text1"/>
          <w:sz w:val="24"/>
          <w:szCs w:val="24"/>
        </w:rPr>
        <w:t>2-</w:t>
      </w:r>
      <w:r w:rsidRPr="003A05F4">
        <w:rPr>
          <w:rFonts w:eastAsia="Times New Roman" w:cs="Arial"/>
          <w:b/>
          <w:bCs/>
          <w:i/>
          <w:iCs/>
          <w:color w:val="000000" w:themeColor="text1"/>
          <w:sz w:val="24"/>
          <w:szCs w:val="24"/>
        </w:rPr>
        <w:t>undecies</w:t>
      </w:r>
      <w:r w:rsidRPr="003A05F4">
        <w:rPr>
          <w:rFonts w:eastAsia="Times New Roman" w:cs="Arial"/>
          <w:b/>
          <w:bCs/>
          <w:color w:val="000000" w:themeColor="text1"/>
          <w:sz w:val="24"/>
          <w:szCs w:val="24"/>
        </w:rPr>
        <w:t>. L'apporto di cui al comma 2-</w:t>
      </w:r>
      <w:r w:rsidRPr="003A05F4">
        <w:rPr>
          <w:rFonts w:eastAsia="Times New Roman" w:cs="Arial"/>
          <w:b/>
          <w:bCs/>
          <w:i/>
          <w:iCs/>
          <w:color w:val="000000" w:themeColor="text1"/>
          <w:sz w:val="24"/>
          <w:szCs w:val="24"/>
        </w:rPr>
        <w:t>decies</w:t>
      </w:r>
      <w:r w:rsidRPr="003A05F4">
        <w:rPr>
          <w:rFonts w:eastAsia="Times New Roman" w:cs="Arial"/>
          <w:b/>
          <w:bCs/>
          <w:color w:val="000000" w:themeColor="text1"/>
          <w:sz w:val="24"/>
          <w:szCs w:val="24"/>
        </w:rPr>
        <w:t> può essere incrementato fino a 528 milioni di euro mediante versamento nell'anno 2021, all'entrata del bilancio dello Stato, e successiva riassegnazione al pertinente capitolo di spesa, di una corrispondente somma iscritta in conto residui, sullo stato di previsione del Ministero dell'economia e delle finanze, con riferimento all'autorizzazione di spesa di cui all'articolo 27, comma 17, del decreto-legge 19 maggio 2020, n. 34 convertito, con modificazioni, dalla legge 17 luglio 2020, n. 77.</w:t>
      </w:r>
      <w:r>
        <w:rPr>
          <w:rStyle w:val="Rimandonotaapidipagina"/>
          <w:rFonts w:eastAsia="Times New Roman" w:cs="Arial"/>
          <w:b/>
          <w:bCs/>
          <w:color w:val="000000" w:themeColor="text1"/>
          <w:sz w:val="24"/>
          <w:szCs w:val="24"/>
        </w:rPr>
        <w:footnoteReference w:id="53"/>
      </w:r>
    </w:p>
    <w:p w14:paraId="298F9598" w14:textId="046AA55D" w:rsidR="00240A1E" w:rsidRDefault="00240A1E" w:rsidP="00240A1E">
      <w:pPr>
        <w:shd w:val="clear" w:color="auto" w:fill="FFFFFF"/>
        <w:spacing w:after="0" w:line="240" w:lineRule="auto"/>
        <w:jc w:val="both"/>
        <w:rPr>
          <w:rFonts w:eastAsia="Times New Roman" w:cs="Arial"/>
          <w:b/>
          <w:bCs/>
          <w:color w:val="000000" w:themeColor="text1"/>
          <w:sz w:val="24"/>
          <w:szCs w:val="24"/>
        </w:rPr>
      </w:pPr>
    </w:p>
    <w:p w14:paraId="37C49187" w14:textId="2B1F8752" w:rsidR="00240A1E" w:rsidRDefault="00240A1E" w:rsidP="00240A1E">
      <w:pPr>
        <w:shd w:val="clear" w:color="auto" w:fill="FFFFFF"/>
        <w:spacing w:after="0" w:line="240" w:lineRule="auto"/>
        <w:jc w:val="both"/>
        <w:rPr>
          <w:rFonts w:eastAsia="Times New Roman" w:cs="Arial"/>
          <w:b/>
          <w:bCs/>
          <w:color w:val="000000" w:themeColor="text1"/>
          <w:sz w:val="24"/>
          <w:szCs w:val="24"/>
        </w:rPr>
      </w:pPr>
      <w:r w:rsidRPr="003A05F4">
        <w:rPr>
          <w:rFonts w:eastAsia="Times New Roman" w:cs="Arial"/>
          <w:b/>
          <w:bCs/>
          <w:color w:val="000000" w:themeColor="text1"/>
          <w:sz w:val="24"/>
          <w:szCs w:val="24"/>
          <w:highlight w:val="red"/>
        </w:rPr>
        <w:t>2-</w:t>
      </w:r>
      <w:r w:rsidRPr="003A05F4">
        <w:rPr>
          <w:rFonts w:eastAsia="Times New Roman" w:cs="Arial"/>
          <w:b/>
          <w:bCs/>
          <w:i/>
          <w:iCs/>
          <w:color w:val="000000" w:themeColor="text1"/>
          <w:sz w:val="24"/>
          <w:szCs w:val="24"/>
          <w:highlight w:val="red"/>
        </w:rPr>
        <w:t>duodecies</w:t>
      </w:r>
      <w:r w:rsidRPr="003A05F4">
        <w:rPr>
          <w:rFonts w:eastAsia="Times New Roman" w:cs="Arial"/>
          <w:b/>
          <w:bCs/>
          <w:color w:val="000000" w:themeColor="text1"/>
          <w:sz w:val="24"/>
          <w:szCs w:val="24"/>
          <w:highlight w:val="red"/>
        </w:rPr>
        <w:t xml:space="preserve">. Al fine di assicurare la realizzazione degli interventi urgenti per la messa in sicurezza e la manutenzione straordinaria delle strade comunali di Roma capitale, nonché di rimuovere le situazioni di emergenza connesse al traffico e alla mobilità nel territorio comunale derivanti dalle condizioni della piattaforma stradale delle strade comunali, Roma Capitale è autorizzata a stipulare, entro quindici giorni dalla data di entrata in vigore della presente disposizione, nell'ambito dei rapporti di collaborazione con lo Stato di cui all'articolo 24, comma 6, della legge 5 maggio 2009, n. 42, apposita convenzione con Anas </w:t>
      </w:r>
      <w:proofErr w:type="spellStart"/>
      <w:r w:rsidRPr="003A05F4">
        <w:rPr>
          <w:rFonts w:eastAsia="Times New Roman" w:cs="Arial"/>
          <w:b/>
          <w:bCs/>
          <w:color w:val="000000" w:themeColor="text1"/>
          <w:sz w:val="24"/>
          <w:szCs w:val="24"/>
          <w:highlight w:val="red"/>
        </w:rPr>
        <w:t>s.p.a.</w:t>
      </w:r>
      <w:proofErr w:type="spellEnd"/>
      <w:r w:rsidRPr="003A05F4">
        <w:rPr>
          <w:rFonts w:eastAsia="Times New Roman" w:cs="Arial"/>
          <w:b/>
          <w:bCs/>
          <w:color w:val="000000" w:themeColor="text1"/>
          <w:sz w:val="24"/>
          <w:szCs w:val="24"/>
          <w:highlight w:val="red"/>
        </w:rPr>
        <w:t xml:space="preserve">, in qualità di centrale di committenza, per l'affidamento di detti interventi da realizzare entro novanta giorni dalla sottoscrizione di detta convenzione. Per le finalità di cui al primo periodo e limitatamente agli affidamenti di importo inferiore alle soglie di cui all'articolo 35 del decreto legislativo 18 aprile 2016, n. 50, la selezione degli operatori economici da parte di Anas </w:t>
      </w:r>
      <w:proofErr w:type="spellStart"/>
      <w:r w:rsidRPr="003A05F4">
        <w:rPr>
          <w:rFonts w:eastAsia="Times New Roman" w:cs="Arial"/>
          <w:b/>
          <w:bCs/>
          <w:color w:val="000000" w:themeColor="text1"/>
          <w:sz w:val="24"/>
          <w:szCs w:val="24"/>
          <w:highlight w:val="red"/>
        </w:rPr>
        <w:t>s.p.a.</w:t>
      </w:r>
      <w:proofErr w:type="spellEnd"/>
      <w:r w:rsidRPr="003A05F4">
        <w:rPr>
          <w:rFonts w:eastAsia="Times New Roman" w:cs="Arial"/>
          <w:b/>
          <w:bCs/>
          <w:color w:val="000000" w:themeColor="text1"/>
          <w:sz w:val="24"/>
          <w:szCs w:val="24"/>
          <w:highlight w:val="red"/>
        </w:rPr>
        <w:t xml:space="preserve"> può avvenire, nel rispetto del principio di rotazione, anche nell'ambito degli accordi quadro di cui all'articolo 54 del decreto legislativo n. 50 del 2016, da essa conclusi, ancora efficaci alla data di entrata in vigore del presente decreto e in relazioni ai quali non sia intervenuta alla medesima data l'aggiudicazione degli appalti basati su tali accordi quadro ovvero non si sia provveduto alla loro esecuzione nei modi previsti dai commi da 2 a 6 del medesimo articolo 54. Per le finalità di cui al presente comma, Anas </w:t>
      </w:r>
      <w:proofErr w:type="spellStart"/>
      <w:r w:rsidRPr="003A05F4">
        <w:rPr>
          <w:rFonts w:eastAsia="Times New Roman" w:cs="Arial"/>
          <w:b/>
          <w:bCs/>
          <w:color w:val="000000" w:themeColor="text1"/>
          <w:sz w:val="24"/>
          <w:szCs w:val="24"/>
          <w:highlight w:val="red"/>
        </w:rPr>
        <w:t>s.p.a.</w:t>
      </w:r>
      <w:proofErr w:type="spellEnd"/>
      <w:r w:rsidRPr="003A05F4">
        <w:rPr>
          <w:rFonts w:eastAsia="Times New Roman" w:cs="Arial"/>
          <w:b/>
          <w:bCs/>
          <w:color w:val="000000" w:themeColor="text1"/>
          <w:sz w:val="24"/>
          <w:szCs w:val="24"/>
          <w:highlight w:val="red"/>
        </w:rPr>
        <w:t xml:space="preserve"> è altresì autorizzata ad utilizzare, ai sensi dell'articolo 1, comma 873, della legge 28 dicembre 2015, n. 208, le risorse già disponibili per interventi di manutenzione straordinaria nell'ambito del Contratto di programma tra l'ANAS Spa e il Ministero delle infrastrutture e della mobilità sostenibili, nel limite di 5 milioni di euro.</w:t>
      </w:r>
      <w:r>
        <w:rPr>
          <w:rStyle w:val="Rimandonotaapidipagina"/>
          <w:rFonts w:eastAsia="Times New Roman" w:cs="Arial"/>
          <w:b/>
          <w:bCs/>
          <w:color w:val="000000" w:themeColor="text1"/>
          <w:sz w:val="24"/>
          <w:szCs w:val="24"/>
          <w:highlight w:val="red"/>
        </w:rPr>
        <w:footnoteReference w:id="54"/>
      </w:r>
    </w:p>
    <w:p w14:paraId="206CB074" w14:textId="31E4A1CA" w:rsidR="00660EE5" w:rsidRPr="00660EE5" w:rsidRDefault="00240A1E" w:rsidP="00240A1E">
      <w:pPr>
        <w:shd w:val="clear" w:color="auto" w:fill="FFFFFF"/>
        <w:spacing w:after="0" w:line="240" w:lineRule="auto"/>
        <w:jc w:val="both"/>
        <w:rPr>
          <w:rFonts w:asciiTheme="minorHAnsi" w:hAnsiTheme="minorHAnsi"/>
          <w:color w:val="000000" w:themeColor="text1"/>
          <w:sz w:val="24"/>
          <w:szCs w:val="24"/>
        </w:rPr>
      </w:pPr>
      <w:r w:rsidRPr="00155015">
        <w:rPr>
          <w:rFonts w:eastAsia="Times New Roman" w:cs="Arial"/>
          <w:color w:val="000000" w:themeColor="text1"/>
          <w:sz w:val="24"/>
          <w:szCs w:val="24"/>
        </w:rPr>
        <w:lastRenderedPageBreak/>
        <w:br/>
      </w:r>
      <w:r w:rsidR="00660EE5" w:rsidRPr="00660EE5">
        <w:rPr>
          <w:rFonts w:asciiTheme="minorHAnsi" w:hAnsiTheme="minorHAnsi"/>
          <w:color w:val="000000" w:themeColor="text1"/>
          <w:sz w:val="24"/>
          <w:szCs w:val="24"/>
        </w:rPr>
        <w:t>3. All'articolo 2, comma 171, primo periodo, del decreto-legge 3 ottobre 2006, n. 262, convertito, con modificazioni, dalla legge 24 novembre 2006, n. 286, le parole «I compiti» sono sostituite dalle seguenti: «Fermi i compiti, gli obblighi, e le responsabilità degli enti concessionari e dei soggetti gestori in materia di sicurezza, nonché le funzioni di controllo delle amministrazioni concedenti, i compiti».</w:t>
      </w:r>
    </w:p>
    <w:p w14:paraId="04BA1462"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71AC9697" w14:textId="0678A24F" w:rsid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4. All'articolo 114, comma 4, primo periodo, del decreto legislativo 3 aprile 2006, n. 152, le parole «Il progetto» sono sostituite dalle seguenti: «Per gli invasi realizzati da sbarramenti aventi le caratteristiche di cui all'articolo 1, comma 1, del decreto-legge 8 agosto 1994, n. 507, convertito, con modificazioni, dalla legge 21 ottobre 1994, n. 584, il progetto» ed è aggiunto, in fine, il seguente periodo: «Per gli invasi di cui all'articolo 89 del decreto legislativo 31 marzo 1998, n. 112, le regioni, in conformità ai propri ordinamenti, adeguano la disciplina regionale agli obiettivi di cui ai commi 2, 3 e 9, anche tenuto conto delle specifiche caratteristiche degli sbarramenti e dei corpi idrici interessati.».</w:t>
      </w:r>
    </w:p>
    <w:p w14:paraId="5CF7673F" w14:textId="1A40BEB8" w:rsidR="0032471E" w:rsidRDefault="0032471E" w:rsidP="00660EE5">
      <w:pPr>
        <w:spacing w:after="0" w:line="240" w:lineRule="auto"/>
        <w:jc w:val="both"/>
        <w:rPr>
          <w:rFonts w:asciiTheme="minorHAnsi" w:hAnsiTheme="minorHAnsi"/>
          <w:color w:val="000000" w:themeColor="text1"/>
          <w:sz w:val="24"/>
          <w:szCs w:val="24"/>
        </w:rPr>
      </w:pPr>
    </w:p>
    <w:p w14:paraId="219530CB" w14:textId="77777777" w:rsidR="0032471E" w:rsidRPr="00F51981" w:rsidRDefault="0032471E" w:rsidP="0032471E">
      <w:pPr>
        <w:shd w:val="clear" w:color="auto" w:fill="FFFFFF"/>
        <w:spacing w:after="0" w:line="240" w:lineRule="auto"/>
        <w:jc w:val="both"/>
        <w:rPr>
          <w:rFonts w:eastAsia="Times New Roman" w:cs="Arial"/>
          <w:b/>
          <w:bCs/>
          <w:color w:val="000000" w:themeColor="text1"/>
          <w:sz w:val="24"/>
          <w:szCs w:val="24"/>
        </w:rPr>
      </w:pPr>
      <w:r w:rsidRPr="00F51981">
        <w:rPr>
          <w:rFonts w:eastAsia="Times New Roman" w:cs="Arial"/>
          <w:b/>
          <w:bCs/>
          <w:color w:val="000000" w:themeColor="text1"/>
          <w:sz w:val="24"/>
          <w:szCs w:val="24"/>
        </w:rPr>
        <w:t>4-</w:t>
      </w:r>
      <w:r w:rsidRPr="00F51981">
        <w:rPr>
          <w:rFonts w:eastAsia="Times New Roman" w:cs="Arial"/>
          <w:b/>
          <w:bCs/>
          <w:i/>
          <w:iCs/>
          <w:color w:val="000000" w:themeColor="text1"/>
          <w:sz w:val="24"/>
          <w:szCs w:val="24"/>
        </w:rPr>
        <w:t>bis.</w:t>
      </w:r>
      <w:r w:rsidRPr="00F51981">
        <w:rPr>
          <w:rFonts w:eastAsia="Times New Roman" w:cs="Arial"/>
          <w:b/>
          <w:bCs/>
          <w:color w:val="000000" w:themeColor="text1"/>
          <w:sz w:val="24"/>
          <w:szCs w:val="24"/>
        </w:rPr>
        <w:t> All'articolo 1 della legge 27 dicembre 2017, n. 205, sono apportate le seguenti modificazioni:</w:t>
      </w:r>
    </w:p>
    <w:p w14:paraId="737DB090" w14:textId="77777777" w:rsidR="0032471E" w:rsidRPr="00F51981" w:rsidRDefault="0032471E" w:rsidP="0032471E">
      <w:pPr>
        <w:shd w:val="clear" w:color="auto" w:fill="FFFFFF"/>
        <w:spacing w:after="0" w:line="240" w:lineRule="auto"/>
        <w:jc w:val="both"/>
        <w:rPr>
          <w:rFonts w:eastAsia="Times New Roman" w:cs="Arial"/>
          <w:b/>
          <w:bCs/>
          <w:color w:val="000000" w:themeColor="text1"/>
          <w:sz w:val="24"/>
          <w:szCs w:val="24"/>
        </w:rPr>
      </w:pP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i/>
          <w:iCs/>
          <w:color w:val="000000" w:themeColor="text1"/>
          <w:sz w:val="24"/>
          <w:szCs w:val="24"/>
        </w:rPr>
        <w:t>a)</w:t>
      </w:r>
      <w:r w:rsidRPr="00F51981">
        <w:rPr>
          <w:rFonts w:eastAsia="Times New Roman" w:cs="Arial"/>
          <w:b/>
          <w:bCs/>
          <w:color w:val="000000" w:themeColor="text1"/>
          <w:sz w:val="24"/>
          <w:szCs w:val="24"/>
        </w:rPr>
        <w:t> il comma 516 è sostituito dal seguente:</w:t>
      </w:r>
    </w:p>
    <w:p w14:paraId="37EB75D4" w14:textId="77777777" w:rsidR="0032471E" w:rsidRPr="00F51981" w:rsidRDefault="0032471E" w:rsidP="0032471E">
      <w:pPr>
        <w:shd w:val="clear" w:color="auto" w:fill="FFFFFF"/>
        <w:spacing w:after="0" w:line="240" w:lineRule="auto"/>
        <w:jc w:val="both"/>
        <w:rPr>
          <w:rFonts w:eastAsia="Times New Roman" w:cs="Arial"/>
          <w:b/>
          <w:bCs/>
          <w:color w:val="000000" w:themeColor="text1"/>
          <w:sz w:val="24"/>
          <w:szCs w:val="24"/>
        </w:rPr>
      </w:pP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w:t>
      </w:r>
      <w:r w:rsidRPr="00F51981">
        <w:rPr>
          <w:rFonts w:eastAsia="Times New Roman" w:cs="Arial"/>
          <w:b/>
          <w:bCs/>
          <w:i/>
          <w:iCs/>
          <w:color w:val="000000" w:themeColor="text1"/>
          <w:sz w:val="24"/>
          <w:szCs w:val="24"/>
        </w:rPr>
        <w:t>516</w:t>
      </w:r>
      <w:r w:rsidRPr="00F51981">
        <w:rPr>
          <w:rFonts w:eastAsia="Times New Roman" w:cs="Arial"/>
          <w:b/>
          <w:bCs/>
          <w:color w:val="000000" w:themeColor="text1"/>
          <w:sz w:val="24"/>
          <w:szCs w:val="24"/>
        </w:rPr>
        <w:t>. Per la programmazione e la realizzazione degli interventi necessari alla mitigazione dei danni connessi al fenomeno della siccità e per promuovere il potenziamento e l'adeguamento delle infrastrutture idriche, anche al fine di aumentare la resilienza dei sistemi idrici ai cambiamenti climatici e ridurre le dispersioni di risorse idriche, con decreto del Presidente del Consiglio dei ministri, su proposta del Ministro delle infrastrutture e della mobilità sostenibili, di concerto con i Ministri della transizione ecologica, delle politiche agricole alimentari e forestali, della cultura e dell'economia e delle finanze, sentita l'Autorità di regolazione per energia, reti e ambiente, previa acquisizione dell'intesa in sede di Conferenza unificata di cui all'articolo 8 del decreto legislativo 28 agosto 1997, n. 281, entro il 30 giugno 2022, è adottato il Piano nazionale di interventi infrastrutturali e per la sicurezza nel settore idrico. Il Piano nazionale è aggiornato ogni tre anni, con le modalità di cui al primo periodo, tenuto conto dello stato di avanzamento degli interventi, come risultante dal monitoraggio di cui al comma 524. Il Piano nazionale è attuato attraverso successivi stralci che tengono conto dello stato di avanzamento degli interventi e della disponibilità delle risorse economiche nonché di eventuali modifiche resesi necessarie nel corso dell'attuazione degli stralci medesimi, approvati con decreto del Ministro delle infrastrutture e della mobilità sostenibili, sentiti i Ministri della transizione ecologica, delle politiche agricole alimentari e forestali, della cultura, dell'economia e delle finanze e l'Autorità di regolazione per energia, reti e ambiente, previa acquisizione dell'intesa in sede di Conferenza unificata»;</w:t>
      </w:r>
    </w:p>
    <w:p w14:paraId="5F14270C" w14:textId="77777777" w:rsidR="0032471E" w:rsidRPr="00F51981" w:rsidRDefault="0032471E" w:rsidP="0032471E">
      <w:pPr>
        <w:shd w:val="clear" w:color="auto" w:fill="FFFFFF"/>
        <w:spacing w:after="0" w:line="240" w:lineRule="auto"/>
        <w:jc w:val="both"/>
        <w:rPr>
          <w:rFonts w:eastAsia="Times New Roman" w:cs="Arial"/>
          <w:b/>
          <w:bCs/>
          <w:color w:val="000000" w:themeColor="text1"/>
          <w:sz w:val="24"/>
          <w:szCs w:val="24"/>
        </w:rPr>
      </w:pP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i/>
          <w:iCs/>
          <w:color w:val="000000" w:themeColor="text1"/>
          <w:sz w:val="24"/>
          <w:szCs w:val="24"/>
        </w:rPr>
        <w:t>b)</w:t>
      </w:r>
      <w:r w:rsidRPr="00F51981">
        <w:rPr>
          <w:rFonts w:eastAsia="Times New Roman" w:cs="Arial"/>
          <w:b/>
          <w:bCs/>
          <w:color w:val="000000" w:themeColor="text1"/>
          <w:sz w:val="24"/>
          <w:szCs w:val="24"/>
        </w:rPr>
        <w:t> dopo il comma 516 sono inseriti i seguenti:</w:t>
      </w:r>
    </w:p>
    <w:p w14:paraId="232AD9D1" w14:textId="77777777" w:rsidR="0032471E" w:rsidRPr="00F51981" w:rsidRDefault="0032471E" w:rsidP="0032471E">
      <w:pPr>
        <w:shd w:val="clear" w:color="auto" w:fill="FFFFFF"/>
        <w:spacing w:after="0" w:line="240" w:lineRule="auto"/>
        <w:jc w:val="both"/>
        <w:rPr>
          <w:rFonts w:eastAsia="Times New Roman" w:cs="Arial"/>
          <w:b/>
          <w:bCs/>
          <w:color w:val="000000" w:themeColor="text1"/>
          <w:sz w:val="24"/>
          <w:szCs w:val="24"/>
        </w:rPr>
      </w:pP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i/>
          <w:iCs/>
          <w:color w:val="000000" w:themeColor="text1"/>
          <w:sz w:val="24"/>
          <w:szCs w:val="24"/>
        </w:rPr>
        <w:t>516-bis</w:t>
      </w:r>
      <w:r w:rsidRPr="00F51981">
        <w:rPr>
          <w:rFonts w:eastAsia="Times New Roman" w:cs="Arial"/>
          <w:b/>
          <w:bCs/>
          <w:color w:val="000000" w:themeColor="text1"/>
          <w:sz w:val="24"/>
          <w:szCs w:val="24"/>
        </w:rPr>
        <w:t xml:space="preserve">. Entro il 28 febbraio 2022, con uno o più decreti del Ministro delle infrastrutture e della mobilità sostenibili, di concerto con i Ministri della transizione ecologica, delle politiche agricole alimentari e forestali, della cultura e dell'economia e delle finanze, sentita l'Autorità di regolazione per energia, reti e ambiente, previa acquisizione dell'intesa in sede di Conferenza unificata di cui all'articolo 8 del decreto legislativo 28 agosto 1997, n. 281, sono definiti le modalità e i criteri per la redazione e </w:t>
      </w:r>
      <w:r w:rsidRPr="00F51981">
        <w:rPr>
          <w:rFonts w:eastAsia="Times New Roman" w:cs="Arial"/>
          <w:b/>
          <w:bCs/>
          <w:color w:val="000000" w:themeColor="text1"/>
          <w:sz w:val="24"/>
          <w:szCs w:val="24"/>
        </w:rPr>
        <w:lastRenderedPageBreak/>
        <w:t>per l'aggiornamento del Piano nazionale di cui al comma 516 e della sua attuazione per successivi stralci secondo quanto previsto dal medesimo comma, tenuto conto dei piani di gestione delle acque dei bacini idrografici predisposti dalle Autorità di bacino distrettuali, ai sensi del decreto legislativo 3 aprile 2006. n. 152, e in particolare:</w:t>
      </w:r>
    </w:p>
    <w:p w14:paraId="3DF2F454" w14:textId="77777777" w:rsidR="0032471E" w:rsidRPr="00F51981" w:rsidRDefault="0032471E" w:rsidP="0032471E">
      <w:pPr>
        <w:shd w:val="clear" w:color="auto" w:fill="FFFFFF"/>
        <w:spacing w:after="0" w:line="240" w:lineRule="auto"/>
        <w:jc w:val="both"/>
        <w:rPr>
          <w:rFonts w:eastAsia="Times New Roman" w:cs="Arial"/>
          <w:b/>
          <w:bCs/>
          <w:color w:val="000000" w:themeColor="text1"/>
          <w:sz w:val="24"/>
          <w:szCs w:val="24"/>
        </w:rPr>
      </w:pP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i/>
          <w:iCs/>
          <w:color w:val="000000" w:themeColor="text1"/>
          <w:sz w:val="24"/>
          <w:szCs w:val="24"/>
        </w:rPr>
        <w:t>a)</w:t>
      </w:r>
      <w:r w:rsidRPr="00F51981">
        <w:rPr>
          <w:rFonts w:eastAsia="Times New Roman" w:cs="Arial"/>
          <w:b/>
          <w:bCs/>
          <w:color w:val="000000" w:themeColor="text1"/>
          <w:sz w:val="24"/>
          <w:szCs w:val="24"/>
        </w:rPr>
        <w:t> ai fini della definizione del Piano nazionale di cui al comma 516, le modalità con cui le Autorità di bacino distrettuali, gli Enti di governo dell'ambito e gli altri enti territoriali coinvolti trasferiscono al Ministero delle infrastrutture e della mobilità sostenibili le informazioni e i documenti necessari alla definizione del Piano medesimo e i relativi criteri di priorità, tenuto anche conto della valutazione della qualità tecnica e della sostenibilità economico-finanziaria effettuata dall'Autorità di regolazione per energia, reti e ambiente per gli interventi proposti da soggetti da essa regolati;</w:t>
      </w:r>
    </w:p>
    <w:p w14:paraId="2C940658" w14:textId="77777777" w:rsidR="0032471E" w:rsidRPr="00F51981" w:rsidRDefault="0032471E" w:rsidP="0032471E">
      <w:pPr>
        <w:shd w:val="clear" w:color="auto" w:fill="FFFFFF"/>
        <w:spacing w:after="0" w:line="240" w:lineRule="auto"/>
        <w:jc w:val="both"/>
        <w:rPr>
          <w:rFonts w:eastAsia="Times New Roman" w:cs="Arial"/>
          <w:b/>
          <w:bCs/>
          <w:color w:val="000000" w:themeColor="text1"/>
          <w:sz w:val="24"/>
          <w:szCs w:val="24"/>
        </w:rPr>
      </w:pP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i/>
          <w:iCs/>
          <w:color w:val="000000" w:themeColor="text1"/>
          <w:sz w:val="24"/>
          <w:szCs w:val="24"/>
        </w:rPr>
        <w:t>b)</w:t>
      </w:r>
      <w:r w:rsidRPr="00F51981">
        <w:rPr>
          <w:rFonts w:eastAsia="Times New Roman" w:cs="Arial"/>
          <w:b/>
          <w:bCs/>
          <w:color w:val="000000" w:themeColor="text1"/>
          <w:sz w:val="24"/>
          <w:szCs w:val="24"/>
        </w:rPr>
        <w:t> i criteri per l'assegnazione delle risorse degli stralci, sulla base di indicatori di valutazione degli interventi, nonché le modalità di revoca dei finanziamenti nei casi di inadempienza o di dichiarazioni mendaci;</w:t>
      </w:r>
    </w:p>
    <w:p w14:paraId="45C430EA" w14:textId="77777777" w:rsidR="0032471E" w:rsidRPr="00F51981" w:rsidRDefault="0032471E" w:rsidP="0032471E">
      <w:pPr>
        <w:shd w:val="clear" w:color="auto" w:fill="FFFFFF"/>
        <w:spacing w:after="0" w:line="240" w:lineRule="auto"/>
        <w:jc w:val="both"/>
        <w:rPr>
          <w:rFonts w:eastAsia="Times New Roman" w:cs="Arial"/>
          <w:b/>
          <w:bCs/>
          <w:color w:val="000000" w:themeColor="text1"/>
          <w:sz w:val="24"/>
          <w:szCs w:val="24"/>
        </w:rPr>
      </w:pP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i/>
          <w:iCs/>
          <w:color w:val="000000" w:themeColor="text1"/>
          <w:sz w:val="24"/>
          <w:szCs w:val="24"/>
        </w:rPr>
        <w:t>c)</w:t>
      </w:r>
      <w:r w:rsidRPr="00F51981">
        <w:rPr>
          <w:rFonts w:eastAsia="Times New Roman" w:cs="Arial"/>
          <w:b/>
          <w:bCs/>
          <w:color w:val="000000" w:themeColor="text1"/>
          <w:sz w:val="24"/>
          <w:szCs w:val="24"/>
        </w:rPr>
        <w:t> le modalità di attuazione e di rendicontazione degli interventi ammessi al finanziamento negli stralci.</w:t>
      </w:r>
    </w:p>
    <w:p w14:paraId="12955DC6" w14:textId="77777777" w:rsidR="0032471E" w:rsidRPr="00F51981" w:rsidRDefault="0032471E" w:rsidP="0032471E">
      <w:pPr>
        <w:shd w:val="clear" w:color="auto" w:fill="FFFFFF"/>
        <w:spacing w:after="0" w:line="240" w:lineRule="auto"/>
        <w:jc w:val="both"/>
        <w:rPr>
          <w:rFonts w:eastAsia="Times New Roman" w:cs="Arial"/>
          <w:b/>
          <w:bCs/>
          <w:color w:val="000000" w:themeColor="text1"/>
          <w:sz w:val="24"/>
          <w:szCs w:val="24"/>
        </w:rPr>
      </w:pP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i/>
          <w:iCs/>
          <w:color w:val="000000" w:themeColor="text1"/>
          <w:sz w:val="24"/>
          <w:szCs w:val="24"/>
        </w:rPr>
        <w:t>516-ter</w:t>
      </w:r>
      <w:r w:rsidRPr="00F51981">
        <w:rPr>
          <w:rFonts w:eastAsia="Times New Roman" w:cs="Arial"/>
          <w:b/>
          <w:bCs/>
          <w:color w:val="000000" w:themeColor="text1"/>
          <w:sz w:val="24"/>
          <w:szCs w:val="24"/>
        </w:rPr>
        <w:t>. Gli interventi finanziati con i decreti del Presidente del Consiglio dei ministri 17 aprile 2019, pubblicato nella </w:t>
      </w:r>
      <w:r w:rsidRPr="00F51981">
        <w:rPr>
          <w:rFonts w:eastAsia="Times New Roman" w:cs="Arial"/>
          <w:b/>
          <w:bCs/>
          <w:i/>
          <w:iCs/>
          <w:color w:val="000000" w:themeColor="text1"/>
          <w:sz w:val="24"/>
          <w:szCs w:val="24"/>
        </w:rPr>
        <w:t>Gazzetta Ufficiale</w:t>
      </w:r>
      <w:r w:rsidRPr="00F51981">
        <w:rPr>
          <w:rFonts w:eastAsia="Times New Roman" w:cs="Arial"/>
          <w:b/>
          <w:bCs/>
          <w:color w:val="000000" w:themeColor="text1"/>
          <w:sz w:val="24"/>
          <w:szCs w:val="24"/>
        </w:rPr>
        <w:t> n. 148 del 26 giugno 2019, e 1° agosto 2019, pubblicato nella </w:t>
      </w:r>
      <w:r w:rsidRPr="00F51981">
        <w:rPr>
          <w:rFonts w:eastAsia="Times New Roman" w:cs="Arial"/>
          <w:b/>
          <w:bCs/>
          <w:i/>
          <w:iCs/>
          <w:color w:val="000000" w:themeColor="text1"/>
          <w:sz w:val="24"/>
          <w:szCs w:val="24"/>
        </w:rPr>
        <w:t>Gazzetta Ufficiale</w:t>
      </w:r>
      <w:r w:rsidRPr="00F51981">
        <w:rPr>
          <w:rFonts w:eastAsia="Times New Roman" w:cs="Arial"/>
          <w:b/>
          <w:bCs/>
          <w:color w:val="000000" w:themeColor="text1"/>
          <w:sz w:val="24"/>
          <w:szCs w:val="24"/>
        </w:rPr>
        <w:t> n. 226 del 26 settembre 2019, sono inseriti nel Piano nazionale di cui al comma 516 del presente articolo e sono attuati e monitorati secondo le modalità previste nei medesimi decreti. Al fine di garantire il rispetto del cronoprogramma previsto dal Piano nazionale di ripresa e resilienza di cui al regolamento (UE) 2021/241 del Parlamento europeo e del Consiglio, del 12 febbraio 2021, fino all'adozione del Piano nazionale di cui al comma 516, le risorse economiche già disponibili alla data di entrata in vigore della presente disposizione per la realizzazione degli interventi previsti dal medesimo comma 516 sono utilizzate, tenuto conto dei procedimenti già avviati dal Ministero delle infrastrutture e della mobilità sostenibili e dall'Autorità di regolazione per energia, reti e ambiente, per la programmazione di ulteriori stralci attuativi approvati con le modalità stabilite dal terzo periodo del citato comma 516.</w:t>
      </w:r>
    </w:p>
    <w:p w14:paraId="073B2377" w14:textId="77777777" w:rsidR="0032471E" w:rsidRPr="00F51981" w:rsidRDefault="0032471E" w:rsidP="0032471E">
      <w:pPr>
        <w:shd w:val="clear" w:color="auto" w:fill="FFFFFF"/>
        <w:spacing w:after="0" w:line="240" w:lineRule="auto"/>
        <w:jc w:val="both"/>
        <w:rPr>
          <w:rFonts w:eastAsia="Times New Roman" w:cs="Arial"/>
          <w:b/>
          <w:bCs/>
          <w:color w:val="000000" w:themeColor="text1"/>
          <w:sz w:val="24"/>
          <w:szCs w:val="24"/>
        </w:rPr>
      </w:pP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i/>
          <w:iCs/>
          <w:color w:val="000000" w:themeColor="text1"/>
          <w:sz w:val="24"/>
          <w:szCs w:val="24"/>
        </w:rPr>
        <w:t>c)</w:t>
      </w:r>
      <w:r w:rsidRPr="00F51981">
        <w:rPr>
          <w:rFonts w:eastAsia="Times New Roman" w:cs="Arial"/>
          <w:b/>
          <w:bCs/>
          <w:color w:val="000000" w:themeColor="text1"/>
          <w:sz w:val="24"/>
          <w:szCs w:val="24"/>
        </w:rPr>
        <w:t> i commi 517 e 518 sono abrogati;</w:t>
      </w:r>
    </w:p>
    <w:p w14:paraId="02CC37FE" w14:textId="77777777" w:rsidR="0032471E" w:rsidRPr="00F51981" w:rsidRDefault="0032471E" w:rsidP="0032471E">
      <w:pPr>
        <w:shd w:val="clear" w:color="auto" w:fill="FFFFFF"/>
        <w:spacing w:after="0" w:line="240" w:lineRule="auto"/>
        <w:jc w:val="both"/>
        <w:rPr>
          <w:rFonts w:eastAsia="Times New Roman" w:cs="Arial"/>
          <w:b/>
          <w:bCs/>
          <w:color w:val="000000" w:themeColor="text1"/>
          <w:sz w:val="24"/>
          <w:szCs w:val="24"/>
        </w:rPr>
      </w:pP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i/>
          <w:iCs/>
          <w:color w:val="000000" w:themeColor="text1"/>
          <w:sz w:val="24"/>
          <w:szCs w:val="24"/>
        </w:rPr>
        <w:t>d)</w:t>
      </w:r>
      <w:r w:rsidRPr="00F51981">
        <w:rPr>
          <w:rFonts w:eastAsia="Times New Roman" w:cs="Arial"/>
          <w:b/>
          <w:bCs/>
          <w:color w:val="000000" w:themeColor="text1"/>
          <w:sz w:val="24"/>
          <w:szCs w:val="24"/>
        </w:rPr>
        <w:t> al comma 519, le parole: «di cui alle sezioni “acquedotti” e “invasi” del Piano nazionale» sono sostituite dalle seguenti: «di cui al Piano nazionale di cui al comma 516»;</w:t>
      </w:r>
    </w:p>
    <w:p w14:paraId="6F8CC1BE" w14:textId="77777777" w:rsidR="0032471E" w:rsidRPr="00F51981" w:rsidRDefault="0032471E" w:rsidP="0032471E">
      <w:pPr>
        <w:shd w:val="clear" w:color="auto" w:fill="FFFFFF"/>
        <w:spacing w:after="0" w:line="240" w:lineRule="auto"/>
        <w:jc w:val="both"/>
        <w:rPr>
          <w:rFonts w:eastAsia="Times New Roman" w:cs="Arial"/>
          <w:b/>
          <w:bCs/>
          <w:color w:val="000000" w:themeColor="text1"/>
          <w:sz w:val="24"/>
          <w:szCs w:val="24"/>
        </w:rPr>
      </w:pP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i/>
          <w:iCs/>
          <w:color w:val="000000" w:themeColor="text1"/>
          <w:sz w:val="24"/>
          <w:szCs w:val="24"/>
        </w:rPr>
        <w:t>e)</w:t>
      </w:r>
      <w:r w:rsidRPr="00F51981">
        <w:rPr>
          <w:rFonts w:eastAsia="Times New Roman" w:cs="Arial"/>
          <w:b/>
          <w:bCs/>
          <w:color w:val="000000" w:themeColor="text1"/>
          <w:sz w:val="24"/>
          <w:szCs w:val="24"/>
        </w:rPr>
        <w:t> il comma 520 è sostituito dal seguente:</w:t>
      </w:r>
    </w:p>
    <w:p w14:paraId="05F19841" w14:textId="77777777" w:rsidR="0032471E" w:rsidRPr="00F51981" w:rsidRDefault="0032471E" w:rsidP="0032471E">
      <w:pPr>
        <w:shd w:val="clear" w:color="auto" w:fill="FFFFFF"/>
        <w:spacing w:after="0" w:line="240" w:lineRule="auto"/>
        <w:jc w:val="both"/>
        <w:rPr>
          <w:rFonts w:eastAsia="Times New Roman" w:cs="Arial"/>
          <w:b/>
          <w:bCs/>
          <w:color w:val="000000" w:themeColor="text1"/>
          <w:sz w:val="24"/>
          <w:szCs w:val="24"/>
        </w:rPr>
      </w:pP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w:t>
      </w:r>
      <w:r w:rsidRPr="00F51981">
        <w:rPr>
          <w:rFonts w:eastAsia="Times New Roman" w:cs="Arial"/>
          <w:b/>
          <w:bCs/>
          <w:i/>
          <w:iCs/>
          <w:color w:val="000000" w:themeColor="text1"/>
          <w:sz w:val="24"/>
          <w:szCs w:val="24"/>
        </w:rPr>
        <w:t>520</w:t>
      </w:r>
      <w:r w:rsidRPr="00F51981">
        <w:rPr>
          <w:rFonts w:eastAsia="Times New Roman" w:cs="Arial"/>
          <w:b/>
          <w:bCs/>
          <w:color w:val="000000" w:themeColor="text1"/>
          <w:sz w:val="24"/>
          <w:szCs w:val="24"/>
        </w:rPr>
        <w:t>. Il Ministero delle infrastrutture e della mobilità sostenibili, senza nuovi o maggiori oneri a carico della finanza pubblica, anche ai fini di quanto previsto dagli articoli 9, 10 e 12 del decreto-legge 31 maggio 2021, n. 77, convertito, con modificazioni, dalla legge 29 luglio 2021, n. 108, monitora l'andamento dell'attuazione degli interventi del Piano nazionale di cui al comma 516 del presente articolo e assicura il sostegno e le misure di accompagnamento ai soggetti attuatori per la risoluzione di eventuali criticità nella programmazione e nella realizzazione degli interventi»;</w:t>
      </w:r>
    </w:p>
    <w:p w14:paraId="206AB455" w14:textId="77777777" w:rsidR="0032471E" w:rsidRPr="00F51981" w:rsidRDefault="0032471E" w:rsidP="0032471E">
      <w:pPr>
        <w:shd w:val="clear" w:color="auto" w:fill="FFFFFF"/>
        <w:spacing w:after="0" w:line="240" w:lineRule="auto"/>
        <w:jc w:val="both"/>
        <w:rPr>
          <w:rFonts w:eastAsia="Times New Roman" w:cs="Arial"/>
          <w:b/>
          <w:bCs/>
          <w:color w:val="000000" w:themeColor="text1"/>
          <w:sz w:val="24"/>
          <w:szCs w:val="24"/>
        </w:rPr>
      </w:pP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i/>
          <w:iCs/>
          <w:color w:val="000000" w:themeColor="text1"/>
          <w:sz w:val="24"/>
          <w:szCs w:val="24"/>
        </w:rPr>
        <w:t>f)</w:t>
      </w:r>
      <w:r w:rsidRPr="00F51981">
        <w:rPr>
          <w:rFonts w:eastAsia="Times New Roman" w:cs="Arial"/>
          <w:b/>
          <w:bCs/>
          <w:color w:val="000000" w:themeColor="text1"/>
          <w:sz w:val="24"/>
          <w:szCs w:val="24"/>
        </w:rPr>
        <w:t> al comma 524, le parole: «“Piano invasi” o “Piano acquedotti” sulla base della sezione di appartenenza» sono sostituite dalle seguenti: «Piano nazionale di cui al comma 516»;</w:t>
      </w:r>
    </w:p>
    <w:p w14:paraId="3894D5A1" w14:textId="77777777" w:rsidR="0032471E" w:rsidRPr="00F51981" w:rsidRDefault="0032471E" w:rsidP="0032471E">
      <w:pPr>
        <w:shd w:val="clear" w:color="auto" w:fill="FFFFFF"/>
        <w:spacing w:after="0" w:line="240" w:lineRule="auto"/>
        <w:jc w:val="both"/>
        <w:rPr>
          <w:rFonts w:eastAsia="Times New Roman" w:cs="Arial"/>
          <w:b/>
          <w:bCs/>
          <w:color w:val="000000" w:themeColor="text1"/>
          <w:sz w:val="24"/>
          <w:szCs w:val="24"/>
        </w:rPr>
      </w:pP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i/>
          <w:iCs/>
          <w:color w:val="000000" w:themeColor="text1"/>
          <w:sz w:val="24"/>
          <w:szCs w:val="24"/>
        </w:rPr>
        <w:t>g)</w:t>
      </w:r>
      <w:r w:rsidRPr="00F51981">
        <w:rPr>
          <w:rFonts w:eastAsia="Times New Roman" w:cs="Arial"/>
          <w:b/>
          <w:bCs/>
          <w:color w:val="000000" w:themeColor="text1"/>
          <w:sz w:val="24"/>
          <w:szCs w:val="24"/>
        </w:rPr>
        <w:t> il comma 525 è sostituito dal seguente:</w:t>
      </w:r>
    </w:p>
    <w:p w14:paraId="40D45688" w14:textId="77777777" w:rsidR="0032471E" w:rsidRPr="00F51981" w:rsidRDefault="0032471E" w:rsidP="0032471E">
      <w:pPr>
        <w:shd w:val="clear" w:color="auto" w:fill="FFFFFF"/>
        <w:spacing w:after="0" w:line="240" w:lineRule="auto"/>
        <w:jc w:val="both"/>
        <w:rPr>
          <w:rFonts w:eastAsia="Times New Roman" w:cs="Arial"/>
          <w:b/>
          <w:bCs/>
          <w:color w:val="000000" w:themeColor="text1"/>
          <w:sz w:val="24"/>
          <w:szCs w:val="24"/>
        </w:rPr>
      </w:pPr>
      <w:r w:rsidRPr="00F51981">
        <w:rPr>
          <w:rFonts w:eastAsia="Times New Roman" w:cs="Arial"/>
          <w:b/>
          <w:bCs/>
          <w:color w:val="000000" w:themeColor="text1"/>
          <w:sz w:val="24"/>
          <w:szCs w:val="24"/>
        </w:rPr>
        <w:lastRenderedPageBreak/>
        <w:t> </w:t>
      </w: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w:t>
      </w:r>
      <w:r w:rsidRPr="00F51981">
        <w:rPr>
          <w:rFonts w:eastAsia="Times New Roman" w:cs="Arial"/>
          <w:b/>
          <w:bCs/>
          <w:i/>
          <w:iCs/>
          <w:color w:val="000000" w:themeColor="text1"/>
          <w:sz w:val="24"/>
          <w:szCs w:val="24"/>
        </w:rPr>
        <w:t>525</w:t>
      </w:r>
      <w:r w:rsidRPr="00F51981">
        <w:rPr>
          <w:rFonts w:eastAsia="Times New Roman" w:cs="Arial"/>
          <w:b/>
          <w:bCs/>
          <w:color w:val="000000" w:themeColor="text1"/>
          <w:sz w:val="24"/>
          <w:szCs w:val="24"/>
        </w:rPr>
        <w:t>. Fermo restando quanto previsto, in relazione agli interventi finanziati in tutto o in parte con le risorse del Piano nazionale di ripresa e resilienza di cui al regolamento (UE) 2021/241 del Parlamento europeo e del Consiglio, del 12 febbraio 2021, ovvero del Piano nazionale complementare di cui all'articolo 1 del decreto-legge 6 maggio 2021, n. 59, convertito, con modificazioni, dalla legge 1° luglio 2021, n. 101, dagli articoli 9, 10 e 12 del decreto-legge 31 maggio 2021, n. 77, convertito, con modificazioni, dalla legge 29 luglio 2021, n. 108, e dal titolo II del medesimo decreto-legge, nonché dal comma 520 del presente articolo, il Ministero delle infrastrutture e della mobilità sostenibili segnala i casi di inerzia e di inadempimento degli impegni previsti da parte degli enti di gestione e degli altri soggetti responsabili e, in caso di assenza del soggetto legittimato, propone gli interventi correttivi da adottare per il ripristino, comunicandoli alla Presidenza del Consiglio dei ministri. Il Presidente del Consiglio dei ministri, previa diffida ad adempiere entro il termine di trenta giorni, su proposta del Ministro delle infrastrutture e della mobilità sostenibili, nomina, ai sensi dell'articolo 4 del decreto-legge 18 aprile 2019, n. 32, convertito, con modificazioni, dalla legge 14 giugno 2019, n. 55, un Commissario straordinario che esercita i necessari poteri sostitutivi di programmazione e di realizzazione degli interventi, e definisce le modalità, anche contabili, di intervento. Il Commissario straordinario opera in via sostitutiva anche per la realizzazione degli interventi previsti nel Piano nazionale di cui al comma 516 in mancanza del gestore legittimato a operare. Gli oneri per i compensi dei Commissari straordinari sono definiti dal decreto di nomina e sono posti a carico delle risorse destinate agli interventi. I compensi dei Commissari straordinari sono stabiliti in misura non superiore a quella indicata all'articolo 15, comma 3, del decreto-legge 6 luglio 2011, n. 98, convertito, con modificazioni, dalla legge 15 luglio 2011, n. 111».</w:t>
      </w:r>
    </w:p>
    <w:p w14:paraId="2D087F77" w14:textId="77777777" w:rsidR="0032471E" w:rsidRPr="00F51981" w:rsidRDefault="0032471E" w:rsidP="0032471E">
      <w:pPr>
        <w:shd w:val="clear" w:color="auto" w:fill="FFFFFF"/>
        <w:spacing w:after="0" w:line="240" w:lineRule="auto"/>
        <w:jc w:val="both"/>
        <w:rPr>
          <w:rFonts w:eastAsia="Times New Roman" w:cs="Arial"/>
          <w:b/>
          <w:bCs/>
          <w:color w:val="000000" w:themeColor="text1"/>
          <w:sz w:val="24"/>
          <w:szCs w:val="24"/>
        </w:rPr>
      </w:pPr>
      <w:r w:rsidRPr="00F51981">
        <w:rPr>
          <w:rFonts w:eastAsia="Times New Roman" w:cs="Arial"/>
          <w:b/>
          <w:bCs/>
          <w:color w:val="000000" w:themeColor="text1"/>
          <w:sz w:val="24"/>
          <w:szCs w:val="24"/>
        </w:rPr>
        <w:t> </w:t>
      </w:r>
      <w:r w:rsidRPr="00F51981">
        <w:rPr>
          <w:rFonts w:eastAsia="Times New Roman" w:cs="Arial"/>
          <w:b/>
          <w:bCs/>
          <w:color w:val="000000" w:themeColor="text1"/>
          <w:sz w:val="24"/>
          <w:szCs w:val="24"/>
        </w:rPr>
        <w:t> </w:t>
      </w:r>
    </w:p>
    <w:p w14:paraId="40E162B9" w14:textId="3EAC9E70" w:rsidR="0032471E" w:rsidRDefault="0032471E" w:rsidP="0032471E">
      <w:pPr>
        <w:spacing w:after="0" w:line="240" w:lineRule="auto"/>
        <w:jc w:val="both"/>
        <w:rPr>
          <w:rFonts w:eastAsia="Times New Roman" w:cs="Arial"/>
          <w:b/>
          <w:bCs/>
          <w:color w:val="000000" w:themeColor="text1"/>
          <w:sz w:val="24"/>
          <w:szCs w:val="24"/>
        </w:rPr>
      </w:pPr>
      <w:r w:rsidRPr="00F51981">
        <w:rPr>
          <w:rFonts w:eastAsia="Times New Roman" w:cs="Arial"/>
          <w:b/>
          <w:bCs/>
          <w:color w:val="000000" w:themeColor="text1"/>
          <w:sz w:val="24"/>
          <w:szCs w:val="24"/>
        </w:rPr>
        <w:t>4-</w:t>
      </w:r>
      <w:r w:rsidRPr="00F51981">
        <w:rPr>
          <w:rFonts w:eastAsia="Times New Roman" w:cs="Arial"/>
          <w:b/>
          <w:bCs/>
          <w:i/>
          <w:iCs/>
          <w:color w:val="000000" w:themeColor="text1"/>
          <w:sz w:val="24"/>
          <w:szCs w:val="24"/>
        </w:rPr>
        <w:t>ter</w:t>
      </w:r>
      <w:r w:rsidRPr="00F51981">
        <w:rPr>
          <w:rFonts w:eastAsia="Times New Roman" w:cs="Arial"/>
          <w:b/>
          <w:bCs/>
          <w:color w:val="000000" w:themeColor="text1"/>
          <w:sz w:val="24"/>
          <w:szCs w:val="24"/>
        </w:rPr>
        <w:t>. Al comma 155 dell'articolo 1 della legge 30 dicembre 2018, n. 145, le parole: «, di cui 60 milioni di euro annui per la sezione “invasi”» sono soppresse.</w:t>
      </w:r>
      <w:r>
        <w:rPr>
          <w:rStyle w:val="Rimandonotaapidipagina"/>
          <w:rFonts w:eastAsia="Times New Roman" w:cs="Arial"/>
          <w:b/>
          <w:bCs/>
          <w:color w:val="000000" w:themeColor="text1"/>
          <w:sz w:val="24"/>
          <w:szCs w:val="24"/>
        </w:rPr>
        <w:footnoteReference w:id="55"/>
      </w:r>
    </w:p>
    <w:p w14:paraId="7F470A06" w14:textId="63587220" w:rsidR="00240A1E" w:rsidRDefault="00240A1E" w:rsidP="0032471E">
      <w:pPr>
        <w:spacing w:after="0" w:line="240" w:lineRule="auto"/>
        <w:jc w:val="both"/>
        <w:rPr>
          <w:rFonts w:eastAsia="Times New Roman" w:cs="Arial"/>
          <w:b/>
          <w:bCs/>
          <w:color w:val="000000" w:themeColor="text1"/>
          <w:sz w:val="24"/>
          <w:szCs w:val="24"/>
        </w:rPr>
      </w:pPr>
    </w:p>
    <w:p w14:paraId="6E7AE208" w14:textId="77777777" w:rsidR="00240A1E" w:rsidRPr="003A05F4" w:rsidRDefault="00240A1E" w:rsidP="00240A1E">
      <w:pPr>
        <w:shd w:val="clear" w:color="auto" w:fill="FFFFFF"/>
        <w:spacing w:after="0" w:line="240" w:lineRule="auto"/>
        <w:jc w:val="both"/>
        <w:rPr>
          <w:rFonts w:eastAsia="Times New Roman" w:cs="Arial"/>
          <w:b/>
          <w:bCs/>
          <w:color w:val="000000" w:themeColor="text1"/>
          <w:sz w:val="24"/>
          <w:szCs w:val="24"/>
        </w:rPr>
      </w:pPr>
      <w:r w:rsidRPr="003A05F4">
        <w:rPr>
          <w:rFonts w:eastAsia="Times New Roman" w:cs="Arial"/>
          <w:b/>
          <w:bCs/>
          <w:color w:val="000000" w:themeColor="text1"/>
          <w:sz w:val="24"/>
          <w:szCs w:val="24"/>
        </w:rPr>
        <w:t>4-</w:t>
      </w:r>
      <w:r w:rsidRPr="003A05F4">
        <w:rPr>
          <w:rFonts w:eastAsia="Times New Roman" w:cs="Arial"/>
          <w:b/>
          <w:bCs/>
          <w:i/>
          <w:iCs/>
          <w:color w:val="000000" w:themeColor="text1"/>
          <w:sz w:val="24"/>
          <w:szCs w:val="24"/>
        </w:rPr>
        <w:t>bis.</w:t>
      </w:r>
      <w:r w:rsidRPr="003A05F4">
        <w:rPr>
          <w:rFonts w:eastAsia="Times New Roman" w:cs="Arial"/>
          <w:b/>
          <w:bCs/>
          <w:color w:val="000000" w:themeColor="text1"/>
          <w:sz w:val="24"/>
          <w:szCs w:val="24"/>
        </w:rPr>
        <w:t> Il comma 4-</w:t>
      </w:r>
      <w:r w:rsidRPr="003A05F4">
        <w:rPr>
          <w:rFonts w:eastAsia="Times New Roman" w:cs="Arial"/>
          <w:b/>
          <w:bCs/>
          <w:i/>
          <w:iCs/>
          <w:color w:val="000000" w:themeColor="text1"/>
          <w:sz w:val="24"/>
          <w:szCs w:val="24"/>
        </w:rPr>
        <w:t>bis</w:t>
      </w:r>
      <w:r w:rsidRPr="003A05F4">
        <w:rPr>
          <w:rFonts w:eastAsia="Times New Roman" w:cs="Arial"/>
          <w:b/>
          <w:bCs/>
          <w:color w:val="000000" w:themeColor="text1"/>
          <w:sz w:val="24"/>
          <w:szCs w:val="24"/>
        </w:rPr>
        <w:t> dell'articolo 6 della legge 1° agosto 2002, n. 166, è sostituito dai seguenti:</w:t>
      </w:r>
    </w:p>
    <w:p w14:paraId="7B3E3D12" w14:textId="77777777" w:rsidR="00240A1E" w:rsidRPr="003A05F4" w:rsidRDefault="00240A1E" w:rsidP="00240A1E">
      <w:pPr>
        <w:shd w:val="clear" w:color="auto" w:fill="FFFFFF"/>
        <w:spacing w:after="0" w:line="240" w:lineRule="auto"/>
        <w:jc w:val="both"/>
        <w:rPr>
          <w:rFonts w:eastAsia="Times New Roman" w:cs="Arial"/>
          <w:b/>
          <w:bCs/>
          <w:color w:val="000000" w:themeColor="text1"/>
          <w:sz w:val="24"/>
          <w:szCs w:val="24"/>
        </w:rPr>
      </w:pPr>
      <w:r w:rsidRPr="003A05F4">
        <w:rPr>
          <w:rFonts w:eastAsia="Times New Roman" w:cs="Arial"/>
          <w:b/>
          <w:bCs/>
          <w:color w:val="000000" w:themeColor="text1"/>
          <w:sz w:val="24"/>
          <w:szCs w:val="24"/>
        </w:rPr>
        <w:t> </w:t>
      </w:r>
      <w:r w:rsidRPr="003A05F4">
        <w:rPr>
          <w:rFonts w:eastAsia="Times New Roman" w:cs="Arial"/>
          <w:b/>
          <w:bCs/>
          <w:color w:val="000000" w:themeColor="text1"/>
          <w:sz w:val="24"/>
          <w:szCs w:val="24"/>
        </w:rPr>
        <w:t> </w:t>
      </w:r>
      <w:r w:rsidRPr="003A05F4">
        <w:rPr>
          <w:rFonts w:eastAsia="Times New Roman" w:cs="Arial"/>
          <w:b/>
          <w:bCs/>
          <w:color w:val="000000" w:themeColor="text1"/>
          <w:sz w:val="24"/>
          <w:szCs w:val="24"/>
        </w:rPr>
        <w:t> </w:t>
      </w:r>
      <w:r w:rsidRPr="003A05F4">
        <w:rPr>
          <w:rFonts w:eastAsia="Times New Roman" w:cs="Arial"/>
          <w:b/>
          <w:bCs/>
          <w:color w:val="000000" w:themeColor="text1"/>
          <w:sz w:val="24"/>
          <w:szCs w:val="24"/>
        </w:rPr>
        <w:t>«</w:t>
      </w:r>
      <w:r w:rsidRPr="003A05F4">
        <w:rPr>
          <w:rFonts w:eastAsia="Times New Roman" w:cs="Arial"/>
          <w:b/>
          <w:bCs/>
          <w:i/>
          <w:iCs/>
          <w:color w:val="000000" w:themeColor="text1"/>
          <w:sz w:val="24"/>
          <w:szCs w:val="24"/>
        </w:rPr>
        <w:t>4-bis.</w:t>
      </w:r>
      <w:r w:rsidRPr="003A05F4">
        <w:rPr>
          <w:rFonts w:eastAsia="Times New Roman" w:cs="Arial"/>
          <w:b/>
          <w:bCs/>
          <w:color w:val="000000" w:themeColor="text1"/>
          <w:sz w:val="24"/>
          <w:szCs w:val="24"/>
        </w:rPr>
        <w:t> Con il regolamento di cui all'articolo 2 del decreto-legge 8 agosto 1994, n. 507, convertito, con modificazioni, dalla legge 21 ottobre 1994, n. 584, sono definite le modalità con cui il Ministero delle infrastrutture e della mobilità sostenibili provvede alla vigilanza tecnica sulle operazioni di controllo eseguite dai concessionari e all'approvazione tecnica dei progetti delle opere di derivazione e adduzione connesse agli sbarramenti di ritenuta di cui all'articolo 1, comma 1, del citato decreto-legge n. 507 del 1994, aventi le seguenti caratteristiche:</w:t>
      </w:r>
    </w:p>
    <w:p w14:paraId="1DB9D899" w14:textId="77777777" w:rsidR="00240A1E" w:rsidRPr="003A05F4" w:rsidRDefault="00240A1E" w:rsidP="00240A1E">
      <w:pPr>
        <w:shd w:val="clear" w:color="auto" w:fill="FFFFFF"/>
        <w:spacing w:after="0" w:line="240" w:lineRule="auto"/>
        <w:jc w:val="both"/>
        <w:rPr>
          <w:rFonts w:eastAsia="Times New Roman" w:cs="Arial"/>
          <w:b/>
          <w:bCs/>
          <w:color w:val="000000" w:themeColor="text1"/>
          <w:sz w:val="24"/>
          <w:szCs w:val="24"/>
        </w:rPr>
      </w:pPr>
      <w:r w:rsidRPr="003A05F4">
        <w:rPr>
          <w:rFonts w:eastAsia="Times New Roman" w:cs="Arial"/>
          <w:b/>
          <w:bCs/>
          <w:color w:val="000000" w:themeColor="text1"/>
          <w:sz w:val="24"/>
          <w:szCs w:val="24"/>
        </w:rPr>
        <w:t> </w:t>
      </w:r>
      <w:r w:rsidRPr="003A05F4">
        <w:rPr>
          <w:rFonts w:eastAsia="Times New Roman" w:cs="Arial"/>
          <w:b/>
          <w:bCs/>
          <w:color w:val="000000" w:themeColor="text1"/>
          <w:sz w:val="24"/>
          <w:szCs w:val="24"/>
        </w:rPr>
        <w:t> </w:t>
      </w:r>
      <w:r w:rsidRPr="003A05F4">
        <w:rPr>
          <w:rFonts w:eastAsia="Times New Roman" w:cs="Arial"/>
          <w:b/>
          <w:bCs/>
          <w:color w:val="000000" w:themeColor="text1"/>
          <w:sz w:val="24"/>
          <w:szCs w:val="24"/>
        </w:rPr>
        <w:t> </w:t>
      </w:r>
      <w:r w:rsidRPr="003A05F4">
        <w:rPr>
          <w:rFonts w:eastAsia="Times New Roman" w:cs="Arial"/>
          <w:b/>
          <w:bCs/>
          <w:i/>
          <w:iCs/>
          <w:color w:val="000000" w:themeColor="text1"/>
          <w:sz w:val="24"/>
          <w:szCs w:val="24"/>
        </w:rPr>
        <w:t>a)</w:t>
      </w:r>
      <w:r w:rsidRPr="003A05F4">
        <w:rPr>
          <w:rFonts w:eastAsia="Times New Roman" w:cs="Arial"/>
          <w:b/>
          <w:bCs/>
          <w:color w:val="000000" w:themeColor="text1"/>
          <w:sz w:val="24"/>
          <w:szCs w:val="24"/>
        </w:rPr>
        <w:t> in caso di utilizzo della risorsa idrica con restituzione in alveo: l'opera di presa e le opere comprese tra la presa e la restituzione in alveo naturale, escluse le centrali idroelettriche e di pompaggio e gli altri impianti industriali;</w:t>
      </w:r>
    </w:p>
    <w:p w14:paraId="7DB71F33" w14:textId="77777777" w:rsidR="00240A1E" w:rsidRPr="003A05F4" w:rsidRDefault="00240A1E" w:rsidP="00240A1E">
      <w:pPr>
        <w:shd w:val="clear" w:color="auto" w:fill="FFFFFF"/>
        <w:spacing w:after="0" w:line="240" w:lineRule="auto"/>
        <w:jc w:val="both"/>
        <w:rPr>
          <w:rFonts w:eastAsia="Times New Roman" w:cs="Arial"/>
          <w:b/>
          <w:bCs/>
          <w:color w:val="000000" w:themeColor="text1"/>
          <w:sz w:val="24"/>
          <w:szCs w:val="24"/>
        </w:rPr>
      </w:pPr>
      <w:r w:rsidRPr="003A05F4">
        <w:rPr>
          <w:rFonts w:eastAsia="Times New Roman" w:cs="Arial"/>
          <w:b/>
          <w:bCs/>
          <w:color w:val="000000" w:themeColor="text1"/>
          <w:sz w:val="24"/>
          <w:szCs w:val="24"/>
        </w:rPr>
        <w:t> </w:t>
      </w:r>
      <w:r w:rsidRPr="003A05F4">
        <w:rPr>
          <w:rFonts w:eastAsia="Times New Roman" w:cs="Arial"/>
          <w:b/>
          <w:bCs/>
          <w:color w:val="000000" w:themeColor="text1"/>
          <w:sz w:val="24"/>
          <w:szCs w:val="24"/>
        </w:rPr>
        <w:t> </w:t>
      </w:r>
      <w:r w:rsidRPr="003A05F4">
        <w:rPr>
          <w:rFonts w:eastAsia="Times New Roman" w:cs="Arial"/>
          <w:b/>
          <w:bCs/>
          <w:color w:val="000000" w:themeColor="text1"/>
          <w:sz w:val="24"/>
          <w:szCs w:val="24"/>
        </w:rPr>
        <w:t> </w:t>
      </w:r>
      <w:r w:rsidRPr="003A05F4">
        <w:rPr>
          <w:rFonts w:eastAsia="Times New Roman" w:cs="Arial"/>
          <w:b/>
          <w:bCs/>
          <w:i/>
          <w:iCs/>
          <w:color w:val="000000" w:themeColor="text1"/>
          <w:sz w:val="24"/>
          <w:szCs w:val="24"/>
        </w:rPr>
        <w:t>b)</w:t>
      </w:r>
      <w:r w:rsidRPr="003A05F4">
        <w:rPr>
          <w:rFonts w:eastAsia="Times New Roman" w:cs="Arial"/>
          <w:b/>
          <w:bCs/>
          <w:color w:val="000000" w:themeColor="text1"/>
          <w:sz w:val="24"/>
          <w:szCs w:val="24"/>
        </w:rPr>
        <w:t xml:space="preserve"> in caso di utilizzo della risorsa idrica senza restituzione in alveo: l'opera di presa e le opere successive alla presa, sino e compresa la prima opera idraulica in grado di regolare, dissipare o </w:t>
      </w:r>
      <w:r w:rsidRPr="003A05F4">
        <w:rPr>
          <w:rFonts w:eastAsia="Times New Roman" w:cs="Arial"/>
          <w:b/>
          <w:bCs/>
          <w:color w:val="000000" w:themeColor="text1"/>
          <w:sz w:val="24"/>
          <w:szCs w:val="24"/>
        </w:rPr>
        <w:lastRenderedPageBreak/>
        <w:t>disconnettere il carico idraulico di monte rispetto alle opere di valle, ovvero la prima opera idraulica di ripartizione della portata derivata.</w:t>
      </w:r>
    </w:p>
    <w:p w14:paraId="7534DB83" w14:textId="77777777" w:rsidR="00240A1E" w:rsidRPr="003A05F4" w:rsidRDefault="00240A1E" w:rsidP="00240A1E">
      <w:pPr>
        <w:shd w:val="clear" w:color="auto" w:fill="FFFFFF"/>
        <w:spacing w:after="0" w:line="240" w:lineRule="auto"/>
        <w:jc w:val="both"/>
        <w:rPr>
          <w:rFonts w:eastAsia="Times New Roman" w:cs="Arial"/>
          <w:b/>
          <w:bCs/>
          <w:color w:val="000000" w:themeColor="text1"/>
          <w:sz w:val="24"/>
          <w:szCs w:val="24"/>
        </w:rPr>
      </w:pPr>
      <w:r w:rsidRPr="003A05F4">
        <w:rPr>
          <w:rFonts w:eastAsia="Times New Roman" w:cs="Arial"/>
          <w:b/>
          <w:bCs/>
          <w:color w:val="000000" w:themeColor="text1"/>
          <w:sz w:val="24"/>
          <w:szCs w:val="24"/>
        </w:rPr>
        <w:t> </w:t>
      </w:r>
      <w:r w:rsidRPr="003A05F4">
        <w:rPr>
          <w:rFonts w:eastAsia="Times New Roman" w:cs="Arial"/>
          <w:b/>
          <w:bCs/>
          <w:color w:val="000000" w:themeColor="text1"/>
          <w:sz w:val="24"/>
          <w:szCs w:val="24"/>
        </w:rPr>
        <w:t> </w:t>
      </w:r>
      <w:r w:rsidRPr="003A05F4">
        <w:rPr>
          <w:rFonts w:eastAsia="Times New Roman" w:cs="Arial"/>
          <w:b/>
          <w:bCs/>
          <w:color w:val="000000" w:themeColor="text1"/>
          <w:sz w:val="24"/>
          <w:szCs w:val="24"/>
        </w:rPr>
        <w:t> </w:t>
      </w:r>
    </w:p>
    <w:p w14:paraId="07D637B0" w14:textId="77777777" w:rsidR="00240A1E" w:rsidRDefault="00240A1E" w:rsidP="00240A1E">
      <w:pPr>
        <w:shd w:val="clear" w:color="auto" w:fill="FFFFFF"/>
        <w:spacing w:after="0" w:line="240" w:lineRule="auto"/>
        <w:jc w:val="both"/>
        <w:rPr>
          <w:rFonts w:eastAsia="Times New Roman" w:cs="Arial"/>
          <w:b/>
          <w:bCs/>
          <w:color w:val="000000" w:themeColor="text1"/>
          <w:sz w:val="24"/>
          <w:szCs w:val="24"/>
        </w:rPr>
      </w:pPr>
      <w:r w:rsidRPr="003A05F4">
        <w:rPr>
          <w:rFonts w:eastAsia="Times New Roman" w:cs="Arial"/>
          <w:b/>
          <w:bCs/>
          <w:i/>
          <w:iCs/>
          <w:color w:val="000000" w:themeColor="text1"/>
          <w:sz w:val="24"/>
          <w:szCs w:val="24"/>
        </w:rPr>
        <w:t>4-ter.</w:t>
      </w:r>
      <w:r w:rsidRPr="003A05F4">
        <w:rPr>
          <w:rFonts w:eastAsia="Times New Roman" w:cs="Arial"/>
          <w:b/>
          <w:bCs/>
          <w:color w:val="000000" w:themeColor="text1"/>
          <w:sz w:val="24"/>
          <w:szCs w:val="24"/>
        </w:rPr>
        <w:t> All'approvazione tecnica dei progetti delle opere di derivazione e di adduzione non individuate ai sensi del comma 4-</w:t>
      </w:r>
      <w:r w:rsidRPr="003A05F4">
        <w:rPr>
          <w:rFonts w:eastAsia="Times New Roman" w:cs="Arial"/>
          <w:b/>
          <w:bCs/>
          <w:i/>
          <w:iCs/>
          <w:color w:val="000000" w:themeColor="text1"/>
          <w:sz w:val="24"/>
          <w:szCs w:val="24"/>
        </w:rPr>
        <w:t>bis</w:t>
      </w:r>
      <w:r w:rsidRPr="003A05F4">
        <w:rPr>
          <w:rFonts w:eastAsia="Times New Roman" w:cs="Arial"/>
          <w:b/>
          <w:bCs/>
          <w:color w:val="000000" w:themeColor="text1"/>
          <w:sz w:val="24"/>
          <w:szCs w:val="24"/>
        </w:rPr>
        <w:t> e alla vigilanza tecnica sulle operazioni di controllo eseguite dai concessionari sulle medesime opere provvedono le regioni e le province autonome di Trento e di Bolzano.</w:t>
      </w:r>
    </w:p>
    <w:p w14:paraId="40232198" w14:textId="77777777" w:rsidR="00240A1E" w:rsidRPr="003A05F4" w:rsidRDefault="00240A1E" w:rsidP="00240A1E">
      <w:pPr>
        <w:shd w:val="clear" w:color="auto" w:fill="FFFFFF"/>
        <w:spacing w:after="0" w:line="240" w:lineRule="auto"/>
        <w:jc w:val="both"/>
        <w:rPr>
          <w:rFonts w:eastAsia="Times New Roman" w:cs="Arial"/>
          <w:b/>
          <w:bCs/>
          <w:color w:val="000000" w:themeColor="text1"/>
          <w:sz w:val="24"/>
          <w:szCs w:val="24"/>
        </w:rPr>
      </w:pPr>
      <w:r w:rsidRPr="003A05F4">
        <w:rPr>
          <w:rFonts w:eastAsia="Times New Roman" w:cs="Arial"/>
          <w:b/>
          <w:bCs/>
          <w:color w:val="000000" w:themeColor="text1"/>
          <w:sz w:val="24"/>
          <w:szCs w:val="24"/>
        </w:rPr>
        <w:t> </w:t>
      </w:r>
      <w:r w:rsidRPr="003A05F4">
        <w:rPr>
          <w:rFonts w:eastAsia="Times New Roman" w:cs="Arial"/>
          <w:b/>
          <w:bCs/>
          <w:color w:val="000000" w:themeColor="text1"/>
          <w:sz w:val="24"/>
          <w:szCs w:val="24"/>
        </w:rPr>
        <w:t> </w:t>
      </w:r>
      <w:r w:rsidRPr="003A05F4">
        <w:rPr>
          <w:rFonts w:eastAsia="Times New Roman" w:cs="Arial"/>
          <w:b/>
          <w:bCs/>
          <w:color w:val="000000" w:themeColor="text1"/>
          <w:sz w:val="24"/>
          <w:szCs w:val="24"/>
        </w:rPr>
        <w:t> </w:t>
      </w:r>
    </w:p>
    <w:p w14:paraId="1ECCA913" w14:textId="3124807C" w:rsidR="00240A1E" w:rsidRDefault="00240A1E" w:rsidP="00240A1E">
      <w:pPr>
        <w:shd w:val="clear" w:color="auto" w:fill="FFFFFF"/>
        <w:spacing w:after="0" w:line="240" w:lineRule="auto"/>
        <w:jc w:val="both"/>
        <w:rPr>
          <w:rFonts w:eastAsia="Times New Roman" w:cs="Arial"/>
          <w:b/>
          <w:bCs/>
          <w:color w:val="000000" w:themeColor="text1"/>
          <w:sz w:val="24"/>
          <w:szCs w:val="24"/>
        </w:rPr>
      </w:pPr>
      <w:r w:rsidRPr="003A05F4">
        <w:rPr>
          <w:rFonts w:eastAsia="Times New Roman" w:cs="Arial"/>
          <w:b/>
          <w:bCs/>
          <w:i/>
          <w:iCs/>
          <w:color w:val="000000" w:themeColor="text1"/>
          <w:sz w:val="24"/>
          <w:szCs w:val="24"/>
        </w:rPr>
        <w:t>4-quater.</w:t>
      </w:r>
      <w:r w:rsidRPr="003A05F4">
        <w:rPr>
          <w:rFonts w:eastAsia="Times New Roman" w:cs="Arial"/>
          <w:b/>
          <w:bCs/>
          <w:color w:val="000000" w:themeColor="text1"/>
          <w:sz w:val="24"/>
          <w:szCs w:val="24"/>
        </w:rPr>
        <w:t> Nel caso di opere di derivazione e di adduzione di cui ai commi 4-</w:t>
      </w:r>
      <w:r w:rsidRPr="003A05F4">
        <w:rPr>
          <w:rFonts w:eastAsia="Times New Roman" w:cs="Arial"/>
          <w:b/>
          <w:bCs/>
          <w:i/>
          <w:iCs/>
          <w:color w:val="000000" w:themeColor="text1"/>
          <w:sz w:val="24"/>
          <w:szCs w:val="24"/>
        </w:rPr>
        <w:t>bis</w:t>
      </w:r>
      <w:r w:rsidRPr="003A05F4">
        <w:rPr>
          <w:rFonts w:eastAsia="Times New Roman" w:cs="Arial"/>
          <w:b/>
          <w:bCs/>
          <w:color w:val="000000" w:themeColor="text1"/>
          <w:sz w:val="24"/>
          <w:szCs w:val="24"/>
        </w:rPr>
        <w:t> e 4-</w:t>
      </w:r>
      <w:r w:rsidRPr="003A05F4">
        <w:rPr>
          <w:rFonts w:eastAsia="Times New Roman" w:cs="Arial"/>
          <w:b/>
          <w:bCs/>
          <w:i/>
          <w:iCs/>
          <w:color w:val="000000" w:themeColor="text1"/>
          <w:sz w:val="24"/>
          <w:szCs w:val="24"/>
        </w:rPr>
        <w:t>ter</w:t>
      </w:r>
      <w:r w:rsidRPr="003A05F4">
        <w:rPr>
          <w:rFonts w:eastAsia="Times New Roman" w:cs="Arial"/>
          <w:b/>
          <w:bCs/>
          <w:color w:val="000000" w:themeColor="text1"/>
          <w:sz w:val="24"/>
          <w:szCs w:val="24"/>
        </w:rPr>
        <w:t> tra loro interconnesse, i compiti e le funzioni di cui ai commi 4-</w:t>
      </w:r>
      <w:r w:rsidRPr="003A05F4">
        <w:rPr>
          <w:rFonts w:eastAsia="Times New Roman" w:cs="Arial"/>
          <w:b/>
          <w:bCs/>
          <w:i/>
          <w:iCs/>
          <w:color w:val="000000" w:themeColor="text1"/>
          <w:sz w:val="24"/>
          <w:szCs w:val="24"/>
        </w:rPr>
        <w:t>bis</w:t>
      </w:r>
      <w:r w:rsidRPr="003A05F4">
        <w:rPr>
          <w:rFonts w:eastAsia="Times New Roman" w:cs="Arial"/>
          <w:b/>
          <w:bCs/>
          <w:color w:val="000000" w:themeColor="text1"/>
          <w:sz w:val="24"/>
          <w:szCs w:val="24"/>
        </w:rPr>
        <w:t> e 4-</w:t>
      </w:r>
      <w:r w:rsidRPr="003A05F4">
        <w:rPr>
          <w:rFonts w:eastAsia="Times New Roman" w:cs="Arial"/>
          <w:b/>
          <w:bCs/>
          <w:i/>
          <w:iCs/>
          <w:color w:val="000000" w:themeColor="text1"/>
          <w:sz w:val="24"/>
          <w:szCs w:val="24"/>
        </w:rPr>
        <w:t>ter</w:t>
      </w:r>
      <w:r w:rsidRPr="003A05F4">
        <w:rPr>
          <w:rFonts w:eastAsia="Times New Roman" w:cs="Arial"/>
          <w:b/>
          <w:bCs/>
          <w:color w:val="000000" w:themeColor="text1"/>
          <w:sz w:val="24"/>
          <w:szCs w:val="24"/>
        </w:rPr>
        <w:t> sono svolti dal Ministero delle infrastrutture e della mobilità sostenibili ovvero dalle regioni e province autonome di Trento e di Bolzano sulla base di accordi sottoscritti ai sensi dell'articolo 15 della legge 7 agosto 1990, n. 241.</w:t>
      </w:r>
      <w:r>
        <w:rPr>
          <w:rStyle w:val="Rimandonotaapidipagina"/>
          <w:rFonts w:eastAsia="Times New Roman" w:cs="Arial"/>
          <w:b/>
          <w:bCs/>
          <w:color w:val="000000" w:themeColor="text1"/>
          <w:sz w:val="24"/>
          <w:szCs w:val="24"/>
        </w:rPr>
        <w:footnoteReference w:id="56"/>
      </w:r>
    </w:p>
    <w:p w14:paraId="6061E24C" w14:textId="263361DE" w:rsidR="00240A1E" w:rsidRDefault="00240A1E" w:rsidP="00240A1E">
      <w:pPr>
        <w:shd w:val="clear" w:color="auto" w:fill="FFFFFF"/>
        <w:spacing w:after="0" w:line="240" w:lineRule="auto"/>
        <w:jc w:val="both"/>
        <w:rPr>
          <w:rFonts w:eastAsia="Times New Roman" w:cs="Arial"/>
          <w:b/>
          <w:bCs/>
          <w:color w:val="000000" w:themeColor="text1"/>
          <w:sz w:val="24"/>
          <w:szCs w:val="24"/>
        </w:rPr>
      </w:pPr>
    </w:p>
    <w:p w14:paraId="19BC9BF9" w14:textId="77777777" w:rsidR="00240A1E" w:rsidRPr="003A05F4" w:rsidRDefault="00240A1E" w:rsidP="00240A1E">
      <w:pPr>
        <w:shd w:val="clear" w:color="auto" w:fill="FFFFFF"/>
        <w:spacing w:after="0" w:line="240" w:lineRule="auto"/>
        <w:jc w:val="center"/>
        <w:rPr>
          <w:rFonts w:eastAsia="Times New Roman" w:cs="Arial"/>
          <w:b/>
          <w:bCs/>
          <w:color w:val="000000" w:themeColor="text1"/>
          <w:sz w:val="24"/>
          <w:szCs w:val="24"/>
        </w:rPr>
      </w:pPr>
      <w:r w:rsidRPr="003A05F4">
        <w:rPr>
          <w:rFonts w:eastAsia="Times New Roman" w:cs="Arial"/>
          <w:b/>
          <w:bCs/>
          <w:color w:val="000000" w:themeColor="text1"/>
          <w:sz w:val="24"/>
          <w:szCs w:val="24"/>
        </w:rPr>
        <w:t>Art. 2-</w:t>
      </w:r>
      <w:r w:rsidRPr="003A05F4">
        <w:rPr>
          <w:rFonts w:eastAsia="Times New Roman" w:cs="Arial"/>
          <w:b/>
          <w:bCs/>
          <w:i/>
          <w:iCs/>
          <w:color w:val="000000" w:themeColor="text1"/>
          <w:sz w:val="24"/>
          <w:szCs w:val="24"/>
        </w:rPr>
        <w:t>bis</w:t>
      </w:r>
      <w:r w:rsidRPr="003A05F4">
        <w:rPr>
          <w:rFonts w:eastAsia="Times New Roman" w:cs="Arial"/>
          <w:b/>
          <w:bCs/>
          <w:color w:val="000000" w:themeColor="text1"/>
          <w:sz w:val="24"/>
          <w:szCs w:val="24"/>
        </w:rPr>
        <w:t>.</w:t>
      </w:r>
      <w:r w:rsidRPr="003A05F4">
        <w:rPr>
          <w:rFonts w:eastAsia="Times New Roman" w:cs="Arial"/>
          <w:b/>
          <w:bCs/>
          <w:color w:val="000000" w:themeColor="text1"/>
          <w:sz w:val="24"/>
          <w:szCs w:val="24"/>
        </w:rPr>
        <w:br/>
      </w:r>
      <w:r w:rsidRPr="003A05F4">
        <w:rPr>
          <w:rFonts w:eastAsia="Times New Roman" w:cs="Arial"/>
          <w:b/>
          <w:bCs/>
          <w:i/>
          <w:iCs/>
          <w:color w:val="000000" w:themeColor="text1"/>
          <w:sz w:val="24"/>
          <w:szCs w:val="24"/>
        </w:rPr>
        <w:t>(Individuazione di nuovi siti per i caselli autostradali al servizio delle stazioni per l'Alta Velocità)</w:t>
      </w:r>
    </w:p>
    <w:p w14:paraId="73B85507" w14:textId="77777777" w:rsidR="00240A1E" w:rsidRPr="003A05F4" w:rsidRDefault="00240A1E" w:rsidP="00240A1E">
      <w:pPr>
        <w:shd w:val="clear" w:color="auto" w:fill="FFFFFF"/>
        <w:spacing w:after="0" w:line="240" w:lineRule="auto"/>
        <w:rPr>
          <w:rFonts w:eastAsia="Times New Roman" w:cs="Arial"/>
          <w:b/>
          <w:bCs/>
          <w:color w:val="000000" w:themeColor="text1"/>
          <w:sz w:val="24"/>
          <w:szCs w:val="24"/>
        </w:rPr>
      </w:pPr>
      <w:r w:rsidRPr="003A05F4">
        <w:rPr>
          <w:rFonts w:eastAsia="Times New Roman" w:cs="Arial"/>
          <w:b/>
          <w:bCs/>
          <w:color w:val="000000" w:themeColor="text1"/>
          <w:sz w:val="24"/>
          <w:szCs w:val="24"/>
        </w:rPr>
        <w:t> </w:t>
      </w:r>
      <w:r w:rsidRPr="003A05F4">
        <w:rPr>
          <w:rFonts w:eastAsia="Times New Roman" w:cs="Arial"/>
          <w:b/>
          <w:bCs/>
          <w:color w:val="000000" w:themeColor="text1"/>
          <w:sz w:val="24"/>
          <w:szCs w:val="24"/>
        </w:rPr>
        <w:t> </w:t>
      </w:r>
    </w:p>
    <w:p w14:paraId="5CD9FE44" w14:textId="0548D829" w:rsidR="00240A1E" w:rsidRDefault="00240A1E" w:rsidP="00240A1E">
      <w:pPr>
        <w:shd w:val="clear" w:color="auto" w:fill="FFFFFF"/>
        <w:spacing w:after="0" w:line="240" w:lineRule="auto"/>
        <w:jc w:val="both"/>
        <w:rPr>
          <w:rFonts w:eastAsia="Times New Roman" w:cs="Arial"/>
          <w:b/>
          <w:bCs/>
          <w:color w:val="000000" w:themeColor="text1"/>
          <w:sz w:val="24"/>
          <w:szCs w:val="24"/>
        </w:rPr>
      </w:pPr>
      <w:r w:rsidRPr="003A05F4">
        <w:rPr>
          <w:rFonts w:eastAsia="Times New Roman" w:cs="Arial"/>
          <w:b/>
          <w:bCs/>
          <w:color w:val="000000" w:themeColor="text1"/>
          <w:sz w:val="24"/>
          <w:szCs w:val="24"/>
        </w:rPr>
        <w:t>1. Il Ministero delle infrastrutture e della mobilità sostenibili, d'intesa con i concessionari delle tratte autostradali in concessione, procede alla valutazione, sulla base di analisi di fattibilità tecnico-economica, dei siti per l'ubicazione dei caselli autostradali funzionali all'accesso alle stazioni ferroviarie per l'alta velocità e per l'alta capacità di prossima realizzazione. I nuovi caselli, valutati sostenibili in relazione alla domanda di traffico, saranno assentiti in concessione alle società e regolati mediante un </w:t>
      </w:r>
      <w:r w:rsidRPr="003A05F4">
        <w:rPr>
          <w:rFonts w:eastAsia="Times New Roman" w:cs="Arial"/>
          <w:b/>
          <w:bCs/>
          <w:i/>
          <w:iCs/>
          <w:color w:val="000000" w:themeColor="text1"/>
          <w:sz w:val="24"/>
          <w:szCs w:val="24"/>
        </w:rPr>
        <w:t>Addendum</w:t>
      </w:r>
      <w:r w:rsidRPr="003A05F4">
        <w:rPr>
          <w:rFonts w:eastAsia="Times New Roman" w:cs="Arial"/>
          <w:b/>
          <w:bCs/>
          <w:color w:val="000000" w:themeColor="text1"/>
          <w:sz w:val="24"/>
          <w:szCs w:val="24"/>
        </w:rPr>
        <w:t> agli atti convenzionali vigenti.</w:t>
      </w:r>
      <w:r>
        <w:rPr>
          <w:rStyle w:val="Rimandonotaapidipagina"/>
          <w:rFonts w:eastAsia="Times New Roman" w:cs="Arial"/>
          <w:b/>
          <w:bCs/>
          <w:color w:val="000000" w:themeColor="text1"/>
          <w:sz w:val="24"/>
          <w:szCs w:val="24"/>
        </w:rPr>
        <w:footnoteReference w:id="57"/>
      </w:r>
    </w:p>
    <w:p w14:paraId="051A1865"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55267FC8"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Articolo 3.</w:t>
      </w:r>
    </w:p>
    <w:p w14:paraId="4100F220"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(Disposizioni urgenti in materia di investimenti e di sicurezza nel settore dei trasporti e delle infrastrutture ferroviarie e impianti fissi)</w:t>
      </w:r>
    </w:p>
    <w:p w14:paraId="5C5580A0"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57347382"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1. Al fine di accelerare il «Piano nazionale di implementazione del sistema europeo di gestione del traffico ferroviario, </w:t>
      </w:r>
      <w:proofErr w:type="spellStart"/>
      <w:r w:rsidRPr="00660EE5">
        <w:rPr>
          <w:rFonts w:asciiTheme="minorHAnsi" w:hAnsiTheme="minorHAnsi"/>
          <w:color w:val="000000" w:themeColor="text1"/>
          <w:sz w:val="24"/>
          <w:szCs w:val="24"/>
        </w:rPr>
        <w:t>European</w:t>
      </w:r>
      <w:proofErr w:type="spellEnd"/>
      <w:r w:rsidRPr="00660EE5">
        <w:rPr>
          <w:rFonts w:asciiTheme="minorHAnsi" w:hAnsiTheme="minorHAnsi"/>
          <w:color w:val="000000" w:themeColor="text1"/>
          <w:sz w:val="24"/>
          <w:szCs w:val="24"/>
        </w:rPr>
        <w:t xml:space="preserve"> </w:t>
      </w:r>
      <w:proofErr w:type="spellStart"/>
      <w:r w:rsidRPr="00660EE5">
        <w:rPr>
          <w:rFonts w:asciiTheme="minorHAnsi" w:hAnsiTheme="minorHAnsi"/>
          <w:color w:val="000000" w:themeColor="text1"/>
          <w:sz w:val="24"/>
          <w:szCs w:val="24"/>
        </w:rPr>
        <w:t>Rail</w:t>
      </w:r>
      <w:proofErr w:type="spellEnd"/>
      <w:r w:rsidRPr="00660EE5">
        <w:rPr>
          <w:rFonts w:asciiTheme="minorHAnsi" w:hAnsiTheme="minorHAnsi"/>
          <w:color w:val="000000" w:themeColor="text1"/>
          <w:sz w:val="24"/>
          <w:szCs w:val="24"/>
        </w:rPr>
        <w:t xml:space="preserve"> Traffic Management System», di seguito ERTMS, e di garantire un efficace coordinamento tra la dismissione del sistema di segnalamento nazionale di classe «B» e l'attrezzaggio dei sottosistemi di bordo dei veicoli con il sistema ERTMS, è istituito nello stato di previsione del Ministero delle infrastrutture e della mobilità sostenibili un fondo con una dotazione di 60 milioni di euro, per ciascuno degli anni dal 2022 al 2026, per finanziare i costi di implementazione del sotto sistema ERTMS di bordo dei veicoli, secondo le disposizioni di cui ai commi 2 e 3. Tali risorse non sono destinate al finanziamento dei costi di sviluppo, certificazione, omologazione ed eventuali </w:t>
      </w:r>
      <w:proofErr w:type="spellStart"/>
      <w:r w:rsidRPr="00660EE5">
        <w:rPr>
          <w:rFonts w:asciiTheme="minorHAnsi" w:hAnsiTheme="minorHAnsi"/>
          <w:color w:val="000000" w:themeColor="text1"/>
          <w:sz w:val="24"/>
          <w:szCs w:val="24"/>
        </w:rPr>
        <w:t>riomologazioni</w:t>
      </w:r>
      <w:proofErr w:type="spellEnd"/>
      <w:r w:rsidRPr="00660EE5">
        <w:rPr>
          <w:rFonts w:asciiTheme="minorHAnsi" w:hAnsiTheme="minorHAnsi"/>
          <w:color w:val="000000" w:themeColor="text1"/>
          <w:sz w:val="24"/>
          <w:szCs w:val="24"/>
        </w:rPr>
        <w:t xml:space="preserve"> su reti estere dei cosiddetti «veicoli tipo», fermi macchina o sostituzione operativa dei mezzi di trazione.</w:t>
      </w:r>
    </w:p>
    <w:p w14:paraId="124025F6"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41FCF8C7"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lastRenderedPageBreak/>
        <w:t>2. Le risorse di cui al comma 1 sono destinate al finanziamento degli interventi di rinnovo o ristrutturazione dei veicoli, per l'adeguamento del relativo sottosistema di bordo di classe «B» al sistema ERTMS rispondente alle Specifiche Tecniche di Interoperabilità indicate nella Tabella A2.3 dell'allegato A del regolamento (UE) 2016/919 della Commissione europea, del 27 maggio 2016, come modificato dal regolamento (UE) 2019/776 della Commissione europea, del 16 maggio 2019, e alle norme tecniche previste al punto 12.2 dell'Allegato 1a al decreto dell'Agenzia nazionale per la sicurezza delle ferrovie n. 1/2016 del 13 dicembre 2016. Fermo quanto previsto dal comma 3 possono beneficiare del finanziamento gli interventi realizzati a partire dalla data di entrata in vigore della legge di conversione del presente decreto ed entro il 31 dicembre 2026, sui veicoli che risultino iscritti in un registro di immatricolazione istituito presso uno Stato membro dell'Unione europea, che circolano sul territorio nazionale e soltanto nel caso che in cui detti interventi non risultino già finanziati dai contratti di servizio in essere con lo Stato o le regioni.</w:t>
      </w:r>
    </w:p>
    <w:p w14:paraId="20E0BCCB"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68B76AB2"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3. Con decreto del Ministro delle infrastrutture e della mobilità sostenibili, di concerto con il Ministro dell'economia e delle finanze, sono definite le modalità attuative di erogazione del contributo alle imprese ferroviarie o ai proprietari dei veicoli per gli interventi sui veicoli di cui al comma 2, nei limiti della effettiva disponibilità del fondo. Nell'ambito delle dotazioni del fondo, il suddetto decreto definisce i costi sostenuti che possono essere considerati ammissibili, l'entità del contributo massimo riconoscibile per ciascun veicolo oggetto di intervento in caso di effettuazione di una determinata percorrenza sulla rete ferroviaria interconnessa insistente sul territorio nazionale, l'entità della riduzione proporzionale del contributo riconoscibile in caso di effettuazione di percorrenze inferiori a quella richiesta ai fini dell'attribuzione del contributo nella misura massima, nonché i criteri di priorità di accoglimento delle istanze in coerenza con le tempistiche previste nel piano nazionale di sviluppo del sistema ERTMS di terra. L'efficacia del decreto di cui al presente comma è subordinata all'autorizzazione della Commissione europea ai sensi dell'articolo 108, paragrafo 3, del Trattato sul funzionamento dell'Unione europea.</w:t>
      </w:r>
    </w:p>
    <w:p w14:paraId="5F851C48"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109AEC65"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4. Per le finalità di cui al comma 1 si provvede, nei limiti di 60 milioni di euro per ciascuno degli anni dal 2022 al 2026, mediante utilizzo delle risorse di cui all'articolo 1, comma 86, della legge 23 dicembre 2005, n. 266.</w:t>
      </w:r>
    </w:p>
    <w:p w14:paraId="226BAA4C"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1770E3A7"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5. Al fine di incrementare la sicurezza del trasporto ferroviario, all'articolo 47, comma 11-quinquies, primo periodo, del decreto-legge 24 aprile 2017, n. 50, convertito, con modificazioni, dalla legge 21 giugno 2017, n. 96, le parole «2019 e 2020» sono sostituite dalle seguenti: «2019, 2020 e 2021». All'onere derivante dalla presente disposizione, pari a complessivi 2 milioni di euro per l'anno 2021, si provvede mediante corrispondente riduzione dell'autorizzazione di spesa di cui all'articolo 12, comma 18, del decreto-legge 28 settembre 2018, n. 109, convertito, con modificazioni, dalla legge 16 novembre 2018, n. 130.</w:t>
      </w:r>
    </w:p>
    <w:p w14:paraId="60DA406D"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2FE68FBB"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6. Al fine di assicurare la continuità del servizio di trasporto ferroviario lungo la linea da Tirano in Italia fino a </w:t>
      </w:r>
      <w:proofErr w:type="spellStart"/>
      <w:r w:rsidRPr="00660EE5">
        <w:rPr>
          <w:rFonts w:asciiTheme="minorHAnsi" w:hAnsiTheme="minorHAnsi"/>
          <w:color w:val="000000" w:themeColor="text1"/>
          <w:sz w:val="24"/>
          <w:szCs w:val="24"/>
        </w:rPr>
        <w:t>Campocologno</w:t>
      </w:r>
      <w:proofErr w:type="spellEnd"/>
      <w:r w:rsidRPr="00660EE5">
        <w:rPr>
          <w:rFonts w:asciiTheme="minorHAnsi" w:hAnsiTheme="minorHAnsi"/>
          <w:color w:val="000000" w:themeColor="text1"/>
          <w:sz w:val="24"/>
          <w:szCs w:val="24"/>
        </w:rPr>
        <w:t xml:space="preserve"> in Svizzera è autorizzata la circolazione nel territorio italiano dei rotabili ferroviari </w:t>
      </w:r>
      <w:r w:rsidRPr="00660EE5">
        <w:rPr>
          <w:rFonts w:asciiTheme="minorHAnsi" w:hAnsiTheme="minorHAnsi"/>
          <w:color w:val="000000" w:themeColor="text1"/>
          <w:sz w:val="24"/>
          <w:szCs w:val="24"/>
        </w:rPr>
        <w:lastRenderedPageBreak/>
        <w:t>a tal fine impiegati per l'intera durata della concessione rilasciata al gestore di detto servizio di trasporto dall'ufficio governativo della Confederazione elvetica.</w:t>
      </w:r>
    </w:p>
    <w:p w14:paraId="3B24D59F"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0F2402B1"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7. Nel territorio italiano, l'esercizio del servizio di trasporto ferroviario di cui al comma 6 avviene in conformità alle previsioni di cui all'articolo 2, comma 4, e all'articolo 16, comma 2, lettera </w:t>
      </w:r>
      <w:proofErr w:type="spellStart"/>
      <w:r w:rsidRPr="00660EE5">
        <w:rPr>
          <w:rFonts w:asciiTheme="minorHAnsi" w:hAnsiTheme="minorHAnsi"/>
          <w:color w:val="000000" w:themeColor="text1"/>
          <w:sz w:val="24"/>
          <w:szCs w:val="24"/>
        </w:rPr>
        <w:t>bb</w:t>
      </w:r>
      <w:proofErr w:type="spellEnd"/>
      <w:r w:rsidRPr="00660EE5">
        <w:rPr>
          <w:rFonts w:asciiTheme="minorHAnsi" w:hAnsiTheme="minorHAnsi"/>
          <w:color w:val="000000" w:themeColor="text1"/>
          <w:sz w:val="24"/>
          <w:szCs w:val="24"/>
        </w:rPr>
        <w:t>), del decreto legislativo 14 maggio 2019, n. 50, per le reti ferroviarie funzionalmente isolate dal resto del sistema ferroviario.</w:t>
      </w:r>
    </w:p>
    <w:p w14:paraId="7387F02D"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4115F12C"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8. Entro sessanta giorni dalla data di entrata in vigore del presente decreto, il comune di Tirano e il gestore della linea ferroviaria di cui al comma 6 definiscono il disciplinare di esercizio relativo alla parte del tracciato che, in ambito urbano, si interseca con il traffico veicolare e con i passaggi pedonali. Agli eventuali oneri derivanti dal disciplinare di esercizio di cui al primo periodo, il comune di Tirano provvede con le risorse disponibili a legislazione vigente e senza nuovi o maggiori oneri a carico della finanza pubblica.</w:t>
      </w:r>
    </w:p>
    <w:p w14:paraId="01D20486"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71042C7E" w14:textId="084030F2" w:rsid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9. All'articolo 51, comma 6, del decreto-legge 25 maggio 2021, n. 73, convertito, con modificazioni, dalla legge 23 luglio 2021, n. 106, dopo le parole «nell'anno 2021» sono inserite le seguenti: «per il potenziamento delle attività di controllo finalizzate ad assicurare che l'utilizzo dei mezzi di trasporto pubblico locale avvenga in conformità alle misure di contenimento e di contrasto dei rischi sanitari derivanti dalla diffusione del COVID-19, nonché».</w:t>
      </w:r>
    </w:p>
    <w:p w14:paraId="21A257CF" w14:textId="6C0F53E6" w:rsidR="00240A1E" w:rsidRDefault="00240A1E" w:rsidP="00660EE5">
      <w:pPr>
        <w:spacing w:after="0" w:line="240" w:lineRule="auto"/>
        <w:jc w:val="both"/>
        <w:rPr>
          <w:rFonts w:asciiTheme="minorHAnsi" w:hAnsiTheme="minorHAnsi"/>
          <w:color w:val="000000" w:themeColor="text1"/>
          <w:sz w:val="24"/>
          <w:szCs w:val="24"/>
        </w:rPr>
      </w:pPr>
    </w:p>
    <w:p w14:paraId="188A3675" w14:textId="480EC8A8" w:rsidR="00240A1E" w:rsidRDefault="00240A1E" w:rsidP="00240A1E">
      <w:pPr>
        <w:shd w:val="clear" w:color="auto" w:fill="FFFFFF"/>
        <w:spacing w:after="0" w:line="240" w:lineRule="auto"/>
        <w:jc w:val="both"/>
        <w:rPr>
          <w:rFonts w:eastAsia="Times New Roman" w:cs="Arial"/>
          <w:b/>
          <w:bCs/>
          <w:color w:val="000000" w:themeColor="text1"/>
          <w:sz w:val="24"/>
          <w:szCs w:val="24"/>
        </w:rPr>
      </w:pPr>
      <w:r w:rsidRPr="003A05F4">
        <w:rPr>
          <w:rFonts w:eastAsia="Times New Roman" w:cs="Arial"/>
          <w:b/>
          <w:bCs/>
          <w:color w:val="000000" w:themeColor="text1"/>
          <w:sz w:val="24"/>
          <w:szCs w:val="24"/>
        </w:rPr>
        <w:t>9-</w:t>
      </w:r>
      <w:r w:rsidRPr="003A05F4">
        <w:rPr>
          <w:rFonts w:eastAsia="Times New Roman" w:cs="Arial"/>
          <w:b/>
          <w:bCs/>
          <w:i/>
          <w:iCs/>
          <w:color w:val="000000" w:themeColor="text1"/>
          <w:sz w:val="24"/>
          <w:szCs w:val="24"/>
        </w:rPr>
        <w:t>bis</w:t>
      </w:r>
      <w:r w:rsidRPr="003A05F4">
        <w:rPr>
          <w:rFonts w:eastAsia="Times New Roman" w:cs="Arial"/>
          <w:b/>
          <w:bCs/>
          <w:color w:val="000000" w:themeColor="text1"/>
          <w:sz w:val="24"/>
          <w:szCs w:val="24"/>
        </w:rPr>
        <w:t>. In considerazione degli effetti negativi determinati dall'emergenza epidemiologica da COVID-19 sui fatturati degli operatori economici operanti nel settore del trasporto registrati nell'esercizio 2020, l'Autorità di regolazione dei trasporti è autorizzata, per l'esercizio finanziario 2022, a fare fronte alla copertura delle minori entrate derivanti dalla riduzione degli introiti connessi al contributo per il funzionamento dovuto ai sensi della lettera </w:t>
      </w:r>
      <w:r w:rsidRPr="003A05F4">
        <w:rPr>
          <w:rFonts w:eastAsia="Times New Roman" w:cs="Arial"/>
          <w:b/>
          <w:bCs/>
          <w:i/>
          <w:iCs/>
          <w:color w:val="000000" w:themeColor="text1"/>
          <w:sz w:val="24"/>
          <w:szCs w:val="24"/>
        </w:rPr>
        <w:t>b)</w:t>
      </w:r>
      <w:r w:rsidRPr="003A05F4">
        <w:rPr>
          <w:rFonts w:eastAsia="Times New Roman" w:cs="Arial"/>
          <w:b/>
          <w:bCs/>
          <w:color w:val="000000" w:themeColor="text1"/>
          <w:sz w:val="24"/>
          <w:szCs w:val="24"/>
        </w:rPr>
        <w:t> del comma 6 dell'articolo 37 del decreto-legge 6 dicembre 2011, n. 201, convertito, con modificazioni, dalla legge 22 dicembre 2011, n. 214, previste nella misura di 3,7 milioni di euro, mediante l'utilizzo della quota non vincolata dell'avanzo di amministrazione accertato alla data del 31 dicembre 2020. Alla compensazione dei maggiori oneri, in termini di fabbisogno e di indebitamento netto, pari a 3,7 milioni di euro annui per l'anno 2022, si provvede mediante corrispondente riduzione del Fondo per la compensazione degli effetti finanziari non previsti a legislazione vigente conseguenti all'attualizzazione di contributi pluriennali, di cui all'articolo 6, comma 2, del decreto-legge 7 ottobre 2008, n. 154, convertito, con modificazioni, dalla legge 4 dicembre 2008, n. 189.</w:t>
      </w:r>
      <w:r>
        <w:rPr>
          <w:rStyle w:val="Rimandonotaapidipagina"/>
          <w:rFonts w:eastAsia="Times New Roman" w:cs="Arial"/>
          <w:b/>
          <w:bCs/>
          <w:color w:val="000000" w:themeColor="text1"/>
          <w:sz w:val="24"/>
          <w:szCs w:val="24"/>
        </w:rPr>
        <w:footnoteReference w:id="58"/>
      </w:r>
    </w:p>
    <w:p w14:paraId="7A34C2A6" w14:textId="551C508A" w:rsidR="00240A1E" w:rsidRDefault="00240A1E" w:rsidP="00240A1E">
      <w:pPr>
        <w:shd w:val="clear" w:color="auto" w:fill="FFFFFF"/>
        <w:spacing w:after="0" w:line="240" w:lineRule="auto"/>
        <w:jc w:val="both"/>
        <w:rPr>
          <w:rFonts w:eastAsia="Times New Roman" w:cs="Arial"/>
          <w:b/>
          <w:bCs/>
          <w:color w:val="000000" w:themeColor="text1"/>
          <w:sz w:val="24"/>
          <w:szCs w:val="24"/>
        </w:rPr>
      </w:pPr>
    </w:p>
    <w:p w14:paraId="5E58533A" w14:textId="77777777" w:rsidR="00240A1E" w:rsidRPr="003A05F4" w:rsidRDefault="00240A1E" w:rsidP="00240A1E">
      <w:pPr>
        <w:shd w:val="clear" w:color="auto" w:fill="FFFFFF"/>
        <w:spacing w:after="0" w:line="240" w:lineRule="auto"/>
        <w:jc w:val="both"/>
        <w:rPr>
          <w:rFonts w:eastAsia="Times New Roman" w:cs="Arial"/>
          <w:b/>
          <w:bCs/>
          <w:color w:val="000000" w:themeColor="text1"/>
          <w:sz w:val="24"/>
          <w:szCs w:val="24"/>
        </w:rPr>
      </w:pPr>
      <w:r w:rsidRPr="003A05F4">
        <w:rPr>
          <w:rFonts w:eastAsia="Times New Roman" w:cs="Arial"/>
          <w:b/>
          <w:bCs/>
          <w:color w:val="000000" w:themeColor="text1"/>
          <w:sz w:val="24"/>
          <w:szCs w:val="24"/>
        </w:rPr>
        <w:t>9-</w:t>
      </w:r>
      <w:r w:rsidRPr="003A05F4">
        <w:rPr>
          <w:rFonts w:eastAsia="Times New Roman" w:cs="Arial"/>
          <w:b/>
          <w:bCs/>
          <w:i/>
          <w:iCs/>
          <w:color w:val="000000" w:themeColor="text1"/>
          <w:sz w:val="24"/>
          <w:szCs w:val="24"/>
        </w:rPr>
        <w:t>bis.</w:t>
      </w:r>
      <w:r w:rsidRPr="003A05F4">
        <w:rPr>
          <w:rFonts w:eastAsia="Times New Roman" w:cs="Arial"/>
          <w:b/>
          <w:bCs/>
          <w:color w:val="000000" w:themeColor="text1"/>
          <w:sz w:val="24"/>
          <w:szCs w:val="24"/>
        </w:rPr>
        <w:t> All'articolo 19 della legge 12 novembre 2011, n. 183, sono apportate le seguenti modificazioni:</w:t>
      </w:r>
    </w:p>
    <w:p w14:paraId="7D7DB8F3" w14:textId="77777777" w:rsidR="00240A1E" w:rsidRPr="003A05F4" w:rsidRDefault="00240A1E" w:rsidP="00240A1E">
      <w:pPr>
        <w:shd w:val="clear" w:color="auto" w:fill="FFFFFF"/>
        <w:spacing w:after="0" w:line="240" w:lineRule="auto"/>
        <w:jc w:val="both"/>
        <w:rPr>
          <w:rFonts w:eastAsia="Times New Roman" w:cs="Arial"/>
          <w:b/>
          <w:bCs/>
          <w:color w:val="000000" w:themeColor="text1"/>
          <w:sz w:val="24"/>
          <w:szCs w:val="24"/>
        </w:rPr>
      </w:pPr>
      <w:r w:rsidRPr="003A05F4">
        <w:rPr>
          <w:rFonts w:eastAsia="Times New Roman" w:cs="Arial"/>
          <w:b/>
          <w:bCs/>
          <w:color w:val="000000" w:themeColor="text1"/>
          <w:sz w:val="24"/>
          <w:szCs w:val="24"/>
        </w:rPr>
        <w:lastRenderedPageBreak/>
        <w:t> </w:t>
      </w:r>
      <w:r w:rsidRPr="003A05F4">
        <w:rPr>
          <w:rFonts w:eastAsia="Times New Roman" w:cs="Arial"/>
          <w:b/>
          <w:bCs/>
          <w:color w:val="000000" w:themeColor="text1"/>
          <w:sz w:val="24"/>
          <w:szCs w:val="24"/>
        </w:rPr>
        <w:t> </w:t>
      </w:r>
      <w:r w:rsidRPr="003A05F4">
        <w:rPr>
          <w:rFonts w:eastAsia="Times New Roman" w:cs="Arial"/>
          <w:b/>
          <w:bCs/>
          <w:color w:val="000000" w:themeColor="text1"/>
          <w:sz w:val="24"/>
          <w:szCs w:val="24"/>
        </w:rPr>
        <w:t> </w:t>
      </w:r>
      <w:r w:rsidRPr="003A05F4">
        <w:rPr>
          <w:rFonts w:eastAsia="Times New Roman" w:cs="Arial"/>
          <w:b/>
          <w:bCs/>
          <w:i/>
          <w:iCs/>
          <w:color w:val="000000" w:themeColor="text1"/>
          <w:sz w:val="24"/>
          <w:szCs w:val="24"/>
        </w:rPr>
        <w:t>a)</w:t>
      </w:r>
      <w:r w:rsidRPr="003A05F4">
        <w:rPr>
          <w:rFonts w:eastAsia="Times New Roman" w:cs="Arial"/>
          <w:b/>
          <w:bCs/>
          <w:color w:val="000000" w:themeColor="text1"/>
          <w:sz w:val="24"/>
          <w:szCs w:val="24"/>
        </w:rPr>
        <w:t> al comma 1, dopo le parole: «tunnel di base» sono inserite le seguenti: «nonché delle opere connesse, comprese quelle di risoluzione delle interferenze,»;</w:t>
      </w:r>
    </w:p>
    <w:p w14:paraId="5B2D3D29" w14:textId="77777777" w:rsidR="00240A1E" w:rsidRPr="003A05F4" w:rsidRDefault="00240A1E" w:rsidP="00240A1E">
      <w:pPr>
        <w:shd w:val="clear" w:color="auto" w:fill="FFFFFF"/>
        <w:spacing w:after="0" w:line="240" w:lineRule="auto"/>
        <w:jc w:val="both"/>
        <w:rPr>
          <w:rFonts w:eastAsia="Times New Roman" w:cs="Arial"/>
          <w:b/>
          <w:bCs/>
          <w:color w:val="000000" w:themeColor="text1"/>
          <w:sz w:val="24"/>
          <w:szCs w:val="24"/>
        </w:rPr>
      </w:pPr>
      <w:r w:rsidRPr="003A05F4">
        <w:rPr>
          <w:rFonts w:eastAsia="Times New Roman" w:cs="Arial"/>
          <w:b/>
          <w:bCs/>
          <w:color w:val="000000" w:themeColor="text1"/>
          <w:sz w:val="24"/>
          <w:szCs w:val="24"/>
        </w:rPr>
        <w:t> </w:t>
      </w:r>
      <w:r w:rsidRPr="003A05F4">
        <w:rPr>
          <w:rFonts w:eastAsia="Times New Roman" w:cs="Arial"/>
          <w:b/>
          <w:bCs/>
          <w:color w:val="000000" w:themeColor="text1"/>
          <w:sz w:val="24"/>
          <w:szCs w:val="24"/>
        </w:rPr>
        <w:t> </w:t>
      </w:r>
      <w:r w:rsidRPr="003A05F4">
        <w:rPr>
          <w:rFonts w:eastAsia="Times New Roman" w:cs="Arial"/>
          <w:b/>
          <w:bCs/>
          <w:color w:val="000000" w:themeColor="text1"/>
          <w:sz w:val="24"/>
          <w:szCs w:val="24"/>
        </w:rPr>
        <w:t> </w:t>
      </w:r>
      <w:r w:rsidRPr="003A05F4">
        <w:rPr>
          <w:rFonts w:eastAsia="Times New Roman" w:cs="Arial"/>
          <w:b/>
          <w:bCs/>
          <w:i/>
          <w:iCs/>
          <w:color w:val="000000" w:themeColor="text1"/>
          <w:sz w:val="24"/>
          <w:szCs w:val="24"/>
        </w:rPr>
        <w:t>b)</w:t>
      </w:r>
      <w:r w:rsidRPr="003A05F4">
        <w:rPr>
          <w:rFonts w:eastAsia="Times New Roman" w:cs="Arial"/>
          <w:b/>
          <w:bCs/>
          <w:color w:val="000000" w:themeColor="text1"/>
          <w:sz w:val="24"/>
          <w:szCs w:val="24"/>
        </w:rPr>
        <w:t> dopo il comma 1 è inserito il seguente:</w:t>
      </w:r>
    </w:p>
    <w:p w14:paraId="71902389" w14:textId="77777777" w:rsidR="00240A1E" w:rsidRPr="003A05F4" w:rsidRDefault="00240A1E" w:rsidP="00240A1E">
      <w:pPr>
        <w:shd w:val="clear" w:color="auto" w:fill="FFFFFF"/>
        <w:spacing w:after="0" w:line="240" w:lineRule="auto"/>
        <w:jc w:val="both"/>
        <w:rPr>
          <w:rFonts w:eastAsia="Times New Roman" w:cs="Arial"/>
          <w:b/>
          <w:bCs/>
          <w:color w:val="000000" w:themeColor="text1"/>
          <w:sz w:val="24"/>
          <w:szCs w:val="24"/>
        </w:rPr>
      </w:pPr>
      <w:r w:rsidRPr="003A05F4">
        <w:rPr>
          <w:rFonts w:eastAsia="Times New Roman" w:cs="Arial"/>
          <w:b/>
          <w:bCs/>
          <w:color w:val="000000" w:themeColor="text1"/>
          <w:sz w:val="24"/>
          <w:szCs w:val="24"/>
        </w:rPr>
        <w:t> </w:t>
      </w:r>
      <w:r w:rsidRPr="003A05F4">
        <w:rPr>
          <w:rFonts w:eastAsia="Times New Roman" w:cs="Arial"/>
          <w:b/>
          <w:bCs/>
          <w:color w:val="000000" w:themeColor="text1"/>
          <w:sz w:val="24"/>
          <w:szCs w:val="24"/>
        </w:rPr>
        <w:t> </w:t>
      </w:r>
      <w:r w:rsidRPr="003A05F4">
        <w:rPr>
          <w:rFonts w:eastAsia="Times New Roman" w:cs="Arial"/>
          <w:b/>
          <w:bCs/>
          <w:color w:val="000000" w:themeColor="text1"/>
          <w:sz w:val="24"/>
          <w:szCs w:val="24"/>
        </w:rPr>
        <w:t> </w:t>
      </w:r>
      <w:r w:rsidRPr="003A05F4">
        <w:rPr>
          <w:rFonts w:eastAsia="Times New Roman" w:cs="Arial"/>
          <w:b/>
          <w:bCs/>
          <w:color w:val="000000" w:themeColor="text1"/>
          <w:sz w:val="24"/>
          <w:szCs w:val="24"/>
        </w:rPr>
        <w:t>«1-</w:t>
      </w:r>
      <w:r w:rsidRPr="003A05F4">
        <w:rPr>
          <w:rFonts w:eastAsia="Times New Roman" w:cs="Arial"/>
          <w:b/>
          <w:bCs/>
          <w:i/>
          <w:iCs/>
          <w:color w:val="000000" w:themeColor="text1"/>
          <w:sz w:val="24"/>
          <w:szCs w:val="24"/>
        </w:rPr>
        <w:t>bis</w:t>
      </w:r>
      <w:r w:rsidRPr="003A05F4">
        <w:rPr>
          <w:rFonts w:eastAsia="Times New Roman" w:cs="Arial"/>
          <w:b/>
          <w:bCs/>
          <w:color w:val="000000" w:themeColor="text1"/>
          <w:sz w:val="24"/>
          <w:szCs w:val="24"/>
        </w:rPr>
        <w:t>. Al fine di assicurare uniformità di disciplina rispetto al cantiere di cui al comma 1, le aree e i siti dei comuni di Bruzolo, Bussoleno, Giaglione, Salbertrand, San Didero, Susa e Torrazza Piemonte, individuati per l'installazione dei cantieri della sezione transfrontaliera della parte comune e delle opere connesse, comprese quelle di risoluzione delle interferenze, costituiscono aree di interesse strategico nazionale.»;</w:t>
      </w:r>
    </w:p>
    <w:p w14:paraId="41B03036" w14:textId="2058351D" w:rsidR="00240A1E" w:rsidRDefault="00240A1E" w:rsidP="00240A1E">
      <w:pPr>
        <w:shd w:val="clear" w:color="auto" w:fill="FFFFFF"/>
        <w:spacing w:after="0" w:line="240" w:lineRule="auto"/>
        <w:jc w:val="both"/>
        <w:rPr>
          <w:rFonts w:eastAsia="Times New Roman" w:cs="Arial"/>
          <w:b/>
          <w:bCs/>
          <w:i/>
          <w:iCs/>
          <w:color w:val="000000" w:themeColor="text1"/>
          <w:sz w:val="24"/>
          <w:szCs w:val="24"/>
        </w:rPr>
      </w:pPr>
      <w:r w:rsidRPr="003A05F4">
        <w:rPr>
          <w:rFonts w:eastAsia="Times New Roman" w:cs="Arial"/>
          <w:b/>
          <w:bCs/>
          <w:color w:val="000000" w:themeColor="text1"/>
          <w:sz w:val="24"/>
          <w:szCs w:val="24"/>
        </w:rPr>
        <w:t> </w:t>
      </w:r>
      <w:r w:rsidRPr="003A05F4">
        <w:rPr>
          <w:rFonts w:eastAsia="Times New Roman" w:cs="Arial"/>
          <w:b/>
          <w:bCs/>
          <w:color w:val="000000" w:themeColor="text1"/>
          <w:sz w:val="24"/>
          <w:szCs w:val="24"/>
        </w:rPr>
        <w:t> </w:t>
      </w:r>
      <w:r w:rsidRPr="003A05F4">
        <w:rPr>
          <w:rFonts w:eastAsia="Times New Roman" w:cs="Arial"/>
          <w:b/>
          <w:bCs/>
          <w:color w:val="000000" w:themeColor="text1"/>
          <w:sz w:val="24"/>
          <w:szCs w:val="24"/>
        </w:rPr>
        <w:t> </w:t>
      </w:r>
      <w:r w:rsidRPr="003A05F4">
        <w:rPr>
          <w:rFonts w:eastAsia="Times New Roman" w:cs="Arial"/>
          <w:b/>
          <w:bCs/>
          <w:i/>
          <w:iCs/>
          <w:color w:val="000000" w:themeColor="text1"/>
          <w:sz w:val="24"/>
          <w:szCs w:val="24"/>
        </w:rPr>
        <w:t>c)</w:t>
      </w:r>
      <w:r w:rsidRPr="003A05F4">
        <w:rPr>
          <w:rFonts w:eastAsia="Times New Roman" w:cs="Arial"/>
          <w:b/>
          <w:bCs/>
          <w:color w:val="000000" w:themeColor="text1"/>
          <w:sz w:val="24"/>
          <w:szCs w:val="24"/>
        </w:rPr>
        <w:t> al comma 2, le parole: «di cui al comma 1» sono sostituite dalle seguenti: «di cui ai commi 1 e 1-</w:t>
      </w:r>
      <w:r w:rsidRPr="003A05F4">
        <w:rPr>
          <w:rFonts w:eastAsia="Times New Roman" w:cs="Arial"/>
          <w:b/>
          <w:bCs/>
          <w:i/>
          <w:iCs/>
          <w:color w:val="000000" w:themeColor="text1"/>
          <w:sz w:val="24"/>
          <w:szCs w:val="24"/>
        </w:rPr>
        <w:t>bis».</w:t>
      </w:r>
      <w:r>
        <w:rPr>
          <w:rStyle w:val="Rimandonotaapidipagina"/>
          <w:rFonts w:eastAsia="Times New Roman" w:cs="Arial"/>
          <w:b/>
          <w:bCs/>
          <w:i/>
          <w:iCs/>
          <w:color w:val="000000" w:themeColor="text1"/>
          <w:sz w:val="24"/>
          <w:szCs w:val="24"/>
        </w:rPr>
        <w:footnoteReference w:id="59"/>
      </w:r>
    </w:p>
    <w:p w14:paraId="54ECF422" w14:textId="3C2631FB" w:rsidR="00660EE5" w:rsidRPr="00660EE5" w:rsidRDefault="00240A1E" w:rsidP="00240A1E">
      <w:pPr>
        <w:shd w:val="clear" w:color="auto" w:fill="FFFFFF"/>
        <w:spacing w:after="0" w:line="240" w:lineRule="auto"/>
        <w:jc w:val="center"/>
        <w:rPr>
          <w:rFonts w:asciiTheme="minorHAnsi" w:hAnsiTheme="minorHAnsi"/>
          <w:color w:val="000000" w:themeColor="text1"/>
          <w:sz w:val="24"/>
          <w:szCs w:val="24"/>
        </w:rPr>
      </w:pPr>
      <w:r w:rsidRPr="00155015">
        <w:rPr>
          <w:rFonts w:eastAsia="Times New Roman" w:cs="Arial"/>
          <w:color w:val="000000" w:themeColor="text1"/>
          <w:sz w:val="24"/>
          <w:szCs w:val="24"/>
        </w:rPr>
        <w:br/>
      </w:r>
      <w:r w:rsidR="00660EE5" w:rsidRPr="00660EE5">
        <w:rPr>
          <w:rFonts w:asciiTheme="minorHAnsi" w:hAnsiTheme="minorHAnsi"/>
          <w:color w:val="000000" w:themeColor="text1"/>
          <w:sz w:val="24"/>
          <w:szCs w:val="24"/>
        </w:rPr>
        <w:t>Articolo 4.</w:t>
      </w:r>
    </w:p>
    <w:p w14:paraId="215EA64D"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(Disposizioni urgenti in materia di investimenti e di sicurezza nel settore del trasporto marittimo)</w:t>
      </w:r>
    </w:p>
    <w:p w14:paraId="471EABAB"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7EAC94D6"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1. Al decreto legislativo 24 marzo 2011, n. 53, sono apportate le seguenti modificazioni:</w:t>
      </w:r>
    </w:p>
    <w:p w14:paraId="3DD6CE27"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   a) all'articolo 14:</w:t>
      </w:r>
    </w:p>
    <w:p w14:paraId="74AF841C"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    1) la rubrica è sostituita dalla seguente: «Segnalazione di apparenti anomalie»;</w:t>
      </w:r>
    </w:p>
    <w:p w14:paraId="0C6C0D20"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    2) al comma 1, è aggiunto, in fine, il seguente periodo: «Analoga informazione è resa dalle autorità di sistema portuale, dai comandanti dei rimorchiatori, dagli ormeggiatori, dai battellieri e dalle autorità sanitarie che, nell'esercizio delle loro normali funzioni, constatano che una nave attraccata in porto presenta anomalie apparenti che possono mettere a repentaglio la sicurezza della nave o rappresentare una minaccia irragionevole per l'ambiente marino.»;</w:t>
      </w:r>
    </w:p>
    <w:p w14:paraId="28404E48"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    3) al comma 4, le parole «dei piloti» sono sostituite dalla seguente: «ricevuta»;</w:t>
      </w:r>
    </w:p>
    <w:p w14:paraId="4607E8D6"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   b) all'articolo 16, comma 4, le parole «la compagnia non adotti» sono sostituite dalle seguenti: «i soggetti responsabili in base all'ordinamento dello Stato di bandiera non adottino»;</w:t>
      </w:r>
    </w:p>
    <w:p w14:paraId="387C3AED"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   c) all'articolo 18, la rubrica è sostituita dalla seguente: «Linee guida e procedure di sicurezza della navigazione e marittima»;</w:t>
      </w:r>
    </w:p>
    <w:p w14:paraId="10ED6021"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d) all'articolo 20, i commi 1-bis e 1-ter sono abrogati;</w:t>
      </w:r>
    </w:p>
    <w:p w14:paraId="7D8D9725"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   e) all'allegato I, punto 2, lettera d), le parole «quinquennale in scienze del governo e dell'amministrazione del mare» sono sostituite dalle seguenti: «magistrale conseguito al termine dell'iter di formazione degli ufficiali dei corsi normali».</w:t>
      </w:r>
    </w:p>
    <w:p w14:paraId="3BEC5962"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752DD0A7"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xml:space="preserve">1-bis. Ai fini dell'attuazione del regolamento (UE) 2019/1239 del Parlamento europeo e del Consiglio, del 20 giugno 2019, che istituisce un sistema di interfaccia unica marittima europea e abroga la direttiva 2010/65/UE, l'amministrazione di cui all'articolo 2, comma 1, lettera m), del decreto legislativo 19 agosto 2005, n. 196, responsabile per l'istituzione dell'interfaccia unica marittima nazionale ai sensi del decreto-legge 18 ottobre 2012, n. 179, convertito, con modificazioni, dalla legge 17 dicembre 2012, n. 221, è designata autorità nazionale competente che agisce come coordinatore nazionale per </w:t>
      </w:r>
      <w:r w:rsidRPr="00660EE5">
        <w:rPr>
          <w:rFonts w:asciiTheme="minorHAnsi" w:hAnsiTheme="minorHAnsi"/>
          <w:b/>
          <w:bCs/>
          <w:color w:val="000000" w:themeColor="text1"/>
          <w:sz w:val="24"/>
          <w:szCs w:val="24"/>
        </w:rPr>
        <w:lastRenderedPageBreak/>
        <w:t>l'interfaccia unica marittima europea ed esercita le funzioni di cui agli articoli 5, 12 e 18 del citato regolamento (UE) 2019/1239.</w:t>
      </w:r>
    </w:p>
    <w:p w14:paraId="79AA7E84"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p>
    <w:p w14:paraId="1CC484DE"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1-ter. Con decreto del Ministro delle infrastrutture e della mobilità sostenibili, di concerto con i Ministri dell'interno, dell'economia e delle finanze e della salute, da adottare entro sessanta giorni dalla data di entrata in vigore della legge di conversione del presente decreto, ai sensi dell'articolo 17, comma 3, della legge 24 agosto 1988, n. 400, sono definite le modalità di esercizio delle funzioni di coordinamento spettanti all'autorità nazionale designata ai sensi del comma 1-bis per l'applicazione del regolamento (UE) 2019/1239 da parte delle autorità interne competenti e le forme della loro cooperazione per assicurare la distribuzione dei dati e la connessione con i pertinenti sistemi delle altre autorità competenti a livello nazionale e dell'Unione europea.</w:t>
      </w:r>
    </w:p>
    <w:p w14:paraId="3A29F651"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w:t>
      </w:r>
    </w:p>
    <w:p w14:paraId="76DB47B5"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xml:space="preserve">1-quater. Per la realizzazione e l'aggiornamento dell'interfaccia unica marittima europea di cui al regolamento (UE) 2019/1239, nonché per l'ammodernamento della componente informatica e al fine di assicurare protocolli e misure di </w:t>
      </w:r>
      <w:proofErr w:type="spellStart"/>
      <w:r w:rsidRPr="00660EE5">
        <w:rPr>
          <w:rFonts w:asciiTheme="minorHAnsi" w:hAnsiTheme="minorHAnsi"/>
          <w:b/>
          <w:bCs/>
          <w:color w:val="000000" w:themeColor="text1"/>
          <w:sz w:val="24"/>
          <w:szCs w:val="24"/>
        </w:rPr>
        <w:t>cybersicurezza</w:t>
      </w:r>
      <w:proofErr w:type="spellEnd"/>
      <w:r w:rsidRPr="00660EE5">
        <w:rPr>
          <w:rFonts w:asciiTheme="minorHAnsi" w:hAnsiTheme="minorHAnsi"/>
          <w:b/>
          <w:bCs/>
          <w:color w:val="000000" w:themeColor="text1"/>
          <w:sz w:val="24"/>
          <w:szCs w:val="24"/>
        </w:rPr>
        <w:t xml:space="preserve"> del sistema è riconosciuto all'amministrazione di cui al comma 1-bis un contributo di 8 milioni di euro per ciascuno degli anni dal 2022 al 2024 e 12 milioni di euro per ciascuno degli anni dal 2025 al 2036.</w:t>
      </w:r>
    </w:p>
    <w:p w14:paraId="555AD321"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w:t>
      </w:r>
    </w:p>
    <w:p w14:paraId="186273E1"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1-quinquies. Agli oneri derivanti dal comma 1-quater, pari a 8 milioni di euro per ciascuno degli anni dal 2022 al 2024 e a 12 milioni di euro per ciascuno degli anni dal 2025 al 2036, si provvede per 8 milioni di euro per l'anno 2022 e 12 milioni di euro a decorrere dall'anno 2023, mediante corrispondente riduzione delle proiezioni dello stanziamento del fondo speciale di conto capitale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delle infrastrutture e dei trasporti.</w:t>
      </w:r>
      <w:r w:rsidRPr="00660EE5">
        <w:rPr>
          <w:rStyle w:val="Rimandonotaapidipagina"/>
          <w:rFonts w:asciiTheme="minorHAnsi" w:hAnsiTheme="minorHAnsi"/>
          <w:b/>
          <w:bCs/>
          <w:color w:val="000000" w:themeColor="text1"/>
          <w:sz w:val="24"/>
          <w:szCs w:val="24"/>
        </w:rPr>
        <w:footnoteReference w:id="60"/>
      </w:r>
    </w:p>
    <w:p w14:paraId="14043EE1"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01ED03CD"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1-bis. All'articolo 1 della legge 30 dicembre 2020, n. 178, dopo il comma 730 sono inseriti i seguenti:</w:t>
      </w:r>
    </w:p>
    <w:p w14:paraId="7CB77C93"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   «730-bis. Per le finalità di cui al comma 729, per nave abbandonata si intende qualsiasi nave per la quale, verificata l'assenza di gravami registrati, di crediti privilegiati non registrati e di procedure fallimentari o altre procedure di natura concorsuale pendenti, l'armatore e l'eventuale proprietario non ponga in essere alcun atto, previsto dalla legge, relativamente agli obblighi verso lo Stato costiero, il raccomandatario marittimo e l'equipaggio e siano decorsi sessanta giorni dalla notifica della diffida adottata dall'autorità marittima, ai sensi dell'articolo 73, comma 1, del codice della navigazione nei casi di unità che rappresentano un pericolo per la sicurezza della navigazione e per l'ambiente marino ovvero, in tutti gli altri casi, dall'Autorità di sistema portuale nella cui circoscrizione territoriale è collocato il mezzo navale.</w:t>
      </w:r>
    </w:p>
    <w:p w14:paraId="263320F2" w14:textId="5079EB5A" w:rsid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lastRenderedPageBreak/>
        <w:t>   730-ter. Per le finalità di cui al comma 729, per relitto navale si intende una nave sommersa o semisommersa, o qualsiasi parte di essa, inclusi gli arredi.».</w:t>
      </w:r>
      <w:r w:rsidRPr="00660EE5">
        <w:rPr>
          <w:rStyle w:val="Rimandonotaapidipagina"/>
          <w:rFonts w:asciiTheme="minorHAnsi" w:hAnsiTheme="minorHAnsi"/>
          <w:b/>
          <w:bCs/>
          <w:color w:val="000000" w:themeColor="text1"/>
          <w:sz w:val="24"/>
          <w:szCs w:val="24"/>
        </w:rPr>
        <w:footnoteReference w:id="61"/>
      </w:r>
    </w:p>
    <w:p w14:paraId="7046B262" w14:textId="63365FDF" w:rsidR="00410563" w:rsidRDefault="00410563" w:rsidP="00660EE5">
      <w:pPr>
        <w:spacing w:after="0" w:line="240" w:lineRule="auto"/>
        <w:jc w:val="both"/>
        <w:rPr>
          <w:rFonts w:asciiTheme="minorHAnsi" w:hAnsiTheme="minorHAnsi"/>
          <w:b/>
          <w:bCs/>
          <w:color w:val="000000" w:themeColor="text1"/>
          <w:sz w:val="24"/>
          <w:szCs w:val="24"/>
        </w:rPr>
      </w:pPr>
    </w:p>
    <w:p w14:paraId="46C7A6C2" w14:textId="77777777" w:rsidR="00410563" w:rsidRPr="003A05F4" w:rsidRDefault="00410563" w:rsidP="00410563">
      <w:pPr>
        <w:shd w:val="clear" w:color="auto" w:fill="FFFFFF"/>
        <w:spacing w:after="0" w:line="240" w:lineRule="auto"/>
        <w:jc w:val="both"/>
        <w:rPr>
          <w:rFonts w:eastAsia="Times New Roman" w:cs="Arial"/>
          <w:b/>
          <w:bCs/>
          <w:color w:val="000000" w:themeColor="text1"/>
          <w:sz w:val="24"/>
          <w:szCs w:val="24"/>
        </w:rPr>
      </w:pPr>
      <w:r w:rsidRPr="003A05F4">
        <w:rPr>
          <w:rFonts w:eastAsia="Times New Roman" w:cs="Arial"/>
          <w:b/>
          <w:bCs/>
          <w:color w:val="000000" w:themeColor="text1"/>
          <w:sz w:val="24"/>
          <w:szCs w:val="24"/>
        </w:rPr>
        <w:t>1-</w:t>
      </w:r>
      <w:r w:rsidRPr="003A05F4">
        <w:rPr>
          <w:rFonts w:eastAsia="Times New Roman" w:cs="Arial"/>
          <w:b/>
          <w:bCs/>
          <w:i/>
          <w:iCs/>
          <w:color w:val="000000" w:themeColor="text1"/>
          <w:sz w:val="24"/>
          <w:szCs w:val="24"/>
        </w:rPr>
        <w:t>bis.</w:t>
      </w:r>
      <w:r w:rsidRPr="003A05F4">
        <w:rPr>
          <w:rFonts w:eastAsia="Times New Roman" w:cs="Arial"/>
          <w:b/>
          <w:bCs/>
          <w:color w:val="000000" w:themeColor="text1"/>
          <w:sz w:val="24"/>
          <w:szCs w:val="24"/>
        </w:rPr>
        <w:t> All'articolo 5 della legge 28 gennaio 1994, n. 84, sono apportate le seguenti modifiche:</w:t>
      </w:r>
    </w:p>
    <w:p w14:paraId="74554D0B" w14:textId="743D7500" w:rsidR="00410563" w:rsidRDefault="00410563" w:rsidP="00410563">
      <w:pPr>
        <w:shd w:val="clear" w:color="auto" w:fill="FFFFFF"/>
        <w:spacing w:after="0" w:line="240" w:lineRule="auto"/>
        <w:jc w:val="both"/>
        <w:rPr>
          <w:rFonts w:eastAsia="Times New Roman" w:cs="Arial"/>
          <w:b/>
          <w:bCs/>
          <w:color w:val="000000" w:themeColor="text1"/>
          <w:sz w:val="24"/>
          <w:szCs w:val="24"/>
        </w:rPr>
      </w:pPr>
      <w:r w:rsidRPr="003A05F4">
        <w:rPr>
          <w:rFonts w:eastAsia="Times New Roman" w:cs="Arial"/>
          <w:b/>
          <w:bCs/>
          <w:i/>
          <w:iCs/>
          <w:color w:val="000000" w:themeColor="text1"/>
          <w:sz w:val="24"/>
          <w:szCs w:val="24"/>
        </w:rPr>
        <w:t>a)</w:t>
      </w:r>
      <w:r w:rsidRPr="003A05F4">
        <w:rPr>
          <w:rFonts w:eastAsia="Times New Roman" w:cs="Arial"/>
          <w:b/>
          <w:bCs/>
          <w:color w:val="000000" w:themeColor="text1"/>
          <w:sz w:val="24"/>
          <w:szCs w:val="24"/>
        </w:rPr>
        <w:t> i commi da 1 a 1-</w:t>
      </w:r>
      <w:r w:rsidRPr="003A05F4">
        <w:rPr>
          <w:rFonts w:eastAsia="Times New Roman" w:cs="Arial"/>
          <w:b/>
          <w:bCs/>
          <w:i/>
          <w:iCs/>
          <w:color w:val="000000" w:themeColor="text1"/>
          <w:sz w:val="24"/>
          <w:szCs w:val="24"/>
        </w:rPr>
        <w:t>sexies</w:t>
      </w:r>
      <w:r w:rsidRPr="003A05F4">
        <w:rPr>
          <w:rFonts w:eastAsia="Times New Roman" w:cs="Arial"/>
          <w:b/>
          <w:bCs/>
          <w:color w:val="000000" w:themeColor="text1"/>
          <w:sz w:val="24"/>
          <w:szCs w:val="24"/>
        </w:rPr>
        <w:t xml:space="preserve"> sono sostituiti dai seguenti: </w:t>
      </w:r>
    </w:p>
    <w:p w14:paraId="0779A6C5" w14:textId="77777777" w:rsidR="00410563" w:rsidRPr="003A05F4" w:rsidRDefault="00410563" w:rsidP="00410563">
      <w:pPr>
        <w:shd w:val="clear" w:color="auto" w:fill="FFFFFF"/>
        <w:spacing w:after="0" w:line="240" w:lineRule="auto"/>
        <w:jc w:val="both"/>
        <w:rPr>
          <w:rFonts w:eastAsia="Times New Roman" w:cs="Arial"/>
          <w:b/>
          <w:bCs/>
          <w:color w:val="000000" w:themeColor="text1"/>
          <w:sz w:val="24"/>
          <w:szCs w:val="24"/>
        </w:rPr>
      </w:pPr>
      <w:r>
        <w:rPr>
          <w:rFonts w:eastAsia="Times New Roman" w:cs="Arial"/>
          <w:b/>
          <w:bCs/>
          <w:color w:val="000000" w:themeColor="text1"/>
          <w:sz w:val="24"/>
          <w:szCs w:val="24"/>
        </w:rPr>
        <w:t xml:space="preserve">      </w:t>
      </w:r>
      <w:r w:rsidRPr="003A05F4">
        <w:rPr>
          <w:rFonts w:eastAsia="Times New Roman" w:cs="Arial"/>
          <w:b/>
          <w:bCs/>
          <w:color w:val="000000" w:themeColor="text1"/>
          <w:sz w:val="24"/>
          <w:szCs w:val="24"/>
        </w:rPr>
        <w:t>1. Le Autorità di sistema portuale redigono un documento di programmazione strategica di sistema (DPSS), coerente con il Piano generale dei trasporti e della logistica (PGTL) e con gli orientamenti europei in materia di portualità, logistica e reti infrastrutturali nonché con il Piano strategico nazionale della portualità e della logistica. Il documento di programmazione strategica di sistema:</w:t>
      </w:r>
    </w:p>
    <w:p w14:paraId="60FF8C23" w14:textId="77777777" w:rsidR="00410563" w:rsidRPr="003A05F4" w:rsidRDefault="00410563" w:rsidP="00410563">
      <w:pPr>
        <w:shd w:val="clear" w:color="auto" w:fill="FFFFFF"/>
        <w:spacing w:after="0" w:line="240" w:lineRule="auto"/>
        <w:jc w:val="both"/>
        <w:rPr>
          <w:rFonts w:eastAsia="Times New Roman" w:cs="Arial"/>
          <w:b/>
          <w:bCs/>
          <w:color w:val="000000" w:themeColor="text1"/>
          <w:sz w:val="24"/>
          <w:szCs w:val="24"/>
        </w:rPr>
      </w:pPr>
      <w:r w:rsidRPr="003A05F4">
        <w:rPr>
          <w:rFonts w:eastAsia="Times New Roman" w:cs="Arial"/>
          <w:b/>
          <w:bCs/>
          <w:color w:val="000000" w:themeColor="text1"/>
          <w:sz w:val="24"/>
          <w:szCs w:val="24"/>
        </w:rPr>
        <w:t> </w:t>
      </w:r>
      <w:r w:rsidRPr="003A05F4">
        <w:rPr>
          <w:rFonts w:eastAsia="Times New Roman" w:cs="Arial"/>
          <w:b/>
          <w:bCs/>
          <w:color w:val="000000" w:themeColor="text1"/>
          <w:sz w:val="24"/>
          <w:szCs w:val="24"/>
        </w:rPr>
        <w:t> </w:t>
      </w:r>
      <w:r w:rsidRPr="003A05F4">
        <w:rPr>
          <w:rFonts w:eastAsia="Times New Roman" w:cs="Arial"/>
          <w:b/>
          <w:bCs/>
          <w:color w:val="000000" w:themeColor="text1"/>
          <w:sz w:val="24"/>
          <w:szCs w:val="24"/>
        </w:rPr>
        <w:t> </w:t>
      </w:r>
      <w:r w:rsidRPr="003A05F4">
        <w:rPr>
          <w:rFonts w:eastAsia="Times New Roman" w:cs="Arial"/>
          <w:b/>
          <w:bCs/>
          <w:i/>
          <w:iCs/>
          <w:color w:val="000000" w:themeColor="text1"/>
          <w:sz w:val="24"/>
          <w:szCs w:val="24"/>
        </w:rPr>
        <w:t>a)</w:t>
      </w:r>
      <w:r w:rsidRPr="003A05F4">
        <w:rPr>
          <w:rFonts w:eastAsia="Times New Roman" w:cs="Arial"/>
          <w:b/>
          <w:bCs/>
          <w:color w:val="000000" w:themeColor="text1"/>
          <w:sz w:val="24"/>
          <w:szCs w:val="24"/>
        </w:rPr>
        <w:t> definisce gli obiettivi di sviluppo delle Autorità di sistema portuale;</w:t>
      </w:r>
    </w:p>
    <w:p w14:paraId="46AFF9E0" w14:textId="77777777" w:rsidR="00410563" w:rsidRPr="003A05F4" w:rsidRDefault="00410563" w:rsidP="00410563">
      <w:pPr>
        <w:shd w:val="clear" w:color="auto" w:fill="FFFFFF"/>
        <w:spacing w:after="0" w:line="240" w:lineRule="auto"/>
        <w:jc w:val="both"/>
        <w:rPr>
          <w:rFonts w:eastAsia="Times New Roman" w:cs="Arial"/>
          <w:b/>
          <w:bCs/>
          <w:color w:val="000000" w:themeColor="text1"/>
          <w:sz w:val="24"/>
          <w:szCs w:val="24"/>
        </w:rPr>
      </w:pPr>
      <w:r w:rsidRPr="003A05F4">
        <w:rPr>
          <w:rFonts w:eastAsia="Times New Roman" w:cs="Arial"/>
          <w:b/>
          <w:bCs/>
          <w:color w:val="000000" w:themeColor="text1"/>
          <w:sz w:val="24"/>
          <w:szCs w:val="24"/>
        </w:rPr>
        <w:t> </w:t>
      </w:r>
      <w:r w:rsidRPr="003A05F4">
        <w:rPr>
          <w:rFonts w:eastAsia="Times New Roman" w:cs="Arial"/>
          <w:b/>
          <w:bCs/>
          <w:color w:val="000000" w:themeColor="text1"/>
          <w:sz w:val="24"/>
          <w:szCs w:val="24"/>
        </w:rPr>
        <w:t> </w:t>
      </w:r>
      <w:r w:rsidRPr="003A05F4">
        <w:rPr>
          <w:rFonts w:eastAsia="Times New Roman" w:cs="Arial"/>
          <w:b/>
          <w:bCs/>
          <w:color w:val="000000" w:themeColor="text1"/>
          <w:sz w:val="24"/>
          <w:szCs w:val="24"/>
        </w:rPr>
        <w:t> </w:t>
      </w:r>
      <w:r w:rsidRPr="003A05F4">
        <w:rPr>
          <w:rFonts w:eastAsia="Times New Roman" w:cs="Arial"/>
          <w:b/>
          <w:bCs/>
          <w:i/>
          <w:iCs/>
          <w:color w:val="000000" w:themeColor="text1"/>
          <w:sz w:val="24"/>
          <w:szCs w:val="24"/>
        </w:rPr>
        <w:t>b)</w:t>
      </w:r>
      <w:r w:rsidRPr="003A05F4">
        <w:rPr>
          <w:rFonts w:eastAsia="Times New Roman" w:cs="Arial"/>
          <w:b/>
          <w:bCs/>
          <w:color w:val="000000" w:themeColor="text1"/>
          <w:sz w:val="24"/>
          <w:szCs w:val="24"/>
        </w:rPr>
        <w:t> individua gli ambiti portuali, intesi come delimitazione geografica dei singoli porti amministrati dall'Autorità di sistema portuale che includono, oltre alla circoscrizione territoriale dell'Autorità di sistema portuale le ulteriori aree, pubbliche e private, assoggettate alla giurisdizione dell'Autorità di sistema portuale;</w:t>
      </w:r>
    </w:p>
    <w:p w14:paraId="6811D413" w14:textId="77777777" w:rsidR="00410563" w:rsidRPr="003A05F4" w:rsidRDefault="00410563" w:rsidP="00410563">
      <w:pPr>
        <w:shd w:val="clear" w:color="auto" w:fill="FFFFFF"/>
        <w:spacing w:after="0" w:line="240" w:lineRule="auto"/>
        <w:jc w:val="both"/>
        <w:rPr>
          <w:rFonts w:eastAsia="Times New Roman" w:cs="Arial"/>
          <w:b/>
          <w:bCs/>
          <w:color w:val="000000" w:themeColor="text1"/>
          <w:sz w:val="24"/>
          <w:szCs w:val="24"/>
        </w:rPr>
      </w:pPr>
      <w:r w:rsidRPr="003A05F4">
        <w:rPr>
          <w:rFonts w:eastAsia="Times New Roman" w:cs="Arial"/>
          <w:b/>
          <w:bCs/>
          <w:color w:val="000000" w:themeColor="text1"/>
          <w:sz w:val="24"/>
          <w:szCs w:val="24"/>
        </w:rPr>
        <w:t> </w:t>
      </w:r>
      <w:r w:rsidRPr="003A05F4">
        <w:rPr>
          <w:rFonts w:eastAsia="Times New Roman" w:cs="Arial"/>
          <w:b/>
          <w:bCs/>
          <w:color w:val="000000" w:themeColor="text1"/>
          <w:sz w:val="24"/>
          <w:szCs w:val="24"/>
        </w:rPr>
        <w:t> </w:t>
      </w:r>
      <w:r w:rsidRPr="003A05F4">
        <w:rPr>
          <w:rFonts w:eastAsia="Times New Roman" w:cs="Arial"/>
          <w:b/>
          <w:bCs/>
          <w:color w:val="000000" w:themeColor="text1"/>
          <w:sz w:val="24"/>
          <w:szCs w:val="24"/>
        </w:rPr>
        <w:t> </w:t>
      </w:r>
      <w:r w:rsidRPr="003A05F4">
        <w:rPr>
          <w:rFonts w:eastAsia="Times New Roman" w:cs="Arial"/>
          <w:b/>
          <w:bCs/>
          <w:i/>
          <w:iCs/>
          <w:color w:val="000000" w:themeColor="text1"/>
          <w:sz w:val="24"/>
          <w:szCs w:val="24"/>
        </w:rPr>
        <w:t>c)</w:t>
      </w:r>
      <w:r w:rsidRPr="003A05F4">
        <w:rPr>
          <w:rFonts w:eastAsia="Times New Roman" w:cs="Arial"/>
          <w:b/>
          <w:bCs/>
          <w:color w:val="000000" w:themeColor="text1"/>
          <w:sz w:val="24"/>
          <w:szCs w:val="24"/>
        </w:rPr>
        <w:t> ripartisce gli ambiti portuali in aree portuali, retroportuali e di interazione porto-città;</w:t>
      </w:r>
    </w:p>
    <w:p w14:paraId="0F01C49B" w14:textId="77777777" w:rsidR="00410563" w:rsidRPr="003A05F4" w:rsidRDefault="00410563" w:rsidP="00410563">
      <w:pPr>
        <w:shd w:val="clear" w:color="auto" w:fill="FFFFFF"/>
        <w:spacing w:after="0" w:line="240" w:lineRule="auto"/>
        <w:jc w:val="both"/>
        <w:rPr>
          <w:rFonts w:eastAsia="Times New Roman" w:cs="Arial"/>
          <w:b/>
          <w:bCs/>
          <w:color w:val="000000" w:themeColor="text1"/>
          <w:sz w:val="24"/>
          <w:szCs w:val="24"/>
        </w:rPr>
      </w:pPr>
      <w:r w:rsidRPr="003A05F4">
        <w:rPr>
          <w:rFonts w:eastAsia="Times New Roman" w:cs="Arial"/>
          <w:b/>
          <w:bCs/>
          <w:color w:val="000000" w:themeColor="text1"/>
          <w:sz w:val="24"/>
          <w:szCs w:val="24"/>
        </w:rPr>
        <w:t> </w:t>
      </w:r>
      <w:r w:rsidRPr="003A05F4">
        <w:rPr>
          <w:rFonts w:eastAsia="Times New Roman" w:cs="Arial"/>
          <w:b/>
          <w:bCs/>
          <w:color w:val="000000" w:themeColor="text1"/>
          <w:sz w:val="24"/>
          <w:szCs w:val="24"/>
        </w:rPr>
        <w:t> </w:t>
      </w:r>
      <w:r w:rsidRPr="003A05F4">
        <w:rPr>
          <w:rFonts w:eastAsia="Times New Roman" w:cs="Arial"/>
          <w:b/>
          <w:bCs/>
          <w:color w:val="000000" w:themeColor="text1"/>
          <w:sz w:val="24"/>
          <w:szCs w:val="24"/>
        </w:rPr>
        <w:t> </w:t>
      </w:r>
      <w:r w:rsidRPr="003A05F4">
        <w:rPr>
          <w:rFonts w:eastAsia="Times New Roman" w:cs="Arial"/>
          <w:b/>
          <w:bCs/>
          <w:i/>
          <w:iCs/>
          <w:color w:val="000000" w:themeColor="text1"/>
          <w:sz w:val="24"/>
          <w:szCs w:val="24"/>
        </w:rPr>
        <w:t>d)</w:t>
      </w:r>
      <w:r w:rsidRPr="003A05F4">
        <w:rPr>
          <w:rFonts w:eastAsia="Times New Roman" w:cs="Arial"/>
          <w:b/>
          <w:bCs/>
          <w:color w:val="000000" w:themeColor="text1"/>
          <w:sz w:val="24"/>
          <w:szCs w:val="24"/>
        </w:rPr>
        <w:t> individua i collegamenti infrastrutturali di ultimo miglio di tipo viario e ferroviario coi singoli porti del sistema esterni all'ambito portuale nonché gli attraversamenti dei centri urbani rilevanti ai fini dell'operatività dei singoli porti del sistema.</w:t>
      </w:r>
    </w:p>
    <w:p w14:paraId="547305A0" w14:textId="77777777" w:rsidR="004B2C45" w:rsidRDefault="00410563" w:rsidP="00410563">
      <w:pPr>
        <w:shd w:val="clear" w:color="auto" w:fill="FFFFFF"/>
        <w:spacing w:after="0" w:line="240" w:lineRule="auto"/>
        <w:jc w:val="both"/>
        <w:rPr>
          <w:rFonts w:eastAsia="Times New Roman" w:cs="Arial"/>
          <w:b/>
          <w:bCs/>
          <w:color w:val="000000" w:themeColor="text1"/>
          <w:sz w:val="24"/>
          <w:szCs w:val="24"/>
        </w:rPr>
      </w:pPr>
      <w:r w:rsidRPr="00155015">
        <w:rPr>
          <w:rFonts w:eastAsia="Times New Roman" w:cs="Arial"/>
          <w:color w:val="000000" w:themeColor="text1"/>
          <w:sz w:val="24"/>
          <w:szCs w:val="24"/>
        </w:rPr>
        <w:t> </w:t>
      </w:r>
      <w:r w:rsidRPr="00155015">
        <w:rPr>
          <w:rFonts w:eastAsia="Times New Roman" w:cs="Arial"/>
          <w:color w:val="000000" w:themeColor="text1"/>
          <w:sz w:val="24"/>
          <w:szCs w:val="24"/>
        </w:rPr>
        <w:t> </w:t>
      </w:r>
      <w:r w:rsidRPr="005E581C">
        <w:rPr>
          <w:rFonts w:eastAsia="Times New Roman" w:cs="Arial"/>
          <w:b/>
          <w:bCs/>
          <w:color w:val="000000" w:themeColor="text1"/>
          <w:sz w:val="24"/>
          <w:szCs w:val="24"/>
        </w:rPr>
        <w:t>1-</w:t>
      </w:r>
      <w:r w:rsidRPr="005E581C">
        <w:rPr>
          <w:rFonts w:eastAsia="Times New Roman" w:cs="Arial"/>
          <w:b/>
          <w:bCs/>
          <w:i/>
          <w:iCs/>
          <w:color w:val="000000" w:themeColor="text1"/>
          <w:sz w:val="24"/>
          <w:szCs w:val="24"/>
        </w:rPr>
        <w:t>bis</w:t>
      </w:r>
      <w:r w:rsidRPr="005E581C">
        <w:rPr>
          <w:rFonts w:eastAsia="Times New Roman" w:cs="Arial"/>
          <w:b/>
          <w:bCs/>
          <w:color w:val="000000" w:themeColor="text1"/>
          <w:sz w:val="24"/>
          <w:szCs w:val="24"/>
        </w:rPr>
        <w:t>. Il documento di programmazione strategica di sistema è adottato dal Comitato di gestione dell'Autorità di sistema portuale; è sottoposto, mediante conferenza dei servizi, ai sensi dell'articolo 14-</w:t>
      </w:r>
      <w:r w:rsidRPr="005E581C">
        <w:rPr>
          <w:rFonts w:eastAsia="Times New Roman" w:cs="Arial"/>
          <w:b/>
          <w:bCs/>
          <w:i/>
          <w:iCs/>
          <w:color w:val="000000" w:themeColor="text1"/>
          <w:sz w:val="24"/>
          <w:szCs w:val="24"/>
        </w:rPr>
        <w:t>bis</w:t>
      </w:r>
      <w:r w:rsidRPr="005E581C">
        <w:rPr>
          <w:rFonts w:eastAsia="Times New Roman" w:cs="Arial"/>
          <w:b/>
          <w:bCs/>
          <w:color w:val="000000" w:themeColor="text1"/>
          <w:sz w:val="24"/>
          <w:szCs w:val="24"/>
        </w:rPr>
        <w:t> della legge 7 agosto 1990, n. 241, indetta dall'Autorità di sistema portuale, al parere di ciascun comune e regione territorialmente interessati, che si esprimono entro e non oltre quarantacinque giorni dal ricevimento dell'atto, decorsi i quali si intende espresso parere non ostativo, ed è approvato dal MIMS, che si esprime sentita la Conferenza nazionale di coordinamento delle Autorità di sistema portuale di cui all'articolo 11-</w:t>
      </w:r>
      <w:r w:rsidRPr="005E581C">
        <w:rPr>
          <w:rFonts w:eastAsia="Times New Roman" w:cs="Arial"/>
          <w:b/>
          <w:bCs/>
          <w:i/>
          <w:iCs/>
          <w:color w:val="000000" w:themeColor="text1"/>
          <w:sz w:val="24"/>
          <w:szCs w:val="24"/>
        </w:rPr>
        <w:t>ter</w:t>
      </w:r>
      <w:r w:rsidRPr="005E581C">
        <w:rPr>
          <w:rFonts w:eastAsia="Times New Roman" w:cs="Arial"/>
          <w:b/>
          <w:bCs/>
          <w:color w:val="000000" w:themeColor="text1"/>
          <w:sz w:val="24"/>
          <w:szCs w:val="24"/>
        </w:rPr>
        <w:t>. Il documento di programmazione strategica di sistema non è assoggettato alla procedura di VAS.</w:t>
      </w:r>
    </w:p>
    <w:p w14:paraId="51E030C5" w14:textId="5BABA2CA" w:rsidR="00410563" w:rsidRDefault="00410563" w:rsidP="00410563">
      <w:pPr>
        <w:shd w:val="clear" w:color="auto" w:fill="FFFFFF"/>
        <w:spacing w:after="0" w:line="240" w:lineRule="auto"/>
        <w:jc w:val="both"/>
        <w:rPr>
          <w:rFonts w:eastAsia="Times New Roman" w:cs="Arial"/>
          <w:b/>
          <w:bCs/>
          <w:color w:val="000000" w:themeColor="text1"/>
          <w:sz w:val="24"/>
          <w:szCs w:val="24"/>
        </w:rPr>
      </w:pPr>
      <w:r w:rsidRPr="005E581C">
        <w:rPr>
          <w:rFonts w:eastAsia="Times New Roman" w:cs="Arial"/>
          <w:b/>
          <w:bCs/>
          <w:color w:val="000000" w:themeColor="text1"/>
          <w:sz w:val="24"/>
          <w:szCs w:val="24"/>
        </w:rPr>
        <w:t> </w:t>
      </w:r>
      <w:r w:rsidRPr="005E581C">
        <w:rPr>
          <w:rFonts w:eastAsia="Times New Roman" w:cs="Arial"/>
          <w:b/>
          <w:bCs/>
          <w:color w:val="000000" w:themeColor="text1"/>
          <w:sz w:val="24"/>
          <w:szCs w:val="24"/>
        </w:rPr>
        <w:t> </w:t>
      </w:r>
      <w:r w:rsidRPr="005E581C">
        <w:rPr>
          <w:rFonts w:eastAsia="Times New Roman" w:cs="Arial"/>
          <w:b/>
          <w:bCs/>
          <w:color w:val="000000" w:themeColor="text1"/>
          <w:sz w:val="24"/>
          <w:szCs w:val="24"/>
        </w:rPr>
        <w:t>1-</w:t>
      </w:r>
      <w:r w:rsidRPr="005E581C">
        <w:rPr>
          <w:rFonts w:eastAsia="Times New Roman" w:cs="Arial"/>
          <w:b/>
          <w:bCs/>
          <w:i/>
          <w:iCs/>
          <w:color w:val="000000" w:themeColor="text1"/>
          <w:sz w:val="24"/>
          <w:szCs w:val="24"/>
        </w:rPr>
        <w:t>ter</w:t>
      </w:r>
      <w:r w:rsidRPr="005E581C">
        <w:rPr>
          <w:rFonts w:eastAsia="Times New Roman" w:cs="Arial"/>
          <w:b/>
          <w:bCs/>
          <w:color w:val="000000" w:themeColor="text1"/>
          <w:sz w:val="24"/>
          <w:szCs w:val="24"/>
        </w:rPr>
        <w:t>. Nei singoli porti amministrati dalle Autorità di sistema portuale l'ambito e l'assetto delle aree portuali e retroportuali, come individuati e delimitati nel documento di programmazione strategica di sistema, sono disegnati e dettagliati nel piano regolatore portuale (PRP), che individua analiticamente anche le caratteristiche e la destinazione funzionale delle aree interessate nonché i beni sottoposti al vincolo preordinato all'esproprio nel rispetto del decreto del Presidente della Repubblica 8 giugno 2001 n. 327. Se la realizzazione di un'opera pubblica o di pubblica utilità non è prevista dal PRP, il vincolo preordinato all'esproprio, ai sensi dell'articolo 10, comma 1, del decreto del Presidente della Repubblica 8 giugno 2001, n. 327, può essere disposto dall'Autorità di sistema portuale, mediante una conferenza di servizi ai sensi dell'articolo 14-</w:t>
      </w:r>
      <w:r w:rsidRPr="005E581C">
        <w:rPr>
          <w:rFonts w:eastAsia="Times New Roman" w:cs="Arial"/>
          <w:b/>
          <w:bCs/>
          <w:i/>
          <w:iCs/>
          <w:color w:val="000000" w:themeColor="text1"/>
          <w:sz w:val="24"/>
          <w:szCs w:val="24"/>
        </w:rPr>
        <w:t>ter</w:t>
      </w:r>
      <w:r w:rsidRPr="005E581C">
        <w:rPr>
          <w:rFonts w:eastAsia="Times New Roman" w:cs="Arial"/>
          <w:b/>
          <w:bCs/>
          <w:color w:val="000000" w:themeColor="text1"/>
          <w:sz w:val="24"/>
          <w:szCs w:val="24"/>
        </w:rPr>
        <w:t xml:space="preserve"> della legge 7 agosto 1990, n. 241. Si applica quanto previsto dall'articolo </w:t>
      </w:r>
      <w:proofErr w:type="spellStart"/>
      <w:r w:rsidRPr="005E581C">
        <w:rPr>
          <w:rFonts w:eastAsia="Times New Roman" w:cs="Arial"/>
          <w:b/>
          <w:bCs/>
          <w:color w:val="000000" w:themeColor="text1"/>
          <w:sz w:val="24"/>
          <w:szCs w:val="24"/>
        </w:rPr>
        <w:t>dall'articolo</w:t>
      </w:r>
      <w:proofErr w:type="spellEnd"/>
      <w:r w:rsidRPr="005E581C">
        <w:rPr>
          <w:rFonts w:eastAsia="Times New Roman" w:cs="Arial"/>
          <w:b/>
          <w:bCs/>
          <w:color w:val="000000" w:themeColor="text1"/>
          <w:sz w:val="24"/>
          <w:szCs w:val="24"/>
        </w:rPr>
        <w:t xml:space="preserve"> 13 del decreto-legge 16 luglio 2020, n. 76, convertito, con modificazioni, dalla legge 11 settembre 2020, n. 120.</w:t>
      </w:r>
    </w:p>
    <w:p w14:paraId="78C0AA0D" w14:textId="77777777" w:rsidR="004B2C45" w:rsidRDefault="00410563" w:rsidP="00410563">
      <w:pPr>
        <w:shd w:val="clear" w:color="auto" w:fill="FFFFFF"/>
        <w:spacing w:after="0" w:line="240" w:lineRule="auto"/>
        <w:jc w:val="both"/>
        <w:rPr>
          <w:rFonts w:eastAsia="Times New Roman" w:cs="Arial"/>
          <w:b/>
          <w:bCs/>
          <w:color w:val="000000" w:themeColor="text1"/>
          <w:sz w:val="24"/>
          <w:szCs w:val="24"/>
        </w:rPr>
      </w:pPr>
      <w:r w:rsidRPr="005E581C">
        <w:rPr>
          <w:rFonts w:eastAsia="Times New Roman" w:cs="Arial"/>
          <w:b/>
          <w:bCs/>
          <w:color w:val="000000" w:themeColor="text1"/>
          <w:sz w:val="24"/>
          <w:szCs w:val="24"/>
        </w:rPr>
        <w:lastRenderedPageBreak/>
        <w:t> </w:t>
      </w:r>
      <w:r w:rsidRPr="005E581C">
        <w:rPr>
          <w:rFonts w:eastAsia="Times New Roman" w:cs="Arial"/>
          <w:b/>
          <w:bCs/>
          <w:color w:val="000000" w:themeColor="text1"/>
          <w:sz w:val="24"/>
          <w:szCs w:val="24"/>
        </w:rPr>
        <w:t> </w:t>
      </w:r>
      <w:r w:rsidRPr="005E581C">
        <w:rPr>
          <w:rFonts w:eastAsia="Times New Roman" w:cs="Arial"/>
          <w:b/>
          <w:bCs/>
          <w:color w:val="000000" w:themeColor="text1"/>
          <w:sz w:val="24"/>
          <w:szCs w:val="24"/>
        </w:rPr>
        <w:t>1-</w:t>
      </w:r>
      <w:r w:rsidRPr="005E581C">
        <w:rPr>
          <w:rFonts w:eastAsia="Times New Roman" w:cs="Arial"/>
          <w:b/>
          <w:bCs/>
          <w:i/>
          <w:iCs/>
          <w:color w:val="000000" w:themeColor="text1"/>
          <w:sz w:val="24"/>
          <w:szCs w:val="24"/>
        </w:rPr>
        <w:t>quater.</w:t>
      </w:r>
      <w:r w:rsidRPr="005E581C">
        <w:rPr>
          <w:rFonts w:eastAsia="Times New Roman" w:cs="Arial"/>
          <w:b/>
          <w:bCs/>
          <w:color w:val="000000" w:themeColor="text1"/>
          <w:sz w:val="24"/>
          <w:szCs w:val="24"/>
        </w:rPr>
        <w:t> Le funzioni ammesse dai piani regolatori portuali nelle aree portuali sono esclusivamente quelle previste all'articolo 4, comma 3; nelle aree retroportuali possono essere ammesse attività accessorie alle funzioni previste all'articolo 4, comma 3.</w:t>
      </w:r>
    </w:p>
    <w:p w14:paraId="61A7933E" w14:textId="637D0E4B" w:rsidR="004B2C45" w:rsidRDefault="00410563" w:rsidP="00410563">
      <w:pPr>
        <w:shd w:val="clear" w:color="auto" w:fill="FFFFFF"/>
        <w:spacing w:after="0" w:line="240" w:lineRule="auto"/>
        <w:jc w:val="both"/>
        <w:rPr>
          <w:rFonts w:eastAsia="Times New Roman" w:cs="Arial"/>
          <w:b/>
          <w:bCs/>
          <w:color w:val="000000" w:themeColor="text1"/>
          <w:sz w:val="24"/>
          <w:szCs w:val="24"/>
        </w:rPr>
      </w:pPr>
      <w:r w:rsidRPr="005E581C">
        <w:rPr>
          <w:rFonts w:eastAsia="Times New Roman" w:cs="Arial"/>
          <w:b/>
          <w:bCs/>
          <w:color w:val="000000" w:themeColor="text1"/>
          <w:sz w:val="24"/>
          <w:szCs w:val="24"/>
        </w:rPr>
        <w:t> </w:t>
      </w:r>
      <w:r w:rsidRPr="005E581C">
        <w:rPr>
          <w:rFonts w:eastAsia="Times New Roman" w:cs="Arial"/>
          <w:b/>
          <w:bCs/>
          <w:color w:val="000000" w:themeColor="text1"/>
          <w:sz w:val="24"/>
          <w:szCs w:val="24"/>
        </w:rPr>
        <w:t> </w:t>
      </w:r>
      <w:r w:rsidRPr="005E581C">
        <w:rPr>
          <w:rFonts w:eastAsia="Times New Roman" w:cs="Arial"/>
          <w:b/>
          <w:bCs/>
          <w:color w:val="000000" w:themeColor="text1"/>
          <w:sz w:val="24"/>
          <w:szCs w:val="24"/>
        </w:rPr>
        <w:t>1-</w:t>
      </w:r>
      <w:r w:rsidRPr="005E581C">
        <w:rPr>
          <w:rFonts w:eastAsia="Times New Roman" w:cs="Arial"/>
          <w:b/>
          <w:bCs/>
          <w:i/>
          <w:iCs/>
          <w:color w:val="000000" w:themeColor="text1"/>
          <w:sz w:val="24"/>
          <w:szCs w:val="24"/>
        </w:rPr>
        <w:t>quinquies</w:t>
      </w:r>
      <w:r w:rsidRPr="005E581C">
        <w:rPr>
          <w:rFonts w:eastAsia="Times New Roman" w:cs="Arial"/>
          <w:b/>
          <w:bCs/>
          <w:color w:val="000000" w:themeColor="text1"/>
          <w:sz w:val="24"/>
          <w:szCs w:val="24"/>
        </w:rPr>
        <w:t xml:space="preserve">. La pianificazione delle aree portuali e retroportuali è competenza esclusiva dell'Autorità di sistema portuale, che vi provvede mediante l'approvazione del piano regolatore portuale. La pianificazione delle aree con funzione di interazione porto-città è di competenza del comune e della regione, secondo quanto previsto dalle disposizioni di legge applicabili, che vi provvedono previa acquisizione </w:t>
      </w:r>
      <w:r w:rsidRPr="004B2C45">
        <w:rPr>
          <w:rFonts w:eastAsia="Times New Roman" w:cs="Arial"/>
          <w:b/>
          <w:bCs/>
          <w:strike/>
          <w:color w:val="000000" w:themeColor="text1"/>
          <w:sz w:val="24"/>
          <w:szCs w:val="24"/>
          <w:highlight w:val="yellow"/>
        </w:rPr>
        <w:t>dell'intesa con l'Autorità di sistema portuale</w:t>
      </w:r>
      <w:r w:rsidR="004B2C45">
        <w:rPr>
          <w:rFonts w:eastAsia="Times New Roman" w:cs="Arial"/>
          <w:b/>
          <w:bCs/>
          <w:color w:val="000000" w:themeColor="text1"/>
          <w:sz w:val="24"/>
          <w:szCs w:val="24"/>
        </w:rPr>
        <w:t xml:space="preserve"> </w:t>
      </w:r>
      <w:r w:rsidR="004B2C45" w:rsidRPr="004B2C45">
        <w:rPr>
          <w:rFonts w:eastAsia="Times New Roman" w:cs="Arial"/>
          <w:b/>
          <w:bCs/>
          <w:color w:val="000000" w:themeColor="text1"/>
          <w:sz w:val="24"/>
          <w:szCs w:val="24"/>
          <w:highlight w:val="red"/>
        </w:rPr>
        <w:t>del parere dell'Autorità di sistema portuale</w:t>
      </w:r>
      <w:r w:rsidR="004B2C45">
        <w:rPr>
          <w:rFonts w:eastAsia="Times New Roman" w:cs="Arial"/>
          <w:b/>
          <w:bCs/>
          <w:color w:val="000000" w:themeColor="text1"/>
          <w:sz w:val="24"/>
          <w:szCs w:val="24"/>
        </w:rPr>
        <w:t>.</w:t>
      </w:r>
      <w:r w:rsidR="004B2C45">
        <w:rPr>
          <w:rStyle w:val="Rimandonotaapidipagina"/>
          <w:rFonts w:eastAsia="Times New Roman" w:cs="Arial"/>
          <w:b/>
          <w:bCs/>
          <w:color w:val="000000" w:themeColor="text1"/>
          <w:sz w:val="24"/>
          <w:szCs w:val="24"/>
        </w:rPr>
        <w:footnoteReference w:id="62"/>
      </w:r>
      <w:r w:rsidRPr="005E581C">
        <w:rPr>
          <w:rFonts w:eastAsia="Times New Roman" w:cs="Arial"/>
          <w:b/>
          <w:bCs/>
          <w:color w:val="000000" w:themeColor="text1"/>
          <w:sz w:val="24"/>
          <w:szCs w:val="24"/>
        </w:rPr>
        <w:t xml:space="preserve"> Ai fini dell'adozione degli strumenti urbanistici relativi ai collegamenti infrastrutturali di ultimo miglio di tipo viario e ferroviario nonché agli attraversamenti del centro urbano rilevanti ai fini dell'operatività del porto individuati nel documento di programmazione strategica di sistema di cui al precedente comma 1, l'ente competente vi provvede previa acquisizione dell'intesa con l'Autorità di sistema portuale.</w:t>
      </w:r>
      <w:r w:rsidR="004B2C45">
        <w:rPr>
          <w:rFonts w:eastAsia="Times New Roman" w:cs="Arial"/>
          <w:b/>
          <w:bCs/>
          <w:color w:val="000000" w:themeColor="text1"/>
          <w:sz w:val="24"/>
          <w:szCs w:val="24"/>
        </w:rPr>
        <w:t xml:space="preserve"> </w:t>
      </w:r>
      <w:r w:rsidR="004B2C45" w:rsidRPr="00C47400">
        <w:rPr>
          <w:rFonts w:eastAsia="Times New Roman" w:cs="Arial"/>
          <w:b/>
          <w:bCs/>
          <w:color w:val="000000" w:themeColor="text1"/>
          <w:sz w:val="24"/>
          <w:szCs w:val="24"/>
          <w:highlight w:val="red"/>
        </w:rPr>
        <w:t>Le Autorità di sistema portuale indicano al Ministero delle infrastrutture e della mobilità sostenibili e alle regioni le aree portuali e retroportuali potenzialmente destinabili all'ubicazione delle piattaforme logistiche intermodali e all'ubicazione dei punti di scambio intermodale, nonché le aree potenzialmente destinabili alla costruzione di caselli autostradali funzionali alle nuove stazioni ferroviarie dell'alta velocità e dell'alta capacità.</w:t>
      </w:r>
      <w:r w:rsidR="004B2C45">
        <w:rPr>
          <w:rStyle w:val="Rimandonotaapidipagina"/>
          <w:rFonts w:eastAsia="Times New Roman" w:cs="Arial"/>
          <w:b/>
          <w:bCs/>
          <w:color w:val="000000" w:themeColor="text1"/>
          <w:sz w:val="24"/>
          <w:szCs w:val="24"/>
          <w:highlight w:val="red"/>
        </w:rPr>
        <w:footnoteReference w:id="63"/>
      </w:r>
    </w:p>
    <w:p w14:paraId="20BBD3D4" w14:textId="74B7B2F1" w:rsidR="00410563" w:rsidRPr="005E581C" w:rsidRDefault="00410563" w:rsidP="00410563">
      <w:pPr>
        <w:shd w:val="clear" w:color="auto" w:fill="FFFFFF"/>
        <w:spacing w:after="0" w:line="240" w:lineRule="auto"/>
        <w:jc w:val="both"/>
        <w:rPr>
          <w:rFonts w:eastAsia="Times New Roman" w:cs="Arial"/>
          <w:b/>
          <w:bCs/>
          <w:color w:val="000000" w:themeColor="text1"/>
          <w:sz w:val="24"/>
          <w:szCs w:val="24"/>
        </w:rPr>
      </w:pPr>
      <w:r w:rsidRPr="005E581C">
        <w:rPr>
          <w:rFonts w:eastAsia="Times New Roman" w:cs="Arial"/>
          <w:b/>
          <w:bCs/>
          <w:color w:val="000000" w:themeColor="text1"/>
          <w:sz w:val="24"/>
          <w:szCs w:val="24"/>
        </w:rPr>
        <w:t> </w:t>
      </w:r>
      <w:r w:rsidRPr="005E581C">
        <w:rPr>
          <w:rFonts w:eastAsia="Times New Roman" w:cs="Arial"/>
          <w:b/>
          <w:bCs/>
          <w:color w:val="000000" w:themeColor="text1"/>
          <w:sz w:val="24"/>
          <w:szCs w:val="24"/>
        </w:rPr>
        <w:t> </w:t>
      </w:r>
      <w:r w:rsidRPr="005E581C">
        <w:rPr>
          <w:rFonts w:eastAsia="Times New Roman" w:cs="Arial"/>
          <w:b/>
          <w:bCs/>
          <w:color w:val="000000" w:themeColor="text1"/>
          <w:sz w:val="24"/>
          <w:szCs w:val="24"/>
        </w:rPr>
        <w:t>1-</w:t>
      </w:r>
      <w:r w:rsidRPr="005E581C">
        <w:rPr>
          <w:rFonts w:eastAsia="Times New Roman" w:cs="Arial"/>
          <w:b/>
          <w:bCs/>
          <w:i/>
          <w:iCs/>
          <w:color w:val="000000" w:themeColor="text1"/>
          <w:sz w:val="24"/>
          <w:szCs w:val="24"/>
        </w:rPr>
        <w:t>sexies.</w:t>
      </w:r>
      <w:r w:rsidRPr="005E581C">
        <w:rPr>
          <w:rFonts w:eastAsia="Times New Roman" w:cs="Arial"/>
          <w:b/>
          <w:bCs/>
          <w:color w:val="000000" w:themeColor="text1"/>
          <w:sz w:val="24"/>
          <w:szCs w:val="24"/>
        </w:rPr>
        <w:t> Nel caso dei porti in cui siano tuttora in vigore Piani regolatori portuali approvati antecedentemente all'entrata in vigore della presente legge, nelle more dell'approvazione del nuovo piano regolatore portuale, laddove il comitato di gestione dell'Autorità di sistema portuale ravvisi la necessità di realizzare opere in via d'urgenza, il piano operativo triennale di cui all'articolo 9, comma 3, lettera </w:t>
      </w:r>
      <w:r w:rsidRPr="005E581C">
        <w:rPr>
          <w:rFonts w:eastAsia="Times New Roman" w:cs="Arial"/>
          <w:b/>
          <w:bCs/>
          <w:i/>
          <w:iCs/>
          <w:color w:val="000000" w:themeColor="text1"/>
          <w:sz w:val="24"/>
          <w:szCs w:val="24"/>
        </w:rPr>
        <w:t>a)</w:t>
      </w:r>
      <w:r w:rsidRPr="005E581C">
        <w:rPr>
          <w:rFonts w:eastAsia="Times New Roman" w:cs="Arial"/>
          <w:b/>
          <w:bCs/>
          <w:color w:val="000000" w:themeColor="text1"/>
          <w:sz w:val="24"/>
          <w:szCs w:val="24"/>
        </w:rPr>
        <w:t>, può definire, in via transitoria, la destinazione funzionale di alcune aree sulla base delle funzioni ammesse dall'articolo 4, comma 3. In tale caso il piano operativo triennale è soggetto a specifica approvazione da parte del MIMS e alla procedura di verifica di assoggettabilità a VAS, ai sensi dell'articolo 12 del decreto legislativo 3 aprile 2006, n. 152.</w:t>
      </w:r>
    </w:p>
    <w:p w14:paraId="60BA32D2" w14:textId="77777777" w:rsidR="00410563" w:rsidRDefault="00410563" w:rsidP="00410563">
      <w:pPr>
        <w:shd w:val="clear" w:color="auto" w:fill="FFFFFF"/>
        <w:spacing w:after="0" w:line="240" w:lineRule="auto"/>
        <w:jc w:val="both"/>
        <w:rPr>
          <w:rFonts w:eastAsia="Times New Roman" w:cs="Arial"/>
          <w:b/>
          <w:bCs/>
          <w:color w:val="000000" w:themeColor="text1"/>
          <w:sz w:val="24"/>
          <w:szCs w:val="24"/>
        </w:rPr>
      </w:pPr>
      <w:r w:rsidRPr="005E581C">
        <w:rPr>
          <w:rFonts w:eastAsia="Times New Roman" w:cs="Arial"/>
          <w:b/>
          <w:bCs/>
          <w:i/>
          <w:iCs/>
          <w:color w:val="000000" w:themeColor="text1"/>
          <w:sz w:val="24"/>
          <w:szCs w:val="24"/>
        </w:rPr>
        <w:t>b)</w:t>
      </w:r>
      <w:r w:rsidRPr="005E581C">
        <w:rPr>
          <w:rFonts w:eastAsia="Times New Roman" w:cs="Arial"/>
          <w:b/>
          <w:bCs/>
          <w:color w:val="000000" w:themeColor="text1"/>
          <w:sz w:val="24"/>
          <w:szCs w:val="24"/>
        </w:rPr>
        <w:t> dopo il comma 1-</w:t>
      </w:r>
      <w:r w:rsidRPr="005E581C">
        <w:rPr>
          <w:rFonts w:eastAsia="Times New Roman" w:cs="Arial"/>
          <w:b/>
          <w:bCs/>
          <w:i/>
          <w:iCs/>
          <w:color w:val="000000" w:themeColor="text1"/>
          <w:sz w:val="24"/>
          <w:szCs w:val="24"/>
        </w:rPr>
        <w:t>sexies</w:t>
      </w:r>
      <w:r w:rsidRPr="005E581C">
        <w:rPr>
          <w:rFonts w:eastAsia="Times New Roman" w:cs="Arial"/>
          <w:b/>
          <w:bCs/>
          <w:color w:val="000000" w:themeColor="text1"/>
          <w:sz w:val="24"/>
          <w:szCs w:val="24"/>
        </w:rPr>
        <w:t xml:space="preserve"> è aggiunto il seguente: </w:t>
      </w:r>
    </w:p>
    <w:p w14:paraId="623C9514" w14:textId="77777777" w:rsidR="00410563" w:rsidRPr="005E581C" w:rsidRDefault="00410563" w:rsidP="00410563">
      <w:pPr>
        <w:shd w:val="clear" w:color="auto" w:fill="FFFFFF"/>
        <w:spacing w:after="0" w:line="240" w:lineRule="auto"/>
        <w:jc w:val="both"/>
        <w:rPr>
          <w:rFonts w:eastAsia="Times New Roman" w:cs="Arial"/>
          <w:b/>
          <w:bCs/>
          <w:color w:val="000000" w:themeColor="text1"/>
          <w:sz w:val="24"/>
          <w:szCs w:val="24"/>
        </w:rPr>
      </w:pPr>
      <w:r>
        <w:rPr>
          <w:rFonts w:eastAsia="Times New Roman" w:cs="Arial"/>
          <w:b/>
          <w:bCs/>
          <w:color w:val="000000" w:themeColor="text1"/>
          <w:sz w:val="24"/>
          <w:szCs w:val="24"/>
        </w:rPr>
        <w:t xml:space="preserve">       </w:t>
      </w:r>
      <w:r w:rsidRPr="005E581C">
        <w:rPr>
          <w:rFonts w:eastAsia="Times New Roman" w:cs="Arial"/>
          <w:b/>
          <w:bCs/>
          <w:color w:val="000000" w:themeColor="text1"/>
          <w:sz w:val="24"/>
          <w:szCs w:val="24"/>
        </w:rPr>
        <w:t>1-</w:t>
      </w:r>
      <w:r w:rsidRPr="005E581C">
        <w:rPr>
          <w:rFonts w:eastAsia="Times New Roman" w:cs="Arial"/>
          <w:b/>
          <w:bCs/>
          <w:i/>
          <w:iCs/>
          <w:color w:val="000000" w:themeColor="text1"/>
          <w:sz w:val="24"/>
          <w:szCs w:val="24"/>
        </w:rPr>
        <w:t>septies</w:t>
      </w:r>
      <w:r w:rsidRPr="005E581C">
        <w:rPr>
          <w:rFonts w:eastAsia="Times New Roman" w:cs="Arial"/>
          <w:b/>
          <w:bCs/>
          <w:color w:val="000000" w:themeColor="text1"/>
          <w:sz w:val="24"/>
          <w:szCs w:val="24"/>
        </w:rPr>
        <w:t> – Gli ambiti portuali come delimitati dal documento di programmazione strategica di sistema, ovvero, laddove lo stesso non sia ancora stato approvato, dai vigenti piani regolatori portuali, ancorché approvati anteriormente alla data di entrata in vigore della presente legge, sono equiparati alle zone «B» del D.M. n. 1444/1968 ai fini dell'applicabilità della disciplina di cui all'articolo 142, comma 2, del decreto legislativo n. 42/2004. Le Regioni adeguano il Piano territoriale paesistico regionale (PTPR) entro il termine perentorio di 45 giorni dall'approvazione del DPSS.</w:t>
      </w:r>
    </w:p>
    <w:p w14:paraId="49300498" w14:textId="77777777" w:rsidR="00410563" w:rsidRDefault="00410563" w:rsidP="00410563">
      <w:pPr>
        <w:shd w:val="clear" w:color="auto" w:fill="FFFFFF"/>
        <w:spacing w:after="0" w:line="240" w:lineRule="auto"/>
        <w:jc w:val="both"/>
        <w:rPr>
          <w:rFonts w:eastAsia="Times New Roman" w:cs="Arial"/>
          <w:b/>
          <w:bCs/>
          <w:color w:val="000000" w:themeColor="text1"/>
          <w:sz w:val="24"/>
          <w:szCs w:val="24"/>
        </w:rPr>
      </w:pPr>
      <w:r w:rsidRPr="005E581C">
        <w:rPr>
          <w:rFonts w:eastAsia="Times New Roman" w:cs="Arial"/>
          <w:b/>
          <w:bCs/>
          <w:i/>
          <w:iCs/>
          <w:color w:val="000000" w:themeColor="text1"/>
          <w:sz w:val="24"/>
          <w:szCs w:val="24"/>
        </w:rPr>
        <w:t>c)</w:t>
      </w:r>
      <w:r w:rsidRPr="005E581C">
        <w:rPr>
          <w:rFonts w:eastAsia="Times New Roman" w:cs="Arial"/>
          <w:b/>
          <w:bCs/>
          <w:color w:val="000000" w:themeColor="text1"/>
          <w:sz w:val="24"/>
          <w:szCs w:val="24"/>
        </w:rPr>
        <w:t> i commi da 2 a 2-</w:t>
      </w:r>
      <w:r w:rsidRPr="005E581C">
        <w:rPr>
          <w:rFonts w:eastAsia="Times New Roman" w:cs="Arial"/>
          <w:b/>
          <w:bCs/>
          <w:i/>
          <w:iCs/>
          <w:color w:val="000000" w:themeColor="text1"/>
          <w:sz w:val="24"/>
          <w:szCs w:val="24"/>
        </w:rPr>
        <w:t>sexies</w:t>
      </w:r>
      <w:r w:rsidRPr="005E581C">
        <w:rPr>
          <w:rFonts w:eastAsia="Times New Roman" w:cs="Arial"/>
          <w:b/>
          <w:bCs/>
          <w:color w:val="000000" w:themeColor="text1"/>
          <w:sz w:val="24"/>
          <w:szCs w:val="24"/>
        </w:rPr>
        <w:t xml:space="preserve"> sono sostituiti dai seguenti: </w:t>
      </w:r>
      <w:r>
        <w:rPr>
          <w:rFonts w:eastAsia="Times New Roman" w:cs="Arial"/>
          <w:b/>
          <w:bCs/>
          <w:color w:val="000000" w:themeColor="text1"/>
          <w:sz w:val="24"/>
          <w:szCs w:val="24"/>
        </w:rPr>
        <w:t xml:space="preserve">  </w:t>
      </w:r>
    </w:p>
    <w:p w14:paraId="522D1D60" w14:textId="77777777" w:rsidR="00410563" w:rsidRPr="005E581C" w:rsidRDefault="00410563" w:rsidP="00410563">
      <w:pPr>
        <w:shd w:val="clear" w:color="auto" w:fill="FFFFFF"/>
        <w:spacing w:after="0" w:line="240" w:lineRule="auto"/>
        <w:jc w:val="both"/>
        <w:rPr>
          <w:rFonts w:eastAsia="Times New Roman" w:cs="Arial"/>
          <w:b/>
          <w:bCs/>
          <w:color w:val="000000" w:themeColor="text1"/>
          <w:sz w:val="24"/>
          <w:szCs w:val="24"/>
        </w:rPr>
      </w:pPr>
      <w:r>
        <w:rPr>
          <w:rFonts w:eastAsia="Times New Roman" w:cs="Arial"/>
          <w:b/>
          <w:bCs/>
          <w:color w:val="000000" w:themeColor="text1"/>
          <w:sz w:val="24"/>
          <w:szCs w:val="24"/>
        </w:rPr>
        <w:t xml:space="preserve">       </w:t>
      </w:r>
      <w:r w:rsidRPr="005E581C">
        <w:rPr>
          <w:rFonts w:eastAsia="Times New Roman" w:cs="Arial"/>
          <w:b/>
          <w:bCs/>
          <w:color w:val="000000" w:themeColor="text1"/>
          <w:sz w:val="24"/>
          <w:szCs w:val="24"/>
        </w:rPr>
        <w:t xml:space="preserve">2. I piani regolatori portuali di cui al comma 1-ter sono redatti in attuazione del Piano strategico nazionale della portualità e della logistica e del documento di programmazione strategica di sistema nonché in conformità alle Linee guida emanate dal Consiglio superiore dei lavori pubblici e approvate dal Ministero delle infrastrutture e dei trasporti. I piani regolatori portuali declinano gli obiettivi, le </w:t>
      </w:r>
      <w:r w:rsidRPr="005E581C">
        <w:rPr>
          <w:rFonts w:eastAsia="Times New Roman" w:cs="Arial"/>
          <w:b/>
          <w:bCs/>
          <w:color w:val="000000" w:themeColor="text1"/>
          <w:sz w:val="24"/>
          <w:szCs w:val="24"/>
        </w:rPr>
        <w:lastRenderedPageBreak/>
        <w:t>previsioni, gli elementi, i contenuti e le strategie di ciascuno scalo marittimo, delineando anche l'assetto complessivo delle opere di grande infrastrutturazione.</w:t>
      </w:r>
    </w:p>
    <w:p w14:paraId="27CCC3C5" w14:textId="77777777" w:rsidR="00410563" w:rsidRPr="005E581C" w:rsidRDefault="00410563" w:rsidP="00410563">
      <w:pPr>
        <w:shd w:val="clear" w:color="auto" w:fill="FFFFFF"/>
        <w:spacing w:after="0" w:line="240" w:lineRule="auto"/>
        <w:jc w:val="both"/>
        <w:rPr>
          <w:rFonts w:eastAsia="Times New Roman" w:cs="Arial"/>
          <w:b/>
          <w:bCs/>
          <w:color w:val="000000" w:themeColor="text1"/>
          <w:sz w:val="24"/>
          <w:szCs w:val="24"/>
        </w:rPr>
      </w:pPr>
      <w:r w:rsidRPr="00155015">
        <w:rPr>
          <w:rFonts w:eastAsia="Times New Roman" w:cs="Arial"/>
          <w:color w:val="000000" w:themeColor="text1"/>
          <w:sz w:val="24"/>
          <w:szCs w:val="24"/>
        </w:rPr>
        <w:t> </w:t>
      </w:r>
      <w:r w:rsidRPr="00155015">
        <w:rPr>
          <w:rFonts w:eastAsia="Times New Roman" w:cs="Arial"/>
          <w:color w:val="000000" w:themeColor="text1"/>
          <w:sz w:val="24"/>
          <w:szCs w:val="24"/>
        </w:rPr>
        <w:t> </w:t>
      </w:r>
      <w:r w:rsidRPr="005E581C">
        <w:rPr>
          <w:rFonts w:eastAsia="Times New Roman" w:cs="Arial"/>
          <w:b/>
          <w:bCs/>
          <w:color w:val="000000" w:themeColor="text1"/>
          <w:sz w:val="24"/>
          <w:szCs w:val="24"/>
        </w:rPr>
        <w:t>2-</w:t>
      </w:r>
      <w:r w:rsidRPr="005E581C">
        <w:rPr>
          <w:rFonts w:eastAsia="Times New Roman" w:cs="Arial"/>
          <w:b/>
          <w:bCs/>
          <w:i/>
          <w:iCs/>
          <w:color w:val="000000" w:themeColor="text1"/>
          <w:sz w:val="24"/>
          <w:szCs w:val="24"/>
        </w:rPr>
        <w:t>bis</w:t>
      </w:r>
      <w:r w:rsidRPr="005E581C">
        <w:rPr>
          <w:rFonts w:eastAsia="Times New Roman" w:cs="Arial"/>
          <w:b/>
          <w:bCs/>
          <w:color w:val="000000" w:themeColor="text1"/>
          <w:sz w:val="24"/>
          <w:szCs w:val="24"/>
        </w:rPr>
        <w:t>. Nei porti di cui al comma 1-ter, in cui è istituita l'Autorità di sistema portuale, il piano regolatore portuale, corredato del rapporto ambientale di cui al decreto legislativo 3 aprile 2006, n. 152, è:</w:t>
      </w:r>
    </w:p>
    <w:p w14:paraId="757F1283" w14:textId="77777777" w:rsidR="00410563" w:rsidRPr="005E581C" w:rsidRDefault="00410563" w:rsidP="00410563">
      <w:pPr>
        <w:shd w:val="clear" w:color="auto" w:fill="FFFFFF"/>
        <w:spacing w:after="0" w:line="240" w:lineRule="auto"/>
        <w:jc w:val="both"/>
        <w:rPr>
          <w:rFonts w:eastAsia="Times New Roman" w:cs="Arial"/>
          <w:b/>
          <w:bCs/>
          <w:color w:val="000000" w:themeColor="text1"/>
          <w:sz w:val="24"/>
          <w:szCs w:val="24"/>
        </w:rPr>
      </w:pPr>
      <w:r w:rsidRPr="005E581C">
        <w:rPr>
          <w:rFonts w:eastAsia="Times New Roman" w:cs="Arial"/>
          <w:b/>
          <w:bCs/>
          <w:color w:val="000000" w:themeColor="text1"/>
          <w:sz w:val="24"/>
          <w:szCs w:val="24"/>
        </w:rPr>
        <w:t> </w:t>
      </w:r>
      <w:r w:rsidRPr="005E581C">
        <w:rPr>
          <w:rFonts w:eastAsia="Times New Roman" w:cs="Arial"/>
          <w:b/>
          <w:bCs/>
          <w:color w:val="000000" w:themeColor="text1"/>
          <w:sz w:val="24"/>
          <w:szCs w:val="24"/>
        </w:rPr>
        <w:t> </w:t>
      </w:r>
      <w:r w:rsidRPr="005E581C">
        <w:rPr>
          <w:rFonts w:eastAsia="Times New Roman" w:cs="Arial"/>
          <w:b/>
          <w:bCs/>
          <w:color w:val="000000" w:themeColor="text1"/>
          <w:sz w:val="24"/>
          <w:szCs w:val="24"/>
        </w:rPr>
        <w:t> </w:t>
      </w:r>
      <w:r w:rsidRPr="005E581C">
        <w:rPr>
          <w:rFonts w:eastAsia="Times New Roman" w:cs="Arial"/>
          <w:b/>
          <w:bCs/>
          <w:i/>
          <w:iCs/>
          <w:color w:val="000000" w:themeColor="text1"/>
          <w:sz w:val="24"/>
          <w:szCs w:val="24"/>
        </w:rPr>
        <w:t>a)</w:t>
      </w:r>
      <w:r w:rsidRPr="005E581C">
        <w:rPr>
          <w:rFonts w:eastAsia="Times New Roman" w:cs="Arial"/>
          <w:b/>
          <w:bCs/>
          <w:color w:val="000000" w:themeColor="text1"/>
          <w:sz w:val="24"/>
          <w:szCs w:val="24"/>
        </w:rPr>
        <w:t> adottato dal Comitato di gestione di cui all'articolo 9;</w:t>
      </w:r>
    </w:p>
    <w:p w14:paraId="26F62367" w14:textId="77777777" w:rsidR="00410563" w:rsidRPr="005E581C" w:rsidRDefault="00410563" w:rsidP="00410563">
      <w:pPr>
        <w:shd w:val="clear" w:color="auto" w:fill="FFFFFF"/>
        <w:spacing w:after="0" w:line="240" w:lineRule="auto"/>
        <w:jc w:val="both"/>
        <w:rPr>
          <w:rFonts w:eastAsia="Times New Roman" w:cs="Arial"/>
          <w:b/>
          <w:bCs/>
          <w:color w:val="000000" w:themeColor="text1"/>
          <w:sz w:val="24"/>
          <w:szCs w:val="24"/>
        </w:rPr>
      </w:pPr>
      <w:r w:rsidRPr="005E581C">
        <w:rPr>
          <w:rFonts w:eastAsia="Times New Roman" w:cs="Arial"/>
          <w:b/>
          <w:bCs/>
          <w:color w:val="000000" w:themeColor="text1"/>
          <w:sz w:val="24"/>
          <w:szCs w:val="24"/>
        </w:rPr>
        <w:t> </w:t>
      </w:r>
      <w:r w:rsidRPr="005E581C">
        <w:rPr>
          <w:rFonts w:eastAsia="Times New Roman" w:cs="Arial"/>
          <w:b/>
          <w:bCs/>
          <w:color w:val="000000" w:themeColor="text1"/>
          <w:sz w:val="24"/>
          <w:szCs w:val="24"/>
        </w:rPr>
        <w:t> </w:t>
      </w:r>
      <w:r w:rsidRPr="005E581C">
        <w:rPr>
          <w:rFonts w:eastAsia="Times New Roman" w:cs="Arial"/>
          <w:b/>
          <w:bCs/>
          <w:color w:val="000000" w:themeColor="text1"/>
          <w:sz w:val="24"/>
          <w:szCs w:val="24"/>
        </w:rPr>
        <w:t> </w:t>
      </w:r>
      <w:r w:rsidRPr="005E581C">
        <w:rPr>
          <w:rFonts w:eastAsia="Times New Roman" w:cs="Arial"/>
          <w:b/>
          <w:bCs/>
          <w:i/>
          <w:iCs/>
          <w:color w:val="000000" w:themeColor="text1"/>
          <w:sz w:val="24"/>
          <w:szCs w:val="24"/>
        </w:rPr>
        <w:t>b)</w:t>
      </w:r>
      <w:r w:rsidRPr="005E581C">
        <w:rPr>
          <w:rFonts w:eastAsia="Times New Roman" w:cs="Arial"/>
          <w:b/>
          <w:bCs/>
          <w:color w:val="000000" w:themeColor="text1"/>
          <w:sz w:val="24"/>
          <w:szCs w:val="24"/>
        </w:rPr>
        <w:t> inviato successivamente per il parere, limitatamente alla coerenza di quanto previsto con riguardo alle aree portuali e retroportuali perimetrali con i contenuti degli strumenti di pianificazione urbanistica vigenti relativi alle aree contigue a quelle portuali e retroportuali su cui le previsioni del piano regolatore portuale potrebbero avere impatto, al comune ed alla regione interessati, che si esprimono entro quarantacinque giorni dal ricevimento dell'atto, decorsi i quali si intende espresso parere non ostativo, nonché al MIMS per il parere circa la coerenza di quanto previsto con il documento di pianificazione strategica e al Consiglio superiore dei lavori pubblici per il parere di competenza, che si esprimono entro novanta giorni dal ricevimento dell'atto, decorsi i quali si intende espresso parere non ostativo;</w:t>
      </w:r>
    </w:p>
    <w:p w14:paraId="4BB8EAFA" w14:textId="77777777" w:rsidR="00410563" w:rsidRPr="005E581C" w:rsidRDefault="00410563" w:rsidP="00410563">
      <w:pPr>
        <w:shd w:val="clear" w:color="auto" w:fill="FFFFFF"/>
        <w:spacing w:after="0" w:line="240" w:lineRule="auto"/>
        <w:jc w:val="both"/>
        <w:rPr>
          <w:rFonts w:eastAsia="Times New Roman" w:cs="Arial"/>
          <w:b/>
          <w:bCs/>
          <w:color w:val="000000" w:themeColor="text1"/>
          <w:sz w:val="24"/>
          <w:szCs w:val="24"/>
        </w:rPr>
      </w:pPr>
      <w:r w:rsidRPr="005E581C">
        <w:rPr>
          <w:rFonts w:eastAsia="Times New Roman" w:cs="Arial"/>
          <w:b/>
          <w:bCs/>
          <w:color w:val="000000" w:themeColor="text1"/>
          <w:sz w:val="24"/>
          <w:szCs w:val="24"/>
        </w:rPr>
        <w:t> </w:t>
      </w:r>
      <w:r w:rsidRPr="005E581C">
        <w:rPr>
          <w:rFonts w:eastAsia="Times New Roman" w:cs="Arial"/>
          <w:b/>
          <w:bCs/>
          <w:color w:val="000000" w:themeColor="text1"/>
          <w:sz w:val="24"/>
          <w:szCs w:val="24"/>
        </w:rPr>
        <w:t> </w:t>
      </w:r>
      <w:r w:rsidRPr="005E581C">
        <w:rPr>
          <w:rFonts w:eastAsia="Times New Roman" w:cs="Arial"/>
          <w:b/>
          <w:bCs/>
          <w:color w:val="000000" w:themeColor="text1"/>
          <w:sz w:val="24"/>
          <w:szCs w:val="24"/>
        </w:rPr>
        <w:t> </w:t>
      </w:r>
      <w:r w:rsidRPr="005E581C">
        <w:rPr>
          <w:rFonts w:eastAsia="Times New Roman" w:cs="Arial"/>
          <w:b/>
          <w:bCs/>
          <w:i/>
          <w:iCs/>
          <w:color w:val="000000" w:themeColor="text1"/>
          <w:sz w:val="24"/>
          <w:szCs w:val="24"/>
        </w:rPr>
        <w:t>c)</w:t>
      </w:r>
      <w:r w:rsidRPr="005E581C">
        <w:rPr>
          <w:rFonts w:eastAsia="Times New Roman" w:cs="Arial"/>
          <w:b/>
          <w:bCs/>
          <w:color w:val="000000" w:themeColor="text1"/>
          <w:sz w:val="24"/>
          <w:szCs w:val="24"/>
        </w:rPr>
        <w:t> approvato, esaurita la procedura di cui al presente comma e quella di cui al comma 3-</w:t>
      </w:r>
      <w:r w:rsidRPr="005E581C">
        <w:rPr>
          <w:rFonts w:eastAsia="Times New Roman" w:cs="Arial"/>
          <w:b/>
          <w:bCs/>
          <w:i/>
          <w:iCs/>
          <w:color w:val="000000" w:themeColor="text1"/>
          <w:sz w:val="24"/>
          <w:szCs w:val="24"/>
        </w:rPr>
        <w:t>ter</w:t>
      </w:r>
      <w:r w:rsidRPr="005E581C">
        <w:rPr>
          <w:rFonts w:eastAsia="Times New Roman" w:cs="Arial"/>
          <w:b/>
          <w:bCs/>
          <w:color w:val="000000" w:themeColor="text1"/>
          <w:sz w:val="24"/>
          <w:szCs w:val="24"/>
        </w:rPr>
        <w:t>, dal Comitato di gestione dell'Autorità di sistema portuale entro quaranta giorni decorrenti dalla conclusione della procedura VAS.</w:t>
      </w:r>
    </w:p>
    <w:p w14:paraId="101B5A61" w14:textId="77777777" w:rsidR="00410563" w:rsidRPr="005E581C" w:rsidRDefault="00410563" w:rsidP="00410563">
      <w:pPr>
        <w:shd w:val="clear" w:color="auto" w:fill="FFFFFF"/>
        <w:spacing w:after="0" w:line="240" w:lineRule="auto"/>
        <w:jc w:val="both"/>
        <w:rPr>
          <w:rFonts w:eastAsia="Times New Roman" w:cs="Arial"/>
          <w:b/>
          <w:bCs/>
          <w:color w:val="000000" w:themeColor="text1"/>
          <w:sz w:val="24"/>
          <w:szCs w:val="24"/>
        </w:rPr>
      </w:pPr>
      <w:r w:rsidRPr="005E581C">
        <w:rPr>
          <w:rFonts w:eastAsia="Times New Roman" w:cs="Arial"/>
          <w:b/>
          <w:bCs/>
          <w:color w:val="000000" w:themeColor="text1"/>
          <w:sz w:val="24"/>
          <w:szCs w:val="24"/>
        </w:rPr>
        <w:t> </w:t>
      </w:r>
      <w:r w:rsidRPr="005E581C">
        <w:rPr>
          <w:rFonts w:eastAsia="Times New Roman" w:cs="Arial"/>
          <w:b/>
          <w:bCs/>
          <w:color w:val="000000" w:themeColor="text1"/>
          <w:sz w:val="24"/>
          <w:szCs w:val="24"/>
        </w:rPr>
        <w:t> </w:t>
      </w:r>
      <w:r w:rsidRPr="005E581C">
        <w:rPr>
          <w:rFonts w:eastAsia="Times New Roman" w:cs="Arial"/>
          <w:b/>
          <w:bCs/>
          <w:color w:val="000000" w:themeColor="text1"/>
          <w:sz w:val="24"/>
          <w:szCs w:val="24"/>
        </w:rPr>
        <w:t>2-</w:t>
      </w:r>
      <w:r w:rsidRPr="005E581C">
        <w:rPr>
          <w:rFonts w:eastAsia="Times New Roman" w:cs="Arial"/>
          <w:b/>
          <w:bCs/>
          <w:i/>
          <w:iCs/>
          <w:color w:val="000000" w:themeColor="text1"/>
          <w:sz w:val="24"/>
          <w:szCs w:val="24"/>
        </w:rPr>
        <w:t>ter</w:t>
      </w:r>
      <w:r w:rsidRPr="005E581C">
        <w:rPr>
          <w:rFonts w:eastAsia="Times New Roman" w:cs="Arial"/>
          <w:b/>
          <w:bCs/>
          <w:color w:val="000000" w:themeColor="text1"/>
          <w:sz w:val="24"/>
          <w:szCs w:val="24"/>
        </w:rPr>
        <w:t>. Il piano regolatore portuale è un piano territoriale di rilevanza statale e rappresenta l'unico strumento di pianificazione e di governo del territorio nel proprio perimetro di competenza.</w:t>
      </w:r>
    </w:p>
    <w:p w14:paraId="046701C0" w14:textId="77777777" w:rsidR="00410563" w:rsidRPr="005E581C" w:rsidRDefault="00410563" w:rsidP="00410563">
      <w:pPr>
        <w:shd w:val="clear" w:color="auto" w:fill="FFFFFF"/>
        <w:spacing w:after="0" w:line="240" w:lineRule="auto"/>
        <w:jc w:val="both"/>
        <w:rPr>
          <w:rFonts w:eastAsia="Times New Roman" w:cs="Arial"/>
          <w:b/>
          <w:bCs/>
          <w:color w:val="000000" w:themeColor="text1"/>
          <w:sz w:val="24"/>
          <w:szCs w:val="24"/>
        </w:rPr>
      </w:pPr>
      <w:r w:rsidRPr="005E581C">
        <w:rPr>
          <w:rFonts w:eastAsia="Times New Roman" w:cs="Arial"/>
          <w:b/>
          <w:bCs/>
          <w:i/>
          <w:iCs/>
          <w:color w:val="000000" w:themeColor="text1"/>
          <w:sz w:val="24"/>
          <w:szCs w:val="24"/>
        </w:rPr>
        <w:t>d)</w:t>
      </w:r>
      <w:r w:rsidRPr="005E581C">
        <w:rPr>
          <w:rFonts w:eastAsia="Times New Roman" w:cs="Arial"/>
          <w:b/>
          <w:bCs/>
          <w:color w:val="000000" w:themeColor="text1"/>
          <w:sz w:val="24"/>
          <w:szCs w:val="24"/>
        </w:rPr>
        <w:t> il comma 3 è sostituito dal seguente: «3. Nei porti di cui alla categoria II, classe III, con esclusione di quelli aventi le funzioni di cui all'articolo 4, comma 3, lettera e), l'ambito e l'assetto complessivo del porto, sono dettagliati dal piano regolatore portuale, che individua, altresì, le caratteristiche e la destinazione funzionale delle aree interessate.»</w:t>
      </w:r>
    </w:p>
    <w:p w14:paraId="7EBAD34D" w14:textId="77777777" w:rsidR="00410563" w:rsidRDefault="00410563" w:rsidP="00410563">
      <w:pPr>
        <w:shd w:val="clear" w:color="auto" w:fill="FFFFFF"/>
        <w:spacing w:after="0" w:line="240" w:lineRule="auto"/>
        <w:jc w:val="both"/>
        <w:rPr>
          <w:rFonts w:eastAsia="Times New Roman" w:cs="Arial"/>
          <w:b/>
          <w:bCs/>
          <w:color w:val="000000" w:themeColor="text1"/>
          <w:sz w:val="24"/>
          <w:szCs w:val="24"/>
        </w:rPr>
      </w:pPr>
      <w:r w:rsidRPr="005E581C">
        <w:rPr>
          <w:rFonts w:eastAsia="Times New Roman" w:cs="Arial"/>
          <w:b/>
          <w:bCs/>
          <w:i/>
          <w:iCs/>
          <w:color w:val="000000" w:themeColor="text1"/>
          <w:sz w:val="24"/>
          <w:szCs w:val="24"/>
        </w:rPr>
        <w:t>e)</w:t>
      </w:r>
      <w:r w:rsidRPr="005E581C">
        <w:rPr>
          <w:rFonts w:eastAsia="Times New Roman" w:cs="Arial"/>
          <w:b/>
          <w:bCs/>
          <w:color w:val="000000" w:themeColor="text1"/>
          <w:sz w:val="24"/>
          <w:szCs w:val="24"/>
        </w:rPr>
        <w:t> i commi da 4 a 4-</w:t>
      </w:r>
      <w:r w:rsidRPr="005E581C">
        <w:rPr>
          <w:rFonts w:eastAsia="Times New Roman" w:cs="Arial"/>
          <w:b/>
          <w:bCs/>
          <w:i/>
          <w:iCs/>
          <w:color w:val="000000" w:themeColor="text1"/>
          <w:sz w:val="24"/>
          <w:szCs w:val="24"/>
        </w:rPr>
        <w:t>ter</w:t>
      </w:r>
      <w:r w:rsidRPr="005E581C">
        <w:rPr>
          <w:rFonts w:eastAsia="Times New Roman" w:cs="Arial"/>
          <w:b/>
          <w:bCs/>
          <w:color w:val="000000" w:themeColor="text1"/>
          <w:sz w:val="24"/>
          <w:szCs w:val="24"/>
        </w:rPr>
        <w:t xml:space="preserve"> sono sostituiti dai seguenti: </w:t>
      </w:r>
    </w:p>
    <w:p w14:paraId="604925C9" w14:textId="77777777" w:rsidR="00410563" w:rsidRDefault="00410563" w:rsidP="00410563">
      <w:pPr>
        <w:shd w:val="clear" w:color="auto" w:fill="FFFFFF"/>
        <w:spacing w:after="0" w:line="240" w:lineRule="auto"/>
        <w:jc w:val="both"/>
        <w:rPr>
          <w:rFonts w:eastAsia="Times New Roman" w:cs="Arial"/>
          <w:b/>
          <w:bCs/>
          <w:color w:val="000000" w:themeColor="text1"/>
          <w:sz w:val="24"/>
          <w:szCs w:val="24"/>
        </w:rPr>
      </w:pPr>
      <w:r>
        <w:rPr>
          <w:rFonts w:eastAsia="Times New Roman" w:cs="Arial"/>
          <w:b/>
          <w:bCs/>
          <w:color w:val="000000" w:themeColor="text1"/>
          <w:sz w:val="24"/>
          <w:szCs w:val="24"/>
        </w:rPr>
        <w:t xml:space="preserve">        </w:t>
      </w:r>
      <w:r w:rsidRPr="005E581C">
        <w:rPr>
          <w:rFonts w:eastAsia="Times New Roman" w:cs="Arial"/>
          <w:b/>
          <w:bCs/>
          <w:color w:val="000000" w:themeColor="text1"/>
          <w:sz w:val="24"/>
          <w:szCs w:val="24"/>
        </w:rPr>
        <w:t>4. Il Presidente dell'Autorità di sistema portuale, autonomamente o su richiesta della regione o del comune interessato, può promuovere e proporre al Comitato di gestione, per la successiva adozione, varianti-stralcio al piano regolatore portuale concernenti la qualificazione funzionale di porzioni del singolo scalo marittimo.</w:t>
      </w:r>
    </w:p>
    <w:p w14:paraId="713B70C0" w14:textId="77777777" w:rsidR="00410563" w:rsidRDefault="00410563" w:rsidP="00410563">
      <w:pPr>
        <w:shd w:val="clear" w:color="auto" w:fill="FFFFFF"/>
        <w:spacing w:after="0" w:line="240" w:lineRule="auto"/>
        <w:jc w:val="both"/>
        <w:rPr>
          <w:rFonts w:eastAsia="Times New Roman" w:cs="Arial"/>
          <w:b/>
          <w:bCs/>
          <w:color w:val="000000" w:themeColor="text1"/>
          <w:sz w:val="24"/>
          <w:szCs w:val="24"/>
        </w:rPr>
      </w:pPr>
      <w:r w:rsidRPr="005E581C">
        <w:rPr>
          <w:rFonts w:eastAsia="Times New Roman" w:cs="Arial"/>
          <w:b/>
          <w:bCs/>
          <w:color w:val="000000" w:themeColor="text1"/>
          <w:sz w:val="24"/>
          <w:szCs w:val="24"/>
        </w:rPr>
        <w:t> </w:t>
      </w:r>
      <w:r w:rsidRPr="005E581C">
        <w:rPr>
          <w:rFonts w:eastAsia="Times New Roman" w:cs="Arial"/>
          <w:b/>
          <w:bCs/>
          <w:color w:val="000000" w:themeColor="text1"/>
          <w:sz w:val="24"/>
          <w:szCs w:val="24"/>
        </w:rPr>
        <w:t> </w:t>
      </w:r>
      <w:r w:rsidRPr="005E581C">
        <w:rPr>
          <w:rFonts w:eastAsia="Times New Roman" w:cs="Arial"/>
          <w:b/>
          <w:bCs/>
          <w:color w:val="000000" w:themeColor="text1"/>
          <w:sz w:val="24"/>
          <w:szCs w:val="24"/>
        </w:rPr>
        <w:t> </w:t>
      </w:r>
      <w:r w:rsidRPr="005E581C">
        <w:rPr>
          <w:rFonts w:eastAsia="Times New Roman" w:cs="Arial"/>
          <w:b/>
          <w:bCs/>
          <w:color w:val="000000" w:themeColor="text1"/>
          <w:sz w:val="24"/>
          <w:szCs w:val="24"/>
        </w:rPr>
        <w:t>4-</w:t>
      </w:r>
      <w:r w:rsidRPr="005E581C">
        <w:rPr>
          <w:rFonts w:eastAsia="Times New Roman" w:cs="Arial"/>
          <w:b/>
          <w:bCs/>
          <w:i/>
          <w:iCs/>
          <w:color w:val="000000" w:themeColor="text1"/>
          <w:sz w:val="24"/>
          <w:szCs w:val="24"/>
        </w:rPr>
        <w:t>bis</w:t>
      </w:r>
      <w:r w:rsidRPr="005E581C">
        <w:rPr>
          <w:rFonts w:eastAsia="Times New Roman" w:cs="Arial"/>
          <w:b/>
          <w:bCs/>
          <w:color w:val="000000" w:themeColor="text1"/>
          <w:sz w:val="24"/>
          <w:szCs w:val="24"/>
        </w:rPr>
        <w:t>. Le varianti-stralcio al piano regolatore portuale di cui al comma 4, relative al singolo scalo marittimo, sono sottoposte al procedimento previsto per l'approvazione del piano regolatore portuale e alla procedura di verifica di assoggettabilità a VAS, ai sensi dell'articolo 12 del decreto legislativo 3 aprile 2006, n. 152.</w:t>
      </w:r>
    </w:p>
    <w:p w14:paraId="106162B3" w14:textId="77777777" w:rsidR="00410563" w:rsidRPr="005E581C" w:rsidRDefault="00410563" w:rsidP="00410563">
      <w:pPr>
        <w:shd w:val="clear" w:color="auto" w:fill="FFFFFF"/>
        <w:spacing w:after="0" w:line="240" w:lineRule="auto"/>
        <w:jc w:val="both"/>
        <w:rPr>
          <w:rFonts w:eastAsia="Times New Roman" w:cs="Arial"/>
          <w:b/>
          <w:bCs/>
          <w:color w:val="000000" w:themeColor="text1"/>
          <w:sz w:val="24"/>
          <w:szCs w:val="24"/>
        </w:rPr>
      </w:pPr>
      <w:r w:rsidRPr="005E581C">
        <w:rPr>
          <w:rFonts w:eastAsia="Times New Roman" w:cs="Arial"/>
          <w:b/>
          <w:bCs/>
          <w:color w:val="000000" w:themeColor="text1"/>
          <w:sz w:val="24"/>
          <w:szCs w:val="24"/>
        </w:rPr>
        <w:t> </w:t>
      </w:r>
      <w:r w:rsidRPr="005E581C">
        <w:rPr>
          <w:rFonts w:eastAsia="Times New Roman" w:cs="Arial"/>
          <w:b/>
          <w:bCs/>
          <w:color w:val="000000" w:themeColor="text1"/>
          <w:sz w:val="24"/>
          <w:szCs w:val="24"/>
        </w:rPr>
        <w:t> </w:t>
      </w:r>
      <w:r w:rsidRPr="005E581C">
        <w:rPr>
          <w:rFonts w:eastAsia="Times New Roman" w:cs="Arial"/>
          <w:b/>
          <w:bCs/>
          <w:color w:val="000000" w:themeColor="text1"/>
          <w:sz w:val="24"/>
          <w:szCs w:val="24"/>
        </w:rPr>
        <w:t> </w:t>
      </w:r>
      <w:r w:rsidRPr="005E581C">
        <w:rPr>
          <w:rFonts w:eastAsia="Times New Roman" w:cs="Arial"/>
          <w:b/>
          <w:bCs/>
          <w:color w:val="000000" w:themeColor="text1"/>
          <w:sz w:val="24"/>
          <w:szCs w:val="24"/>
        </w:rPr>
        <w:t>4-</w:t>
      </w:r>
      <w:r w:rsidRPr="005E581C">
        <w:rPr>
          <w:rFonts w:eastAsia="Times New Roman" w:cs="Arial"/>
          <w:b/>
          <w:bCs/>
          <w:i/>
          <w:iCs/>
          <w:color w:val="000000" w:themeColor="text1"/>
          <w:sz w:val="24"/>
          <w:szCs w:val="24"/>
        </w:rPr>
        <w:t>ter</w:t>
      </w:r>
      <w:r w:rsidRPr="005E581C">
        <w:rPr>
          <w:rFonts w:eastAsia="Times New Roman" w:cs="Arial"/>
          <w:b/>
          <w:bCs/>
          <w:color w:val="000000" w:themeColor="text1"/>
          <w:sz w:val="24"/>
          <w:szCs w:val="24"/>
        </w:rPr>
        <w:t>. Le varianti-stralcio di cui al comma 4 relative ai porti ricompresi in una Autorità di sistema portuale, la cui competenza ricade in più regioni, sono approvate con atto della regione nel cui territorio è ubicato il porto oggetto di variante-stralcio, sentite le regioni nel cui territorio sono ricompresi gli altri porti amministrati dalla medesima Autorità di sistema portuale».</w:t>
      </w:r>
    </w:p>
    <w:p w14:paraId="031424B4" w14:textId="77777777" w:rsidR="00410563" w:rsidRPr="005E581C" w:rsidRDefault="00410563" w:rsidP="00410563">
      <w:pPr>
        <w:shd w:val="clear" w:color="auto" w:fill="FFFFFF"/>
        <w:spacing w:after="0" w:line="240" w:lineRule="auto"/>
        <w:jc w:val="both"/>
        <w:rPr>
          <w:rFonts w:eastAsia="Times New Roman" w:cs="Arial"/>
          <w:b/>
          <w:bCs/>
          <w:color w:val="000000" w:themeColor="text1"/>
          <w:sz w:val="24"/>
          <w:szCs w:val="24"/>
        </w:rPr>
      </w:pPr>
      <w:r w:rsidRPr="005E581C">
        <w:rPr>
          <w:rFonts w:eastAsia="Times New Roman" w:cs="Arial"/>
          <w:b/>
          <w:bCs/>
          <w:i/>
          <w:iCs/>
          <w:color w:val="000000" w:themeColor="text1"/>
          <w:sz w:val="24"/>
          <w:szCs w:val="24"/>
        </w:rPr>
        <w:t>f)</w:t>
      </w:r>
      <w:r w:rsidRPr="005E581C">
        <w:rPr>
          <w:rFonts w:eastAsia="Times New Roman" w:cs="Arial"/>
          <w:b/>
          <w:bCs/>
          <w:color w:val="000000" w:themeColor="text1"/>
          <w:sz w:val="24"/>
          <w:szCs w:val="24"/>
        </w:rPr>
        <w:t xml:space="preserve"> il comma 5 è sostituito dal seguente: «5. Le modifiche che non alterano in modo sostanziale la struttura del piano regolatore portuale in termini di obiettivi, scelte strategiche e caratterizzazione funzionale delle aree portuali, relativamente al singolo scalo marittimo, costituiscono adeguamenti </w:t>
      </w:r>
      <w:r w:rsidRPr="005E581C">
        <w:rPr>
          <w:rFonts w:eastAsia="Times New Roman" w:cs="Arial"/>
          <w:b/>
          <w:bCs/>
          <w:color w:val="000000" w:themeColor="text1"/>
          <w:sz w:val="24"/>
          <w:szCs w:val="24"/>
        </w:rPr>
        <w:lastRenderedPageBreak/>
        <w:t>tecnico-funzionali del piano regolatore portuale. Gli adeguamenti tecnico-funzionali sono adottati dal Comitato di gestione dell'Autorità di sistema portuale, è successivamente acquisito il parere del Consiglio superiore dei lavori pubblici, che si esprime entro quarantacinque giorni, decorrenti dalla ricezione della proposta di adeguamento tecnico-funzionale. Decorso tale termine, il parere si intende espresso positivamente»;</w:t>
      </w:r>
    </w:p>
    <w:p w14:paraId="36D0BF4B" w14:textId="77777777" w:rsidR="00410563" w:rsidRPr="005E581C" w:rsidRDefault="00410563" w:rsidP="00410563">
      <w:pPr>
        <w:shd w:val="clear" w:color="auto" w:fill="FFFFFF"/>
        <w:spacing w:after="0" w:line="240" w:lineRule="auto"/>
        <w:rPr>
          <w:rFonts w:eastAsia="Times New Roman" w:cs="Arial"/>
          <w:b/>
          <w:bCs/>
          <w:color w:val="000000" w:themeColor="text1"/>
          <w:sz w:val="24"/>
          <w:szCs w:val="24"/>
        </w:rPr>
      </w:pPr>
      <w:r w:rsidRPr="005E581C">
        <w:rPr>
          <w:rFonts w:eastAsia="Times New Roman" w:cs="Arial"/>
          <w:b/>
          <w:bCs/>
          <w:i/>
          <w:iCs/>
          <w:color w:val="000000" w:themeColor="text1"/>
          <w:sz w:val="24"/>
          <w:szCs w:val="24"/>
        </w:rPr>
        <w:t>g)</w:t>
      </w:r>
      <w:r w:rsidRPr="005E581C">
        <w:rPr>
          <w:rFonts w:eastAsia="Times New Roman" w:cs="Arial"/>
          <w:b/>
          <w:bCs/>
          <w:color w:val="000000" w:themeColor="text1"/>
          <w:sz w:val="24"/>
          <w:szCs w:val="24"/>
        </w:rPr>
        <w:t> la rubrica è sostituita dalla seguente: «</w:t>
      </w:r>
      <w:r w:rsidRPr="005E581C">
        <w:rPr>
          <w:rFonts w:eastAsia="Times New Roman" w:cs="Arial"/>
          <w:b/>
          <w:bCs/>
          <w:i/>
          <w:iCs/>
          <w:color w:val="000000" w:themeColor="text1"/>
          <w:sz w:val="24"/>
          <w:szCs w:val="24"/>
        </w:rPr>
        <w:t>(Documento di programmazione strategica di sistema. Piano regolatore portuale)».</w:t>
      </w:r>
    </w:p>
    <w:p w14:paraId="0147790B" w14:textId="77777777" w:rsidR="00410563" w:rsidRDefault="00410563" w:rsidP="00410563">
      <w:pPr>
        <w:shd w:val="clear" w:color="auto" w:fill="FFFFFF"/>
        <w:spacing w:after="0" w:line="240" w:lineRule="auto"/>
        <w:rPr>
          <w:rFonts w:eastAsia="Times New Roman" w:cs="Arial"/>
          <w:color w:val="000000" w:themeColor="text1"/>
          <w:sz w:val="24"/>
          <w:szCs w:val="24"/>
        </w:rPr>
      </w:pPr>
      <w:r w:rsidRPr="00155015">
        <w:rPr>
          <w:rFonts w:eastAsia="Times New Roman" w:cs="Arial"/>
          <w:color w:val="000000" w:themeColor="text1"/>
          <w:sz w:val="24"/>
          <w:szCs w:val="24"/>
        </w:rPr>
        <w:t> </w:t>
      </w:r>
      <w:r w:rsidRPr="00155015">
        <w:rPr>
          <w:rFonts w:eastAsia="Times New Roman" w:cs="Arial"/>
          <w:color w:val="000000" w:themeColor="text1"/>
          <w:sz w:val="24"/>
          <w:szCs w:val="24"/>
        </w:rPr>
        <w:t> </w:t>
      </w:r>
    </w:p>
    <w:p w14:paraId="2DFB487B" w14:textId="77777777" w:rsidR="00410563" w:rsidRDefault="00410563" w:rsidP="00410563">
      <w:pPr>
        <w:shd w:val="clear" w:color="auto" w:fill="FFFFFF"/>
        <w:spacing w:after="0" w:line="240" w:lineRule="auto"/>
        <w:jc w:val="both"/>
        <w:rPr>
          <w:rFonts w:eastAsia="Times New Roman" w:cs="Arial"/>
          <w:b/>
          <w:bCs/>
          <w:color w:val="000000" w:themeColor="text1"/>
          <w:sz w:val="24"/>
          <w:szCs w:val="24"/>
        </w:rPr>
      </w:pPr>
      <w:r w:rsidRPr="005E581C">
        <w:rPr>
          <w:rFonts w:eastAsia="Times New Roman" w:cs="Arial"/>
          <w:b/>
          <w:bCs/>
          <w:color w:val="000000" w:themeColor="text1"/>
          <w:sz w:val="24"/>
          <w:szCs w:val="24"/>
        </w:rPr>
        <w:t>1-</w:t>
      </w:r>
      <w:r w:rsidRPr="005E581C">
        <w:rPr>
          <w:rFonts w:eastAsia="Times New Roman" w:cs="Arial"/>
          <w:b/>
          <w:bCs/>
          <w:i/>
          <w:iCs/>
          <w:color w:val="000000" w:themeColor="text1"/>
          <w:sz w:val="24"/>
          <w:szCs w:val="24"/>
        </w:rPr>
        <w:t>ter.</w:t>
      </w:r>
      <w:r w:rsidRPr="005E581C">
        <w:rPr>
          <w:rFonts w:eastAsia="Times New Roman" w:cs="Arial"/>
          <w:b/>
          <w:bCs/>
          <w:color w:val="000000" w:themeColor="text1"/>
          <w:sz w:val="24"/>
          <w:szCs w:val="24"/>
        </w:rPr>
        <w:t> Le modifiche all'articolo 5 della legge 28 gennaio 1994, n. 84, di cui al comma 1-</w:t>
      </w:r>
      <w:r w:rsidRPr="005E581C">
        <w:rPr>
          <w:rFonts w:eastAsia="Times New Roman" w:cs="Arial"/>
          <w:b/>
          <w:bCs/>
          <w:i/>
          <w:iCs/>
          <w:color w:val="000000" w:themeColor="text1"/>
          <w:sz w:val="24"/>
          <w:szCs w:val="24"/>
        </w:rPr>
        <w:t>bis</w:t>
      </w:r>
      <w:r w:rsidRPr="005E581C">
        <w:rPr>
          <w:rFonts w:eastAsia="Times New Roman" w:cs="Arial"/>
          <w:b/>
          <w:bCs/>
          <w:color w:val="000000" w:themeColor="text1"/>
          <w:sz w:val="24"/>
          <w:szCs w:val="24"/>
        </w:rPr>
        <w:t> non si applicano ai DPSS approvati antecedentemente alla data di entrata in vigore della legge di conversione del presente decreto.</w:t>
      </w:r>
    </w:p>
    <w:p w14:paraId="1C1853FB" w14:textId="77777777" w:rsidR="00410563" w:rsidRPr="005E581C" w:rsidRDefault="00410563" w:rsidP="00410563">
      <w:pPr>
        <w:shd w:val="clear" w:color="auto" w:fill="FFFFFF"/>
        <w:spacing w:after="0" w:line="240" w:lineRule="auto"/>
        <w:jc w:val="both"/>
        <w:rPr>
          <w:rFonts w:eastAsia="Times New Roman" w:cs="Arial"/>
          <w:b/>
          <w:bCs/>
          <w:color w:val="000000" w:themeColor="text1"/>
          <w:sz w:val="24"/>
          <w:szCs w:val="24"/>
        </w:rPr>
      </w:pPr>
      <w:r w:rsidRPr="005E581C">
        <w:rPr>
          <w:rFonts w:eastAsia="Times New Roman" w:cs="Arial"/>
          <w:b/>
          <w:bCs/>
          <w:color w:val="000000" w:themeColor="text1"/>
          <w:sz w:val="24"/>
          <w:szCs w:val="24"/>
        </w:rPr>
        <w:t> </w:t>
      </w:r>
      <w:r w:rsidRPr="005E581C">
        <w:rPr>
          <w:rFonts w:eastAsia="Times New Roman" w:cs="Arial"/>
          <w:b/>
          <w:bCs/>
          <w:color w:val="000000" w:themeColor="text1"/>
          <w:sz w:val="24"/>
          <w:szCs w:val="24"/>
        </w:rPr>
        <w:t> </w:t>
      </w:r>
    </w:p>
    <w:p w14:paraId="6C5A7320" w14:textId="26311592" w:rsidR="00410563" w:rsidRDefault="00410563" w:rsidP="00410563">
      <w:pPr>
        <w:shd w:val="clear" w:color="auto" w:fill="FFFFFF"/>
        <w:spacing w:after="0" w:line="240" w:lineRule="auto"/>
        <w:jc w:val="both"/>
        <w:rPr>
          <w:rFonts w:eastAsia="Times New Roman" w:cs="Arial"/>
          <w:b/>
          <w:bCs/>
          <w:color w:val="000000" w:themeColor="text1"/>
          <w:sz w:val="24"/>
          <w:szCs w:val="24"/>
        </w:rPr>
      </w:pPr>
      <w:r w:rsidRPr="005E581C">
        <w:rPr>
          <w:rFonts w:eastAsia="Times New Roman" w:cs="Arial"/>
          <w:b/>
          <w:bCs/>
          <w:color w:val="000000" w:themeColor="text1"/>
          <w:sz w:val="24"/>
          <w:szCs w:val="24"/>
        </w:rPr>
        <w:t>1-</w:t>
      </w:r>
      <w:r w:rsidRPr="005E581C">
        <w:rPr>
          <w:rFonts w:eastAsia="Times New Roman" w:cs="Arial"/>
          <w:b/>
          <w:bCs/>
          <w:i/>
          <w:iCs/>
          <w:color w:val="000000" w:themeColor="text1"/>
          <w:sz w:val="24"/>
          <w:szCs w:val="24"/>
        </w:rPr>
        <w:t>quater.</w:t>
      </w:r>
      <w:r w:rsidRPr="005E581C">
        <w:rPr>
          <w:rFonts w:eastAsia="Times New Roman" w:cs="Arial"/>
          <w:b/>
          <w:bCs/>
          <w:color w:val="000000" w:themeColor="text1"/>
          <w:sz w:val="24"/>
          <w:szCs w:val="24"/>
        </w:rPr>
        <w:t> Le Regioni adeguano i propri ordinamenti alle disposizioni dell'articolo 5 della legge 28 gennaio 1994, n. 84, come modificato dal comma 1-bis, nel termine di tre mesi dalla data di entrata in vigore della legge di conversione del presente decreto. Le disposizioni del citato articolo 5 si applicano nelle Regioni a statuto speciale compatibilmente con i rispettivi statuti e le relative norme di attuazione.</w:t>
      </w:r>
      <w:r>
        <w:rPr>
          <w:rStyle w:val="Rimandonotaapidipagina"/>
          <w:rFonts w:eastAsia="Times New Roman" w:cs="Arial"/>
          <w:b/>
          <w:bCs/>
          <w:color w:val="000000" w:themeColor="text1"/>
          <w:sz w:val="24"/>
          <w:szCs w:val="24"/>
        </w:rPr>
        <w:footnoteReference w:id="64"/>
      </w:r>
    </w:p>
    <w:p w14:paraId="1283B2F7"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61757968"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2. Al fine di assicurare una programmazione sistemica delle infrastrutture portuali distribuite lungo l'intera costa della regione Sardegna e della regione Sicilia, all'allegato A della legge 28 gennaio 1994, n. 84, sono apportate le seguenti modificazioni:</w:t>
      </w:r>
    </w:p>
    <w:p w14:paraId="72BF7627"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   a) al punto 7), dopo le parole «Portoscuso-Portovesme» sono inserite le seguenti: «, Porto di Arbatax»;</w:t>
      </w:r>
    </w:p>
    <w:p w14:paraId="36249B2C" w14:textId="77777777" w:rsidR="00660EE5" w:rsidRPr="00660EE5" w:rsidRDefault="00660EE5" w:rsidP="00660EE5">
      <w:pPr>
        <w:spacing w:after="0" w:line="240" w:lineRule="auto"/>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xml:space="preserve">        a-bis) al punto 15-bis) dopo le parole: «Reggio Calabria,» è inserita la seguente: «Saline,»;</w:t>
      </w:r>
      <w:r w:rsidRPr="00660EE5">
        <w:rPr>
          <w:rStyle w:val="Rimandonotaapidipagina"/>
          <w:rFonts w:asciiTheme="minorHAnsi" w:hAnsiTheme="minorHAnsi"/>
          <w:b/>
          <w:bCs/>
          <w:color w:val="000000" w:themeColor="text1"/>
          <w:sz w:val="24"/>
          <w:szCs w:val="24"/>
        </w:rPr>
        <w:footnoteReference w:id="65"/>
      </w:r>
    </w:p>
    <w:p w14:paraId="3561BB21" w14:textId="77777777" w:rsidR="00660EE5" w:rsidRPr="00660EE5" w:rsidRDefault="00660EE5" w:rsidP="00660EE5">
      <w:pPr>
        <w:spacing w:after="0" w:line="240" w:lineRule="auto"/>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   b) al punto 8), dopo le parole «Porti di Palermo, Termini Imerese, Porto Empedocle e Trapani» sono inserite le seguenti: «, Porto Rifugio di Gela e Porto Isola di Gela </w:t>
      </w:r>
      <w:r w:rsidRPr="00660EE5">
        <w:rPr>
          <w:rFonts w:asciiTheme="minorHAnsi" w:hAnsiTheme="minorHAnsi"/>
          <w:b/>
          <w:bCs/>
          <w:color w:val="000000" w:themeColor="text1"/>
          <w:sz w:val="24"/>
          <w:szCs w:val="24"/>
        </w:rPr>
        <w:t>nonché Porto di Licata</w:t>
      </w:r>
      <w:r w:rsidRPr="00660EE5">
        <w:rPr>
          <w:rStyle w:val="Rimandonotaapidipagina"/>
          <w:rFonts w:asciiTheme="minorHAnsi" w:hAnsiTheme="minorHAnsi"/>
          <w:b/>
          <w:bCs/>
          <w:color w:val="000000" w:themeColor="text1"/>
          <w:sz w:val="24"/>
          <w:szCs w:val="24"/>
        </w:rPr>
        <w:footnoteReference w:id="66"/>
      </w:r>
      <w:r w:rsidRPr="00660EE5">
        <w:rPr>
          <w:rFonts w:asciiTheme="minorHAnsi" w:hAnsiTheme="minorHAnsi"/>
          <w:color w:val="000000" w:themeColor="text1"/>
          <w:sz w:val="24"/>
          <w:szCs w:val="24"/>
        </w:rPr>
        <w:t>».</w:t>
      </w:r>
    </w:p>
    <w:p w14:paraId="0154BA28"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2A7649DA"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3. Al fine di migliorare e rendere più sostenibile la mobilità di passeggeri e merci tra le aree metropolitane di Reggio Calabria e Messina, nonché la continuità territoriale da e per la Sicilia, all'Autorità di Sistema portuale dello Stretto sono assegnate risorse pari a 2 milioni di euro per il 2021, a 30 milioni di euro per il 2022 e a 5 milioni di euro per il 2023 finalizzate alla realizzazione degli interventi infrastrutturali necessari per aumentare la capacità di accosto per le unità adibite al traghettamento nello Stretto di Messina, nonché i servizi ai pendolari. Agli oneri derivanti dalla presente disposizione, pari a 2 milioni di </w:t>
      </w:r>
      <w:r w:rsidRPr="00660EE5">
        <w:rPr>
          <w:rFonts w:asciiTheme="minorHAnsi" w:hAnsiTheme="minorHAnsi"/>
          <w:color w:val="000000" w:themeColor="text1"/>
          <w:sz w:val="24"/>
          <w:szCs w:val="24"/>
        </w:rPr>
        <w:lastRenderedPageBreak/>
        <w:t xml:space="preserve">euro per il 2021, a 30 milioni di euro per il 2022 e a 5 milioni di euro per il 2023 si provvede mediante corrispondente riduzione del Fondo di parte capitale di cui all'articolo 34-ter, comma 5, della legge 31 dicembre 2009, n. 196, iscritto nello stato di previsione del Ministero delle infrastrutture e della mobilità sostenibili. I relativi interventi sono monitorati dalla </w:t>
      </w:r>
      <w:proofErr w:type="gramStart"/>
      <w:r w:rsidRPr="00660EE5">
        <w:rPr>
          <w:rFonts w:asciiTheme="minorHAnsi" w:hAnsiTheme="minorHAnsi"/>
          <w:color w:val="000000" w:themeColor="text1"/>
          <w:sz w:val="24"/>
          <w:szCs w:val="24"/>
        </w:rPr>
        <w:t>predetta</w:t>
      </w:r>
      <w:proofErr w:type="gramEnd"/>
      <w:r w:rsidRPr="00660EE5">
        <w:rPr>
          <w:rFonts w:asciiTheme="minorHAnsi" w:hAnsiTheme="minorHAnsi"/>
          <w:color w:val="000000" w:themeColor="text1"/>
          <w:sz w:val="24"/>
          <w:szCs w:val="24"/>
        </w:rPr>
        <w:t xml:space="preserve"> Autorità portuale ai sensi del decreto legislativo 29 dicembre 2011, n. 229, classificando gli interventi sotto la voce «Interventi portuali infrastrutturali DL MIMS 2021».</w:t>
      </w:r>
    </w:p>
    <w:p w14:paraId="16FC0851"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5DD7BB6A"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xml:space="preserve">3-bis. Su tutto il territorio nazionale è vietata la circolazione di veicoli a motore delle categorie M2 ed M3, adibiti a servizi di trasporto pubblico locale, alimentati a benzina o gasolio con caratteristiche antinquinamento Euro 1 a decorrere dal 30 giugno 2022, Euro 2 a decorrere dal 1° gennaio 2023 </w:t>
      </w:r>
      <w:proofErr w:type="gramStart"/>
      <w:r w:rsidRPr="00660EE5">
        <w:rPr>
          <w:rFonts w:asciiTheme="minorHAnsi" w:hAnsiTheme="minorHAnsi"/>
          <w:b/>
          <w:bCs/>
          <w:color w:val="000000" w:themeColor="text1"/>
          <w:sz w:val="24"/>
          <w:szCs w:val="24"/>
        </w:rPr>
        <w:t>e</w:t>
      </w:r>
      <w:proofErr w:type="gramEnd"/>
      <w:r w:rsidRPr="00660EE5">
        <w:rPr>
          <w:rFonts w:asciiTheme="minorHAnsi" w:hAnsiTheme="minorHAnsi"/>
          <w:b/>
          <w:bCs/>
          <w:color w:val="000000" w:themeColor="text1"/>
          <w:sz w:val="24"/>
          <w:szCs w:val="24"/>
        </w:rPr>
        <w:t xml:space="preserve"> Euro 3 a decorrere dal 1° gennaio 2024. Con uno o più decreti del Ministro delle infrastrutture e della mobilità sostenibili sono disciplinati i casi di esclusione dal </w:t>
      </w:r>
      <w:proofErr w:type="gramStart"/>
      <w:r w:rsidRPr="00660EE5">
        <w:rPr>
          <w:rFonts w:asciiTheme="minorHAnsi" w:hAnsiTheme="minorHAnsi"/>
          <w:b/>
          <w:bCs/>
          <w:color w:val="000000" w:themeColor="text1"/>
          <w:sz w:val="24"/>
          <w:szCs w:val="24"/>
        </w:rPr>
        <w:t>predetto</w:t>
      </w:r>
      <w:proofErr w:type="gramEnd"/>
      <w:r w:rsidRPr="00660EE5">
        <w:rPr>
          <w:rFonts w:asciiTheme="minorHAnsi" w:hAnsiTheme="minorHAnsi"/>
          <w:b/>
          <w:bCs/>
          <w:color w:val="000000" w:themeColor="text1"/>
          <w:sz w:val="24"/>
          <w:szCs w:val="24"/>
        </w:rPr>
        <w:t xml:space="preserve"> divieto per particolari caratteristiche di veicoli di carattere storico o destinati a usi particolari.</w:t>
      </w:r>
    </w:p>
    <w:p w14:paraId="383DCB9B"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p>
    <w:p w14:paraId="35B8BF4B"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3-ter. Al fine di contribuire al rinnovo, per l'acquisto di mezzi su gomma ad alimentazione alternativa da adibire ai servizi di trasporto pubblico locale, è autorizzata la spesa di 5 milioni di euro per l'anno 2022 e di 7 milioni di euro per ciascuno degli anni dal 2023 al 2035.</w:t>
      </w:r>
    </w:p>
    <w:p w14:paraId="0B8F6CC0"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p>
    <w:p w14:paraId="184BC6B0"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3-quater. Con decreto del Ministro delle infrastrutture e della mobilità sostenibili, di concerto con il Ministro dell'economia e delle finanze, da adottarsi entro sessanta giorni dalla data di entrata in vigore della legge di conversione del presente decreto, previa intesa in sede di Conferenza unificata di cui all'articolo 8 del decreto legislativo 28 agosto 1997, n. 281, sono stabiliti i criteri e le modalità per l'assegnazione e il riparto dei contributi di cui al comma 3-ter in favore delle regioni e delle province autonome che tengano conto dell'effettiva capacità di utilizzo delle risorse. Con il medesimo decreto sono altresì stabiliti i cronoprogrammi di utilizzo e le modalità di revoca delle risorse in caso di mancato rispetto dei termini di utilizzo previsti.</w:t>
      </w:r>
    </w:p>
    <w:p w14:paraId="2E12059C"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p>
    <w:p w14:paraId="046E09F1"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3-quinquies. Agli oneri derivanti dal comma 3-ter, pari a 5 milioni di euro per l'anno 2022 e a 7 milioni di euro per ciascuno degli anni dal 2023 al 2035, si provvede mediante corrispondente riduzione delle proiezioni dello stanziamento del fondo speciale di conto capitale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delle infrastrutture e dei trasporti.</w:t>
      </w:r>
      <w:r w:rsidRPr="00660EE5">
        <w:rPr>
          <w:rStyle w:val="Rimandonotaapidipagina"/>
          <w:rFonts w:asciiTheme="minorHAnsi" w:hAnsiTheme="minorHAnsi"/>
          <w:b/>
          <w:bCs/>
          <w:color w:val="000000" w:themeColor="text1"/>
          <w:sz w:val="24"/>
          <w:szCs w:val="24"/>
        </w:rPr>
        <w:footnoteReference w:id="67"/>
      </w:r>
    </w:p>
    <w:p w14:paraId="0C8014FB"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28B19E07"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4. All'articolo 89, comma 2, del decreto-legge 14 agosto 2020, n. 104, convertito, con modificazioni, dalla legge 13 ottobre 2020, n. 126, le parole «alle imprese armatoriali che operano con navi di bandiera italiana, iscritte nei registri», sono sostituite dalle seguenti: «alle imprese armatoriali con sede legale ovvero aventi stabile organizzazione nel territorio italiano che utilizzano navi iscritte nei registri degli Stati </w:t>
      </w:r>
      <w:r w:rsidRPr="00660EE5">
        <w:rPr>
          <w:rFonts w:asciiTheme="minorHAnsi" w:hAnsiTheme="minorHAnsi"/>
          <w:color w:val="000000" w:themeColor="text1"/>
          <w:sz w:val="24"/>
          <w:szCs w:val="24"/>
        </w:rPr>
        <w:lastRenderedPageBreak/>
        <w:t>dell'Unione europea o dello Spazio economico europeo ovvero navi battenti bandiera di Stati dell'Unione europea o dello Spazio economico europeo».</w:t>
      </w:r>
    </w:p>
    <w:p w14:paraId="410838E7"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737BBEE5"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4-bis. All'articolo 88, comma 1, del decreto-legge 14 agosto 2020, n. 104 convertito, con modificazioni, dalla legge 13 ottobre 2020, n. 126, le parole: «alle imprese armatoriali delle unità o navi iscritte nei registri nazionali che esercitano attività di cabotaggio, di rifornimento dei prodotti petroliferi necessari alla propulsione ed ai consumi di bordo delle navi, nonché adibite a deposito ed assistenza alle piattaforme petrolifere nazionali» sono sostituite dalle seguenti: «alle imprese armatoriali con sede legale ovvero aventi stabile organizzazione nel territorio italiano che utilizzano navi iscritte nei registri degli Stati dell'Unione europea o dello Spazio economico europeo e che esercitano attività di cabotaggio, di rifornimento dei prodotti petroliferi necessari alla propulsione ed ai consumi di bordo delle navi, nonché adibite a deposito ed assistenza alle piattaforme petrolifere nazionali, relativamente al personale marittimo avente i requisiti di cui all'articolo 119 del codice della navigazione ed imbarcato sulle unità navali suddette».</w:t>
      </w:r>
      <w:r w:rsidRPr="00660EE5">
        <w:rPr>
          <w:rStyle w:val="Rimandonotaapidipagina"/>
          <w:rFonts w:asciiTheme="minorHAnsi" w:hAnsiTheme="minorHAnsi"/>
          <w:b/>
          <w:bCs/>
          <w:color w:val="000000" w:themeColor="text1"/>
          <w:sz w:val="24"/>
          <w:szCs w:val="24"/>
        </w:rPr>
        <w:footnoteReference w:id="68"/>
      </w:r>
    </w:p>
    <w:p w14:paraId="6D57543F"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p>
    <w:p w14:paraId="4A47D4DF"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4-bis. All'articolo 1 della legge 18 luglio 1957, n. 614, sono apportate le seguenti modificazioni:</w:t>
      </w:r>
    </w:p>
    <w:p w14:paraId="40BE3CB6"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   a) al comma 1, le parole: «nominato dal Ministro per i trasporti fra i funzionari dell'Amministrazione dello Stato in attività di servizio od a riposo» sono sostituite dalle seguenti: «nominato dal Ministro delle infrastrutture e della mobilità sostenibili e scelto, fatto salvo quanto previsto dal comma 1-bis, fra i funzionari dell'Amministrazione dello Stato in servizio per un periodo di tre anni e rinnovabile per una sola volta.»;</w:t>
      </w:r>
    </w:p>
    <w:p w14:paraId="5D2BF9D1"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   b) dopo il comma 1, è aggiunto il seguente: «1-bis. Ai fini della determinazione del trattamento economico riconosciuto al gestore si applicano le previsioni di cui all'articolo 23-ter, comma 1, del decreto-legge 6 dicembre 2011, n. 201, convertito, con modificazioni, dalla legge 22 dicembre 2011, n. 214.».</w:t>
      </w:r>
    </w:p>
    <w:p w14:paraId="7B1BAFBF"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p>
    <w:p w14:paraId="70323702"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4-ter. Al fine di potenziare il servizio esercito dalla Gestione Governativa Laghi Maggiore, di Garda e di Como, necessario per garantire la mobilità per i pendolari e gli studenti a seguito dell'interruzione per lavori urgenti della S.S. 340 «Regina», cosiddetta variante della «</w:t>
      </w:r>
      <w:proofErr w:type="spellStart"/>
      <w:r w:rsidRPr="00660EE5">
        <w:rPr>
          <w:rFonts w:asciiTheme="minorHAnsi" w:hAnsiTheme="minorHAnsi"/>
          <w:b/>
          <w:bCs/>
          <w:color w:val="000000" w:themeColor="text1"/>
          <w:sz w:val="24"/>
          <w:szCs w:val="24"/>
        </w:rPr>
        <w:t>Tramezzina</w:t>
      </w:r>
      <w:proofErr w:type="spellEnd"/>
      <w:r w:rsidRPr="00660EE5">
        <w:rPr>
          <w:rFonts w:asciiTheme="minorHAnsi" w:hAnsiTheme="minorHAnsi"/>
          <w:b/>
          <w:bCs/>
          <w:color w:val="000000" w:themeColor="text1"/>
          <w:sz w:val="24"/>
          <w:szCs w:val="24"/>
        </w:rPr>
        <w:t xml:space="preserve">», è riconosciuto un contributo in favore della </w:t>
      </w:r>
      <w:proofErr w:type="gramStart"/>
      <w:r w:rsidRPr="00660EE5">
        <w:rPr>
          <w:rFonts w:asciiTheme="minorHAnsi" w:hAnsiTheme="minorHAnsi"/>
          <w:b/>
          <w:bCs/>
          <w:color w:val="000000" w:themeColor="text1"/>
          <w:sz w:val="24"/>
          <w:szCs w:val="24"/>
        </w:rPr>
        <w:t>predetta</w:t>
      </w:r>
      <w:proofErr w:type="gramEnd"/>
      <w:r w:rsidRPr="00660EE5">
        <w:rPr>
          <w:rFonts w:asciiTheme="minorHAnsi" w:hAnsiTheme="minorHAnsi"/>
          <w:b/>
          <w:bCs/>
          <w:color w:val="000000" w:themeColor="text1"/>
          <w:sz w:val="24"/>
          <w:szCs w:val="24"/>
        </w:rPr>
        <w:t xml:space="preserve"> gestione governativa di euro 2.500.000 per l'anno 2021. Agli oneri derivanti dalla presente disposizione, si provvede mediante corrispondente riduzione, per l'anno 2021, dell'autorizzazione di spesa di cui all'articolo 19-ter, comma 23, decreto-legge 25 settembre 2009, n. 135, convertito, con modificazioni, dalla legge 20 novembre 2009, n. 166.</w:t>
      </w:r>
      <w:r w:rsidRPr="00660EE5">
        <w:rPr>
          <w:rStyle w:val="Rimandonotaapidipagina"/>
          <w:rFonts w:asciiTheme="minorHAnsi" w:hAnsiTheme="minorHAnsi"/>
          <w:b/>
          <w:bCs/>
          <w:color w:val="000000" w:themeColor="text1"/>
          <w:sz w:val="24"/>
          <w:szCs w:val="24"/>
        </w:rPr>
        <w:footnoteReference w:id="69"/>
      </w:r>
    </w:p>
    <w:p w14:paraId="5175350C"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p>
    <w:p w14:paraId="2AB6F4BB" w14:textId="70A5097F" w:rsidR="004B2C45" w:rsidRDefault="004B2C45" w:rsidP="004B2C45">
      <w:pPr>
        <w:shd w:val="clear" w:color="auto" w:fill="FFFFFF"/>
        <w:spacing w:after="0" w:line="240" w:lineRule="auto"/>
        <w:jc w:val="both"/>
        <w:rPr>
          <w:rFonts w:eastAsia="Times New Roman" w:cs="Arial"/>
          <w:color w:val="000000" w:themeColor="text1"/>
          <w:sz w:val="24"/>
          <w:szCs w:val="24"/>
        </w:rPr>
      </w:pPr>
      <w:r w:rsidRPr="00155015">
        <w:rPr>
          <w:rFonts w:eastAsia="Times New Roman" w:cs="Arial"/>
          <w:color w:val="000000" w:themeColor="text1"/>
          <w:sz w:val="24"/>
          <w:szCs w:val="24"/>
        </w:rPr>
        <w:lastRenderedPageBreak/>
        <w:t>Al comma 5, lettera </w:t>
      </w:r>
      <w:r w:rsidRPr="00155015">
        <w:rPr>
          <w:rFonts w:eastAsia="Times New Roman" w:cs="Arial"/>
          <w:i/>
          <w:iCs/>
          <w:color w:val="000000" w:themeColor="text1"/>
          <w:sz w:val="24"/>
          <w:szCs w:val="24"/>
        </w:rPr>
        <w:t>a)</w:t>
      </w:r>
      <w:r w:rsidRPr="00155015">
        <w:rPr>
          <w:rFonts w:eastAsia="Times New Roman" w:cs="Arial"/>
          <w:color w:val="000000" w:themeColor="text1"/>
          <w:sz w:val="24"/>
          <w:szCs w:val="24"/>
        </w:rPr>
        <w:t>, numero 3), sostituire le parole: «31 luglio 2021», ovunque ricorrono, con le seguenti: «».</w:t>
      </w:r>
    </w:p>
    <w:p w14:paraId="7CC071A4" w14:textId="77777777" w:rsidR="004B2C45" w:rsidRDefault="004B2C45" w:rsidP="00660EE5">
      <w:pPr>
        <w:spacing w:after="0" w:line="240" w:lineRule="auto"/>
        <w:jc w:val="both"/>
        <w:rPr>
          <w:rFonts w:asciiTheme="minorHAnsi" w:hAnsiTheme="minorHAnsi"/>
          <w:color w:val="000000" w:themeColor="text1"/>
          <w:sz w:val="24"/>
          <w:szCs w:val="24"/>
        </w:rPr>
      </w:pPr>
    </w:p>
    <w:p w14:paraId="6281DAE2" w14:textId="77777777" w:rsidR="004B2C45" w:rsidRDefault="004B2C45" w:rsidP="00660EE5">
      <w:pPr>
        <w:spacing w:after="0" w:line="240" w:lineRule="auto"/>
        <w:jc w:val="both"/>
        <w:rPr>
          <w:rFonts w:asciiTheme="minorHAnsi" w:hAnsiTheme="minorHAnsi"/>
          <w:color w:val="000000" w:themeColor="text1"/>
          <w:sz w:val="24"/>
          <w:szCs w:val="24"/>
        </w:rPr>
      </w:pPr>
    </w:p>
    <w:p w14:paraId="1880E7CD" w14:textId="7DD4A9C5"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5. All'articolo 199 del decreto-legge 19 maggio 2020, n. 34, convertito, con modificazioni, dalla legge 17 luglio 2020, n. 77, sono apportate le seguenti modificazioni:</w:t>
      </w:r>
    </w:p>
    <w:p w14:paraId="2449602B"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   a) al comma 1, lettera a):</w:t>
      </w:r>
    </w:p>
    <w:p w14:paraId="2DFB0A0B"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    1) le parole «dovuti in relazione all'anno 2020» sono sostituite dalle seguenti: «dovuti in relazione agli anni 2020 e 2021»;</w:t>
      </w:r>
    </w:p>
    <w:p w14:paraId="12BD1939"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    2) dopo le parole «allo scopo anche utilizzando» sono inserite le seguenti: «, limitatamente all'anno 2020,»;</w:t>
      </w:r>
    </w:p>
    <w:p w14:paraId="7B7D4F48" w14:textId="2DE96822"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    3) le parole «e, per i canoni dovuti dal 1° agosto 2020 al 31 dicembre 2020, in favore dei concessionari che dimostrino di aver subìto, nel periodo compreso tra il 1° luglio 2020 e il 30 novembre 2020, una diminuzione del fatturato pari o superiore al 20 per cento del fatturato registrato nel medesimo periodo dell'anno 2019» sono sostituite dalle seguenti: «, per i canoni dovuti dal 1° agosto 2020 al 31 dicembre 2020, in favore dei concessionari che dimostrino di aver subìto, nel periodo compreso tra il 1° luglio 2020 e il 30 novembre 2020, una diminuzione del fatturato pari o superiore al 20 per cento del fatturato registrato nel medesimo periodo dell'anno 2019 e, per i canoni dovuti fino alla data del </w:t>
      </w:r>
      <w:r w:rsidRPr="0038105E">
        <w:rPr>
          <w:rFonts w:asciiTheme="minorHAnsi" w:hAnsiTheme="minorHAnsi"/>
          <w:strike/>
          <w:color w:val="000000" w:themeColor="text1"/>
          <w:sz w:val="24"/>
          <w:szCs w:val="24"/>
          <w:highlight w:val="yellow"/>
        </w:rPr>
        <w:t>31 luglio 2021</w:t>
      </w:r>
      <w:r w:rsidR="0038105E">
        <w:rPr>
          <w:rFonts w:asciiTheme="minorHAnsi" w:hAnsiTheme="minorHAnsi"/>
          <w:color w:val="000000" w:themeColor="text1"/>
          <w:sz w:val="24"/>
          <w:szCs w:val="24"/>
        </w:rPr>
        <w:t xml:space="preserve"> </w:t>
      </w:r>
      <w:r w:rsidR="0038105E" w:rsidRPr="0038105E">
        <w:rPr>
          <w:rFonts w:eastAsia="Times New Roman" w:cs="Arial"/>
          <w:b/>
          <w:bCs/>
          <w:color w:val="000000" w:themeColor="text1"/>
          <w:sz w:val="24"/>
          <w:szCs w:val="24"/>
        </w:rPr>
        <w:t>15 dicembre 2021</w:t>
      </w:r>
      <w:r w:rsidR="0038105E">
        <w:rPr>
          <w:rFonts w:eastAsia="Times New Roman" w:cs="Arial"/>
          <w:b/>
          <w:bCs/>
          <w:color w:val="000000" w:themeColor="text1"/>
          <w:sz w:val="24"/>
          <w:szCs w:val="24"/>
        </w:rPr>
        <w:t>,</w:t>
      </w:r>
      <w:r w:rsidR="0038105E">
        <w:rPr>
          <w:rStyle w:val="Rimandonotaapidipagina"/>
          <w:rFonts w:eastAsia="Times New Roman" w:cs="Arial"/>
          <w:b/>
          <w:bCs/>
          <w:color w:val="000000" w:themeColor="text1"/>
          <w:sz w:val="24"/>
          <w:szCs w:val="24"/>
        </w:rPr>
        <w:footnoteReference w:id="70"/>
      </w:r>
      <w:r w:rsidRPr="00660EE5">
        <w:rPr>
          <w:rFonts w:asciiTheme="minorHAnsi" w:hAnsiTheme="minorHAnsi"/>
          <w:color w:val="000000" w:themeColor="text1"/>
          <w:sz w:val="24"/>
          <w:szCs w:val="24"/>
        </w:rPr>
        <w:t xml:space="preserve"> in favore dei concessionari che dimostrino di aver subito nel periodo compreso tra il 1° gennaio 2021 e il </w:t>
      </w:r>
      <w:r w:rsidRPr="0038105E">
        <w:rPr>
          <w:rFonts w:asciiTheme="minorHAnsi" w:hAnsiTheme="minorHAnsi"/>
          <w:strike/>
          <w:color w:val="000000" w:themeColor="text1"/>
          <w:sz w:val="24"/>
          <w:szCs w:val="24"/>
          <w:highlight w:val="yellow"/>
        </w:rPr>
        <w:t>31 luglio 2021</w:t>
      </w:r>
      <w:r w:rsidR="0038105E">
        <w:rPr>
          <w:rFonts w:asciiTheme="minorHAnsi" w:hAnsiTheme="minorHAnsi"/>
          <w:color w:val="000000" w:themeColor="text1"/>
          <w:sz w:val="24"/>
          <w:szCs w:val="24"/>
        </w:rPr>
        <w:t xml:space="preserve"> </w:t>
      </w:r>
      <w:r w:rsidR="0038105E" w:rsidRPr="0038105E">
        <w:rPr>
          <w:rFonts w:eastAsia="Times New Roman" w:cs="Arial"/>
          <w:b/>
          <w:bCs/>
          <w:color w:val="000000" w:themeColor="text1"/>
          <w:sz w:val="24"/>
          <w:szCs w:val="24"/>
        </w:rPr>
        <w:t>15 dicembre 2021</w:t>
      </w:r>
      <w:r w:rsidR="0038105E">
        <w:rPr>
          <w:rFonts w:eastAsia="Times New Roman" w:cs="Arial"/>
          <w:b/>
          <w:bCs/>
          <w:color w:val="000000" w:themeColor="text1"/>
          <w:sz w:val="24"/>
          <w:szCs w:val="24"/>
        </w:rPr>
        <w:t>,</w:t>
      </w:r>
      <w:r w:rsidR="0038105E">
        <w:rPr>
          <w:rStyle w:val="Rimandonotaapidipagina"/>
          <w:rFonts w:eastAsia="Times New Roman" w:cs="Arial"/>
          <w:b/>
          <w:bCs/>
          <w:color w:val="000000" w:themeColor="text1"/>
          <w:sz w:val="24"/>
          <w:szCs w:val="24"/>
        </w:rPr>
        <w:footnoteReference w:id="71"/>
      </w:r>
      <w:r w:rsidR="0038105E">
        <w:rPr>
          <w:rFonts w:eastAsia="Times New Roman" w:cs="Arial"/>
          <w:b/>
          <w:bCs/>
          <w:color w:val="000000" w:themeColor="text1"/>
          <w:sz w:val="24"/>
          <w:szCs w:val="24"/>
        </w:rPr>
        <w:t xml:space="preserve"> </w:t>
      </w:r>
      <w:r w:rsidRPr="00660EE5">
        <w:rPr>
          <w:rFonts w:asciiTheme="minorHAnsi" w:hAnsiTheme="minorHAnsi"/>
          <w:color w:val="000000" w:themeColor="text1"/>
          <w:sz w:val="24"/>
          <w:szCs w:val="24"/>
        </w:rPr>
        <w:t>una diminuzione del fatturato pari o superiore al 20 per cento del fatturato registrato nel medesimo periodo dell'anno 2019»;</w:t>
      </w:r>
    </w:p>
    <w:p w14:paraId="11578A79"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   b) al comma 10-bis, secondo periodo, dopo le parole «salute pubblica» sono aggiunte le seguenti: «e che sarebbero stati destinati al finanziamento delle infrastrutture non intese ad essere sfruttate a fini commerciali»;</w:t>
      </w:r>
    </w:p>
    <w:p w14:paraId="66680D9C"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   c) al comma 10-quinquies, le parole «ai commi 10-bis e 10-ter» sono sostituite dalle seguenti: «al comma 10-ter»;</w:t>
      </w:r>
    </w:p>
    <w:p w14:paraId="40DF08B7" w14:textId="7996E8AE" w:rsid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   d) dopo il comma 10-quinquies è aggiunto il seguente: «10-sexies. Le eventuali risorse residue di cui alla lettera a) del comma 7, non assegnate con il decreto di cui al comma 8, sono destinate alle imprese titolari di concessioni demaniali di cui all'articolo 36 del codice della navigazione, alle imprese di cui agli </w:t>
      </w:r>
      <w:r w:rsidRPr="00660EE5">
        <w:rPr>
          <w:rFonts w:asciiTheme="minorHAnsi" w:hAnsiTheme="minorHAnsi"/>
          <w:color w:val="000000" w:themeColor="text1"/>
          <w:sz w:val="24"/>
          <w:szCs w:val="24"/>
        </w:rPr>
        <w:lastRenderedPageBreak/>
        <w:t>articoli 16 e 18 della legge 28 gennaio 1994, n. 84, nonché alle imprese concessionarie per la gestione di stazioni marittime e servizi di supporto a passeggeri, a titolo di indennizzo per le ridotte prestazioni rese da dette società conseguenti alla riduzione dei volumi di traffico dal 1° gennaio 2021 al 31 luglio 2021, rispetto ai corrispondenti mesi dell'anno 2019. Le modalità attuative del presente comma sono definite con decreto del Ministero delle infrastrutture e mobilità sostenibili, da adottarsi entro trenta giorni dalla data di entrata in vigore della presente disposizione.».</w:t>
      </w:r>
    </w:p>
    <w:p w14:paraId="2D6955A5" w14:textId="3D076D4A" w:rsidR="0038105E" w:rsidRDefault="0038105E" w:rsidP="00660EE5">
      <w:pPr>
        <w:spacing w:after="0" w:line="240" w:lineRule="auto"/>
        <w:jc w:val="both"/>
        <w:rPr>
          <w:rFonts w:asciiTheme="minorHAnsi" w:hAnsiTheme="minorHAnsi"/>
          <w:color w:val="000000" w:themeColor="text1"/>
          <w:sz w:val="24"/>
          <w:szCs w:val="24"/>
        </w:rPr>
      </w:pPr>
    </w:p>
    <w:p w14:paraId="379D88D7" w14:textId="77777777" w:rsidR="0038105E" w:rsidRDefault="0038105E" w:rsidP="0038105E">
      <w:pPr>
        <w:shd w:val="clear" w:color="auto" w:fill="FFFFFF"/>
        <w:spacing w:after="0" w:line="240" w:lineRule="auto"/>
        <w:jc w:val="both"/>
        <w:rPr>
          <w:rFonts w:eastAsia="Times New Roman" w:cs="Arial"/>
          <w:b/>
          <w:bCs/>
          <w:color w:val="000000" w:themeColor="text1"/>
          <w:sz w:val="24"/>
          <w:szCs w:val="24"/>
        </w:rPr>
      </w:pPr>
      <w:r w:rsidRPr="005E581C">
        <w:rPr>
          <w:rFonts w:eastAsia="Times New Roman" w:cs="Arial"/>
          <w:b/>
          <w:bCs/>
          <w:color w:val="000000" w:themeColor="text1"/>
          <w:sz w:val="24"/>
          <w:szCs w:val="24"/>
        </w:rPr>
        <w:t>5-</w:t>
      </w:r>
      <w:r w:rsidRPr="005E581C">
        <w:rPr>
          <w:rFonts w:eastAsia="Times New Roman" w:cs="Arial"/>
          <w:b/>
          <w:bCs/>
          <w:i/>
          <w:iCs/>
          <w:color w:val="000000" w:themeColor="text1"/>
          <w:sz w:val="24"/>
          <w:szCs w:val="24"/>
        </w:rPr>
        <w:t>bis</w:t>
      </w:r>
      <w:r w:rsidRPr="005E581C">
        <w:rPr>
          <w:rFonts w:eastAsia="Times New Roman" w:cs="Arial"/>
          <w:b/>
          <w:bCs/>
          <w:color w:val="000000" w:themeColor="text1"/>
          <w:sz w:val="24"/>
          <w:szCs w:val="24"/>
        </w:rPr>
        <w:t>. Per le finalità di cui all'articolo 199, comma 1, lettera </w:t>
      </w:r>
      <w:r w:rsidRPr="005E581C">
        <w:rPr>
          <w:rFonts w:eastAsia="Times New Roman" w:cs="Arial"/>
          <w:b/>
          <w:bCs/>
          <w:i/>
          <w:iCs/>
          <w:color w:val="000000" w:themeColor="text1"/>
          <w:sz w:val="24"/>
          <w:szCs w:val="24"/>
        </w:rPr>
        <w:t>b)</w:t>
      </w:r>
      <w:r w:rsidRPr="005E581C">
        <w:rPr>
          <w:rFonts w:eastAsia="Times New Roman" w:cs="Arial"/>
          <w:b/>
          <w:bCs/>
          <w:color w:val="000000" w:themeColor="text1"/>
          <w:sz w:val="24"/>
          <w:szCs w:val="24"/>
        </w:rPr>
        <w:t>, del decreto-legge 19 maggio 2020, n. 34, convertito, con modificazioni, dalla legge 17 luglio 2020, n. 77, l'Autorità di sistema portuale del Mar Ligure occidentale è autorizzata a corrispondere, al soggetto fornitore di lavoro portuale di cui all'articolo 17 della legge 28 gennaio 1994, n. 84, un ulteriore contributo, nel limite massimo di spesa di 1 milione di euro per l'anno 2021, pari a 90 euro per ogni lavoratore in relazione a ciascuna giornata di lavoro prestata in meno nell'anno 2020 rispetto al corrispondente mese dell'anno 2019, per cause riconducibili alle mutate condizioni economiche degli scali del sistema portuale italiano in conseguenza dell'emergenza epidemiologica da COVID-19.</w:t>
      </w:r>
    </w:p>
    <w:p w14:paraId="31976F3B" w14:textId="77777777" w:rsidR="0038105E" w:rsidRPr="005E581C" w:rsidRDefault="0038105E" w:rsidP="0038105E">
      <w:pPr>
        <w:shd w:val="clear" w:color="auto" w:fill="FFFFFF"/>
        <w:spacing w:after="0" w:line="240" w:lineRule="auto"/>
        <w:jc w:val="both"/>
        <w:rPr>
          <w:rFonts w:eastAsia="Times New Roman" w:cs="Arial"/>
          <w:b/>
          <w:bCs/>
          <w:color w:val="000000" w:themeColor="text1"/>
          <w:sz w:val="24"/>
          <w:szCs w:val="24"/>
        </w:rPr>
      </w:pPr>
      <w:r w:rsidRPr="005E581C">
        <w:rPr>
          <w:rFonts w:eastAsia="Times New Roman" w:cs="Arial"/>
          <w:b/>
          <w:bCs/>
          <w:color w:val="000000" w:themeColor="text1"/>
          <w:sz w:val="24"/>
          <w:szCs w:val="24"/>
        </w:rPr>
        <w:t> </w:t>
      </w:r>
      <w:r w:rsidRPr="005E581C">
        <w:rPr>
          <w:rFonts w:eastAsia="Times New Roman" w:cs="Arial"/>
          <w:b/>
          <w:bCs/>
          <w:color w:val="000000" w:themeColor="text1"/>
          <w:sz w:val="24"/>
          <w:szCs w:val="24"/>
        </w:rPr>
        <w:t> </w:t>
      </w:r>
      <w:r w:rsidRPr="005E581C">
        <w:rPr>
          <w:rFonts w:eastAsia="Times New Roman" w:cs="Arial"/>
          <w:b/>
          <w:bCs/>
          <w:color w:val="000000" w:themeColor="text1"/>
          <w:sz w:val="24"/>
          <w:szCs w:val="24"/>
        </w:rPr>
        <w:t> </w:t>
      </w:r>
    </w:p>
    <w:p w14:paraId="1992FD15" w14:textId="77777777" w:rsidR="0038105E" w:rsidRDefault="0038105E" w:rsidP="0038105E">
      <w:pPr>
        <w:shd w:val="clear" w:color="auto" w:fill="FFFFFF"/>
        <w:spacing w:after="0" w:line="240" w:lineRule="auto"/>
        <w:jc w:val="both"/>
        <w:rPr>
          <w:rFonts w:eastAsia="Times New Roman" w:cs="Arial"/>
          <w:b/>
          <w:bCs/>
          <w:color w:val="000000" w:themeColor="text1"/>
          <w:sz w:val="24"/>
          <w:szCs w:val="24"/>
        </w:rPr>
      </w:pPr>
      <w:r w:rsidRPr="005E581C">
        <w:rPr>
          <w:rFonts w:eastAsia="Times New Roman" w:cs="Arial"/>
          <w:b/>
          <w:bCs/>
          <w:color w:val="000000" w:themeColor="text1"/>
          <w:sz w:val="24"/>
          <w:szCs w:val="24"/>
        </w:rPr>
        <w:t>5-</w:t>
      </w:r>
      <w:r w:rsidRPr="005E581C">
        <w:rPr>
          <w:rFonts w:eastAsia="Times New Roman" w:cs="Arial"/>
          <w:b/>
          <w:bCs/>
          <w:i/>
          <w:iCs/>
          <w:color w:val="000000" w:themeColor="text1"/>
          <w:sz w:val="24"/>
          <w:szCs w:val="24"/>
        </w:rPr>
        <w:t>ter</w:t>
      </w:r>
      <w:r w:rsidRPr="005E581C">
        <w:rPr>
          <w:rFonts w:eastAsia="Times New Roman" w:cs="Arial"/>
          <w:b/>
          <w:bCs/>
          <w:color w:val="000000" w:themeColor="text1"/>
          <w:sz w:val="24"/>
          <w:szCs w:val="24"/>
        </w:rPr>
        <w:t>. Agli oneri derivanti dall'attuazione del comma 5-</w:t>
      </w:r>
      <w:r w:rsidRPr="005E581C">
        <w:rPr>
          <w:rFonts w:eastAsia="Times New Roman" w:cs="Arial"/>
          <w:b/>
          <w:bCs/>
          <w:i/>
          <w:iCs/>
          <w:color w:val="000000" w:themeColor="text1"/>
          <w:sz w:val="24"/>
          <w:szCs w:val="24"/>
        </w:rPr>
        <w:t>bis</w:t>
      </w:r>
      <w:r w:rsidRPr="005E581C">
        <w:rPr>
          <w:rFonts w:eastAsia="Times New Roman" w:cs="Arial"/>
          <w:b/>
          <w:bCs/>
          <w:color w:val="000000" w:themeColor="text1"/>
          <w:sz w:val="24"/>
          <w:szCs w:val="24"/>
        </w:rPr>
        <w:t>, pari a 1 milione di euro per l'anno 2021, si provvede mediante corrispondente riduzione del fondo speciale di parte corrente iscritto, ai fini del bilancio triennale 2021-2023, nell'ambito del programma «Fondi di riserva e speciali» della missione «Fondi da ripartire» dello stato di previsione del Ministero dell'economia e delle finanze, allo scopo parzialmente utilizzando l'accantonamento relativo al Ministero delle infrastrutture e dei trasporti.</w:t>
      </w:r>
    </w:p>
    <w:p w14:paraId="3703CF85" w14:textId="77777777" w:rsidR="0038105E" w:rsidRPr="005E581C" w:rsidRDefault="0038105E" w:rsidP="0038105E">
      <w:pPr>
        <w:shd w:val="clear" w:color="auto" w:fill="FFFFFF"/>
        <w:spacing w:after="0" w:line="240" w:lineRule="auto"/>
        <w:jc w:val="both"/>
        <w:rPr>
          <w:rFonts w:eastAsia="Times New Roman" w:cs="Arial"/>
          <w:b/>
          <w:bCs/>
          <w:color w:val="000000" w:themeColor="text1"/>
          <w:sz w:val="24"/>
          <w:szCs w:val="24"/>
        </w:rPr>
      </w:pPr>
      <w:r w:rsidRPr="005E581C">
        <w:rPr>
          <w:rFonts w:eastAsia="Times New Roman" w:cs="Arial"/>
          <w:b/>
          <w:bCs/>
          <w:color w:val="000000" w:themeColor="text1"/>
          <w:sz w:val="24"/>
          <w:szCs w:val="24"/>
        </w:rPr>
        <w:t> </w:t>
      </w:r>
      <w:r w:rsidRPr="005E581C">
        <w:rPr>
          <w:rFonts w:eastAsia="Times New Roman" w:cs="Arial"/>
          <w:b/>
          <w:bCs/>
          <w:color w:val="000000" w:themeColor="text1"/>
          <w:sz w:val="24"/>
          <w:szCs w:val="24"/>
        </w:rPr>
        <w:t> </w:t>
      </w:r>
      <w:r w:rsidRPr="005E581C">
        <w:rPr>
          <w:rFonts w:eastAsia="Times New Roman" w:cs="Arial"/>
          <w:b/>
          <w:bCs/>
          <w:color w:val="000000" w:themeColor="text1"/>
          <w:sz w:val="24"/>
          <w:szCs w:val="24"/>
        </w:rPr>
        <w:t> </w:t>
      </w:r>
    </w:p>
    <w:p w14:paraId="283CE055" w14:textId="04704889" w:rsidR="0038105E" w:rsidRDefault="0038105E" w:rsidP="0038105E">
      <w:pPr>
        <w:shd w:val="clear" w:color="auto" w:fill="FFFFFF"/>
        <w:spacing w:after="0" w:line="240" w:lineRule="auto"/>
        <w:jc w:val="both"/>
        <w:rPr>
          <w:rFonts w:eastAsia="Times New Roman" w:cs="Arial"/>
          <w:b/>
          <w:bCs/>
          <w:color w:val="000000" w:themeColor="text1"/>
          <w:sz w:val="24"/>
          <w:szCs w:val="24"/>
        </w:rPr>
      </w:pPr>
      <w:r w:rsidRPr="005E581C">
        <w:rPr>
          <w:rFonts w:eastAsia="Times New Roman" w:cs="Arial"/>
          <w:b/>
          <w:bCs/>
          <w:color w:val="000000" w:themeColor="text1"/>
          <w:sz w:val="24"/>
          <w:szCs w:val="24"/>
        </w:rPr>
        <w:t>5-</w:t>
      </w:r>
      <w:r w:rsidRPr="005E581C">
        <w:rPr>
          <w:rFonts w:eastAsia="Times New Roman" w:cs="Arial"/>
          <w:b/>
          <w:bCs/>
          <w:i/>
          <w:iCs/>
          <w:color w:val="000000" w:themeColor="text1"/>
          <w:sz w:val="24"/>
          <w:szCs w:val="24"/>
        </w:rPr>
        <w:t>quater</w:t>
      </w:r>
      <w:r w:rsidRPr="005E581C">
        <w:rPr>
          <w:rFonts w:eastAsia="Times New Roman" w:cs="Arial"/>
          <w:b/>
          <w:bCs/>
          <w:color w:val="000000" w:themeColor="text1"/>
          <w:sz w:val="24"/>
          <w:szCs w:val="24"/>
        </w:rPr>
        <w:t>. Il Ministro dell'economia e delle finanze è autorizzato ad apportare, con propri decreti, le occorrenti variazioni di bilancio.</w:t>
      </w:r>
      <w:r>
        <w:rPr>
          <w:rStyle w:val="Rimandonotaapidipagina"/>
          <w:rFonts w:eastAsia="Times New Roman" w:cs="Arial"/>
          <w:b/>
          <w:bCs/>
          <w:color w:val="000000" w:themeColor="text1"/>
          <w:sz w:val="24"/>
          <w:szCs w:val="24"/>
        </w:rPr>
        <w:footnoteReference w:id="72"/>
      </w:r>
    </w:p>
    <w:p w14:paraId="475E35AA"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043D84CA" w14:textId="6F458EDF" w:rsid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6. All'articolo 103-bis, comma 1, del decreto-legge 17 marzo 2020, n. 18, convertito, con modificazioni, dalla legge 24 aprile 2020, n. 27, le parole «fino al 31 agosto 2021» sono sostituite dalle seguenti: «fino al 31 dicembre 2021».</w:t>
      </w:r>
    </w:p>
    <w:p w14:paraId="5A86FA05" w14:textId="07327925" w:rsidR="0038105E" w:rsidRDefault="0038105E" w:rsidP="00660EE5">
      <w:pPr>
        <w:spacing w:after="0" w:line="240" w:lineRule="auto"/>
        <w:jc w:val="both"/>
        <w:rPr>
          <w:rFonts w:asciiTheme="minorHAnsi" w:hAnsiTheme="minorHAnsi"/>
          <w:color w:val="000000" w:themeColor="text1"/>
          <w:sz w:val="24"/>
          <w:szCs w:val="24"/>
        </w:rPr>
      </w:pPr>
    </w:p>
    <w:p w14:paraId="59C09019" w14:textId="77777777" w:rsidR="0038105E" w:rsidRPr="005E581C" w:rsidRDefault="0038105E" w:rsidP="0038105E">
      <w:pPr>
        <w:shd w:val="clear" w:color="auto" w:fill="FFFFFF"/>
        <w:spacing w:after="0" w:line="240" w:lineRule="auto"/>
        <w:jc w:val="both"/>
        <w:rPr>
          <w:rFonts w:eastAsia="Times New Roman" w:cs="Arial"/>
          <w:b/>
          <w:bCs/>
          <w:color w:val="000000" w:themeColor="text1"/>
          <w:sz w:val="24"/>
          <w:szCs w:val="24"/>
        </w:rPr>
      </w:pPr>
      <w:r w:rsidRPr="005E581C">
        <w:rPr>
          <w:rFonts w:eastAsia="Times New Roman" w:cs="Arial"/>
          <w:b/>
          <w:bCs/>
          <w:color w:val="000000" w:themeColor="text1"/>
          <w:sz w:val="24"/>
          <w:szCs w:val="24"/>
        </w:rPr>
        <w:t>6-</w:t>
      </w:r>
      <w:r w:rsidRPr="005E581C">
        <w:rPr>
          <w:rFonts w:eastAsia="Times New Roman" w:cs="Arial"/>
          <w:b/>
          <w:bCs/>
          <w:i/>
          <w:iCs/>
          <w:color w:val="000000" w:themeColor="text1"/>
          <w:sz w:val="24"/>
          <w:szCs w:val="24"/>
        </w:rPr>
        <w:t>bis</w:t>
      </w:r>
      <w:r w:rsidRPr="005E581C">
        <w:rPr>
          <w:rFonts w:eastAsia="Times New Roman" w:cs="Arial"/>
          <w:b/>
          <w:bCs/>
          <w:color w:val="000000" w:themeColor="text1"/>
          <w:sz w:val="24"/>
          <w:szCs w:val="24"/>
        </w:rPr>
        <w:t>. Al comma 278 dell'articolo 1 della legge 28 dicembre 2015, n. 208, sono apportate le seguenti modificazioni:</w:t>
      </w:r>
    </w:p>
    <w:p w14:paraId="4B64FA61" w14:textId="77777777" w:rsidR="0038105E" w:rsidRPr="005E581C" w:rsidRDefault="0038105E" w:rsidP="0038105E">
      <w:pPr>
        <w:shd w:val="clear" w:color="auto" w:fill="FFFFFF"/>
        <w:spacing w:after="0" w:line="240" w:lineRule="auto"/>
        <w:jc w:val="both"/>
        <w:rPr>
          <w:rFonts w:eastAsia="Times New Roman" w:cs="Arial"/>
          <w:b/>
          <w:bCs/>
          <w:color w:val="000000" w:themeColor="text1"/>
          <w:sz w:val="24"/>
          <w:szCs w:val="24"/>
        </w:rPr>
      </w:pPr>
      <w:r w:rsidRPr="005E581C">
        <w:rPr>
          <w:rFonts w:eastAsia="Times New Roman" w:cs="Arial"/>
          <w:b/>
          <w:bCs/>
          <w:color w:val="000000" w:themeColor="text1"/>
          <w:sz w:val="24"/>
          <w:szCs w:val="24"/>
        </w:rPr>
        <w:t> </w:t>
      </w:r>
      <w:r w:rsidRPr="005E581C">
        <w:rPr>
          <w:rFonts w:eastAsia="Times New Roman" w:cs="Arial"/>
          <w:b/>
          <w:bCs/>
          <w:color w:val="000000" w:themeColor="text1"/>
          <w:sz w:val="24"/>
          <w:szCs w:val="24"/>
        </w:rPr>
        <w:t> </w:t>
      </w:r>
      <w:r w:rsidRPr="005E581C">
        <w:rPr>
          <w:rFonts w:eastAsia="Times New Roman" w:cs="Arial"/>
          <w:b/>
          <w:bCs/>
          <w:color w:val="000000" w:themeColor="text1"/>
          <w:sz w:val="24"/>
          <w:szCs w:val="24"/>
        </w:rPr>
        <w:t> </w:t>
      </w:r>
      <w:r w:rsidRPr="005E581C">
        <w:rPr>
          <w:rFonts w:eastAsia="Times New Roman" w:cs="Arial"/>
          <w:b/>
          <w:bCs/>
          <w:i/>
          <w:iCs/>
          <w:color w:val="000000" w:themeColor="text1"/>
          <w:sz w:val="24"/>
          <w:szCs w:val="24"/>
        </w:rPr>
        <w:t>a)</w:t>
      </w:r>
      <w:r w:rsidRPr="005E581C">
        <w:rPr>
          <w:rFonts w:eastAsia="Times New Roman" w:cs="Arial"/>
          <w:b/>
          <w:bCs/>
          <w:color w:val="000000" w:themeColor="text1"/>
          <w:sz w:val="24"/>
          <w:szCs w:val="24"/>
        </w:rPr>
        <w:t> al primo periodo dopo le parole: «con una dotazione di 10 milioni di euro per ciascuno degli anni dal 2016 al 2020» sono inserite le seguenti: «nonché di 10 milioni di euro per ciascuno degli anni dal 2021 al 2030»;</w:t>
      </w:r>
    </w:p>
    <w:p w14:paraId="7BE63945" w14:textId="77777777" w:rsidR="0038105E" w:rsidRPr="005E581C" w:rsidRDefault="0038105E" w:rsidP="0038105E">
      <w:pPr>
        <w:shd w:val="clear" w:color="auto" w:fill="FFFFFF"/>
        <w:spacing w:after="0" w:line="240" w:lineRule="auto"/>
        <w:jc w:val="both"/>
        <w:rPr>
          <w:rFonts w:eastAsia="Times New Roman" w:cs="Arial"/>
          <w:b/>
          <w:bCs/>
          <w:color w:val="000000" w:themeColor="text1"/>
          <w:sz w:val="24"/>
          <w:szCs w:val="24"/>
        </w:rPr>
      </w:pPr>
      <w:r w:rsidRPr="005E581C">
        <w:rPr>
          <w:rFonts w:eastAsia="Times New Roman" w:cs="Arial"/>
          <w:b/>
          <w:bCs/>
          <w:color w:val="000000" w:themeColor="text1"/>
          <w:sz w:val="24"/>
          <w:szCs w:val="24"/>
        </w:rPr>
        <w:t> </w:t>
      </w:r>
      <w:r w:rsidRPr="005E581C">
        <w:rPr>
          <w:rFonts w:eastAsia="Times New Roman" w:cs="Arial"/>
          <w:b/>
          <w:bCs/>
          <w:color w:val="000000" w:themeColor="text1"/>
          <w:sz w:val="24"/>
          <w:szCs w:val="24"/>
        </w:rPr>
        <w:t> </w:t>
      </w:r>
      <w:r w:rsidRPr="005E581C">
        <w:rPr>
          <w:rFonts w:eastAsia="Times New Roman" w:cs="Arial"/>
          <w:b/>
          <w:bCs/>
          <w:color w:val="000000" w:themeColor="text1"/>
          <w:sz w:val="24"/>
          <w:szCs w:val="24"/>
        </w:rPr>
        <w:t> </w:t>
      </w:r>
      <w:r w:rsidRPr="005E581C">
        <w:rPr>
          <w:rFonts w:eastAsia="Times New Roman" w:cs="Arial"/>
          <w:b/>
          <w:bCs/>
          <w:i/>
          <w:iCs/>
          <w:color w:val="000000" w:themeColor="text1"/>
          <w:sz w:val="24"/>
          <w:szCs w:val="24"/>
        </w:rPr>
        <w:t>b)</w:t>
      </w:r>
      <w:r w:rsidRPr="005E581C">
        <w:rPr>
          <w:rFonts w:eastAsia="Times New Roman" w:cs="Arial"/>
          <w:b/>
          <w:bCs/>
          <w:color w:val="000000" w:themeColor="text1"/>
          <w:sz w:val="24"/>
          <w:szCs w:val="24"/>
        </w:rPr>
        <w:t xml:space="preserve"> dopo il terzo periodo è inserito il seguente: «Delle risorse del predetto fondo si possono avvalere anche le Autorità di sistema portuale soccombenti in sentenze esecutive, o comunque parti debitrici in verbali di conciliazione giudiziale, aventi ad oggetto risarcimenti liquidati in favore di </w:t>
      </w:r>
      <w:r w:rsidRPr="005E581C">
        <w:rPr>
          <w:rFonts w:eastAsia="Times New Roman" w:cs="Arial"/>
          <w:b/>
          <w:bCs/>
          <w:color w:val="000000" w:themeColor="text1"/>
          <w:sz w:val="24"/>
          <w:szCs w:val="24"/>
        </w:rPr>
        <w:lastRenderedPageBreak/>
        <w:t>superstiti di coloro che sono deceduti per le patologie asbesto-correlate, ivi inclusi coloro che non erano dipendenti diretti delle cessate organizzazioni portuali».</w:t>
      </w:r>
    </w:p>
    <w:p w14:paraId="4A300AB2" w14:textId="77777777" w:rsidR="0038105E" w:rsidRPr="005E581C" w:rsidRDefault="0038105E" w:rsidP="0038105E">
      <w:pPr>
        <w:shd w:val="clear" w:color="auto" w:fill="FFFFFF"/>
        <w:spacing w:after="0" w:line="240" w:lineRule="auto"/>
        <w:jc w:val="both"/>
        <w:rPr>
          <w:rFonts w:eastAsia="Times New Roman" w:cs="Arial"/>
          <w:b/>
          <w:bCs/>
          <w:color w:val="000000" w:themeColor="text1"/>
          <w:sz w:val="24"/>
          <w:szCs w:val="24"/>
        </w:rPr>
      </w:pPr>
      <w:r w:rsidRPr="005E581C">
        <w:rPr>
          <w:rFonts w:eastAsia="Times New Roman" w:cs="Arial"/>
          <w:b/>
          <w:bCs/>
          <w:color w:val="000000" w:themeColor="text1"/>
          <w:sz w:val="24"/>
          <w:szCs w:val="24"/>
        </w:rPr>
        <w:t> </w:t>
      </w:r>
      <w:r w:rsidRPr="005E581C">
        <w:rPr>
          <w:rFonts w:eastAsia="Times New Roman" w:cs="Arial"/>
          <w:b/>
          <w:bCs/>
          <w:color w:val="000000" w:themeColor="text1"/>
          <w:sz w:val="24"/>
          <w:szCs w:val="24"/>
        </w:rPr>
        <w:t> </w:t>
      </w:r>
    </w:p>
    <w:p w14:paraId="410ACAFD" w14:textId="556279E6" w:rsidR="0038105E" w:rsidRDefault="0038105E" w:rsidP="0038105E">
      <w:pPr>
        <w:shd w:val="clear" w:color="auto" w:fill="FFFFFF"/>
        <w:spacing w:after="0" w:line="240" w:lineRule="auto"/>
        <w:jc w:val="both"/>
        <w:rPr>
          <w:rFonts w:eastAsia="Times New Roman" w:cs="Arial"/>
          <w:b/>
          <w:bCs/>
          <w:color w:val="000000" w:themeColor="text1"/>
          <w:sz w:val="24"/>
          <w:szCs w:val="24"/>
        </w:rPr>
      </w:pPr>
      <w:r w:rsidRPr="005E581C">
        <w:rPr>
          <w:rFonts w:eastAsia="Times New Roman" w:cs="Arial"/>
          <w:b/>
          <w:bCs/>
          <w:color w:val="000000" w:themeColor="text1"/>
          <w:sz w:val="24"/>
          <w:szCs w:val="24"/>
        </w:rPr>
        <w:t>6-</w:t>
      </w:r>
      <w:r w:rsidRPr="005E581C">
        <w:rPr>
          <w:rFonts w:eastAsia="Times New Roman" w:cs="Arial"/>
          <w:b/>
          <w:bCs/>
          <w:i/>
          <w:iCs/>
          <w:color w:val="000000" w:themeColor="text1"/>
          <w:sz w:val="24"/>
          <w:szCs w:val="24"/>
        </w:rPr>
        <w:t>ter</w:t>
      </w:r>
      <w:r w:rsidRPr="005E581C">
        <w:rPr>
          <w:rFonts w:eastAsia="Times New Roman" w:cs="Arial"/>
          <w:b/>
          <w:bCs/>
          <w:color w:val="000000" w:themeColor="text1"/>
          <w:sz w:val="24"/>
          <w:szCs w:val="24"/>
        </w:rPr>
        <w:t>. Agli oneri di cui al comma 6-</w:t>
      </w:r>
      <w:r w:rsidRPr="005E581C">
        <w:rPr>
          <w:rFonts w:eastAsia="Times New Roman" w:cs="Arial"/>
          <w:b/>
          <w:bCs/>
          <w:i/>
          <w:iCs/>
          <w:color w:val="000000" w:themeColor="text1"/>
          <w:sz w:val="24"/>
          <w:szCs w:val="24"/>
        </w:rPr>
        <w:t>bis</w:t>
      </w:r>
      <w:r w:rsidRPr="005E581C">
        <w:rPr>
          <w:rFonts w:eastAsia="Times New Roman" w:cs="Arial"/>
          <w:b/>
          <w:bCs/>
          <w:color w:val="000000" w:themeColor="text1"/>
          <w:sz w:val="24"/>
          <w:szCs w:val="24"/>
        </w:rPr>
        <w:t> si provvede a valere sul Fondo sociale per l'occupazione e la formazione istituito dall'articolo 18, comma 1, lettera a), del decreto-legge 29 novembre 2008, n. 185, convertito, con modificazioni, dalla legge 28 gennaio 2009, n. 2.</w:t>
      </w:r>
      <w:r>
        <w:rPr>
          <w:rStyle w:val="Rimandonotaapidipagina"/>
          <w:rFonts w:eastAsia="Times New Roman" w:cs="Arial"/>
          <w:b/>
          <w:bCs/>
          <w:color w:val="000000" w:themeColor="text1"/>
          <w:sz w:val="24"/>
          <w:szCs w:val="24"/>
        </w:rPr>
        <w:footnoteReference w:id="73"/>
      </w:r>
    </w:p>
    <w:p w14:paraId="3DEB4C17" w14:textId="06D2D88A" w:rsidR="0038105E" w:rsidRDefault="0038105E" w:rsidP="0038105E">
      <w:pPr>
        <w:shd w:val="clear" w:color="auto" w:fill="FFFFFF"/>
        <w:spacing w:after="0" w:line="240" w:lineRule="auto"/>
        <w:jc w:val="both"/>
        <w:rPr>
          <w:rFonts w:eastAsia="Times New Roman" w:cs="Arial"/>
          <w:b/>
          <w:bCs/>
          <w:color w:val="000000" w:themeColor="text1"/>
          <w:sz w:val="24"/>
          <w:szCs w:val="24"/>
        </w:rPr>
      </w:pPr>
    </w:p>
    <w:p w14:paraId="16AB52FC" w14:textId="77777777" w:rsidR="0038105E" w:rsidRPr="00EC3DE8" w:rsidRDefault="0038105E" w:rsidP="0038105E">
      <w:pPr>
        <w:shd w:val="clear" w:color="auto" w:fill="FFFFFF"/>
        <w:spacing w:after="0" w:line="240" w:lineRule="auto"/>
        <w:jc w:val="both"/>
        <w:rPr>
          <w:rFonts w:eastAsia="Times New Roman" w:cs="Arial"/>
          <w:b/>
          <w:bCs/>
          <w:color w:val="000000" w:themeColor="text1"/>
          <w:sz w:val="24"/>
          <w:szCs w:val="24"/>
        </w:rPr>
      </w:pPr>
      <w:r w:rsidRPr="00155015">
        <w:rPr>
          <w:rFonts w:eastAsia="Times New Roman" w:cs="Arial"/>
          <w:color w:val="000000" w:themeColor="text1"/>
          <w:sz w:val="24"/>
          <w:szCs w:val="24"/>
        </w:rPr>
        <w:t> </w:t>
      </w:r>
      <w:r w:rsidRPr="00155015">
        <w:rPr>
          <w:rFonts w:eastAsia="Times New Roman" w:cs="Arial"/>
          <w:color w:val="000000" w:themeColor="text1"/>
          <w:sz w:val="24"/>
          <w:szCs w:val="24"/>
        </w:rPr>
        <w:t> </w:t>
      </w:r>
      <w:r w:rsidRPr="00EC3DE8">
        <w:rPr>
          <w:rFonts w:eastAsia="Times New Roman" w:cs="Arial"/>
          <w:b/>
          <w:bCs/>
          <w:color w:val="000000" w:themeColor="text1"/>
          <w:sz w:val="24"/>
          <w:szCs w:val="24"/>
        </w:rPr>
        <w:t>6</w:t>
      </w:r>
      <w:r w:rsidRPr="00EC3DE8">
        <w:rPr>
          <w:rFonts w:eastAsia="Times New Roman" w:cs="Arial"/>
          <w:b/>
          <w:bCs/>
          <w:i/>
          <w:iCs/>
          <w:color w:val="000000" w:themeColor="text1"/>
          <w:sz w:val="24"/>
          <w:szCs w:val="24"/>
        </w:rPr>
        <w:t>-</w:t>
      </w:r>
      <w:r w:rsidRPr="00EC3DE8">
        <w:rPr>
          <w:rFonts w:eastAsia="Times New Roman" w:cs="Arial"/>
          <w:b/>
          <w:bCs/>
          <w:color w:val="000000" w:themeColor="text1"/>
          <w:sz w:val="24"/>
          <w:szCs w:val="24"/>
        </w:rPr>
        <w:t>bis. All'articolo 184-</w:t>
      </w:r>
      <w:r w:rsidRPr="00EC3DE8">
        <w:rPr>
          <w:rFonts w:eastAsia="Times New Roman" w:cs="Arial"/>
          <w:b/>
          <w:bCs/>
          <w:i/>
          <w:iCs/>
          <w:color w:val="000000" w:themeColor="text1"/>
          <w:sz w:val="24"/>
          <w:szCs w:val="24"/>
        </w:rPr>
        <w:t>quater</w:t>
      </w:r>
      <w:r w:rsidRPr="00EC3DE8">
        <w:rPr>
          <w:rFonts w:eastAsia="Times New Roman" w:cs="Arial"/>
          <w:b/>
          <w:bCs/>
          <w:color w:val="000000" w:themeColor="text1"/>
          <w:sz w:val="24"/>
          <w:szCs w:val="24"/>
        </w:rPr>
        <w:t> del decreto legislativo n. 152 del 2006, dopo il comma 5, sono aggiunti i seguenti:</w:t>
      </w:r>
    </w:p>
    <w:p w14:paraId="459B5A33" w14:textId="7E6CA9E2" w:rsidR="0038105E" w:rsidRDefault="0038105E" w:rsidP="0038105E">
      <w:pPr>
        <w:shd w:val="clear" w:color="auto" w:fill="FFFFFF"/>
        <w:spacing w:after="0" w:line="240" w:lineRule="auto"/>
        <w:jc w:val="both"/>
        <w:rPr>
          <w:rFonts w:eastAsia="Times New Roman" w:cs="Arial"/>
          <w:b/>
          <w:bCs/>
          <w:color w:val="000000" w:themeColor="text1"/>
          <w:sz w:val="24"/>
          <w:szCs w:val="24"/>
        </w:rPr>
      </w:pPr>
      <w:r w:rsidRPr="00EC3DE8">
        <w:rPr>
          <w:rFonts w:eastAsia="Times New Roman" w:cs="Arial"/>
          <w:b/>
          <w:bCs/>
          <w:color w:val="000000" w:themeColor="text1"/>
          <w:sz w:val="24"/>
          <w:szCs w:val="24"/>
        </w:rPr>
        <w:t> </w:t>
      </w:r>
      <w:r w:rsidRPr="00EC3DE8">
        <w:rPr>
          <w:rFonts w:eastAsia="Times New Roman" w:cs="Arial"/>
          <w:b/>
          <w:bCs/>
          <w:color w:val="000000" w:themeColor="text1"/>
          <w:sz w:val="24"/>
          <w:szCs w:val="24"/>
        </w:rPr>
        <w:t> </w:t>
      </w:r>
      <w:r w:rsidRPr="00EC3DE8">
        <w:rPr>
          <w:rFonts w:eastAsia="Times New Roman" w:cs="Arial"/>
          <w:b/>
          <w:bCs/>
          <w:color w:val="000000" w:themeColor="text1"/>
          <w:sz w:val="24"/>
          <w:szCs w:val="24"/>
        </w:rPr>
        <w:t> </w:t>
      </w:r>
      <w:r w:rsidRPr="00EC3DE8">
        <w:rPr>
          <w:rFonts w:eastAsia="Times New Roman" w:cs="Arial"/>
          <w:b/>
          <w:bCs/>
          <w:color w:val="000000" w:themeColor="text1"/>
          <w:sz w:val="24"/>
          <w:szCs w:val="24"/>
        </w:rPr>
        <w:t>«5-</w:t>
      </w:r>
      <w:r w:rsidRPr="00EC3DE8">
        <w:rPr>
          <w:rFonts w:eastAsia="Times New Roman" w:cs="Arial"/>
          <w:b/>
          <w:bCs/>
          <w:i/>
          <w:iCs/>
          <w:color w:val="000000" w:themeColor="text1"/>
          <w:sz w:val="24"/>
          <w:szCs w:val="24"/>
        </w:rPr>
        <w:t>bis</w:t>
      </w:r>
      <w:r w:rsidRPr="00EC3DE8">
        <w:rPr>
          <w:rFonts w:eastAsia="Times New Roman" w:cs="Arial"/>
          <w:b/>
          <w:bCs/>
          <w:color w:val="000000" w:themeColor="text1"/>
          <w:sz w:val="24"/>
          <w:szCs w:val="24"/>
        </w:rPr>
        <w:t>. Al fine di promuovere investimenti a favore di progetti di economia circolare, favorire l'innovazione tecnologica e garantire la sicurezza del trasporto marittimo, le amministrazioni competenti possono autorizzare, previa caratterizzazione, eventualmente anche per singole frazioni granulometriche, dei materiali derivanti dall'escavo di fondali di aree portuali e marino-costiere condotta secondo la disciplina vigente in materia, di cui all'articolo 109 del presente decreto legislativo e all'articolo 5-</w:t>
      </w:r>
      <w:r w:rsidRPr="00EC3DE8">
        <w:rPr>
          <w:rFonts w:eastAsia="Times New Roman" w:cs="Arial"/>
          <w:b/>
          <w:bCs/>
          <w:i/>
          <w:iCs/>
          <w:color w:val="000000" w:themeColor="text1"/>
          <w:sz w:val="24"/>
          <w:szCs w:val="24"/>
        </w:rPr>
        <w:t>bis</w:t>
      </w:r>
      <w:r w:rsidRPr="00EC3DE8">
        <w:rPr>
          <w:rFonts w:eastAsia="Times New Roman" w:cs="Arial"/>
          <w:b/>
          <w:bCs/>
          <w:color w:val="000000" w:themeColor="text1"/>
          <w:sz w:val="24"/>
          <w:szCs w:val="24"/>
        </w:rPr>
        <w:t> della legge 28 gennaio 1994, n. 84, e salvo ulteriori specifiche tecniche di cui al successivo comma 5-ter, il loro riutilizzo in ambienti terrestri e marino costieri anche per singola frazione granulometrica ottenuta a seguito di separazione con metodi fisici.</w:t>
      </w:r>
      <w:r w:rsidRPr="00EC3DE8">
        <w:rPr>
          <w:rFonts w:eastAsia="Times New Roman" w:cs="Arial"/>
          <w:b/>
          <w:bCs/>
          <w:color w:val="000000" w:themeColor="text1"/>
          <w:sz w:val="24"/>
          <w:szCs w:val="24"/>
        </w:rPr>
        <w:br/>
      </w:r>
      <w:r w:rsidRPr="00EC3DE8">
        <w:rPr>
          <w:rFonts w:eastAsia="Times New Roman" w:cs="Arial"/>
          <w:b/>
          <w:bCs/>
          <w:color w:val="000000" w:themeColor="text1"/>
          <w:sz w:val="24"/>
          <w:szCs w:val="24"/>
        </w:rPr>
        <w:t> </w:t>
      </w:r>
      <w:r w:rsidRPr="00EC3DE8">
        <w:rPr>
          <w:rFonts w:eastAsia="Times New Roman" w:cs="Arial"/>
          <w:b/>
          <w:bCs/>
          <w:color w:val="000000" w:themeColor="text1"/>
          <w:sz w:val="24"/>
          <w:szCs w:val="24"/>
        </w:rPr>
        <w:t> </w:t>
      </w:r>
      <w:r w:rsidRPr="00EC3DE8">
        <w:rPr>
          <w:rFonts w:eastAsia="Times New Roman" w:cs="Arial"/>
          <w:b/>
          <w:bCs/>
          <w:color w:val="000000" w:themeColor="text1"/>
          <w:sz w:val="24"/>
          <w:szCs w:val="24"/>
        </w:rPr>
        <w:t> </w:t>
      </w:r>
      <w:r w:rsidRPr="00EC3DE8">
        <w:rPr>
          <w:rFonts w:eastAsia="Times New Roman" w:cs="Arial"/>
          <w:b/>
          <w:bCs/>
          <w:color w:val="000000" w:themeColor="text1"/>
          <w:sz w:val="24"/>
          <w:szCs w:val="24"/>
        </w:rPr>
        <w:t>5-</w:t>
      </w:r>
      <w:r w:rsidRPr="00EC3DE8">
        <w:rPr>
          <w:rFonts w:eastAsia="Times New Roman" w:cs="Arial"/>
          <w:b/>
          <w:bCs/>
          <w:i/>
          <w:iCs/>
          <w:color w:val="000000" w:themeColor="text1"/>
          <w:sz w:val="24"/>
          <w:szCs w:val="24"/>
        </w:rPr>
        <w:t>ter</w:t>
      </w:r>
      <w:r w:rsidRPr="00EC3DE8">
        <w:rPr>
          <w:rFonts w:eastAsia="Times New Roman" w:cs="Arial"/>
          <w:b/>
          <w:bCs/>
          <w:color w:val="000000" w:themeColor="text1"/>
          <w:sz w:val="24"/>
          <w:szCs w:val="24"/>
        </w:rPr>
        <w:t>. Entro novanta giorni dalla data di entrata in vigore della presente disposizione, con decreto del Ministro della transizione ecologica, di concerto con il Ministro delle infrastrutture e della mobilità sostenibili, sono adottate le norme tecniche che disciplinano le opzioni di riutilizzo dei sedimenti di dragaggio e/o di ogni loro singola frazione granulometrica secondo le migliori tecnologie disponibili».</w:t>
      </w:r>
      <w:r>
        <w:rPr>
          <w:rStyle w:val="Rimandonotaapidipagina"/>
          <w:rFonts w:eastAsia="Times New Roman" w:cs="Arial"/>
          <w:b/>
          <w:bCs/>
          <w:color w:val="000000" w:themeColor="text1"/>
          <w:sz w:val="24"/>
          <w:szCs w:val="24"/>
        </w:rPr>
        <w:footnoteReference w:id="74"/>
      </w:r>
    </w:p>
    <w:p w14:paraId="61C9D2DD" w14:textId="77777777" w:rsidR="0038105E" w:rsidRDefault="0038105E" w:rsidP="0038105E">
      <w:pPr>
        <w:shd w:val="clear" w:color="auto" w:fill="FFFFFF"/>
        <w:spacing w:after="0" w:line="240" w:lineRule="auto"/>
        <w:jc w:val="both"/>
        <w:rPr>
          <w:rFonts w:eastAsia="Times New Roman" w:cs="Arial"/>
          <w:b/>
          <w:bCs/>
          <w:color w:val="000000" w:themeColor="text1"/>
          <w:sz w:val="24"/>
          <w:szCs w:val="24"/>
        </w:rPr>
      </w:pPr>
    </w:p>
    <w:p w14:paraId="365E466D" w14:textId="77777777" w:rsidR="0038105E" w:rsidRPr="00660EE5" w:rsidRDefault="0038105E" w:rsidP="00660EE5">
      <w:pPr>
        <w:spacing w:after="0" w:line="240" w:lineRule="auto"/>
        <w:jc w:val="both"/>
        <w:rPr>
          <w:rFonts w:asciiTheme="minorHAnsi" w:hAnsiTheme="minorHAnsi"/>
          <w:color w:val="000000" w:themeColor="text1"/>
          <w:sz w:val="24"/>
          <w:szCs w:val="24"/>
        </w:rPr>
      </w:pPr>
    </w:p>
    <w:p w14:paraId="471BFE8B" w14:textId="77777777" w:rsidR="00660EE5" w:rsidRPr="00660EE5" w:rsidRDefault="00660EE5" w:rsidP="00660EE5">
      <w:pPr>
        <w:spacing w:after="0" w:line="240" w:lineRule="auto"/>
        <w:jc w:val="center"/>
        <w:rPr>
          <w:rFonts w:asciiTheme="minorHAnsi" w:hAnsiTheme="minorHAnsi"/>
          <w:color w:val="000000" w:themeColor="text1"/>
          <w:sz w:val="24"/>
          <w:szCs w:val="24"/>
        </w:rPr>
      </w:pPr>
    </w:p>
    <w:p w14:paraId="1800E713" w14:textId="77777777" w:rsidR="00660EE5" w:rsidRPr="00660EE5" w:rsidRDefault="00660EE5" w:rsidP="00660EE5">
      <w:pPr>
        <w:spacing w:after="0" w:line="240" w:lineRule="auto"/>
        <w:jc w:val="center"/>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Articolo 4-bis.</w:t>
      </w:r>
    </w:p>
    <w:p w14:paraId="75AD8FCD" w14:textId="77777777" w:rsidR="00660EE5" w:rsidRPr="00660EE5" w:rsidRDefault="00660EE5" w:rsidP="00660EE5">
      <w:pPr>
        <w:spacing w:after="0" w:line="240" w:lineRule="auto"/>
        <w:jc w:val="center"/>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(modifiche in materia di servizio di trasporto pubblico non di linea a mezzo natanti)</w:t>
      </w:r>
    </w:p>
    <w:p w14:paraId="1E72ABC1" w14:textId="77777777" w:rsidR="00660EE5" w:rsidRPr="00660EE5" w:rsidRDefault="00660EE5" w:rsidP="00660EE5">
      <w:pPr>
        <w:spacing w:after="0" w:line="240" w:lineRule="auto"/>
        <w:rPr>
          <w:rFonts w:asciiTheme="minorHAnsi" w:hAnsiTheme="minorHAnsi"/>
          <w:b/>
          <w:bCs/>
          <w:color w:val="000000" w:themeColor="text1"/>
          <w:sz w:val="24"/>
          <w:szCs w:val="24"/>
        </w:rPr>
      </w:pPr>
    </w:p>
    <w:p w14:paraId="3033BD64"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1. All'articolo 200, comma 6-bis, del decreto-legge 19 maggio 2020, n. 34, dopo le parole: «le autovetture a uso terzi di cui all'articolo 82, comma 5, lettera b), del medesimo codice della strada di cui al decreto legislativo n. 285 del 1992» sono inserite le seguenti: «nonché i natanti che svolgono servizio di trasporto pubblico non di linea ai sensi dell'articolo 1, comma 2, della legge 15 gennaio 1992, n. 21».</w:t>
      </w:r>
      <w:r w:rsidRPr="00660EE5">
        <w:rPr>
          <w:rStyle w:val="Rimandonotaapidipagina"/>
          <w:rFonts w:asciiTheme="minorHAnsi" w:hAnsiTheme="minorHAnsi"/>
          <w:b/>
          <w:bCs/>
          <w:color w:val="000000" w:themeColor="text1"/>
          <w:sz w:val="24"/>
          <w:szCs w:val="24"/>
        </w:rPr>
        <w:footnoteReference w:id="75"/>
      </w:r>
    </w:p>
    <w:p w14:paraId="4BF57A99" w14:textId="77777777" w:rsidR="00660EE5" w:rsidRPr="00660EE5" w:rsidRDefault="00660EE5" w:rsidP="00660EE5">
      <w:pPr>
        <w:spacing w:after="0" w:line="240" w:lineRule="auto"/>
        <w:jc w:val="center"/>
        <w:rPr>
          <w:rFonts w:asciiTheme="minorHAnsi" w:hAnsiTheme="minorHAnsi"/>
          <w:color w:val="000000" w:themeColor="text1"/>
          <w:sz w:val="24"/>
          <w:szCs w:val="24"/>
        </w:rPr>
      </w:pPr>
    </w:p>
    <w:p w14:paraId="236D0E2F"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Articolo 5.</w:t>
      </w:r>
    </w:p>
    <w:p w14:paraId="29C5E94F"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lastRenderedPageBreak/>
        <w:t>(Disposizioni urgenti per la funzionalità del Ministero delle infrastrutture e della mobilità sostenibili e del Consiglio superiore dei lavori pubblici e in materia di incentivi per funzioni tecniche)</w:t>
      </w:r>
    </w:p>
    <w:p w14:paraId="28943313"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58781C4B"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1. Al fine di garantire la realizzazione degli interventi di titolarità del Ministero delle infrastrutture e della mobilità sostenibili, finanziati in tutto o in parte con le risorse del Piano nazionale di ripresa e resilienza di cui al regolamento (UE) 2021/241 del Parlamento europeo e del Consiglio del 12 febbraio 2021 ovvero del Piano nazionale per gli investimenti complementari di cui all'articolo 1 del decreto-legge 6 maggio 2021, n. 59, convertito, con modificazioni, dalla legge 1&amp;#176; luglio 2021, n. 101, in coerenza con i relativi cronoprogrammi, nonché di promuovere e incrementare le attività di studio, di ricerca e di sviluppo nel settore della sostenibilità delle infrastrutture e della mobilità, della innovazione tecnologica, organizzativa e dei materiali, assicurando, al contempo, nuove forme di intermodalità e di servizi di rete anche attraverso lo svolgimento di specifiche attività di natura formativa, è istituita presso il Ministero delle infrastrutture e della mobilità sostenibili la struttura di missione, denominata Centro per l'innovazione e la sostenibilità in materia di infrastrutture e mobilità, di seguito CISMI, che non costituisce struttura dirigenziale e opera alle dirette dipendenze del Ministro. Al CISMI è assegnato un contingente complessivo di venti unità di personale, da individuarsi, nella misura di cinque ricercatori, di cinque tecnologi, di quattro primi ricercatori, di quattro primi tecnologi, di un dirigente tecnologo e di un dirigente di ricerca, tra il personale degli Enti pubblici di ricerca collocato in fuori ruolo con mantenimento del trattamento economico in godimento presso l'amministrazione di appartenenza che è posto integralmente a carico del </w:t>
      </w:r>
      <w:proofErr w:type="gramStart"/>
      <w:r w:rsidRPr="00660EE5">
        <w:rPr>
          <w:rFonts w:asciiTheme="minorHAnsi" w:hAnsiTheme="minorHAnsi"/>
          <w:color w:val="000000" w:themeColor="text1"/>
          <w:sz w:val="24"/>
          <w:szCs w:val="24"/>
        </w:rPr>
        <w:t>predetto</w:t>
      </w:r>
      <w:proofErr w:type="gramEnd"/>
      <w:r w:rsidRPr="00660EE5">
        <w:rPr>
          <w:rFonts w:asciiTheme="minorHAnsi" w:hAnsiTheme="minorHAnsi"/>
          <w:color w:val="000000" w:themeColor="text1"/>
          <w:sz w:val="24"/>
          <w:szCs w:val="24"/>
        </w:rPr>
        <w:t xml:space="preserve"> Ministero. Al coordinamento del CISMI è preposto il dirigente di ricerca individuato secondo le modalità di cui al secondo periodo. Per lo svolgimento delle attività di cui al presente comma, il Ministero delle infrastrutture e della mobilità sostenibili, in aggiunta al contingente di cui al secondo periodo, nel limite di spesa di euro 47.000 euro per l'anno 2021 e di euro 140.000 a decorrere dall'anno 2022, può avvalersi fino ad un massimo di quattro esperti o consulenti nominati ai sensi dell'articolo 7, comma 6, del decreto legislativo 30 marzo 2001, n. 165.</w:t>
      </w:r>
    </w:p>
    <w:p w14:paraId="12E25286"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0F849A07"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2. Nello svolgimento della propria attività, il CISMI può stipulare, per conto del Ministero delle infrastrutture e della mobilità sostenibili, senza nuovi o maggiori oneri a carico della finanza pubblica, apposite convenzioni con enti e istituti di ricerca specializzati, pubblici e privati e cura i rapporti con organismi internazionali, europei e nazionali nelle materie di competenza del medesimo Ministero.</w:t>
      </w:r>
    </w:p>
    <w:p w14:paraId="6D15AC9F"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738C44CC"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3. Per l'attuazione delle disposizioni del comma 1, è autorizzata la spesa di euro 741.985 per l'anno 2021 e di euro 2.225.954 a decorrere dall'anno 2022. Al relativo onere si provvede per euro 741.985 per l'anno 2021 e per euro 2.225.954 a decorrere dall'anno 2022,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delle infrastrutture e dei trasporti. Il Ministro dell'economia e delle finanze è autorizzato ad apportare, con propri decreti, le occorrenti variazioni di bilancio.</w:t>
      </w:r>
    </w:p>
    <w:p w14:paraId="67383BD2"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735BCEE9"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241DC8DE"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4. All'articolo 45 del decreto-legge 31 maggio 2021, n. 77, convertito, con modificazioni, dalla legge 29 luglio 2021, n. 108, sono apportate le seguenti modificazioni:</w:t>
      </w:r>
    </w:p>
    <w:p w14:paraId="25AFA8D1"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   a) al comma 1, lettera a), la parola: «sei» è sostituita dalla seguente: «sette» e dopo le parole: «uno appartenente al Ministero dell'economia e delle finanze,» sono aggiunte le seguenti: «e uno appartenente al Ministero della difesa»;</w:t>
      </w:r>
    </w:p>
    <w:p w14:paraId="5EEC2E4B"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   b) al comma 2, il secondo periodo è sostituito dal seguente: «Per la partecipazione alle attività del Comitato non spettano indennità e gettoni di presenza ed è riconosciuto il solo rimborso spese nei limiti delle risorse disponibili a legislazione vigente e di quanto previsto per i componenti e gli esperti del Consiglio superiore dei lavori pubblici.».</w:t>
      </w:r>
    </w:p>
    <w:p w14:paraId="25B8E151"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40A8B3BF" w14:textId="1713B898" w:rsid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5. Agli oneri derivanti dal comma 4, lettera a), pari a euro 35.000 per ciascuno degli anni dal 2022 fino al 2026, si provvede mediante corrispondente riduzione delle proiezioni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delle infrastrutture e dei trasporti. All'attuazione del comma 4, lettera a), per l'anno 2021 e lettera b), si provvede con le risorse finanziarie disponibili a legislazione vigente.</w:t>
      </w:r>
      <w:r w:rsidR="0038105E">
        <w:rPr>
          <w:rFonts w:asciiTheme="minorHAnsi" w:hAnsiTheme="minorHAnsi"/>
          <w:color w:val="000000" w:themeColor="text1"/>
          <w:sz w:val="24"/>
          <w:szCs w:val="24"/>
        </w:rPr>
        <w:t xml:space="preserve"> </w:t>
      </w:r>
      <w:r w:rsidR="00107EE3" w:rsidRPr="0038105E">
        <w:rPr>
          <w:rFonts w:eastAsia="Times New Roman" w:cs="Arial"/>
          <w:b/>
          <w:bCs/>
          <w:color w:val="000000" w:themeColor="text1"/>
          <w:sz w:val="24"/>
          <w:szCs w:val="24"/>
        </w:rPr>
        <w:t>Il Ministro dell'economia e delle finanze è autorizzato ad apportare, con propri decreti, le occorrenti variazioni di bilancio.</w:t>
      </w:r>
      <w:r w:rsidR="00107EE3">
        <w:rPr>
          <w:rStyle w:val="Rimandonotaapidipagina"/>
          <w:rFonts w:eastAsia="Times New Roman" w:cs="Arial"/>
          <w:b/>
          <w:bCs/>
          <w:color w:val="000000" w:themeColor="text1"/>
          <w:sz w:val="24"/>
          <w:szCs w:val="24"/>
        </w:rPr>
        <w:footnoteReference w:id="76"/>
      </w:r>
    </w:p>
    <w:p w14:paraId="23047FA1"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7EA103C6"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6. All'articolo 22, comma 2, terzo periodo, del decreto legislativo 18 aprile 2016, n. 50, le parole «, senza oneri a carico della finanza pubblica,» sono soppresse e il quarto periodo è sostituito dal seguente: «Ai componenti della commissione è riconosciuto un rimborso delle spese effettivamente sostenute e documentate per le missioni effettuate nei limiti previsti per il personale del Ministero delle infrastrutture e della mobilità sostenibili, con oneri complessivi non superiori a 18.000 euro per l'anno 2021 ed a 36.000 euro a decorrere dall'anno 2022».</w:t>
      </w:r>
    </w:p>
    <w:p w14:paraId="021ABD4B"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56DC8B2F"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7. Al fine di assicurare la funzionalità del Ministero delle infrastrutture e della mobilità sostenibili anche in relazione alla realizzazione degli interventi di competenza del medesimo Ministero finanziati in tutto o in parte con le risorse del Piano nazionale di ripresa e resilienza di cui al regolamento (UE) 2021/241 del Parlamento europeo e del Consiglio, del 12 febbraio 2021, ovvero del Piano nazionale per gli investimenti complementari di cui all'articolo 1 del decreto-legge 6 maggio 2021, n. 59, convertito, con modificazioni, dalla legge 1&amp;#176; luglio 2021, n. 101, e in considerazione delle specifiche professionalità, anche di natura tecnica, del personale del Ministero delle infrastrutture e della mobilità sostenibili, tenuto conto della necessità di remunerare adeguatamente le attività di controllo svolte da detto personale, a decorrere dalla data di entrata in vigore del presente decreto, con riferimento al personale non </w:t>
      </w:r>
      <w:r w:rsidRPr="00660EE5">
        <w:rPr>
          <w:rFonts w:asciiTheme="minorHAnsi" w:hAnsiTheme="minorHAnsi"/>
          <w:color w:val="000000" w:themeColor="text1"/>
          <w:sz w:val="24"/>
          <w:szCs w:val="24"/>
        </w:rPr>
        <w:lastRenderedPageBreak/>
        <w:t>dirigenziale del medesimo Ministero sono incrementati, nei limiti di cui al comma 9 e in deroga ai limiti finanziari previsti dalla normativa vigente:</w:t>
      </w:r>
    </w:p>
    <w:p w14:paraId="65D478F8"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   a) l'indennità di amministrazione di complessivi euro 1.986.272,57 per l'anno 2021 ed euro 5.958.817,70 a decorrere dall'anno 2022, al lordo degli oneri a carico dell'amministrazione;</w:t>
      </w:r>
    </w:p>
    <w:p w14:paraId="2331AC58"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   b) il fondo risorse decentrate del personale di cui all'articolo 76 del contratto collettivo nazionale di lavoro del comparto funzioni centrali 2016-2018 relativo al Ministero delle infrastrutture e della mobilità sostenibili, di euro 2.446.641,12 per l'anno 2021 ed euro 7.339.923,35 a decorrere dall'anno 2022, al lordo degli oneri a carico dell'amministrazione.</w:t>
      </w:r>
    </w:p>
    <w:p w14:paraId="43AD752C"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70750494"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8. Per le medesime finalità di cui al comma 7 e in considerazione delle peculiari responsabilità del personale dirigenziale del Ministero delle infrastrutture e della mobilità sostenibili, i fondi per la retribuzione di posizione e la retribuzione di risultato del medesimo personale sono incrementati, a decorrere dalla data di entrata in vigore del presente decreto:</w:t>
      </w:r>
    </w:p>
    <w:p w14:paraId="543D9BAC"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   a) nella misura di complessivi euro 203.578.47 per l'anno 2021 ed euro 610.735,40 a decorrere dall'anno 2022, al lordo degli oneri a carico dell'amministrazione, per il personale di livello dirigenziale generale;</w:t>
      </w:r>
    </w:p>
    <w:p w14:paraId="5A8A03B4"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   b) nella misura di complessivi euro 843.366,54 per l'anno 2021 ed euro 2.530.099,62 a decorrere dall'anno 2022, al lordo degli oneri a carico dell'amministrazione, per il personale di livello dirigenziale non generale.</w:t>
      </w:r>
    </w:p>
    <w:p w14:paraId="7BBCF1A5"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1A8F3E4E"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9. Agli oneri derivanti dai commi 6, 7 e 8, quantificati in complessivi euro 5.497.859 per l'anno 2021 ed in complessivi euro 16.475.576 a decorrere dall'anno 2022, si provvede mediante corrispondente riduzione del fondo speciale di parte corrente iscritto ai fini del bilancio triennale 2021-2023, nell'ambito del programma «Fondi di riserva e speciali» della missione «Fondi da ripartire» dello stato di previsione del Ministero dell'economia e delle finanze, allo scopo utilizzando l'accantonamento relativo al Ministero delle infrastrutture e dei trasporti. Il Ministro dell'economia e delle finanze è autorizzato ad apportare, con propri decreti, le occorrenti variazioni di bilancio.</w:t>
      </w:r>
    </w:p>
    <w:p w14:paraId="0455F774"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7102CAB2"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10. Il regolamento di cui all'articolo 113, comma 3, del decreto legislativo 18 aprile 2016, n. 50, si applica agli appalti di lavori, servizi e forniture le cui procedure di gara sono state avviate successivamente alla data di entrata in vigore del medesimo decreto legislativo, anche se eseguiti prima dell'entrata in vigore del </w:t>
      </w:r>
      <w:proofErr w:type="gramStart"/>
      <w:r w:rsidRPr="00660EE5">
        <w:rPr>
          <w:rFonts w:asciiTheme="minorHAnsi" w:hAnsiTheme="minorHAnsi"/>
          <w:color w:val="000000" w:themeColor="text1"/>
          <w:sz w:val="24"/>
          <w:szCs w:val="24"/>
        </w:rPr>
        <w:t>predetto</w:t>
      </w:r>
      <w:proofErr w:type="gramEnd"/>
      <w:r w:rsidRPr="00660EE5">
        <w:rPr>
          <w:rFonts w:asciiTheme="minorHAnsi" w:hAnsiTheme="minorHAnsi"/>
          <w:color w:val="000000" w:themeColor="text1"/>
          <w:sz w:val="24"/>
          <w:szCs w:val="24"/>
        </w:rPr>
        <w:t xml:space="preserve"> regolamento. Gli oneri per la ripartizione delle risorse finanziarie di cui all'articolo 113, comma 2, del decreto legislativo n. 50 del 2016 fanno carico agli stanziamenti già accantonati per i singoli appalti di lavori, servizi e forniture di cui al primo periodo negli stati di previsione della spesa o nei bilanci delle stazioni appaltanti.</w:t>
      </w:r>
    </w:p>
    <w:p w14:paraId="1326F94A"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593651A4"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11. All'articolo 10, comma 1, lettera f), del decreto legislativo 21 novembre 2005, n. 284, sono apportate le seguenti modificazioni:</w:t>
      </w:r>
    </w:p>
    <w:p w14:paraId="13E6DE8B"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   a) all'alinea, le parole «un rappresentante per ciascuna» sono sostituite dalle seguenti: «un rappresentante espressione»;</w:t>
      </w:r>
    </w:p>
    <w:p w14:paraId="1AF4256F"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lastRenderedPageBreak/>
        <w:t>   b) al punto 7, le parole «delle Confederazioni alle quali aderisce» sono sostituite dalle seguenti: «della Confederazione alla quale aderisce; ove sia rappresentata per il tramite della Confederazione, tale Confederazione deve aver fatto parte dell'Assemblea Generale del Consiglio nazionale dell'economia e del lavoro almeno per tre mandati negli ultimi cinque e può indicare una sola associazione di categoria».</w:t>
      </w:r>
    </w:p>
    <w:p w14:paraId="234CC9E0"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53E952D7"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Articolo 6.</w:t>
      </w:r>
    </w:p>
    <w:p w14:paraId="391BF259" w14:textId="256E3373"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(Disposizioni urgenti per la funzionalità dell'Agenzia nazionale per la sicurezza delle infrastrutture stradali e autostradali</w:t>
      </w:r>
      <w:r w:rsidR="00602F70">
        <w:rPr>
          <w:rFonts w:asciiTheme="minorHAnsi" w:hAnsiTheme="minorHAnsi"/>
          <w:color w:val="000000" w:themeColor="text1"/>
          <w:sz w:val="24"/>
          <w:szCs w:val="24"/>
        </w:rPr>
        <w:t xml:space="preserve"> </w:t>
      </w:r>
      <w:r w:rsidR="00602F70" w:rsidRPr="00332D91">
        <w:rPr>
          <w:rFonts w:eastAsia="Times New Roman" w:cs="Arial"/>
          <w:b/>
          <w:bCs/>
          <w:color w:val="000000" w:themeColor="text1"/>
          <w:sz w:val="24"/>
          <w:szCs w:val="24"/>
        </w:rPr>
        <w:t>e dell'Ente nazionale per l'aviazione civile</w:t>
      </w:r>
      <w:r w:rsidR="00602F70">
        <w:rPr>
          <w:rStyle w:val="Rimandonotaapidipagina"/>
          <w:rFonts w:eastAsia="Times New Roman" w:cs="Arial"/>
          <w:b/>
          <w:bCs/>
          <w:color w:val="000000" w:themeColor="text1"/>
          <w:sz w:val="24"/>
          <w:szCs w:val="24"/>
        </w:rPr>
        <w:footnoteReference w:id="77"/>
      </w:r>
      <w:r w:rsidRPr="00660EE5">
        <w:rPr>
          <w:rFonts w:asciiTheme="minorHAnsi" w:hAnsiTheme="minorHAnsi"/>
          <w:color w:val="000000" w:themeColor="text1"/>
          <w:sz w:val="24"/>
          <w:szCs w:val="24"/>
        </w:rPr>
        <w:t>)</w:t>
      </w:r>
    </w:p>
    <w:p w14:paraId="002D1DEC"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5DE19530"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1. All'articolo 12 del decreto-legge 28 settembre 2018, n. 109, convertito, con modificazioni, dalla legge 16 novembre 2018, n. 130, sono apportate le seguenti modificazioni:</w:t>
      </w:r>
    </w:p>
    <w:p w14:paraId="322543F5"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   a) al comma 4:</w:t>
      </w:r>
    </w:p>
    <w:p w14:paraId="5AACD6FC"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    1) alla lettera a), le parole «ed alla Commissione di cui all'articolo 4 del decreto legislativo 5 ottobre 2006, n. 264» sono soppresse;</w:t>
      </w:r>
    </w:p>
    <w:p w14:paraId="33C0583D"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    2) alla lettera g), dopo le parole «le ispezioni di sicurezza» sono inserite le seguenti: «con le modalità»;</w:t>
      </w:r>
    </w:p>
    <w:p w14:paraId="7505FC11"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    3) alla lettera l), dopo le parole «n. 35 del 2011», sono aggiunte le seguenti: «, da destinare all'Agenzia per lo svolgimento delle attività di cui agli articoli 5 e 6 del medesimo decreto legislativo»;</w:t>
      </w:r>
    </w:p>
    <w:p w14:paraId="01A40533"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   b) il comma 4-quater è sostituito dal seguente: «4-quater. Sono trasferite all'Agenzia le funzioni esercitate dagli uffici speciali trasporti a impianti fissi (USTIF) del Ministero delle infrastrutture e della mobilità sostenibili ai sensi dell'articolo 9, commi 5 e 6, del decreto del Ministro delle infrastrutture e dei trasporti 4 agosto 2014, pubblicato nel supplemento ordinario alla Gazzetta Ufficiale n. 297 del 23 dicembre 2014, e del decreto del Ministro delle infrastrutture e dei trasporti 29 settembre 2003, pubblicato nella Gazzetta Ufficiale della Repubblica italiana n. 280 del 2 dicembre 2003. L'Agenzia, con proprio decreto, disciplina i requisiti per il rilascio dell'autorizzazione di sicurezza relativa al sistema di trasporto costituito dall'infrastruttura e dal materiale rotabile, con i contenuti di cui agli articoli 9 e 11 del decreto legislativo 14 maggio 2019, n. 50, per quanto applicabili, nonché, d'intesa con il Ministero delle infrastrutture e della mobilità sostenibili, le modalità per la realizzazione e l'apertura all'esercizio di nuovi sistemi di trasporto a impianti fissi.»;</w:t>
      </w:r>
    </w:p>
    <w:p w14:paraId="0C683419"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   c) al comma 5, le parole «comma 4, lettere a) e c)» sono sostituite dalle seguenti: «comma 4, lettere a) e g)»;</w:t>
      </w:r>
    </w:p>
    <w:p w14:paraId="14A349E6"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   d) al comma 5-bis, primo periodo, le parole «ed alla Commissione di cui all'articolo 4 del decreto legislativo 5 ottobre 2006, n. 264» sono soppresse;</w:t>
      </w:r>
    </w:p>
    <w:p w14:paraId="5756BEFA"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   e) al comma 9, lettera b), le parole «569 unità, di cui 42 di livello dirigenziale non generale e 2 uffici di livello dirigenziale generale» sono sostitute dalle seguenti: «668 unità, di cui 48 di livello dirigenziale non generale e 3 uffici di livello dirigenziale generale»;</w:t>
      </w:r>
    </w:p>
    <w:p w14:paraId="35E96AC7"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lastRenderedPageBreak/>
        <w:t>   f) al comma 13, le parole «due posizioni di uffici di livello dirigenziale generale» sono sostituite dalle seguenti: «tre posizioni di uffici di livello dirigenziale generale»;</w:t>
      </w:r>
    </w:p>
    <w:p w14:paraId="56B2304E"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0CF3FC47"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2. All'articolo 12, comma 3, lettera a), del decreto legislativo 30 aprile 1992, n. 285, dopo le parole «e dal personale dell'A.N.A.S.» sono aggiunte le seguenti: «, nonché dal personale, con compiti ispettivi o di vigilanza sulle infrastrutture stradali o autostradali, dell'Agenzia nazionale per la sicurezza delle ferrovie e delle infrastrutture stradali e autostradali».</w:t>
      </w:r>
    </w:p>
    <w:p w14:paraId="0721DE67"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395DC825"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3. Fino al 31 dicembre 2023, ai fini dell'ammissione all'esame di qualificazione di cui all'articolo 12, comma 3, del decreto legislativo 30 aprile 1992, n. 285, non è richiesto per il personale dell'Agenzia nazionale per la sicurezza delle ferrovie e delle infrastrutture stradali e autostradali il possesso del requisito dell'anzianità di inquadramento previsto dall'articolo 23, comma 2, secondo periodo, del decreto del Presidente della Repubblica 16 dicembre 1992, n. 495.</w:t>
      </w:r>
    </w:p>
    <w:p w14:paraId="5DD40C28"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2AE336C5"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4. Entro novanta giorni dalla data di entrata in vigore della legge di conversione del presente decreto si provvede all'adeguamento dello statuto, del regolamento di amministrazione e dei regolamenti che disciplinano il funzionamento dell'Agenzia nazionale per la sicurezza delle ferrovie e delle infrastrutture stradali e autostradali secondo le modalità previste dall'articolo 12, commi 8, 9 e 10, del decreto-legge 28 settembre 2018, n. 109, convertito, con modificazioni, dalla legge 16 novembre 2018, n. 130.</w:t>
      </w:r>
    </w:p>
    <w:p w14:paraId="69B8EE0B"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76910AF6"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5. Gli Uffici speciali trasporti a impianti fissi, di seguito USTIF, del Ministero delle infrastrutture e della mobilità sostenibili e il relativo personale, pari a sei unità di livello dirigenziale non generale e novantadue unità di personale delle aree funzionali, di cui quarantotto di area III, trentotto di area II e sei di area I, sono trasferiti all'Agenzia nazionale per la sicurezza delle ferrovie e delle infrastrutture stradali e autostradali, a decorrere dal 1° gennaio 2022. Conseguentemente, la dotazione organica del personale del Ministero delle infrastrutture e della mobilità sostenibili, ferme restando le 38 posizioni di livello dirigenziale generale, è rideterminata in 189 posizioni di livello dirigenziale non generale e 7.674 unità di personale delle aree funzionali di cui 2.966 di area III, 4.497 di area II e 211 di area I. Le risorse umane trasferite includono il personale di ruolo dirigenziale e non dirigenziale, nonché il personale a tempo determinato con incarico dirigenziale ai sensi dell'articolo 19, comma 6, del decreto legislativo 30 marzo 2001, n. 165, che risulta in servizio alla data di entrata in vigore della legge di conversione del presente decreto. Al personale non dirigenziale trasferito ai sensi del presente comma si applica il trattamento economico, compreso quello accessorio, previsto nell'amministrazione di destinazione e viene corrisposto un assegno ad personam riassorbibile pari all'eventuale differenza fra le voci fisse e continuative del trattamento economico dell'amministrazione di provenienza, ove superiore, e quelle riconosciute presso l'amministrazione di destinazione. Nelle more dell'entrata in vigore del regolamento di amministrazione di cui al comma 4, al personale dirigenziale trasferito ai sensi del presente comma continuano ad applicarsi i contratti individuali di lavoro stipulati ai sensi dell'articolo 19, comma 2, del decreto legislativo 30 marzo 2001, n. 165, vigenti alla data di entrata in vigore del presente decreto. Fino alla data di adozione del decreto del Ministro dell'economia e delle finanze di cui al comma 6, il Ministero </w:t>
      </w:r>
      <w:r w:rsidRPr="00660EE5">
        <w:rPr>
          <w:rFonts w:asciiTheme="minorHAnsi" w:hAnsiTheme="minorHAnsi"/>
          <w:color w:val="000000" w:themeColor="text1"/>
          <w:sz w:val="24"/>
          <w:szCs w:val="24"/>
        </w:rPr>
        <w:lastRenderedPageBreak/>
        <w:t>delle infrastrutture e della mobilità sostenibili provvede alla corresponsione del trattamento economico spettante al personale trasferito nella misura già corrisposta e le eventuali differenze sono a carico dell'Agenzia nazionale per la sicurezza delle ferrovie e delle infrastrutture stradali e autostradali. A decorrere dalla medesima data, le risorse finanziarie sono allocate sul pertinente capitolo di spesa del Ministero delle infrastrutture e della mobilità sostenibili per essere trasferite all'Agenzia nazionale per la sicurezza delle ferrovie e delle infrastrutture stradali e autostradali. Tale importo considera i costi del trattamento economico corrisposto al personale trasferito e tiene conto delle voci retributive fisse e continuative, del costo dei buoni pasto, della remunerazione del lavoro straordinario e del trattamento economico di cui al Fondo risorse decentrate. Fino alla data di entrata in vigore del regolamento di amministrazione di cui al comma 4, l'attività facente capo agli USTIF continua ad essere esercitata presso le sedi e gli uffici già individuati dal decreto ministeriale 4 agosto 2014, pubblicato nel supplemento ordinario alla Gazzetta Ufficiale della Repubblica italiana n. 297 del 23 dicembre 2014.</w:t>
      </w:r>
    </w:p>
    <w:p w14:paraId="355E7FF2"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055F3511"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6. Il Ministro dell'economia e delle finanze provvede, con proprio decreto, ad effettuare le occorrenti variazioni di bilancio, in termini di residui, di competenza e di cassa ivi comprese l'istituzione, la modifica e la soppressione di missioni e programmi. A decorrere dalla data di adozione del decreto del Ministro dell'economia e delle finanze di cui al primo periodo transitano all'Agenzia nazionale per la sicurezza delle ferrovie e delle infrastrutture stradali e autostradali i rapporti giuridici attivi e passivi relativi alle funzioni trasferite. A decorrere dalla medesima data, il Ministero delle infrastrutture e della mobilità sostenibili e l'Agenzia nazionale per la sicurezza delle ferrovie e delle infrastrutture stradali e autostradali provvedono al trasferimento delle corrispondenti risorse strumentali tramite protocolli d'intesa.</w:t>
      </w:r>
    </w:p>
    <w:p w14:paraId="308391F6"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42835A77"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7. Agli oneri derivanti dai commi 1, lettere e) ed f), e 5, pari a 1.355.309 euro annui a decorrere dal 2022 si provvede a valere sulle risorse disponibili nel bilancio dell'Agenzia nazionale per la sicurezza delle ferrovie e delle infrastrutture stradali e autostradali. Alla compensazione dei relativi effetti finanziari, in termini di fabbisogno e di indebitamento netto, pari a 697.985 euro annui a decorrere dall'anno 2022 si provvede mediante corrispondente riduzione del Fondo per la compensazione degli effetti finanziari non previsti a legislazione vigente conseguenti all'attualizzazione di contributi pluriennali, di cui all'articolo 6, comma 2, del decreto-legge 7 ottobre 2008, n. 154, convertito, con modificazioni, dalla legge 4 dicembre 2008, n. 189.</w:t>
      </w:r>
    </w:p>
    <w:p w14:paraId="443267BD"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5CC295B3"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8. All'articolo 4 del decreto legislativo 5 ottobre 2006, n. 264, sono apportate le seguenti modificazioni:</w:t>
      </w:r>
    </w:p>
    <w:p w14:paraId="2FF5DE47"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   a) al comma 1, le parole «il Consiglio superiore dei lavori pubblici» sono sostituite dalle seguenti: «l'Agenzia nazionale per la sicurezza delle ferrovie e delle infrastrutture stradali e autostradali»;</w:t>
      </w:r>
    </w:p>
    <w:p w14:paraId="065D1300" w14:textId="39E43D6A" w:rsid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   b) al comma 2, primo periodo, le parole «La Commissione è composta dal Presidente del Consiglio superiore dei lavori pubblici o da un suo delegato, che la presiede, da sette esperti tecnici designati dal Presidente del Consiglio superiore dei lavori pubblici» sono sostituite dalle seguenti: «La Commissione è composta dal Direttore dell'Agenzia nazionale per la sicurezza delle ferrovie e delle infrastrutture stradali e autostradali o da un suo delegato, che la presiede, da quattro esperti tecnici designati dal Direttore dell'Agenzia nazionale per la sicurezza delle ferrovie e delle infrastrutture stradali e autostradali, da tre </w:t>
      </w:r>
      <w:r w:rsidRPr="00660EE5">
        <w:rPr>
          <w:rFonts w:asciiTheme="minorHAnsi" w:hAnsiTheme="minorHAnsi"/>
          <w:color w:val="000000" w:themeColor="text1"/>
          <w:sz w:val="24"/>
          <w:szCs w:val="24"/>
        </w:rPr>
        <w:lastRenderedPageBreak/>
        <w:t>esperti tecnici designati dal Presidente del Consiglio superiore dei lavori pubblici» e, al secondo periodo, le parole «La Commissione è nominata con provvedimento del Presidente del Consiglio superiore dei lavori pubblici» sono sostituite dalle seguenti: «La Commissione è nominata con provvedimento del Direttore dell'Agenzia nazionale per la sicurezza delle ferrovie e delle infrastrutture stradali e autostradali</w:t>
      </w:r>
      <w:r w:rsidR="00602F70">
        <w:rPr>
          <w:rFonts w:eastAsia="Times New Roman" w:cs="Arial"/>
          <w:b/>
          <w:bCs/>
          <w:color w:val="000000" w:themeColor="text1"/>
          <w:sz w:val="24"/>
          <w:szCs w:val="24"/>
        </w:rPr>
        <w:t>,</w:t>
      </w:r>
      <w:r w:rsidR="00602F70" w:rsidRPr="00602F70">
        <w:rPr>
          <w:rFonts w:eastAsia="Times New Roman" w:cs="Arial"/>
          <w:b/>
          <w:bCs/>
          <w:color w:val="000000" w:themeColor="text1"/>
          <w:sz w:val="24"/>
          <w:szCs w:val="24"/>
        </w:rPr>
        <w:t xml:space="preserve"> nel rispetto del principio della parità di genere</w:t>
      </w:r>
      <w:r w:rsidR="00602F70">
        <w:rPr>
          <w:rStyle w:val="Rimandonotaapidipagina"/>
          <w:rFonts w:eastAsia="Times New Roman" w:cs="Arial"/>
          <w:b/>
          <w:bCs/>
          <w:color w:val="000000" w:themeColor="text1"/>
          <w:sz w:val="24"/>
          <w:szCs w:val="24"/>
        </w:rPr>
        <w:footnoteReference w:id="78"/>
      </w:r>
      <w:r w:rsidR="00602F70" w:rsidRPr="00660EE5">
        <w:rPr>
          <w:rFonts w:asciiTheme="minorHAnsi" w:hAnsiTheme="minorHAnsi"/>
          <w:color w:val="000000" w:themeColor="text1"/>
          <w:sz w:val="24"/>
          <w:szCs w:val="24"/>
        </w:rPr>
        <w:t xml:space="preserve"> </w:t>
      </w:r>
      <w:r w:rsidRPr="00660EE5">
        <w:rPr>
          <w:rFonts w:asciiTheme="minorHAnsi" w:hAnsiTheme="minorHAnsi"/>
          <w:color w:val="000000" w:themeColor="text1"/>
          <w:sz w:val="24"/>
          <w:szCs w:val="24"/>
        </w:rPr>
        <w:t>»;</w:t>
      </w:r>
    </w:p>
    <w:p w14:paraId="3BAEAC3C"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   c) al comma 11, le parole «del Consiglio superiore dei lavori pubblici» sono sostituite dalle seguenti: «dell'Agenzia nazionale per la sicurezza delle ferrovie e delle infrastrutture stradali e autostradali».</w:t>
      </w:r>
    </w:p>
    <w:p w14:paraId="37124D58"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542DF0C0" w14:textId="6F68FDEF" w:rsid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9. Con provvedimento adottato dal Direttore dell'Agenzia nazionale per la sicurezza delle ferrovie e delle infrastrutture stradali e autostradali entro quarantacinque giorni dalla data di entrata in vigore della legge di conversione del presente decreto, è rinnovata la composizione della Commissione permanente di cui all'articolo 4 del decreto legislativo 5 ottobre 2006, n. 264, come modificato dal presente decreto. Fino alla data di adozione del provvedimento di cui al primo periodo, continua ad operare la Commissione permanente nella composizione esistente alla data di entrata in vigore del presente decreto.</w:t>
      </w:r>
    </w:p>
    <w:p w14:paraId="29E2B096" w14:textId="789D4095" w:rsidR="00107EE3" w:rsidRDefault="00107EE3" w:rsidP="00660EE5">
      <w:pPr>
        <w:spacing w:after="0" w:line="240" w:lineRule="auto"/>
        <w:jc w:val="both"/>
        <w:rPr>
          <w:rFonts w:asciiTheme="minorHAnsi" w:hAnsiTheme="minorHAnsi"/>
          <w:color w:val="000000" w:themeColor="text1"/>
          <w:sz w:val="24"/>
          <w:szCs w:val="24"/>
        </w:rPr>
      </w:pPr>
    </w:p>
    <w:p w14:paraId="3F6C4614" w14:textId="77777777" w:rsidR="00107EE3" w:rsidRDefault="00107EE3" w:rsidP="00107EE3">
      <w:pPr>
        <w:shd w:val="clear" w:color="auto" w:fill="FFFFFF"/>
        <w:spacing w:after="0" w:line="240" w:lineRule="auto"/>
        <w:jc w:val="both"/>
        <w:rPr>
          <w:rFonts w:eastAsia="Times New Roman" w:cs="Arial"/>
          <w:b/>
          <w:bCs/>
          <w:color w:val="000000" w:themeColor="text1"/>
          <w:sz w:val="24"/>
          <w:szCs w:val="24"/>
        </w:rPr>
      </w:pPr>
      <w:r w:rsidRPr="00EC3DE8">
        <w:rPr>
          <w:rFonts w:eastAsia="Times New Roman" w:cs="Arial"/>
          <w:b/>
          <w:bCs/>
          <w:color w:val="000000" w:themeColor="text1"/>
          <w:sz w:val="24"/>
          <w:szCs w:val="24"/>
        </w:rPr>
        <w:t>9-</w:t>
      </w:r>
      <w:r w:rsidRPr="00EC3DE8">
        <w:rPr>
          <w:rFonts w:eastAsia="Times New Roman" w:cs="Arial"/>
          <w:b/>
          <w:bCs/>
          <w:i/>
          <w:iCs/>
          <w:color w:val="000000" w:themeColor="text1"/>
          <w:sz w:val="24"/>
          <w:szCs w:val="24"/>
        </w:rPr>
        <w:t>bis</w:t>
      </w:r>
      <w:r w:rsidRPr="00EC3DE8">
        <w:rPr>
          <w:rFonts w:eastAsia="Times New Roman" w:cs="Arial"/>
          <w:b/>
          <w:bCs/>
          <w:color w:val="000000" w:themeColor="text1"/>
          <w:sz w:val="24"/>
          <w:szCs w:val="24"/>
        </w:rPr>
        <w:t>. Nell'ambito della dotazione organica, così come modificata dall'articolo 1, comma 1004, della legge 30 dicembre 2020, n. 178, l'Ente nazionale per l'aviazione civile (ENAC) è autorizzato ad istituire cinque unità di personale di livello dirigenziale di prima fascia, da selezionare, in sede di prima applicazione, mediante concorso per titoli ed esami, con iscrizione nel bilancio dell'Ente del relativo Fondo e trasferimento delle risorse destinate al trattamento di pari unità di personale dirigenziale di seconda fascia.</w:t>
      </w:r>
    </w:p>
    <w:p w14:paraId="37C94F1F" w14:textId="77777777" w:rsidR="00107EE3" w:rsidRPr="00EC3DE8" w:rsidRDefault="00107EE3" w:rsidP="00107EE3">
      <w:pPr>
        <w:shd w:val="clear" w:color="auto" w:fill="FFFFFF"/>
        <w:spacing w:after="0" w:line="240" w:lineRule="auto"/>
        <w:jc w:val="both"/>
        <w:rPr>
          <w:rFonts w:eastAsia="Times New Roman" w:cs="Arial"/>
          <w:b/>
          <w:bCs/>
          <w:color w:val="000000" w:themeColor="text1"/>
          <w:sz w:val="24"/>
          <w:szCs w:val="24"/>
        </w:rPr>
      </w:pPr>
      <w:r w:rsidRPr="00EC3DE8">
        <w:rPr>
          <w:rFonts w:eastAsia="Times New Roman" w:cs="Arial"/>
          <w:b/>
          <w:bCs/>
          <w:color w:val="000000" w:themeColor="text1"/>
          <w:sz w:val="24"/>
          <w:szCs w:val="24"/>
        </w:rPr>
        <w:t> </w:t>
      </w:r>
      <w:r w:rsidRPr="00EC3DE8">
        <w:rPr>
          <w:rFonts w:eastAsia="Times New Roman" w:cs="Arial"/>
          <w:b/>
          <w:bCs/>
          <w:color w:val="000000" w:themeColor="text1"/>
          <w:sz w:val="24"/>
          <w:szCs w:val="24"/>
        </w:rPr>
        <w:t> </w:t>
      </w:r>
      <w:r w:rsidRPr="00EC3DE8">
        <w:rPr>
          <w:rFonts w:eastAsia="Times New Roman" w:cs="Arial"/>
          <w:b/>
          <w:bCs/>
          <w:color w:val="000000" w:themeColor="text1"/>
          <w:sz w:val="24"/>
          <w:szCs w:val="24"/>
        </w:rPr>
        <w:t> </w:t>
      </w:r>
    </w:p>
    <w:p w14:paraId="40ED3AA5" w14:textId="655D3D39" w:rsidR="00107EE3" w:rsidRPr="00EC3DE8" w:rsidRDefault="00107EE3" w:rsidP="00107EE3">
      <w:pPr>
        <w:shd w:val="clear" w:color="auto" w:fill="FFFFFF"/>
        <w:spacing w:after="0" w:line="240" w:lineRule="auto"/>
        <w:jc w:val="both"/>
        <w:rPr>
          <w:rFonts w:eastAsia="Times New Roman" w:cs="Arial"/>
          <w:b/>
          <w:bCs/>
          <w:color w:val="000000" w:themeColor="text1"/>
          <w:sz w:val="24"/>
          <w:szCs w:val="24"/>
        </w:rPr>
      </w:pPr>
      <w:r w:rsidRPr="00EC3DE8">
        <w:rPr>
          <w:rFonts w:eastAsia="Times New Roman" w:cs="Arial"/>
          <w:b/>
          <w:bCs/>
          <w:color w:val="000000" w:themeColor="text1"/>
          <w:sz w:val="24"/>
          <w:szCs w:val="24"/>
        </w:rPr>
        <w:t>9-</w:t>
      </w:r>
      <w:r w:rsidRPr="00EC3DE8">
        <w:rPr>
          <w:rFonts w:eastAsia="Times New Roman" w:cs="Arial"/>
          <w:b/>
          <w:bCs/>
          <w:i/>
          <w:iCs/>
          <w:color w:val="000000" w:themeColor="text1"/>
          <w:sz w:val="24"/>
          <w:szCs w:val="24"/>
        </w:rPr>
        <w:t>ter</w:t>
      </w:r>
      <w:r w:rsidRPr="00EC3DE8">
        <w:rPr>
          <w:rFonts w:eastAsia="Times New Roman" w:cs="Arial"/>
          <w:b/>
          <w:bCs/>
          <w:color w:val="000000" w:themeColor="text1"/>
          <w:sz w:val="24"/>
          <w:szCs w:val="24"/>
        </w:rPr>
        <w:t>. Agli oneri derivanti dal comma 9-bis, pari a 240 mila euro annui a decorrere dal 2022, si provvede a valere sulle risorse disponibili nel bilancio dell'Ente nazionale per l'aviazione civile (ENAC). Alla compensazione dei relativi effetti finanziari, in termini di fabbisogno e di indebitamento netto, entro il limite di 240.000 euro annui a decorrere dall'anno 2022, si provvede mediante corrispondente riduzione delle proiezioni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medesimo Ministero. Il Ministro dell'economia e delle finanze è autorizzato ad apportare, con propri decreti, le occorrenti variazioni di bilancio.</w:t>
      </w:r>
      <w:r>
        <w:rPr>
          <w:rStyle w:val="Rimandonotaapidipagina"/>
          <w:rFonts w:eastAsia="Times New Roman" w:cs="Arial"/>
          <w:b/>
          <w:bCs/>
          <w:color w:val="000000" w:themeColor="text1"/>
          <w:sz w:val="24"/>
          <w:szCs w:val="24"/>
        </w:rPr>
        <w:footnoteReference w:id="79"/>
      </w:r>
    </w:p>
    <w:p w14:paraId="43C38904" w14:textId="77777777" w:rsidR="00107EE3" w:rsidRPr="00660EE5" w:rsidRDefault="00107EE3" w:rsidP="00660EE5">
      <w:pPr>
        <w:spacing w:after="0" w:line="240" w:lineRule="auto"/>
        <w:jc w:val="both"/>
        <w:rPr>
          <w:rFonts w:asciiTheme="minorHAnsi" w:hAnsiTheme="minorHAnsi"/>
          <w:color w:val="000000" w:themeColor="text1"/>
          <w:sz w:val="24"/>
          <w:szCs w:val="24"/>
        </w:rPr>
      </w:pPr>
    </w:p>
    <w:p w14:paraId="0179D00B"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392EE4C1"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Articolo 7.</w:t>
      </w:r>
    </w:p>
    <w:p w14:paraId="570A80C7"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lastRenderedPageBreak/>
        <w:t>(Disposizioni urgenti in materia di trasporto aereo)</w:t>
      </w:r>
    </w:p>
    <w:p w14:paraId="48FB2E3B"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67296266"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1. Al fine di assicurare il pieno rispetto del vigente sistema di distribuzione del traffico aereo sul sistema aeroportuale milanese e di consentire una transizione ordinata nel settore del trasporto aereo che eviti, anche in considerazione degli effetti derivanti dall'emergenza epidemiologica da COVID-19, disservizi per il traffico di passeggeri e merci da e verso gli aeroporti del Regno Unito, le disposizioni di cui all'articolo 17-quater del decreto-legge 25 marzo 2019, n. 22, convertito, con modificazioni, dalla legge 20 maggio 2019, n. 41, si applicano fino alla data del 30 ottobre 2022.</w:t>
      </w:r>
    </w:p>
    <w:p w14:paraId="39B0E282"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51EE6DF1"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2. All'articolo 11-quater, del decreto-legge 25 maggio 2021, n. 73, convertito, con modificazioni, dalla legge 23 luglio 2021, n. 106 sono apportate le seguenti modificazioni:</w:t>
      </w:r>
    </w:p>
    <w:p w14:paraId="42FC92CA"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a) il comma 4 è sostituito dal seguente: «4. Il programma della procedura di amministrazione straordinaria è immediatamente adeguato dai commissari straordinari alla decisione della Commissione europea di cui al citato articolo 79, comma 4-bis, del decreto-legge n. 18 del 2020 che possono procedere all'adozione, per ciascun compendio di beni oggetto di cessione, anche di distinti programmi nell'ambito di quelli previsti dall'articolo 27 del decreto legislativo 8 luglio 1999, n. 270. Le modifiche al programma, la cui durata si computa dalla data di modifica, possono essere adottate anche dopo la scadenza del termine del primo programma autorizzato e possono prevedere la cessione a trattativa privata anche di singoli beni, rami d'azienda o parti di essi, perimetrati in coerenza con la decisione della Commissione europea. Il programma predisposto e adottato dai commissari straordinari in conformità al piano industriale di cui al citato articolo 79, comma 4-bis, e alla decisione della Commissione europea si intende ad ogni effetto autorizzato. È parimenti autorizzata la cessione diretta alla società di cui all'articolo 79, comma 4-bis, del decreto-legge n. 18 del 2020 di compendi aziendali del ramo </w:t>
      </w:r>
      <w:proofErr w:type="spellStart"/>
      <w:r w:rsidRPr="00660EE5">
        <w:rPr>
          <w:rFonts w:asciiTheme="minorHAnsi" w:hAnsiTheme="minorHAnsi"/>
          <w:color w:val="000000" w:themeColor="text1"/>
          <w:sz w:val="24"/>
          <w:szCs w:val="24"/>
        </w:rPr>
        <w:t>aviation</w:t>
      </w:r>
      <w:proofErr w:type="spellEnd"/>
      <w:r w:rsidRPr="00660EE5">
        <w:rPr>
          <w:rFonts w:asciiTheme="minorHAnsi" w:hAnsiTheme="minorHAnsi"/>
          <w:color w:val="000000" w:themeColor="text1"/>
          <w:sz w:val="24"/>
          <w:szCs w:val="24"/>
        </w:rPr>
        <w:t xml:space="preserve"> individuati dall'offerta vincolante formulata dalla società in conformità alla decisione della Commissione europea. A seguito della cessione totale o parziale dei compendi aziendali del ramo </w:t>
      </w:r>
      <w:proofErr w:type="spellStart"/>
      <w:r w:rsidRPr="00660EE5">
        <w:rPr>
          <w:rFonts w:asciiTheme="minorHAnsi" w:hAnsiTheme="minorHAnsi"/>
          <w:color w:val="000000" w:themeColor="text1"/>
          <w:sz w:val="24"/>
          <w:szCs w:val="24"/>
        </w:rPr>
        <w:t>aviation</w:t>
      </w:r>
      <w:proofErr w:type="spellEnd"/>
      <w:r w:rsidRPr="00660EE5">
        <w:rPr>
          <w:rFonts w:asciiTheme="minorHAnsi" w:hAnsiTheme="minorHAnsi"/>
          <w:color w:val="000000" w:themeColor="text1"/>
          <w:sz w:val="24"/>
          <w:szCs w:val="24"/>
        </w:rPr>
        <w:t>, gli slot aeroportuali non trasferiti all'acquirente sono restituiti al responsabile dell'assegnazione delle bande orarie sugli aeroporti individuato ai sensi del regolamento (CEE) n. 95/93 del Consiglio, del 18 gennaio 1993. È altresì autorizzata l'autonoma cessione, anche antecedentemente alla modifica del programma, del marchio “Alitalia”, da effettuarsi nei confronti di titolari di licenze di esercizio di trasporto aereo o di certificazioni di operatore aereo, individuati tramite procedura di gara che, nel rispetto delle diposizioni europee, anche in materia antitrust, garantisca la concorrenzialità delle offerte e la valorizzazione del marchio. La stima del valore dei complessi oggetto della cessione può essere effettuata tramite perizia disposta da un soggetto terzo individuato dall'organo commissariale, previo parere del comitato di sorveglianza, da rendere nel termine massimo di tre giorni dalla richiesta. A seguito della decisione della Commissione europea il Ministero dell'economia e delle finanze sottoscrive l'aumento di capitale della società di cui al citato articolo 79, comma 4-bis.»;</w:t>
      </w:r>
    </w:p>
    <w:p w14:paraId="6E9819DC" w14:textId="704146B2" w:rsid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b) il comma 9 è sostituito dal seguente: «9. Nello stato di previsione del Ministero dello sviluppo economico è istituito un fondo, con una dotazione di 100 milioni di euro per l'anno 2021, diretto a garantire l'indennizzo dei titolari di titoli di viaggio, nonché di voucher o analoghi titoli emessi dall'amministrazione straordinaria in conseguenza dell'emergenza epidemiologica da COVID-19 e non </w:t>
      </w:r>
      <w:r w:rsidRPr="00660EE5">
        <w:rPr>
          <w:rFonts w:asciiTheme="minorHAnsi" w:hAnsiTheme="minorHAnsi"/>
          <w:color w:val="000000" w:themeColor="text1"/>
          <w:sz w:val="24"/>
          <w:szCs w:val="24"/>
        </w:rPr>
        <w:lastRenderedPageBreak/>
        <w:t xml:space="preserve">utilizzati alla data del trasferimento dei complessi aziendali di cui al comma 3. L'indennizzo è erogato esclusivamente nell'ipotesi in cui non sia garantito al contraente un analogo servizio di trasporto ed è quantificato in misura pari all'importo del titolo di viaggio. Il Ministero dello sviluppo economico provvede al trasferimento all'Alitalia – Società Aerea Italiana S.p.a. e all'Alitalia </w:t>
      </w:r>
      <w:proofErr w:type="spellStart"/>
      <w:r w:rsidRPr="00660EE5">
        <w:rPr>
          <w:rFonts w:asciiTheme="minorHAnsi" w:hAnsiTheme="minorHAnsi"/>
          <w:color w:val="000000" w:themeColor="text1"/>
          <w:sz w:val="24"/>
          <w:szCs w:val="24"/>
        </w:rPr>
        <w:t>Cityliner</w:t>
      </w:r>
      <w:proofErr w:type="spellEnd"/>
      <w:r w:rsidRPr="00660EE5">
        <w:rPr>
          <w:rFonts w:asciiTheme="minorHAnsi" w:hAnsiTheme="minorHAnsi"/>
          <w:color w:val="000000" w:themeColor="text1"/>
          <w:sz w:val="24"/>
          <w:szCs w:val="24"/>
        </w:rPr>
        <w:t xml:space="preserve"> S.p.a. in amministrazione straordinaria delle risorse sulla base di specifica richiesta dei commissari che dia conto dei presupposti di cui al presente comma. I commissari provvedono mensilmente alla trasmissione al Ministero di un rendiconto delle somme erogate ai sensi della presente norma. Agli oneri derivanti dal presente comma, pari a 100 milioni di euro per l'anno 2021, si provvede ai sensi dell'articolo 77.»</w:t>
      </w:r>
      <w:r w:rsidR="00602F70">
        <w:rPr>
          <w:rFonts w:asciiTheme="minorHAnsi" w:hAnsiTheme="minorHAnsi"/>
          <w:color w:val="000000" w:themeColor="text1"/>
          <w:sz w:val="24"/>
          <w:szCs w:val="24"/>
        </w:rPr>
        <w:t>;</w:t>
      </w:r>
    </w:p>
    <w:p w14:paraId="6A8922E8" w14:textId="5DBAD461" w:rsidR="00602F70" w:rsidRPr="00332D91" w:rsidRDefault="00602F70" w:rsidP="00602F70">
      <w:pPr>
        <w:shd w:val="clear" w:color="auto" w:fill="FFFFFF"/>
        <w:spacing w:after="0" w:line="240" w:lineRule="auto"/>
        <w:jc w:val="both"/>
        <w:rPr>
          <w:rFonts w:eastAsia="Times New Roman" w:cs="Arial"/>
          <w:b/>
          <w:bCs/>
          <w:color w:val="000000" w:themeColor="text1"/>
          <w:sz w:val="24"/>
          <w:szCs w:val="24"/>
        </w:rPr>
      </w:pPr>
      <w:r w:rsidRPr="00332D91">
        <w:rPr>
          <w:rFonts w:eastAsia="Times New Roman" w:cs="Arial"/>
          <w:b/>
          <w:bCs/>
          <w:i/>
          <w:iCs/>
          <w:color w:val="000000" w:themeColor="text1"/>
          <w:sz w:val="24"/>
          <w:szCs w:val="24"/>
        </w:rPr>
        <w:t>b-bis)</w:t>
      </w:r>
      <w:r w:rsidRPr="00332D91">
        <w:rPr>
          <w:rFonts w:eastAsia="Times New Roman" w:cs="Arial"/>
          <w:b/>
          <w:bCs/>
          <w:color w:val="000000" w:themeColor="text1"/>
          <w:sz w:val="24"/>
          <w:szCs w:val="24"/>
        </w:rPr>
        <w:t> dopo il comma 9, è inserito il seguente:</w:t>
      </w:r>
    </w:p>
    <w:p w14:paraId="2A0D1438" w14:textId="3830ED32" w:rsidR="00602F70" w:rsidRDefault="00602F70" w:rsidP="00602F70">
      <w:pPr>
        <w:shd w:val="clear" w:color="auto" w:fill="FFFFFF"/>
        <w:spacing w:after="0" w:line="240" w:lineRule="auto"/>
        <w:jc w:val="both"/>
        <w:rPr>
          <w:rFonts w:eastAsia="Times New Roman" w:cs="Arial"/>
          <w:b/>
          <w:bCs/>
          <w:color w:val="000000" w:themeColor="text1"/>
          <w:sz w:val="24"/>
          <w:szCs w:val="24"/>
        </w:rPr>
      </w:pPr>
      <w:r w:rsidRPr="00332D91">
        <w:rPr>
          <w:rFonts w:eastAsia="Times New Roman" w:cs="Arial"/>
          <w:b/>
          <w:bCs/>
          <w:color w:val="000000" w:themeColor="text1"/>
          <w:sz w:val="24"/>
          <w:szCs w:val="24"/>
        </w:rPr>
        <w:t> </w:t>
      </w:r>
      <w:r w:rsidRPr="00332D91">
        <w:rPr>
          <w:rFonts w:eastAsia="Times New Roman" w:cs="Arial"/>
          <w:b/>
          <w:bCs/>
          <w:color w:val="000000" w:themeColor="text1"/>
          <w:sz w:val="24"/>
          <w:szCs w:val="24"/>
        </w:rPr>
        <w:t> </w:t>
      </w:r>
      <w:r w:rsidRPr="00332D91">
        <w:rPr>
          <w:rFonts w:eastAsia="Times New Roman" w:cs="Arial"/>
          <w:b/>
          <w:bCs/>
          <w:color w:val="000000" w:themeColor="text1"/>
          <w:sz w:val="24"/>
          <w:szCs w:val="24"/>
        </w:rPr>
        <w:t> </w:t>
      </w:r>
      <w:r w:rsidRPr="00332D91">
        <w:rPr>
          <w:rFonts w:eastAsia="Times New Roman" w:cs="Arial"/>
          <w:b/>
          <w:bCs/>
          <w:color w:val="000000" w:themeColor="text1"/>
          <w:sz w:val="24"/>
          <w:szCs w:val="24"/>
        </w:rPr>
        <w:t>«9-</w:t>
      </w:r>
      <w:r w:rsidRPr="00332D91">
        <w:rPr>
          <w:rFonts w:eastAsia="Times New Roman" w:cs="Arial"/>
          <w:b/>
          <w:bCs/>
          <w:i/>
          <w:iCs/>
          <w:color w:val="000000" w:themeColor="text1"/>
          <w:sz w:val="24"/>
          <w:szCs w:val="24"/>
        </w:rPr>
        <w:t>bis</w:t>
      </w:r>
      <w:r w:rsidRPr="00332D91">
        <w:rPr>
          <w:rFonts w:eastAsia="Times New Roman" w:cs="Arial"/>
          <w:b/>
          <w:bCs/>
          <w:color w:val="000000" w:themeColor="text1"/>
          <w:sz w:val="24"/>
          <w:szCs w:val="24"/>
        </w:rPr>
        <w:t>. Anche ai fini della salvaguardia dei livelli occupazionali e del reintegro dei servizi esternalizzati, quali la gestione aeroportuale dei servizi di assistenza a terra e di manutenzione, il Ministro dell'economia e delle finanze riferisce annualmente alle Commissioni parlamentari competenti sull'attuazione del piano industriale e sul programma di investimenti della società di cui all'articolo 79, comma 4-</w:t>
      </w:r>
      <w:r w:rsidRPr="00332D91">
        <w:rPr>
          <w:rFonts w:eastAsia="Times New Roman" w:cs="Arial"/>
          <w:b/>
          <w:bCs/>
          <w:i/>
          <w:iCs/>
          <w:color w:val="000000" w:themeColor="text1"/>
          <w:sz w:val="24"/>
          <w:szCs w:val="24"/>
        </w:rPr>
        <w:t>bis</w:t>
      </w:r>
      <w:r w:rsidRPr="00332D91">
        <w:rPr>
          <w:rFonts w:eastAsia="Times New Roman" w:cs="Arial"/>
          <w:b/>
          <w:bCs/>
          <w:color w:val="000000" w:themeColor="text1"/>
          <w:sz w:val="24"/>
          <w:szCs w:val="24"/>
        </w:rPr>
        <w:t>, del decreto-legge 17 marzo 2020, n. 18, sullo stato delle relazioni industriali e sugli aumenti di capitale deliberati. In sede di prima applicazione il Ministro riferisce entro il 31 marzo 2022.».</w:t>
      </w:r>
      <w:r>
        <w:rPr>
          <w:rStyle w:val="Rimandonotaapidipagina"/>
          <w:rFonts w:eastAsia="Times New Roman" w:cs="Arial"/>
          <w:b/>
          <w:bCs/>
          <w:color w:val="000000" w:themeColor="text1"/>
          <w:sz w:val="24"/>
          <w:szCs w:val="24"/>
        </w:rPr>
        <w:footnoteReference w:id="80"/>
      </w:r>
    </w:p>
    <w:p w14:paraId="5C24FBE4" w14:textId="4EAE049A" w:rsidR="00660EE5" w:rsidRDefault="00660EE5" w:rsidP="00660EE5">
      <w:pPr>
        <w:spacing w:after="0" w:line="240" w:lineRule="auto"/>
        <w:jc w:val="both"/>
        <w:rPr>
          <w:rFonts w:asciiTheme="minorHAnsi" w:hAnsiTheme="minorHAnsi"/>
          <w:color w:val="000000" w:themeColor="text1"/>
          <w:sz w:val="24"/>
          <w:szCs w:val="24"/>
        </w:rPr>
      </w:pPr>
    </w:p>
    <w:p w14:paraId="078552FF" w14:textId="77777777" w:rsidR="00602F70" w:rsidRPr="00332D91" w:rsidRDefault="00602F70" w:rsidP="00602F70">
      <w:pPr>
        <w:shd w:val="clear" w:color="auto" w:fill="FFFFFF"/>
        <w:spacing w:after="0" w:line="240" w:lineRule="auto"/>
        <w:jc w:val="center"/>
        <w:rPr>
          <w:rFonts w:eastAsia="Times New Roman" w:cs="Arial"/>
          <w:b/>
          <w:bCs/>
          <w:color w:val="000000" w:themeColor="text1"/>
          <w:sz w:val="24"/>
          <w:szCs w:val="24"/>
        </w:rPr>
      </w:pPr>
      <w:r w:rsidRPr="00332D91">
        <w:rPr>
          <w:rFonts w:eastAsia="Times New Roman" w:cs="Arial"/>
          <w:b/>
          <w:bCs/>
          <w:color w:val="000000" w:themeColor="text1"/>
          <w:sz w:val="24"/>
          <w:szCs w:val="24"/>
        </w:rPr>
        <w:t>Art. 7-</w:t>
      </w:r>
      <w:r w:rsidRPr="00332D91">
        <w:rPr>
          <w:rFonts w:eastAsia="Times New Roman" w:cs="Arial"/>
          <w:b/>
          <w:bCs/>
          <w:i/>
          <w:iCs/>
          <w:color w:val="000000" w:themeColor="text1"/>
          <w:sz w:val="24"/>
          <w:szCs w:val="24"/>
        </w:rPr>
        <w:t>bis</w:t>
      </w:r>
      <w:r w:rsidRPr="00332D91">
        <w:rPr>
          <w:rFonts w:eastAsia="Times New Roman" w:cs="Arial"/>
          <w:b/>
          <w:bCs/>
          <w:color w:val="000000" w:themeColor="text1"/>
          <w:sz w:val="24"/>
          <w:szCs w:val="24"/>
        </w:rPr>
        <w:t>.</w:t>
      </w:r>
      <w:r w:rsidRPr="00332D91">
        <w:rPr>
          <w:rFonts w:eastAsia="Times New Roman" w:cs="Arial"/>
          <w:b/>
          <w:bCs/>
          <w:color w:val="000000" w:themeColor="text1"/>
          <w:sz w:val="24"/>
          <w:szCs w:val="24"/>
        </w:rPr>
        <w:br/>
      </w:r>
      <w:r w:rsidRPr="00332D91">
        <w:rPr>
          <w:rFonts w:eastAsia="Times New Roman" w:cs="Arial"/>
          <w:b/>
          <w:bCs/>
          <w:i/>
          <w:iCs/>
          <w:color w:val="000000" w:themeColor="text1"/>
          <w:sz w:val="24"/>
          <w:szCs w:val="24"/>
        </w:rPr>
        <w:t>(Istituzione della Giornata nazionale «Per non dimenticare»)</w:t>
      </w:r>
    </w:p>
    <w:p w14:paraId="20CDC32D" w14:textId="77777777" w:rsidR="00602F70" w:rsidRPr="00332D91" w:rsidRDefault="00602F70" w:rsidP="00602F70">
      <w:pPr>
        <w:shd w:val="clear" w:color="auto" w:fill="FFFFFF"/>
        <w:spacing w:after="0" w:line="240" w:lineRule="auto"/>
        <w:rPr>
          <w:rFonts w:eastAsia="Times New Roman" w:cs="Arial"/>
          <w:b/>
          <w:bCs/>
          <w:color w:val="000000" w:themeColor="text1"/>
          <w:sz w:val="24"/>
          <w:szCs w:val="24"/>
        </w:rPr>
      </w:pPr>
      <w:r w:rsidRPr="00332D91">
        <w:rPr>
          <w:rFonts w:eastAsia="Times New Roman" w:cs="Arial"/>
          <w:b/>
          <w:bCs/>
          <w:color w:val="000000" w:themeColor="text1"/>
          <w:sz w:val="24"/>
          <w:szCs w:val="24"/>
        </w:rPr>
        <w:t> </w:t>
      </w:r>
      <w:r w:rsidRPr="00332D91">
        <w:rPr>
          <w:rFonts w:eastAsia="Times New Roman" w:cs="Arial"/>
          <w:b/>
          <w:bCs/>
          <w:color w:val="000000" w:themeColor="text1"/>
          <w:sz w:val="24"/>
          <w:szCs w:val="24"/>
        </w:rPr>
        <w:t> </w:t>
      </w:r>
    </w:p>
    <w:p w14:paraId="481B663A" w14:textId="77777777" w:rsidR="00602F70" w:rsidRDefault="00602F70" w:rsidP="00602F70">
      <w:pPr>
        <w:shd w:val="clear" w:color="auto" w:fill="FFFFFF"/>
        <w:spacing w:after="0" w:line="240" w:lineRule="auto"/>
        <w:jc w:val="both"/>
        <w:rPr>
          <w:rFonts w:eastAsia="Times New Roman" w:cs="Arial"/>
          <w:b/>
          <w:bCs/>
          <w:color w:val="000000" w:themeColor="text1"/>
          <w:sz w:val="24"/>
          <w:szCs w:val="24"/>
        </w:rPr>
      </w:pPr>
      <w:r w:rsidRPr="00332D91">
        <w:rPr>
          <w:rFonts w:eastAsia="Times New Roman" w:cs="Arial"/>
          <w:b/>
          <w:bCs/>
          <w:color w:val="000000" w:themeColor="text1"/>
          <w:sz w:val="24"/>
          <w:szCs w:val="24"/>
        </w:rPr>
        <w:t>1. Al fine di promuovere la sicurezza dei mezzi di trasporto in termini di tutela dell'incolumità delle persone e dei beni coinvolti nelle operazioni di trasporto dei passeggeri, la Repubblica riconosce il giorno 8 ottobre come Giornata nazionale «Per non dimenticare».</w:t>
      </w:r>
    </w:p>
    <w:p w14:paraId="10C55437" w14:textId="5E2DA2B9" w:rsidR="00602F70" w:rsidRPr="00332D91" w:rsidRDefault="00602F70" w:rsidP="00602F70">
      <w:pPr>
        <w:shd w:val="clear" w:color="auto" w:fill="FFFFFF"/>
        <w:spacing w:after="0" w:line="240" w:lineRule="auto"/>
        <w:jc w:val="both"/>
        <w:rPr>
          <w:rFonts w:eastAsia="Times New Roman" w:cs="Arial"/>
          <w:b/>
          <w:bCs/>
          <w:color w:val="000000" w:themeColor="text1"/>
          <w:sz w:val="24"/>
          <w:szCs w:val="24"/>
        </w:rPr>
      </w:pPr>
      <w:r w:rsidRPr="00332D91">
        <w:rPr>
          <w:rFonts w:eastAsia="Times New Roman" w:cs="Arial"/>
          <w:b/>
          <w:bCs/>
          <w:color w:val="000000" w:themeColor="text1"/>
          <w:sz w:val="24"/>
          <w:szCs w:val="24"/>
        </w:rPr>
        <w:t> </w:t>
      </w:r>
      <w:r w:rsidRPr="00332D91">
        <w:rPr>
          <w:rFonts w:eastAsia="Times New Roman" w:cs="Arial"/>
          <w:b/>
          <w:bCs/>
          <w:color w:val="000000" w:themeColor="text1"/>
          <w:sz w:val="24"/>
          <w:szCs w:val="24"/>
        </w:rPr>
        <w:t> </w:t>
      </w:r>
    </w:p>
    <w:p w14:paraId="709F4AB6" w14:textId="77777777" w:rsidR="00602F70" w:rsidRDefault="00602F70" w:rsidP="00602F70">
      <w:pPr>
        <w:shd w:val="clear" w:color="auto" w:fill="FFFFFF"/>
        <w:spacing w:after="0" w:line="240" w:lineRule="auto"/>
        <w:rPr>
          <w:rFonts w:eastAsia="Times New Roman" w:cs="Arial"/>
          <w:b/>
          <w:bCs/>
          <w:color w:val="000000" w:themeColor="text1"/>
          <w:sz w:val="24"/>
          <w:szCs w:val="24"/>
        </w:rPr>
      </w:pPr>
      <w:r w:rsidRPr="00332D91">
        <w:rPr>
          <w:rFonts w:eastAsia="Times New Roman" w:cs="Arial"/>
          <w:b/>
          <w:bCs/>
          <w:color w:val="000000" w:themeColor="text1"/>
          <w:sz w:val="24"/>
          <w:szCs w:val="24"/>
        </w:rPr>
        <w:t>2. La Giornata nazionale di cui al comma 1 non determina gli effetti civili di cui alla legge 27 maggio 1949, n. 260, non comporta riduzioni dell'orario di lavoro negli uffici pubblici né, qualora cada in giorno feriale, costituisce giorno di vacanza o comporta riduzione di orario per le scuole di ogni ordine e grado, ai sensi degli articoli 2 e 3 della legge 5 marzo 1977, n. 54.</w:t>
      </w:r>
    </w:p>
    <w:p w14:paraId="7D3C84AA" w14:textId="0264D07F" w:rsidR="00602F70" w:rsidRPr="00332D91" w:rsidRDefault="00602F70" w:rsidP="00602F70">
      <w:pPr>
        <w:shd w:val="clear" w:color="auto" w:fill="FFFFFF"/>
        <w:spacing w:after="0" w:line="240" w:lineRule="auto"/>
        <w:rPr>
          <w:rFonts w:eastAsia="Times New Roman" w:cs="Arial"/>
          <w:b/>
          <w:bCs/>
          <w:color w:val="000000" w:themeColor="text1"/>
          <w:sz w:val="24"/>
          <w:szCs w:val="24"/>
        </w:rPr>
      </w:pPr>
      <w:r w:rsidRPr="00332D91">
        <w:rPr>
          <w:rFonts w:eastAsia="Times New Roman" w:cs="Arial"/>
          <w:b/>
          <w:bCs/>
          <w:color w:val="000000" w:themeColor="text1"/>
          <w:sz w:val="24"/>
          <w:szCs w:val="24"/>
        </w:rPr>
        <w:t> </w:t>
      </w:r>
      <w:r w:rsidRPr="00332D91">
        <w:rPr>
          <w:rFonts w:eastAsia="Times New Roman" w:cs="Arial"/>
          <w:b/>
          <w:bCs/>
          <w:color w:val="000000" w:themeColor="text1"/>
          <w:sz w:val="24"/>
          <w:szCs w:val="24"/>
        </w:rPr>
        <w:t> </w:t>
      </w:r>
    </w:p>
    <w:p w14:paraId="15BA60ED" w14:textId="77777777" w:rsidR="00602F70" w:rsidRPr="00332D91" w:rsidRDefault="00602F70" w:rsidP="00602F70">
      <w:pPr>
        <w:shd w:val="clear" w:color="auto" w:fill="FFFFFF"/>
        <w:spacing w:after="0" w:line="240" w:lineRule="auto"/>
        <w:rPr>
          <w:rFonts w:eastAsia="Times New Roman" w:cs="Arial"/>
          <w:b/>
          <w:bCs/>
          <w:color w:val="000000" w:themeColor="text1"/>
          <w:sz w:val="24"/>
          <w:szCs w:val="24"/>
        </w:rPr>
      </w:pPr>
      <w:r w:rsidRPr="00332D91">
        <w:rPr>
          <w:rFonts w:eastAsia="Times New Roman" w:cs="Arial"/>
          <w:b/>
          <w:bCs/>
          <w:color w:val="000000" w:themeColor="text1"/>
          <w:sz w:val="24"/>
          <w:szCs w:val="24"/>
        </w:rPr>
        <w:t>3. In occasione della Giornata nazionale «Per non dimenticare» le istituzioni che hanno competenza nel settore, comprese le scuole di ogni ordine e grado, anche in coordinamento con le associazioni e con gli organismi operanti nel settore, possono organizzare in tutto il territorio nazionale cerimonie, iniziative e incontri al fine di ricordare le vittime degli incidenti e di sensibilizzare l'opinione pubblica alla sicurezza nel trasporto, alla centralità del passeggero, al rispetto della dignità umana e del valore della vita di ogni singolo individuo.</w:t>
      </w:r>
      <w:r w:rsidRPr="00332D91">
        <w:rPr>
          <w:rFonts w:eastAsia="Times New Roman" w:cs="Arial"/>
          <w:b/>
          <w:bCs/>
          <w:color w:val="000000" w:themeColor="text1"/>
          <w:sz w:val="24"/>
          <w:szCs w:val="24"/>
        </w:rPr>
        <w:br/>
      </w:r>
      <w:r w:rsidRPr="00332D91">
        <w:rPr>
          <w:rFonts w:eastAsia="Times New Roman" w:cs="Arial"/>
          <w:b/>
          <w:bCs/>
          <w:color w:val="000000" w:themeColor="text1"/>
          <w:sz w:val="24"/>
          <w:szCs w:val="24"/>
        </w:rPr>
        <w:t> </w:t>
      </w:r>
      <w:r w:rsidRPr="00332D91">
        <w:rPr>
          <w:rFonts w:eastAsia="Times New Roman" w:cs="Arial"/>
          <w:b/>
          <w:bCs/>
          <w:color w:val="000000" w:themeColor="text1"/>
          <w:sz w:val="24"/>
          <w:szCs w:val="24"/>
        </w:rPr>
        <w:t> </w:t>
      </w:r>
    </w:p>
    <w:p w14:paraId="2A251E9E" w14:textId="011A82C6" w:rsidR="00602F70" w:rsidRPr="00155015" w:rsidRDefault="00602F70" w:rsidP="00602F70">
      <w:pPr>
        <w:shd w:val="clear" w:color="auto" w:fill="FFFFFF"/>
        <w:spacing w:after="0" w:line="240" w:lineRule="auto"/>
        <w:rPr>
          <w:rFonts w:eastAsia="Times New Roman" w:cs="Arial"/>
          <w:color w:val="000000" w:themeColor="text1"/>
          <w:sz w:val="24"/>
          <w:szCs w:val="24"/>
        </w:rPr>
      </w:pPr>
      <w:r w:rsidRPr="00332D91">
        <w:rPr>
          <w:rFonts w:eastAsia="Times New Roman" w:cs="Arial"/>
          <w:b/>
          <w:bCs/>
          <w:color w:val="000000" w:themeColor="text1"/>
          <w:sz w:val="24"/>
          <w:szCs w:val="24"/>
        </w:rPr>
        <w:lastRenderedPageBreak/>
        <w:t>4. Dall'attuazione del presente articolo non devono derivare nuovi o maggiori oneri a carico finanza pubblica.</w:t>
      </w:r>
      <w:r>
        <w:rPr>
          <w:rStyle w:val="Rimandonotaapidipagina"/>
          <w:rFonts w:eastAsia="Times New Roman" w:cs="Arial"/>
          <w:b/>
          <w:bCs/>
          <w:color w:val="000000" w:themeColor="text1"/>
          <w:sz w:val="24"/>
          <w:szCs w:val="24"/>
        </w:rPr>
        <w:footnoteReference w:id="81"/>
      </w:r>
    </w:p>
    <w:p w14:paraId="04F35EB7" w14:textId="77777777" w:rsidR="00602F70" w:rsidRPr="00660EE5" w:rsidRDefault="00602F70" w:rsidP="00660EE5">
      <w:pPr>
        <w:spacing w:after="0" w:line="240" w:lineRule="auto"/>
        <w:jc w:val="both"/>
        <w:rPr>
          <w:rFonts w:asciiTheme="minorHAnsi" w:hAnsiTheme="minorHAnsi"/>
          <w:color w:val="000000" w:themeColor="text1"/>
          <w:sz w:val="24"/>
          <w:szCs w:val="24"/>
        </w:rPr>
      </w:pPr>
    </w:p>
    <w:p w14:paraId="11E0341F"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Articolo 8.</w:t>
      </w:r>
    </w:p>
    <w:p w14:paraId="613C3804"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(Disposizioni in materia di incentivi all'acquisto di veicoli meno inquinanti e per i veicoli di categoria M1, M1 speciali, N1 e L)</w:t>
      </w:r>
    </w:p>
    <w:p w14:paraId="5E3DD87A"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05A6B729"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1. In considerazione degli effetti dell'emergenza epidemiologica da COVID-19, all'articolo 1, comma 1031, alinea, della legge 30 dicembre 2018, n. 145, le parole «In via sperimentale, a chi acquista, anche in locazione finanziaria, e immatricola in Italia, dal 1° marzo 2019 al 31 dicembre 2021,» sono sostituite dalle seguenti: «In via sperimentale, a chi acquista dal 1° marzo 2019 al 31 dicembre 2021, anche in locazione finanziaria, e immatricola in Italia».</w:t>
      </w:r>
    </w:p>
    <w:p w14:paraId="67CD5684"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4B7CEFC0" w14:textId="2956A381"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1-bis. All'articolo 74-bis del decreto-legge 14 agosto 2020, n. 104, convertito, con modificazioni, dalla legge 13 ottobre 2020, n. 126, sono apportate le seguenti modificazioni:</w:t>
      </w:r>
    </w:p>
    <w:p w14:paraId="130684E0"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   a) al comma 1, le parole: «a chi omologa in Italia» fino a: «decreto del Ministro delle infrastrutture e dei trasporti 1° dicembre 2015, n. 219» sono sostituite dalle seguenti: «ai proprietari dei veicoli delle categorie internazionali M1, M1G, M2, M2G, M3, M3G, N1 e N1G, immatricolati originariamente con motore termico, che installano su tali veicoli, entro il 31 dicembre 2021, un sistema di riqualificazione elettrica, omologato ai sensi del regolamento di cui al decreto del Ministro delle infrastrutture e dei trasporti 1° dicembre 2015, n. 219»;</w:t>
      </w:r>
    </w:p>
    <w:p w14:paraId="7C243CF8"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   b) il comma 2 è sostituito dal seguente:</w:t>
      </w:r>
    </w:p>
    <w:p w14:paraId="1543EDC2"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   «2. Con decreto del Ministro delle infrastrutture e della mobilità sostenibili, di concerto con il Ministero dello sviluppo economico, sono adottate le necessarie disposizioni applicative per il riconoscimento dei contributi di cui al comma 1.»</w:t>
      </w:r>
      <w:r w:rsidRPr="00660EE5">
        <w:rPr>
          <w:rStyle w:val="Rimandonotaapidipagina"/>
          <w:rFonts w:asciiTheme="minorHAnsi" w:hAnsiTheme="minorHAnsi"/>
          <w:b/>
          <w:bCs/>
          <w:color w:val="000000" w:themeColor="text1"/>
          <w:sz w:val="24"/>
          <w:szCs w:val="24"/>
        </w:rPr>
        <w:footnoteReference w:id="82"/>
      </w:r>
    </w:p>
    <w:p w14:paraId="6A04E219"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5862C2E1"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2. Le disposizioni di cui al comma 1 si applicano anche alle procedure in corso alla data di entrata in vigore del presente decreto e continuano a trovare applicazione, in quanto compatibili, le disposizioni del decreto del Ministro dello sviluppo economico 20 marzo 2019, pubblicato nella Gazzetta Ufficiale della Repubblica italiana n. 82 del 6 aprile 2019, con termine di scadenza, per la conclusione della procedura prevista dal citato decreto ministeriale di conferma della prenotazione dei contributi nell'apposita piattaforma informatica, fissato al 31 dicembre 2021 per le prenotazioni inserite, anche se in fase di completamento, dal 1° gennaio 2021 al 30 giugno 2021, e di un termine di scadenza fissato al 30 giugno 2022 per quelle inserite tra il 1° luglio 2021 e il 31 dicembre 2021. I medesimi termini si applicano, alle medesime condizioni, alle prenotazioni dei contributi relativi ai veicoli di categoria M1, M1 speciali, N1 e L.</w:t>
      </w:r>
    </w:p>
    <w:p w14:paraId="5FDB1DDC"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74155EE1"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lastRenderedPageBreak/>
        <w:t>3. Al fine di garantire e ottimizzare l'utilizzo delle risorse destinate all'acquisto di veicoli meno inquinanti, le risorse di cui all'articolo 73-quinquies, comma 2, lettera a), del decreto-legge 25 maggio 2021, n. 73, convertito, con modificazioni, dalla legge 23 luglio 2021, n. 123, relative ai contributi per l'acquisto, anche in locazione finanziaria, di autoveicoli con emissioni comprese nella fascia 0-60 grammi (g) di anidride carbonica (CO2) per chilometro (Km), di cui all'articolo 1, comma 652, della legge 30 dicembre 2020, n. 178, disponibili alla data di entrata in vigore del presente decreto, sono destinate all'erogazione dei contributi, per i medesimi veicoli, previsti dall'articolo 1, comma 1031, della legge 30 dicembre 2018, n. 145. Con provvedimento del Ministero dello sviluppo economico possono essere destinate ai medesimi fini le risorse del richiamato articolo 73-quinquies, comma 2, lettera a), del decreto-legge 25 maggio 2021, n. 73, convertito, con modificazioni, dalla legge 23 luglio 2021, n. 123, che si rendono disponibili successivamente alla data di entrata in vigore del presente decreto.</w:t>
      </w:r>
    </w:p>
    <w:p w14:paraId="72E5D565"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7638870A" w14:textId="7BCB4F38"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3-bis. All'articolo 1 della legge 30 dicembre 2020, n. 178, sono apportate le seguenti modificazioni:</w:t>
      </w:r>
    </w:p>
    <w:p w14:paraId="71A17481"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   a) il comma 77 è sostituito dal seguente:</w:t>
      </w:r>
    </w:p>
    <w:p w14:paraId="59FF6C07"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   «77. Per l'anno 2021, è riconosciuto un contributo, alternativo e non cumulabile con altri contributi statali previsti dalla normativa vigente, nella misura del 40 per cento delle spese sostenute e rimaste a carico del compratore, per l'acquisto in Italia, entro il 31 dicembre 2021, anche in locazione finanziaria, di un solo veicolo nuovo di fabbrica alimentato esclusivamente ad energia elettrica, di potenza inferiore o uguale a 150 kW, di categoria M1, di cui all'articolo 47, comma 2, lettera b), del codice della strada, di cui al decreto legislativo 30 aprile 1992, n. 285, che abbia un prezzo risultante dal listino prezzi ufficiale della casa automobilistica produttrice inferiore a euro 30.000 al netto dell'imposta sul valore aggiunto»;</w:t>
      </w:r>
    </w:p>
    <w:p w14:paraId="36E0296D"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   b) il comma 78 è sostituito dai seguenti:</w:t>
      </w:r>
    </w:p>
    <w:p w14:paraId="50A20F1E"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   «78. Il contributo di cui al comma 77 è concesso ad un solo soggetto per nucleo familiare con indicatore della situazione economica equivalente (ISEE) inferiore a euro 30.000 e nel limite complessivo massimo di spesa di 20 milioni di euro per l'anno 2021. A tal fine, nello stato di previsione del Ministero dello sviluppo economico è istituito un apposito fondo con una dotazione di 20 milioni di euro per l'anno 2021.</w:t>
      </w:r>
    </w:p>
    <w:p w14:paraId="742AC78A"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   78-bis. Il contributo di cui al comma 77 è corrisposto all'acquirente dal venditore mediante compensazione con il prezzo di acquisto. Le imprese costruttrici o importatrici del veicolo nuovo rimborsano al venditore l'importo del contributo e recuperano tale importo in forma di credito d'imposta, utilizzabile esclusivamente in compensazione ai sensi dell'articolo 17 del decreto legislativo 9 luglio 1997, n. 241, senza applicazione dei limiti di cui all'articolo 34 della legge 23 dicembre 2000, n. 388, e all'articolo 1, comma 53, della legge 24 dicembre 2007, n. 244, presentando il modello F24 esclusivamente tramite i servizi telematici messi a disposizione dall'Agenzia delle entrate.</w:t>
      </w:r>
    </w:p>
    <w:p w14:paraId="2835EA93"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   78-ter. Fino al 31 dicembre del quinto anno successivo a quello in cui è stata emessa la fattura di vendita, le imprese costruttrici o importatrici conservano copia della fattura di vendita e dell'atto di acquisto, che deve essere ad esse trasmessa dal venditore»;</w:t>
      </w:r>
    </w:p>
    <w:p w14:paraId="3774E38B"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   c) il comma 79 è sostituito dai seguenti:</w:t>
      </w:r>
    </w:p>
    <w:p w14:paraId="1A4A12AE"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lastRenderedPageBreak/>
        <w:t>   «79. Ai fini dell'attuazione dei commi 77, 78, 78-bis e 78-ter e 79, si applicano, in quanto compatibili, le disposizioni di cui al decreto interministeriale 20 marzo 2019, pubblicato nella Gazzetta Ufficiale n. 82 del 6 aprile 2019.</w:t>
      </w:r>
    </w:p>
    <w:p w14:paraId="26BB661E" w14:textId="41AB22DC" w:rsid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   79-bis. L'efficacia dei commi 77, 78, 78-bis e 78-ter è subordinata all'autorizzazione della Commissione europea ai sensi dell'art. 108, paragrafo 3, del Trattato sul funzionamento dell'Unione europea».</w:t>
      </w:r>
      <w:r w:rsidRPr="00660EE5">
        <w:rPr>
          <w:rStyle w:val="Rimandonotaapidipagina"/>
          <w:rFonts w:asciiTheme="minorHAnsi" w:hAnsiTheme="minorHAnsi"/>
          <w:b/>
          <w:bCs/>
          <w:color w:val="000000" w:themeColor="text1"/>
          <w:sz w:val="24"/>
          <w:szCs w:val="24"/>
        </w:rPr>
        <w:footnoteReference w:id="83"/>
      </w:r>
    </w:p>
    <w:p w14:paraId="5D653427" w14:textId="0E8E9B08" w:rsidR="00A128D4" w:rsidRDefault="00A128D4" w:rsidP="00660EE5">
      <w:pPr>
        <w:spacing w:after="0" w:line="240" w:lineRule="auto"/>
        <w:jc w:val="both"/>
        <w:rPr>
          <w:rFonts w:asciiTheme="minorHAnsi" w:hAnsiTheme="minorHAnsi"/>
          <w:b/>
          <w:bCs/>
          <w:color w:val="000000" w:themeColor="text1"/>
          <w:sz w:val="24"/>
          <w:szCs w:val="24"/>
        </w:rPr>
      </w:pPr>
    </w:p>
    <w:p w14:paraId="5A73851E" w14:textId="77777777" w:rsidR="00A128D4" w:rsidRPr="00DF7FC6" w:rsidRDefault="00A128D4" w:rsidP="00A128D4">
      <w:pPr>
        <w:shd w:val="clear" w:color="auto" w:fill="FFFFFF"/>
        <w:spacing w:after="0" w:line="240" w:lineRule="auto"/>
        <w:jc w:val="center"/>
        <w:rPr>
          <w:rFonts w:eastAsia="Times New Roman" w:cs="Arial"/>
          <w:b/>
          <w:bCs/>
          <w:color w:val="000000" w:themeColor="text1"/>
          <w:sz w:val="24"/>
          <w:szCs w:val="24"/>
        </w:rPr>
      </w:pPr>
      <w:r w:rsidRPr="00DF7FC6">
        <w:rPr>
          <w:rFonts w:eastAsia="Times New Roman" w:cs="Arial"/>
          <w:b/>
          <w:bCs/>
          <w:color w:val="000000" w:themeColor="text1"/>
          <w:sz w:val="24"/>
          <w:szCs w:val="24"/>
        </w:rPr>
        <w:t>Art. 8-</w:t>
      </w:r>
      <w:r w:rsidRPr="00DF7FC6">
        <w:rPr>
          <w:rFonts w:eastAsia="Times New Roman" w:cs="Arial"/>
          <w:b/>
          <w:bCs/>
          <w:i/>
          <w:iCs/>
          <w:color w:val="000000" w:themeColor="text1"/>
          <w:sz w:val="24"/>
          <w:szCs w:val="24"/>
        </w:rPr>
        <w:t>bis</w:t>
      </w:r>
      <w:r w:rsidRPr="00DF7FC6">
        <w:rPr>
          <w:rFonts w:eastAsia="Times New Roman" w:cs="Arial"/>
          <w:b/>
          <w:bCs/>
          <w:color w:val="000000" w:themeColor="text1"/>
          <w:sz w:val="24"/>
          <w:szCs w:val="24"/>
        </w:rPr>
        <w:t>.</w:t>
      </w:r>
      <w:r w:rsidRPr="00DF7FC6">
        <w:rPr>
          <w:rFonts w:eastAsia="Times New Roman" w:cs="Arial"/>
          <w:b/>
          <w:bCs/>
          <w:color w:val="000000" w:themeColor="text1"/>
          <w:sz w:val="24"/>
          <w:szCs w:val="24"/>
        </w:rPr>
        <w:br/>
      </w:r>
      <w:r w:rsidRPr="00DF7FC6">
        <w:rPr>
          <w:rFonts w:eastAsia="Times New Roman" w:cs="Arial"/>
          <w:b/>
          <w:bCs/>
          <w:i/>
          <w:iCs/>
          <w:color w:val="000000" w:themeColor="text1"/>
          <w:sz w:val="24"/>
          <w:szCs w:val="24"/>
        </w:rPr>
        <w:t>(Semplificazioni nelle agevolazioni sui veicoli per le persone con disabilità)</w:t>
      </w:r>
    </w:p>
    <w:p w14:paraId="1CC6B73A" w14:textId="77777777" w:rsidR="00A128D4" w:rsidRDefault="00A128D4" w:rsidP="00A128D4">
      <w:pPr>
        <w:shd w:val="clear" w:color="auto" w:fill="FFFFFF"/>
        <w:spacing w:after="0" w:line="240" w:lineRule="auto"/>
        <w:rPr>
          <w:rFonts w:eastAsia="Times New Roman" w:cs="Arial"/>
          <w:b/>
          <w:bCs/>
          <w:color w:val="000000" w:themeColor="text1"/>
          <w:sz w:val="24"/>
          <w:szCs w:val="24"/>
        </w:rPr>
      </w:pP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p>
    <w:p w14:paraId="0E6FF20F" w14:textId="77777777" w:rsidR="00A128D4" w:rsidRDefault="00A128D4" w:rsidP="00A128D4">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1. Per il riconoscimento delle agevolazioni previste dall'articolo 8 della legge 27 dicembre 1997, n. 449, con riferimento all'acquisto di veicoli, i soggetti con ridotte o impedite capacità motorie permanenti, abilitati alla guida presentano una copia semplice della patente posseduta, ove essa contenga l'indicazione di adattamenti, anche di serie, per il veicolo agevolabile da condurre, prescritti dalle commissioni mediche locali di cui all'articolo 119, comma 4, del codice della strada, di cui al decreto legislativo 30 aprile 1992, n. 285.</w:t>
      </w:r>
    </w:p>
    <w:p w14:paraId="77A5CF96" w14:textId="77777777" w:rsidR="00A128D4" w:rsidRDefault="00A128D4" w:rsidP="00A128D4">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 </w:t>
      </w:r>
      <w:r w:rsidRPr="00DF7FC6">
        <w:rPr>
          <w:rFonts w:eastAsia="Times New Roman" w:cs="Arial"/>
          <w:b/>
          <w:bCs/>
          <w:color w:val="000000" w:themeColor="text1"/>
          <w:sz w:val="24"/>
          <w:szCs w:val="24"/>
        </w:rPr>
        <w:t> </w:t>
      </w:r>
    </w:p>
    <w:p w14:paraId="2F1998CA" w14:textId="09A929AB" w:rsidR="00A128D4" w:rsidRDefault="00A128D4" w:rsidP="00A128D4">
      <w:pPr>
        <w:shd w:val="clear" w:color="auto" w:fill="FFFFFF"/>
        <w:spacing w:after="0" w:line="240" w:lineRule="auto"/>
        <w:jc w:val="both"/>
        <w:rPr>
          <w:rFonts w:eastAsia="Times New Roman" w:cs="Arial"/>
          <w:b/>
          <w:bCs/>
          <w:color w:val="000000" w:themeColor="text1"/>
          <w:sz w:val="24"/>
          <w:szCs w:val="24"/>
        </w:rPr>
      </w:pPr>
      <w:r w:rsidRPr="00DF7FC6">
        <w:rPr>
          <w:rFonts w:eastAsia="Times New Roman" w:cs="Arial"/>
          <w:b/>
          <w:bCs/>
          <w:color w:val="000000" w:themeColor="text1"/>
          <w:sz w:val="24"/>
          <w:szCs w:val="24"/>
        </w:rPr>
        <w:t>2. Con decreto di natura non regolamentare, da emanare entro trenta giorni dalla data di entrata in vigore della legge di conversione del presente decreto, il Ministro dell'economia e delle finanze aggiorna il decreto 16 maggio 1986, pubblicato nella </w:t>
      </w:r>
      <w:r w:rsidRPr="00DF7FC6">
        <w:rPr>
          <w:rFonts w:eastAsia="Times New Roman" w:cs="Arial"/>
          <w:b/>
          <w:bCs/>
          <w:i/>
          <w:iCs/>
          <w:color w:val="000000" w:themeColor="text1"/>
          <w:sz w:val="24"/>
          <w:szCs w:val="24"/>
        </w:rPr>
        <w:t>Gazzetta Ufficiale</w:t>
      </w:r>
      <w:r w:rsidRPr="00DF7FC6">
        <w:rPr>
          <w:rFonts w:eastAsia="Times New Roman" w:cs="Arial"/>
          <w:b/>
          <w:bCs/>
          <w:color w:val="000000" w:themeColor="text1"/>
          <w:sz w:val="24"/>
          <w:szCs w:val="24"/>
        </w:rPr>
        <w:t> 17 maggio 1986, n. 113, per adeguarlo a quanto disposto dal comma 1.</w:t>
      </w:r>
      <w:r>
        <w:rPr>
          <w:rStyle w:val="Rimandonotaapidipagina"/>
          <w:rFonts w:eastAsia="Times New Roman" w:cs="Arial"/>
          <w:b/>
          <w:bCs/>
          <w:color w:val="000000" w:themeColor="text1"/>
          <w:sz w:val="24"/>
          <w:szCs w:val="24"/>
        </w:rPr>
        <w:footnoteReference w:id="84"/>
      </w:r>
    </w:p>
    <w:p w14:paraId="7E495C9E" w14:textId="3092C555" w:rsidR="00660EE5" w:rsidRPr="00660EE5" w:rsidRDefault="00A128D4" w:rsidP="00A128D4">
      <w:pPr>
        <w:shd w:val="clear" w:color="auto" w:fill="FFFFFF"/>
        <w:spacing w:after="0" w:line="240" w:lineRule="auto"/>
        <w:rPr>
          <w:rFonts w:asciiTheme="minorHAnsi" w:hAnsiTheme="minorHAnsi"/>
          <w:color w:val="000000" w:themeColor="text1"/>
          <w:sz w:val="24"/>
          <w:szCs w:val="24"/>
        </w:rPr>
      </w:pPr>
      <w:r w:rsidRPr="00155015">
        <w:rPr>
          <w:rFonts w:eastAsia="Times New Roman" w:cs="Arial"/>
          <w:color w:val="000000" w:themeColor="text1"/>
          <w:sz w:val="24"/>
          <w:szCs w:val="24"/>
        </w:rPr>
        <w:br/>
      </w:r>
    </w:p>
    <w:p w14:paraId="5F7323CA"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Articolo 9.</w:t>
      </w:r>
    </w:p>
    <w:p w14:paraId="5F30E91A"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(Disposizioni urgenti in materia di efficientamento funzionale degli edifici adibiti a uffici giudiziari)</w:t>
      </w:r>
    </w:p>
    <w:p w14:paraId="726B79C9"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202C1114"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1. Il Commissario straordinario del Parco della Giustizia di Bari, nominato ai sensi dell'articolo 4 del decreto-legge 18 aprile 2019, n. 32, convertito, con modificazioni, dalla legge 14 giugno 2019, n. 55, approva il progetto di fattibilità tecnica ed economica di cui all'articolo 23, commi 5 e 6, del decreto legislativo 18 aprile 2016, n. 50, convocando la conferenza di servizi, ai sensi dell'articolo 14, comma 1, della legge 7 agosto 1990, n. 241, alla quale partecipa obbligatoriamente, in deroga a quanto previsto dall'articolo 14-ter, comma 4, della citata legge n. 241 del 1990, anche un rappresentante del Ministero della giustizia. Nella medesima conferenza dei servizi, il Consiglio superiore dei lavori pubblici, ai sensi dell'articolo 215 del decreto legislativo 18 aprile 2016, n. 50, esprime il parere sul progetto di fattibilità tecnica ed economica trasmesso a cura del Commissario. Il parere reso dal Consiglio superiore dei lavori pubblici, in deroga a quanto previsto dall'articolo 1, comma 9, del decreto-legge 18 aprile 2019, n. 32, </w:t>
      </w:r>
      <w:r w:rsidRPr="00660EE5">
        <w:rPr>
          <w:rFonts w:asciiTheme="minorHAnsi" w:hAnsiTheme="minorHAnsi"/>
          <w:color w:val="000000" w:themeColor="text1"/>
          <w:sz w:val="24"/>
          <w:szCs w:val="24"/>
        </w:rPr>
        <w:lastRenderedPageBreak/>
        <w:t>convertito, con modificazioni, dalla legge 14 giugno 2019, n. 55, non riguarda anche la valutazione di congruità del costo.</w:t>
      </w:r>
    </w:p>
    <w:p w14:paraId="5597E5E2"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3F5B0317"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2. Il progetto di fattibilità tecnica ed economica di cui al comma 1, predisposto in conformità a quanto previsto dall'articolo 48, comma 7, quarto periodo, del decreto-legge 31 maggio 2021, n. 77, convertito, con modificazioni, dalla legge 29 luglio 2021, n. 108, è trasmesso, a cura del Commissario altresì, all'autorità competente ai fini dell'espressione del provvedimento di valutazione ambientale di cui alla Parte seconda del decreto legislativo 3 aprile 2006, n. 152, unitamente alla documentazione di cui agli articoli 13, comma 3 e 22, comma 1, del medesimo decreto legislativo n. 152 del 2006. Si applicano i termini di cui all'articolo 4, comma 2, secondo periodo, del decreto-legge 18 aprile 2019 n. 32, convertito con modificazioni, dalla legge 14 giugno 2019, n. 55. Gli esiti della valutazione ambientale sono trasmessi e comunicati dall'autorità competente alle altre amministrazioni che partecipano alla conferenza di servizi di cui al comma 1. Qualora si sia svolto il dibattito pubblico è escluso il ricorso all'inchiesta pubblica di cui all'articolo 24-bis del </w:t>
      </w:r>
      <w:proofErr w:type="gramStart"/>
      <w:r w:rsidRPr="00660EE5">
        <w:rPr>
          <w:rFonts w:asciiTheme="minorHAnsi" w:hAnsiTheme="minorHAnsi"/>
          <w:color w:val="000000" w:themeColor="text1"/>
          <w:sz w:val="24"/>
          <w:szCs w:val="24"/>
        </w:rPr>
        <w:t>predetto</w:t>
      </w:r>
      <w:proofErr w:type="gramEnd"/>
      <w:r w:rsidRPr="00660EE5">
        <w:rPr>
          <w:rFonts w:asciiTheme="minorHAnsi" w:hAnsiTheme="minorHAnsi"/>
          <w:color w:val="000000" w:themeColor="text1"/>
          <w:sz w:val="24"/>
          <w:szCs w:val="24"/>
        </w:rPr>
        <w:t xml:space="preserve"> decreto legislativo n. 152 del 2006.</w:t>
      </w:r>
    </w:p>
    <w:p w14:paraId="21926A17"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08FCBAF1"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3. L'approvazione del progetto da parte del Commissario tiene luogo dei pareri, nulla osta e autorizzazioni necessari ai fini della localizzazione dell'opera, della conformità urbanistica e paesaggistica dell'intervento, della risoluzione delle interferenze e delle relative opere mitigatrici e compensative. L'approvazione del progetto perfeziona, ad ogni fine urbanistico ed edilizio, l'intesa tra Stato e regione, in ordine alla localizzazione dell'opera, ha effetto di variante degli strumenti urbanistici vigenti e comprende il parere reso dal Consiglio superiore dei lavori pubblici di cui dell'articolo 215 del decreto legislativo 18 aprile 2016, n. 50, i provvedimenti di valutazione ambientale e i titoli abilitativi rilasciati per la realizzazione e l'esercizio del progetto, recandone l'indicazione esplicita. La variante urbanistica, conseguente all'approvazione del progetto, comporta l'assoggettamento dell'area a vincolo preordinato all'esproprio ai sensi dell'articolo 10 del decreto del Presidente della Repubblica 8 giugno 2001, n. 327, e le comunicazioni agli interessati di cui all'articolo 14, comma 5, della legge n. 241 del 1990 tengono luogo della fase partecipativa di cui all'articolo 11 del </w:t>
      </w:r>
      <w:proofErr w:type="gramStart"/>
      <w:r w:rsidRPr="00660EE5">
        <w:rPr>
          <w:rFonts w:asciiTheme="minorHAnsi" w:hAnsiTheme="minorHAnsi"/>
          <w:color w:val="000000" w:themeColor="text1"/>
          <w:sz w:val="24"/>
          <w:szCs w:val="24"/>
        </w:rPr>
        <w:t>predetto</w:t>
      </w:r>
      <w:proofErr w:type="gramEnd"/>
      <w:r w:rsidRPr="00660EE5">
        <w:rPr>
          <w:rFonts w:asciiTheme="minorHAnsi" w:hAnsiTheme="minorHAnsi"/>
          <w:color w:val="000000" w:themeColor="text1"/>
          <w:sz w:val="24"/>
          <w:szCs w:val="24"/>
        </w:rPr>
        <w:t xml:space="preserve"> decreto del Presidente della Repubblica n. 327 del 2001. Gli enti locali provvedono alle necessarie misure di salvaguardia delle aree interessate e delle relative fasce di rispetto e non possono autorizzare interventi edilizi incompatibili con la localizzazione dell'opera.</w:t>
      </w:r>
    </w:p>
    <w:p w14:paraId="629C6712"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252B0E3C"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4. In deroga all'articolo 27 del decreto legislativo 18 aprile 2016, n. 50, la verifica del progetto definitivo e del progetto esecutivo condotta ai sensi dell'articolo 26, comma 6, del </w:t>
      </w:r>
      <w:proofErr w:type="gramStart"/>
      <w:r w:rsidRPr="00660EE5">
        <w:rPr>
          <w:rFonts w:asciiTheme="minorHAnsi" w:hAnsiTheme="minorHAnsi"/>
          <w:color w:val="000000" w:themeColor="text1"/>
          <w:sz w:val="24"/>
          <w:szCs w:val="24"/>
        </w:rPr>
        <w:t>predetto</w:t>
      </w:r>
      <w:proofErr w:type="gramEnd"/>
      <w:r w:rsidRPr="00660EE5">
        <w:rPr>
          <w:rFonts w:asciiTheme="minorHAnsi" w:hAnsiTheme="minorHAnsi"/>
          <w:color w:val="000000" w:themeColor="text1"/>
          <w:sz w:val="24"/>
          <w:szCs w:val="24"/>
        </w:rPr>
        <w:t xml:space="preserve"> decreto legislativo accerta altresì l'ottemperanza alle prescrizioni impartite in sede di approvazione del progetto di fattibilità tecnica ed economica, nonché a quelle impartite in sede di valutazione ambientale. All'esito della verifica, il Commissario straordinario procede direttamente all'approvazione del progetto definitivo ovvero del progetto esecutivo.</w:t>
      </w:r>
    </w:p>
    <w:p w14:paraId="7FCDCE76"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15768DB0"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5. Il Commissario straordinario può procedere, sulla base del progetto di fattibilità tecnica ed economica, all'affidamento congiunto dei livelli di progettazione successivi e dell'esecuzione dell'opera. </w:t>
      </w:r>
      <w:r w:rsidRPr="00660EE5">
        <w:rPr>
          <w:rFonts w:asciiTheme="minorHAnsi" w:hAnsiTheme="minorHAnsi"/>
          <w:color w:val="000000" w:themeColor="text1"/>
          <w:sz w:val="24"/>
          <w:szCs w:val="24"/>
        </w:rPr>
        <w:lastRenderedPageBreak/>
        <w:t xml:space="preserve">L'affidamento avviene mediante acquisizione del progetto definitivo in sede di offerta ovvero, in alternativa, mediante offerte aventi a oggetto la realizzazione del progetto definitivo, del progetto esecutivo e il prezzo. In entrambi i casi, l'offerta relativa al prezzo indica distintamente il corrispettivo richiesto per la progettazione definitiva, per la progettazione esecutiva e per l'esecuzione dei lavori. Laddove si rendano necessarie modifiche sostanziali, il Commissario può convocare, ai sensi del comma 1, una nuova conferenza di servizi ai fini dell'approvazione del progetto definitivo e alla stessa è chiamato a partecipare anche l'affidatario dell'appalto che provvede, ove necessario, </w:t>
      </w:r>
      <w:proofErr w:type="gramStart"/>
      <w:r w:rsidRPr="00660EE5">
        <w:rPr>
          <w:rFonts w:asciiTheme="minorHAnsi" w:hAnsiTheme="minorHAnsi"/>
          <w:color w:val="000000" w:themeColor="text1"/>
          <w:sz w:val="24"/>
          <w:szCs w:val="24"/>
        </w:rPr>
        <w:t>ad</w:t>
      </w:r>
      <w:proofErr w:type="gramEnd"/>
      <w:r w:rsidRPr="00660EE5">
        <w:rPr>
          <w:rFonts w:asciiTheme="minorHAnsi" w:hAnsiTheme="minorHAnsi"/>
          <w:color w:val="000000" w:themeColor="text1"/>
          <w:sz w:val="24"/>
          <w:szCs w:val="24"/>
        </w:rPr>
        <w:t xml:space="preserve"> adeguare il progetto alle eventuali prescrizioni susseguenti alle determinazioni del Commissario, anche rese in seguito alla conferenza di servizi.</w:t>
      </w:r>
    </w:p>
    <w:p w14:paraId="0026667E"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5C36A32C"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6. In caso di impugnazione degli atti relativi alle procedure di affidamento indette per la progettazione e l'esecuzione degli interventi di edilizia giudiziaria e delle infrastrutture a supporto di cui al presente articolo, si applicano le previsioni contenute nell'articolo 125 del codice del processo amministrativo di cui al decreto legislativo 2 luglio 2010, n. 104.</w:t>
      </w:r>
    </w:p>
    <w:p w14:paraId="371EC00E"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31BA9E9F"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Articolo 10.</w:t>
      </w:r>
    </w:p>
    <w:p w14:paraId="5F6402D1"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(Procedure di attuazione del Piano Nazionale di Ripresa e Resilienza e modalità di accesso ai servizi erogati in rete dalle pubbliche amministrazioni)</w:t>
      </w:r>
    </w:p>
    <w:p w14:paraId="1ACCE997"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4229FB48"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1. All'articolo 1 della legge 30 dicembre 2020, n. 178, il comma 1039 è sostituito dal seguente: «1039. Le risorse giacenti nei conti correnti infruttiferi di cui al comma 1038 sono attribuite, in relazione al fabbisogno finanziario, a ciascuna amministrazione od organismo titolare e/o attuatore dei progetti, sulla base delle procedure definite con il decreto di cui al comma 1042, nel rispetto del sistema di gestione e controllo delle componenti del Next Generation EU.».</w:t>
      </w:r>
    </w:p>
    <w:p w14:paraId="5F99C030"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286ED2C5"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2. Il decreto del Ministro dell'economia e delle finanze con cui sono state individuate le risorse finanziarie, come determinate nella decisione di esecuzione del Consiglio UE–ECOFIN recante «Approvazione della Valutazione del Piano Nazionale di Ripresa e Resilienza dell'Italia», viene aggiornato sulla base di eventuali riprogrammazioni del PNRR adottate secondo quanto previsto dalla normativa dell'Unione. Le risorse del Fondo per lo sviluppo e la coesione necessarie all'attuazione del Piano sono assegnate annualmente sulla base del cronoprogramma finanziario degli interventi cui esse sono destinate.</w:t>
      </w:r>
    </w:p>
    <w:p w14:paraId="3E98A788"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015FEFB1"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3. La notifica della citata decisione di esecuzione del consiglio UE–ECOFIN recante «Approvazione della Valutazione del Piano Nazionale di Ripresa e Resilienza dell'Italia», unitamente al decreto del Ministro dell'economia e delle finanze di cui al comma 2, costituiscono la base giuridica di riferimento per l'attivazione, da parte delle amministrazioni responsabili, delle procedure di attuazione dei singoli interventi previsti dal PNRR, secondo quanto disposto dalla vigente normativa nazionale ed europea, ivi compresa l'assunzione dei corrispondenti impegni di spesa, nei limiti delle risorse assegnate ai sensi del decreto di cui al comma 2.</w:t>
      </w:r>
    </w:p>
    <w:p w14:paraId="587B0043"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01C5F591"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color w:val="000000" w:themeColor="text1"/>
          <w:sz w:val="24"/>
          <w:szCs w:val="24"/>
        </w:rPr>
        <w:lastRenderedPageBreak/>
        <w:t xml:space="preserve">4. Laddove non diversamente previsto nel PNRR, ai fini della contabilizzazione e rendicontazione delle spese, le amministrazioni ed i soggetti responsabili dell'attuazione possono utilizzare le «opzioni di costo semplificate» previste dagli articoli 52 e seguenti del regolamento (UE) 2021/1060. </w:t>
      </w:r>
      <w:r w:rsidRPr="00660EE5">
        <w:rPr>
          <w:rFonts w:asciiTheme="minorHAnsi" w:hAnsiTheme="minorHAnsi"/>
          <w:b/>
          <w:bCs/>
          <w:color w:val="000000" w:themeColor="text1"/>
          <w:sz w:val="24"/>
          <w:szCs w:val="24"/>
        </w:rPr>
        <w:t>Ove possibile, tale modalità semplificata è altresì estesa alla contabilizzazione e alla rendicontazione delle spese sostenute nell'ambito dei Piani di sviluppo e coesione di cui all'articolo 44 del decreto-legge 30 aprile 2019, n. 34, convertito, con modificazioni, dalla legge 28 giugno 2019, n. 58.</w:t>
      </w:r>
      <w:r w:rsidRPr="00660EE5">
        <w:rPr>
          <w:rStyle w:val="Rimandonotaapidipagina"/>
          <w:rFonts w:asciiTheme="minorHAnsi" w:hAnsiTheme="minorHAnsi"/>
          <w:b/>
          <w:bCs/>
          <w:color w:val="000000" w:themeColor="text1"/>
          <w:sz w:val="24"/>
          <w:szCs w:val="24"/>
        </w:rPr>
        <w:footnoteReference w:id="85"/>
      </w:r>
    </w:p>
    <w:p w14:paraId="226A77D8"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69846DD7"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5. In sede di definizione dei provvedimenti che recano le procedure di attuazione degli interventi del PNRR, ivi incluse quelle relative ai progetti in essere, le amministrazioni responsabili, in aggiunta agli ordinari criteri previsti dalla normativa di settore, stabiliscono ulteriori e specifici criteri di assegnazione delle risorse idonei ad assicurare il rispetto delle condizionalità, degli obiettivi iniziali, intermedi e finali e dei cronoprogrammi previsti dal PNRR, nonché i relativi obblighi di monitoraggio, rendicontazione e controllo previsti dal regolamento UE 241/2021, anche sulla base di apposite linee guida da emanarsi con decreto del Ministro dell'economia e delle finanze.</w:t>
      </w:r>
    </w:p>
    <w:p w14:paraId="1876AFD1"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1C43AF2F"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6. Nel caso in cui si renda necessario procedere al recupero di somme nei confronti di regioni, province autonome di Trento e di Bolzano e degli enti locali, si applicano le procedure di cui al comma 7-bis dell'articolo 1 del decreto-legge 6 maggio 2021, n. 59, convertito, con modificazioni, dalla legge 1&amp;#176; luglio 2021, n. 101.</w:t>
      </w:r>
    </w:p>
    <w:p w14:paraId="6BA451C6"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19E1FF82"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7. All'articolo 66-bis del decreto-legge 31 maggio 2021, n. 77, convertito, con modificazioni, dalla legge 29 luglio 2021, n. 108, al comma 3, le parole «è abrogato» sono sostituite dalle seguenti: «è sostituito dal seguente: “3-bis. Fatto salvo quanto previsto dal comma 2-nonies, i soggetti di cui all'articolo 2, comma 2, lettera a), utilizzano esclusivamente le identità digitali SPID e la carta di identità elettronica ai fini dell'identificazione dei cittadini che accedono ai propri servizi in rete. Con uno o più decreti del Presidente del Consiglio dei ministri o del Ministro delegato per l'innovazione tecnologica e la digitalizzazione è stabilita la data a decorrere dalla quale i soggetti di cui all'articolo 2, comma 2, lettera a), utilizzano esclusivamente le identità digitali SPID, la carta di identità elettronica e la Carta Nazionale dei servizi per consentire l'accesso delle imprese e dei professionisti ai propri servizi in rete, nonché la data a decorrere dalla quale i soggetti di cui all'articolo 2, comma 2, lettere b) e c) utilizzano esclusivamente le identità digitali SPID, la carta di identità elettronica e la carta Nazionale dei servizi ai fini dell'identificazione degli utenti dei propri servizi on-line.”.».</w:t>
      </w:r>
    </w:p>
    <w:p w14:paraId="0E13EB55"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2D37CBD6"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7-bis. Dopo l'articolo 48 del decreto-legge 31 maggio 2021, n. 77, convertito, con modificazioni, dalla legge 29 luglio 2021, n. 108, è inserito il seguente:</w:t>
      </w:r>
    </w:p>
    <w:p w14:paraId="50938DCF"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«Art. 48-bis (Interventi sulle infrastrutture energetiche lineari)</w:t>
      </w:r>
    </w:p>
    <w:p w14:paraId="47B41976"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xml:space="preserve">   1. Per gli interventi infrastrutturali ferroviari rientranti nelle previsioni di cui agli articoli 44 e 48 del presente decreto, che ai fini della loro funzionalità necessitano di connessione alle infrastrutture </w:t>
      </w:r>
      <w:r w:rsidRPr="00660EE5">
        <w:rPr>
          <w:rFonts w:asciiTheme="minorHAnsi" w:hAnsiTheme="minorHAnsi"/>
          <w:b/>
          <w:bCs/>
          <w:color w:val="000000" w:themeColor="text1"/>
          <w:sz w:val="24"/>
          <w:szCs w:val="24"/>
        </w:rPr>
        <w:lastRenderedPageBreak/>
        <w:t>lineari energetiche, le procedure autorizzatorie di cui ai predetti articoli possono applicarsi anche alla progettazione degli interventi di modifica, potenziamento, rifacimento totale o parziale o nuova realizzazione di tali infrastrutture, ove queste siano strettamente connesse e funzionali all'infrastruttura ferroviaria. In tali casi, il procedimento si svolge mediante unica conferenza di servizi alla quale partecipano tutte le amministrazioni competenti all'adozione di provvedimenti, pareri, visti, nulla osta e intese relativi all'infrastruttura ferroviaria e alle opere di connessione. La determinazione conclusiva della conferenza dispone l'approvazione del progetto ferroviario e l'autorizzazione alla costruzione e all'esercizio delle opere di connessione elettriche in favore del soggetto gestore dell'infrastruttura lineare energetica, ai sensi degli articoli 52-bis e seguenti del testo unico delle disposizioni legislative e regolamentari in materia di espropriazione per pubblica utilità, di cui al decreto del Presidente della Repubblica 8 giugno 2001, n. 327. Con tale determinazione, le connessioni elettriche alle infrastrutture di cui al primo periodo sono dichiarate di pubblica utilità e inamovibili ai sensi dell'articolo 52-quater, commi 1 e 5, del predetto testo unico e la loro localizzazione, in caso di difformità dallo strumento urbanistico vigente, ha effetto di variante con contestuale imposizione del vincolo preordinato all'esproprio, con attribuzione del relativo potere espropriativo al soggetto gestore dell'infrastruttura lineare energetica.».</w:t>
      </w:r>
    </w:p>
    <w:p w14:paraId="6341A6D8" w14:textId="77777777" w:rsidR="00660EE5" w:rsidRPr="00660EE5" w:rsidRDefault="00660EE5" w:rsidP="00660EE5">
      <w:pPr>
        <w:spacing w:after="0" w:line="240" w:lineRule="auto"/>
        <w:rPr>
          <w:rFonts w:asciiTheme="minorHAnsi" w:hAnsiTheme="minorHAnsi"/>
          <w:color w:val="000000" w:themeColor="text1"/>
          <w:sz w:val="24"/>
          <w:szCs w:val="24"/>
        </w:rPr>
      </w:pPr>
    </w:p>
    <w:p w14:paraId="68AAAAA5"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7-ter. All'articolo 53, comma 2, del decreto-legge 24 gennaio 2012, n. 1, convertito, con modificazioni, dalla legge 24 marzo 2012, n. 27, dopo le parole: «finalizzati a garantire» sono inserite le seguenti: «, limitatamente alle sole infrastrutture già in esercizio»;</w:t>
      </w:r>
    </w:p>
    <w:p w14:paraId="766177A5"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w:t>
      </w:r>
    </w:p>
    <w:p w14:paraId="1437F0E0" w14:textId="19CF1C5D" w:rsid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7-quater. All'articolo 13, comma 17-bis, del decreto-legge 31 dicembre 2020, n. 183, convertito, con modificazioni, dalla legge 26 febbraio 2021, n. 21, al primo periodo, dopo le parole: «da parte dei gestori delle imprese ferroviarie» sono inserite le seguenti: «, nonché a definire le tempistiche di adeguamento a dette prescrizioni da parte dei gestori e delle imprese ferroviarie.».</w:t>
      </w:r>
      <w:r w:rsidRPr="00660EE5">
        <w:rPr>
          <w:rStyle w:val="Rimandonotaapidipagina"/>
          <w:rFonts w:asciiTheme="minorHAnsi" w:hAnsiTheme="minorHAnsi"/>
          <w:b/>
          <w:bCs/>
          <w:color w:val="000000" w:themeColor="text1"/>
          <w:sz w:val="24"/>
          <w:szCs w:val="24"/>
        </w:rPr>
        <w:footnoteReference w:id="86"/>
      </w:r>
    </w:p>
    <w:p w14:paraId="397FDE66" w14:textId="7983B4E2" w:rsidR="00602F70" w:rsidRDefault="00602F70" w:rsidP="00660EE5">
      <w:pPr>
        <w:spacing w:after="0" w:line="240" w:lineRule="auto"/>
        <w:jc w:val="both"/>
        <w:rPr>
          <w:rFonts w:asciiTheme="minorHAnsi" w:hAnsiTheme="minorHAnsi"/>
          <w:b/>
          <w:bCs/>
          <w:color w:val="000000" w:themeColor="text1"/>
          <w:sz w:val="24"/>
          <w:szCs w:val="24"/>
        </w:rPr>
      </w:pPr>
    </w:p>
    <w:p w14:paraId="6208E8F1" w14:textId="77777777" w:rsidR="00602F70" w:rsidRDefault="00602F70" w:rsidP="00602F70">
      <w:pPr>
        <w:shd w:val="clear" w:color="auto" w:fill="FFFFFF"/>
        <w:spacing w:after="0" w:line="240" w:lineRule="auto"/>
        <w:jc w:val="both"/>
        <w:rPr>
          <w:rFonts w:eastAsia="Times New Roman" w:cs="Arial"/>
          <w:color w:val="000000" w:themeColor="text1"/>
          <w:sz w:val="24"/>
          <w:szCs w:val="24"/>
        </w:rPr>
      </w:pPr>
      <w:r w:rsidRPr="00332D91">
        <w:rPr>
          <w:rFonts w:eastAsia="Times New Roman" w:cs="Arial"/>
          <w:b/>
          <w:bCs/>
          <w:color w:val="000000" w:themeColor="text1"/>
          <w:sz w:val="24"/>
          <w:szCs w:val="24"/>
        </w:rPr>
        <w:t>7-</w:t>
      </w:r>
      <w:r w:rsidRPr="00332D91">
        <w:rPr>
          <w:rFonts w:eastAsia="Times New Roman" w:cs="Arial"/>
          <w:b/>
          <w:bCs/>
          <w:i/>
          <w:iCs/>
          <w:color w:val="000000" w:themeColor="text1"/>
          <w:sz w:val="24"/>
          <w:szCs w:val="24"/>
        </w:rPr>
        <w:t>bis</w:t>
      </w:r>
      <w:r w:rsidRPr="00332D91">
        <w:rPr>
          <w:rFonts w:eastAsia="Times New Roman" w:cs="Arial"/>
          <w:b/>
          <w:bCs/>
          <w:color w:val="000000" w:themeColor="text1"/>
          <w:sz w:val="24"/>
          <w:szCs w:val="24"/>
        </w:rPr>
        <w:t>. Al fine di assicurare l'efficace e tempestiva attuazione degli interventi pubblici previsti dal Piano Nazionale di Ripresa e Resilienza, di cui al regolamento (UE) 2021/241 del Parlamento europeo e del Consiglio del 12 febbraio 2021, fino al 31 dicembre 2026 le amministrazioni di cui all'articolo 1, comma 2, del decreto legislativo 30 marzo 2001, n. 165, possono avvalersi direttamente di CDP S.p.A. e di sue società direttamente o indirettamente controllate per attività di assistenza e supporto tecnico operativo, per la gestione di fondi e per attività ad esse connesse, strumentali o accessorie. I rapporti tra le parti sono regolati sulla base di apposite convenzioni, anche in relazione alla remunerazione dell'attività svolta, concluse sulla base e in conformità con l'accordo quadro stipulato tra il Ministero dell'economia e delle finanze e CDP S.p.A. Le amministrazioni possono sottoscrivere le suddette convenzioni nei limiti delle risorse finanziarie disponibili a legislazione vigente nell'ambito dei rispettivi bilanci, anche a valere sui quadri economici degli investimenti che concorrono a realizzare.</w:t>
      </w:r>
    </w:p>
    <w:p w14:paraId="0ADD49CF" w14:textId="77777777" w:rsidR="00602F70" w:rsidRDefault="00602F70" w:rsidP="00602F70">
      <w:pPr>
        <w:shd w:val="clear" w:color="auto" w:fill="FFFFFF"/>
        <w:spacing w:after="0" w:line="240" w:lineRule="auto"/>
        <w:jc w:val="both"/>
        <w:rPr>
          <w:rFonts w:eastAsia="Times New Roman" w:cs="Arial"/>
          <w:color w:val="000000" w:themeColor="text1"/>
          <w:sz w:val="24"/>
          <w:szCs w:val="24"/>
        </w:rPr>
      </w:pPr>
      <w:r w:rsidRPr="00155015">
        <w:rPr>
          <w:rFonts w:eastAsia="Times New Roman" w:cs="Arial"/>
          <w:color w:val="000000" w:themeColor="text1"/>
          <w:sz w:val="24"/>
          <w:szCs w:val="24"/>
        </w:rPr>
        <w:t> </w:t>
      </w:r>
      <w:r w:rsidRPr="00155015">
        <w:rPr>
          <w:rFonts w:eastAsia="Times New Roman" w:cs="Arial"/>
          <w:color w:val="000000" w:themeColor="text1"/>
          <w:sz w:val="24"/>
          <w:szCs w:val="24"/>
        </w:rPr>
        <w:t> </w:t>
      </w:r>
      <w:r w:rsidRPr="00155015">
        <w:rPr>
          <w:rFonts w:eastAsia="Times New Roman" w:cs="Arial"/>
          <w:color w:val="000000" w:themeColor="text1"/>
          <w:sz w:val="24"/>
          <w:szCs w:val="24"/>
        </w:rPr>
        <w:t> </w:t>
      </w:r>
    </w:p>
    <w:p w14:paraId="66653F06" w14:textId="77777777" w:rsidR="00602F70" w:rsidRDefault="00602F70" w:rsidP="00602F70">
      <w:pPr>
        <w:shd w:val="clear" w:color="auto" w:fill="FFFFFF"/>
        <w:spacing w:after="0" w:line="240" w:lineRule="auto"/>
        <w:jc w:val="both"/>
        <w:rPr>
          <w:rFonts w:eastAsia="Times New Roman" w:cs="Arial"/>
          <w:b/>
          <w:bCs/>
          <w:color w:val="000000" w:themeColor="text1"/>
          <w:sz w:val="24"/>
          <w:szCs w:val="24"/>
        </w:rPr>
      </w:pPr>
      <w:r w:rsidRPr="00332D91">
        <w:rPr>
          <w:rFonts w:eastAsia="Times New Roman" w:cs="Arial"/>
          <w:b/>
          <w:bCs/>
          <w:color w:val="000000" w:themeColor="text1"/>
          <w:sz w:val="24"/>
          <w:szCs w:val="24"/>
        </w:rPr>
        <w:lastRenderedPageBreak/>
        <w:t>7-</w:t>
      </w:r>
      <w:r w:rsidRPr="00332D91">
        <w:rPr>
          <w:rFonts w:eastAsia="Times New Roman" w:cs="Arial"/>
          <w:b/>
          <w:bCs/>
          <w:i/>
          <w:iCs/>
          <w:color w:val="000000" w:themeColor="text1"/>
          <w:sz w:val="24"/>
          <w:szCs w:val="24"/>
        </w:rPr>
        <w:t>ter</w:t>
      </w:r>
      <w:r w:rsidRPr="00332D91">
        <w:rPr>
          <w:rFonts w:eastAsia="Times New Roman" w:cs="Arial"/>
          <w:b/>
          <w:bCs/>
          <w:color w:val="000000" w:themeColor="text1"/>
          <w:sz w:val="24"/>
          <w:szCs w:val="24"/>
        </w:rPr>
        <w:t>. Per le medesime finalità di cui al comma 7-</w:t>
      </w:r>
      <w:r w:rsidRPr="00332D91">
        <w:rPr>
          <w:rFonts w:eastAsia="Times New Roman" w:cs="Arial"/>
          <w:b/>
          <w:bCs/>
          <w:i/>
          <w:iCs/>
          <w:color w:val="000000" w:themeColor="text1"/>
          <w:sz w:val="24"/>
          <w:szCs w:val="24"/>
        </w:rPr>
        <w:t>bis</w:t>
      </w:r>
      <w:r w:rsidRPr="00332D91">
        <w:rPr>
          <w:rFonts w:eastAsia="Times New Roman" w:cs="Arial"/>
          <w:b/>
          <w:bCs/>
          <w:color w:val="000000" w:themeColor="text1"/>
          <w:sz w:val="24"/>
          <w:szCs w:val="24"/>
        </w:rPr>
        <w:t> ed al fine di rafforzare il settore del </w:t>
      </w:r>
      <w:r w:rsidRPr="00332D91">
        <w:rPr>
          <w:rFonts w:eastAsia="Times New Roman" w:cs="Arial"/>
          <w:b/>
          <w:bCs/>
          <w:i/>
          <w:iCs/>
          <w:color w:val="000000" w:themeColor="text1"/>
          <w:sz w:val="24"/>
          <w:szCs w:val="24"/>
        </w:rPr>
        <w:t>venture capital</w:t>
      </w:r>
      <w:r w:rsidRPr="00332D91">
        <w:rPr>
          <w:rFonts w:eastAsia="Times New Roman" w:cs="Arial"/>
          <w:b/>
          <w:bCs/>
          <w:color w:val="000000" w:themeColor="text1"/>
          <w:sz w:val="24"/>
          <w:szCs w:val="24"/>
        </w:rPr>
        <w:t>, il Ministero dello sviluppo economico, nel rispetto delle condizioni previste dai punti da 29 a 45 della Comunicazione della Commissione europea 2014/C 19/04, è autorizzato a sottoscrivere, fino ad un ammontare pari a euro 2 miliardi, secondo la disciplina dei relativi regolamenti di gestione, quote o azioni di uno o più fondi per il </w:t>
      </w:r>
      <w:r w:rsidRPr="00332D91">
        <w:rPr>
          <w:rFonts w:eastAsia="Times New Roman" w:cs="Arial"/>
          <w:b/>
          <w:bCs/>
          <w:i/>
          <w:iCs/>
          <w:color w:val="000000" w:themeColor="text1"/>
          <w:sz w:val="24"/>
          <w:szCs w:val="24"/>
        </w:rPr>
        <w:t>venture capital</w:t>
      </w:r>
      <w:r w:rsidRPr="00332D91">
        <w:rPr>
          <w:rFonts w:eastAsia="Times New Roman" w:cs="Arial"/>
          <w:b/>
          <w:bCs/>
          <w:color w:val="000000" w:themeColor="text1"/>
          <w:sz w:val="24"/>
          <w:szCs w:val="24"/>
        </w:rPr>
        <w:t>, come definiti dall'articolo 31, comma 2, del decreto-legge 6 luglio 2011, n. 98, convertito, con modificazioni, dalla legge 15 luglio 2011, n. 111, o di uno o più fondi che investono in fondi per il </w:t>
      </w:r>
      <w:r w:rsidRPr="00332D91">
        <w:rPr>
          <w:rFonts w:eastAsia="Times New Roman" w:cs="Arial"/>
          <w:b/>
          <w:bCs/>
          <w:i/>
          <w:iCs/>
          <w:color w:val="000000" w:themeColor="text1"/>
          <w:sz w:val="24"/>
          <w:szCs w:val="24"/>
        </w:rPr>
        <w:t>venture capital</w:t>
      </w:r>
      <w:r w:rsidRPr="00332D91">
        <w:rPr>
          <w:rFonts w:eastAsia="Times New Roman" w:cs="Arial"/>
          <w:b/>
          <w:bCs/>
          <w:color w:val="000000" w:themeColor="text1"/>
          <w:sz w:val="24"/>
          <w:szCs w:val="24"/>
        </w:rPr>
        <w:t>, ivi incluse quote o azioni di fondi di </w:t>
      </w:r>
      <w:r w:rsidRPr="00332D91">
        <w:rPr>
          <w:rFonts w:eastAsia="Times New Roman" w:cs="Arial"/>
          <w:b/>
          <w:bCs/>
          <w:i/>
          <w:iCs/>
          <w:color w:val="000000" w:themeColor="text1"/>
          <w:sz w:val="24"/>
          <w:szCs w:val="24"/>
        </w:rPr>
        <w:t xml:space="preserve">venture </w:t>
      </w:r>
      <w:proofErr w:type="spellStart"/>
      <w:r w:rsidRPr="00332D91">
        <w:rPr>
          <w:rFonts w:eastAsia="Times New Roman" w:cs="Arial"/>
          <w:b/>
          <w:bCs/>
          <w:i/>
          <w:iCs/>
          <w:color w:val="000000" w:themeColor="text1"/>
          <w:sz w:val="24"/>
          <w:szCs w:val="24"/>
        </w:rPr>
        <w:t>debt</w:t>
      </w:r>
      <w:proofErr w:type="spellEnd"/>
      <w:r w:rsidRPr="00332D91">
        <w:rPr>
          <w:rFonts w:eastAsia="Times New Roman" w:cs="Arial"/>
          <w:b/>
          <w:bCs/>
          <w:color w:val="000000" w:themeColor="text1"/>
          <w:sz w:val="24"/>
          <w:szCs w:val="24"/>
        </w:rPr>
        <w:t> o di uno o più fondi che investono in fondi per il </w:t>
      </w:r>
      <w:r w:rsidRPr="00332D91">
        <w:rPr>
          <w:rFonts w:eastAsia="Times New Roman" w:cs="Arial"/>
          <w:b/>
          <w:bCs/>
          <w:i/>
          <w:iCs/>
          <w:color w:val="000000" w:themeColor="text1"/>
          <w:sz w:val="24"/>
          <w:szCs w:val="24"/>
        </w:rPr>
        <w:t xml:space="preserve">venture </w:t>
      </w:r>
      <w:proofErr w:type="spellStart"/>
      <w:r w:rsidRPr="00332D91">
        <w:rPr>
          <w:rFonts w:eastAsia="Times New Roman" w:cs="Arial"/>
          <w:b/>
          <w:bCs/>
          <w:i/>
          <w:iCs/>
          <w:color w:val="000000" w:themeColor="text1"/>
          <w:sz w:val="24"/>
          <w:szCs w:val="24"/>
        </w:rPr>
        <w:t>debt</w:t>
      </w:r>
      <w:proofErr w:type="spellEnd"/>
      <w:r w:rsidRPr="00332D91">
        <w:rPr>
          <w:rFonts w:eastAsia="Times New Roman" w:cs="Arial"/>
          <w:b/>
          <w:bCs/>
          <w:color w:val="000000" w:themeColor="text1"/>
          <w:sz w:val="24"/>
          <w:szCs w:val="24"/>
        </w:rPr>
        <w:t>, istituiti dalla società che gestisce anche le risorse di cui all'articolo 1, comma 116, della legge 30 dicembre 2018, n. 145, a condizione che altri investitori professionali, ivi incluso l'Istituto nazionale di promozione di cui all'articolo 1, comma 826, della legge 28 dicembre 2015, n. 208, sottoscrivano risorse aggiuntive per almeno il 30 per cento dell'ammontare della sottoscrizione del Ministero medesimo e fermo restando il rispetto dei richiamati punti della Comunicazione della Commissione europea 2014/C 19/04. A tal fine è autorizzato il versamento all'entrata del bilancio dello Stato, entro il 31 dicembre 2021, dell'importo di 2.000 milioni di euro delle somme iscritte in conto residui nello stato di previsione del Ministero dell'economia e delle finanze, ai sensi all'articolo 27, comma 17, del decreto-legge 19 maggio 2020, n. 34, convertito, con modificazioni, dalla legge 17 luglio 2020, n. 77, per la successiva riassegnazione al pertinente capitolo di spesa dello stato di previsione del Ministero dello sviluppo economico relativo all'articolo 1, comma 209, della legge 30 dicembre 2018, n. 145. La normativa di attuazione recante le modalità di investimento del Ministero dello sviluppo economico attraverso il Fondo di sostegno al </w:t>
      </w:r>
      <w:r w:rsidRPr="00332D91">
        <w:rPr>
          <w:rFonts w:eastAsia="Times New Roman" w:cs="Arial"/>
          <w:b/>
          <w:bCs/>
          <w:i/>
          <w:iCs/>
          <w:color w:val="000000" w:themeColor="text1"/>
          <w:sz w:val="24"/>
          <w:szCs w:val="24"/>
        </w:rPr>
        <w:t>venture capital</w:t>
      </w:r>
      <w:r w:rsidRPr="00332D91">
        <w:rPr>
          <w:rFonts w:eastAsia="Times New Roman" w:cs="Arial"/>
          <w:b/>
          <w:bCs/>
          <w:color w:val="000000" w:themeColor="text1"/>
          <w:sz w:val="24"/>
          <w:szCs w:val="24"/>
        </w:rPr>
        <w:t> disciplina anche le conseguenze del mancato investimento di almeno il 60 per cento del patrimonio del fondo entro cinque anni dalla chiusura anche parziale del primo periodo di sottoscrizione.</w:t>
      </w:r>
    </w:p>
    <w:p w14:paraId="552FA531" w14:textId="05D755E1" w:rsidR="00602F70" w:rsidRDefault="00602F70" w:rsidP="00602F70">
      <w:pPr>
        <w:shd w:val="clear" w:color="auto" w:fill="FFFFFF"/>
        <w:spacing w:after="0" w:line="240" w:lineRule="auto"/>
        <w:jc w:val="both"/>
        <w:rPr>
          <w:rFonts w:eastAsia="Times New Roman" w:cs="Arial"/>
          <w:b/>
          <w:bCs/>
          <w:color w:val="000000" w:themeColor="text1"/>
          <w:sz w:val="24"/>
          <w:szCs w:val="24"/>
        </w:rPr>
      </w:pPr>
      <w:r w:rsidRPr="00332D91">
        <w:rPr>
          <w:rFonts w:eastAsia="Times New Roman" w:cs="Arial"/>
          <w:b/>
          <w:bCs/>
          <w:color w:val="000000" w:themeColor="text1"/>
          <w:sz w:val="24"/>
          <w:szCs w:val="24"/>
        </w:rPr>
        <w:br/>
        <w:t>7-</w:t>
      </w:r>
      <w:r w:rsidRPr="00332D91">
        <w:rPr>
          <w:rFonts w:eastAsia="Times New Roman" w:cs="Arial"/>
          <w:b/>
          <w:bCs/>
          <w:i/>
          <w:iCs/>
          <w:color w:val="000000" w:themeColor="text1"/>
          <w:sz w:val="24"/>
          <w:szCs w:val="24"/>
        </w:rPr>
        <w:t>quater</w:t>
      </w:r>
      <w:r w:rsidRPr="00332D91">
        <w:rPr>
          <w:rFonts w:eastAsia="Times New Roman" w:cs="Arial"/>
          <w:b/>
          <w:bCs/>
          <w:color w:val="000000" w:themeColor="text1"/>
          <w:sz w:val="24"/>
          <w:szCs w:val="24"/>
        </w:rPr>
        <w:t>. Per le medesime finalità di cui al comma 7-bis, limitatamente agli strumenti e agli interventi in favore delle piccole e medie imprese, le amministrazioni di cui all'articolo 1, comma 2, del decreto legislativo 30 marzo 2001, n. 165, possono avvalersi anche di Mediocredito Centrale S.p.A.</w:t>
      </w:r>
      <w:r>
        <w:rPr>
          <w:rStyle w:val="Rimandonotaapidipagina"/>
          <w:rFonts w:eastAsia="Times New Roman" w:cs="Arial"/>
          <w:b/>
          <w:bCs/>
          <w:color w:val="000000" w:themeColor="text1"/>
          <w:sz w:val="24"/>
          <w:szCs w:val="24"/>
        </w:rPr>
        <w:footnoteReference w:id="87"/>
      </w:r>
    </w:p>
    <w:p w14:paraId="310640AD" w14:textId="57EBFF91" w:rsidR="00602F70" w:rsidRDefault="00602F70" w:rsidP="00602F70">
      <w:pPr>
        <w:shd w:val="clear" w:color="auto" w:fill="FFFFFF"/>
        <w:spacing w:after="0" w:line="240" w:lineRule="auto"/>
        <w:jc w:val="both"/>
        <w:rPr>
          <w:rFonts w:eastAsia="Times New Roman" w:cs="Arial"/>
          <w:b/>
          <w:bCs/>
          <w:color w:val="000000" w:themeColor="text1"/>
          <w:sz w:val="24"/>
          <w:szCs w:val="24"/>
        </w:rPr>
      </w:pPr>
    </w:p>
    <w:p w14:paraId="140B60C3" w14:textId="4351416E" w:rsidR="00602F70" w:rsidRDefault="00602F70" w:rsidP="00602F70">
      <w:pPr>
        <w:shd w:val="clear" w:color="auto" w:fill="FFFFFF"/>
        <w:spacing w:after="0" w:line="240" w:lineRule="auto"/>
        <w:jc w:val="both"/>
        <w:rPr>
          <w:rFonts w:eastAsia="Times New Roman" w:cs="Arial"/>
          <w:b/>
          <w:bCs/>
          <w:color w:val="000000" w:themeColor="text1"/>
          <w:sz w:val="24"/>
          <w:szCs w:val="24"/>
        </w:rPr>
      </w:pPr>
      <w:r w:rsidRPr="00332D91">
        <w:rPr>
          <w:rFonts w:eastAsia="Times New Roman" w:cs="Arial"/>
          <w:b/>
          <w:bCs/>
          <w:color w:val="000000" w:themeColor="text1"/>
          <w:sz w:val="24"/>
          <w:szCs w:val="24"/>
        </w:rPr>
        <w:t>7-</w:t>
      </w:r>
      <w:r w:rsidRPr="00332D91">
        <w:rPr>
          <w:rFonts w:eastAsia="Times New Roman" w:cs="Arial"/>
          <w:b/>
          <w:bCs/>
          <w:i/>
          <w:iCs/>
          <w:color w:val="000000" w:themeColor="text1"/>
          <w:sz w:val="24"/>
          <w:szCs w:val="24"/>
        </w:rPr>
        <w:t>bis</w:t>
      </w:r>
      <w:r w:rsidRPr="00332D91">
        <w:rPr>
          <w:rFonts w:eastAsia="Times New Roman" w:cs="Arial"/>
          <w:b/>
          <w:bCs/>
          <w:color w:val="000000" w:themeColor="text1"/>
          <w:sz w:val="24"/>
          <w:szCs w:val="24"/>
        </w:rPr>
        <w:t>. All'articolo 8, comma 2-bis, terzo periodo, del decreto legislativo 3 aprile 2006, n. 152, sono aggiunte, in fine, le seguenti parole: «, anche per evitare qualsiasi effetto decadenziale».</w:t>
      </w:r>
      <w:r>
        <w:rPr>
          <w:rStyle w:val="Rimandonotaapidipagina"/>
          <w:rFonts w:eastAsia="Times New Roman" w:cs="Arial"/>
          <w:b/>
          <w:bCs/>
          <w:color w:val="000000" w:themeColor="text1"/>
          <w:sz w:val="24"/>
          <w:szCs w:val="24"/>
        </w:rPr>
        <w:footnoteReference w:id="88"/>
      </w:r>
    </w:p>
    <w:p w14:paraId="17B383E7" w14:textId="5E06BB6E" w:rsidR="00660EE5" w:rsidRPr="00660EE5" w:rsidRDefault="00602F70" w:rsidP="00602F70">
      <w:pPr>
        <w:shd w:val="clear" w:color="auto" w:fill="FFFFFF"/>
        <w:spacing w:after="0" w:line="240" w:lineRule="auto"/>
        <w:jc w:val="center"/>
        <w:rPr>
          <w:rFonts w:asciiTheme="minorHAnsi" w:hAnsiTheme="minorHAnsi"/>
          <w:color w:val="000000" w:themeColor="text1"/>
          <w:sz w:val="24"/>
          <w:szCs w:val="24"/>
        </w:rPr>
      </w:pPr>
      <w:r w:rsidRPr="00155015">
        <w:rPr>
          <w:rFonts w:eastAsia="Times New Roman" w:cs="Arial"/>
          <w:color w:val="000000" w:themeColor="text1"/>
          <w:sz w:val="24"/>
          <w:szCs w:val="24"/>
        </w:rPr>
        <w:br/>
      </w:r>
      <w:r w:rsidR="00660EE5" w:rsidRPr="00660EE5">
        <w:rPr>
          <w:rFonts w:asciiTheme="minorHAnsi" w:hAnsiTheme="minorHAnsi"/>
          <w:color w:val="000000" w:themeColor="text1"/>
          <w:sz w:val="24"/>
          <w:szCs w:val="24"/>
        </w:rPr>
        <w:t>Articolo 11.</w:t>
      </w:r>
    </w:p>
    <w:p w14:paraId="5CD7E58C"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(Rifinanziamento della componente prestiti e contributi del Fondo 394/81)</w:t>
      </w:r>
    </w:p>
    <w:p w14:paraId="618E0147"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1FD3DD55"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1. Per l'attuazione della linea progettuale «Rifinanziamento e Ridefinizione del fondo 394/81 gestito da Simest», M1C2 investimento 5.1, nell'ambito delle risorse a tal fine attribuite dal PNRR, sono istituite </w:t>
      </w:r>
      <w:r w:rsidRPr="00660EE5">
        <w:rPr>
          <w:rFonts w:asciiTheme="minorHAnsi" w:hAnsiTheme="minorHAnsi"/>
          <w:color w:val="000000" w:themeColor="text1"/>
          <w:sz w:val="24"/>
          <w:szCs w:val="24"/>
        </w:rPr>
        <w:lastRenderedPageBreak/>
        <w:t>nell'ambito del Fondo rotativo di cui all'articolo 2, primo comma, del decreto-legge 28 maggio 1981, n. 251, convertito, con modificazioni, dalla legge 29 luglio 1981, n. 394, le seguenti sezioni:</w:t>
      </w:r>
    </w:p>
    <w:p w14:paraId="1DDEC5DF"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   a) «Sezione Prestiti», per la concessione di finanziamenti a tasso agevolato ai sensi dell'articolo 6 del decreto-legge 25 giugno 2008, n. 112, convertito, con modificazioni, dalla legge 6 agosto 2008, n. 133, con dotazione finanziaria pari a euro 800 milioni per l'anno 2021;</w:t>
      </w:r>
    </w:p>
    <w:p w14:paraId="0659B423"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 b) «Sezione Contributi» per le finalità di cui all'articolo 72, comma 1, lettera d), del decreto-legge 17 marzo 2020, n. 18, convertito, con modificazioni dalla legge 24 aprile 2020, n. 27, con dotazione finanziaria pari a euro 400 milioni per l'anno 2021, da utilizzare per cofinanziamenti a fondo perduto fino al 50 per cento dei finanziamenti a tasso agevolato concessi a valere sullo stanziamento di cui alla lettera a) del presente comma.</w:t>
      </w:r>
    </w:p>
    <w:p w14:paraId="3A605811"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1D1F443E"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2. I finanziamenti agevolati a valere sulla sezione di cui al comma 1, lettera a), sono esentati, a domanda del richiedente, dalla prestazione della garanzia, in deroga alla vigente disciplina relativa al fondo di cui all'articolo 2, primo comma, del decreto-legge 28 maggio 1981, n. 251, convertito, con modificazioni, dalla legge 29 luglio 1981, n. 394.</w:t>
      </w:r>
    </w:p>
    <w:p w14:paraId="5389BD9D"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663C07A0"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3. Il Comitato agevolazioni di cui all'articolo 1, comma 270, della legge 27 dicembre 2017, n. 205, definisce con proprie delibere termini, modalità e condizioni per la realizzazione della linea progettuale di cui al comma 1 in conformità ai requisiti previsti per tale intervento e al punto M1C2-26 dell'allegato della decisione di esecuzione del Consiglio relativa all'approvazione della valutazione del PNRR dell'Italia e in particolare:</w:t>
      </w:r>
    </w:p>
    <w:p w14:paraId="27FD6BEE"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   a) la natura e la portata dei progetti sostenuti che devono essere in linea con gli obiettivi del regolamento (UE) 2021/241, e garantire la conformità agli orientamenti tecnici sull'applicazione del principio «non arrecare un danno significativo» dei progetti sostenuti nell'ambito della misura mediante l'uso di una prova di sostenibilità, ai sensi dell'articolo 17 del regolamento (UE) 2020/285;</w:t>
      </w:r>
    </w:p>
    <w:p w14:paraId="40224507"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   b) un elenco di esclusione e il requisito di conformità alla pertinente normativa ambientale nazionale e dell'Unione europea;</w:t>
      </w:r>
    </w:p>
    <w:p w14:paraId="7DBF06E4"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   c) il tipo di interventi sostenuti;</w:t>
      </w:r>
    </w:p>
    <w:p w14:paraId="24784181"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      d) i beneficiari interessati, con prevalenza di piccole e medie imprese (PMI), e i relativi criteri di ammissibilità.</w:t>
      </w:r>
    </w:p>
    <w:p w14:paraId="3475C243"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24AA5A5C"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4. Il Comitato agevolazioni è autorizzato a disporre, con proprie delibere, trasferimenti di risorse dalla sezione del Fondo di cui al comma 1, lettera b), alla sezione del Fondo di cui al comma 1, lettera a), al fine del pieno utilizzo delle risorse.</w:t>
      </w:r>
    </w:p>
    <w:p w14:paraId="365942FB"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196B5C92"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5. Agli oneri derivanti dal comma 1, pari a 1,2 miliardi di euro per l'anno 2021 si provvede a valere sul Fondo di rotazione per l'attuazione del Next Generation EU-Italia di cui all'articolo 1, comma 1037, della legge 30 dicembre 2020, n. 178, secondo le modalità di cui ai commi da 1038 a 1050 del medesimo articolo 1.</w:t>
      </w:r>
    </w:p>
    <w:p w14:paraId="46CB0828"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7604CC6E"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lastRenderedPageBreak/>
        <w:t>Articolo 12.</w:t>
      </w:r>
    </w:p>
    <w:p w14:paraId="3123995D"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(Disposizioni urgenti in materia di progettazione territoriale e investimenti)</w:t>
      </w:r>
    </w:p>
    <w:p w14:paraId="3DBF52F0"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6FDD85F8"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2069718F"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1. Al decreto-legge 20 giugno 2017, n. 91, convertito, con modificazioni, dalla legge 3 agosto 2017, n. 123, sono apportate le seguenti modificazioni:</w:t>
      </w:r>
    </w:p>
    <w:p w14:paraId="0836352C"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   a) dopo l'articolo 6-ter, è inserito il seguente:</w:t>
      </w:r>
    </w:p>
    <w:p w14:paraId="22A291A2"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   «Art. 6-quater (Disposizioni per il rilancio della progettazione territoriale). – 1. Per rilanciare e accelerare il processo di progettazione nei comuni delle regioni </w:t>
      </w:r>
      <w:r w:rsidRPr="00660EE5">
        <w:rPr>
          <w:rFonts w:asciiTheme="minorHAnsi" w:hAnsiTheme="minorHAnsi"/>
          <w:b/>
          <w:bCs/>
          <w:color w:val="000000" w:themeColor="text1"/>
          <w:sz w:val="24"/>
          <w:szCs w:val="24"/>
        </w:rPr>
        <w:t>Umbria, Marche,</w:t>
      </w:r>
      <w:r w:rsidRPr="00660EE5">
        <w:rPr>
          <w:rStyle w:val="Rimandonotaapidipagina"/>
          <w:rFonts w:asciiTheme="minorHAnsi" w:hAnsiTheme="minorHAnsi"/>
          <w:b/>
          <w:bCs/>
          <w:color w:val="000000" w:themeColor="text1"/>
          <w:sz w:val="24"/>
          <w:szCs w:val="24"/>
        </w:rPr>
        <w:footnoteReference w:id="89"/>
      </w:r>
      <w:r w:rsidRPr="00660EE5">
        <w:rPr>
          <w:rFonts w:asciiTheme="minorHAnsi" w:hAnsiTheme="minorHAnsi"/>
          <w:color w:val="000000" w:themeColor="text1"/>
          <w:sz w:val="24"/>
          <w:szCs w:val="24"/>
        </w:rPr>
        <w:t xml:space="preserve"> Abruzzo, Basilicata, Calabria, Campania, Molise, Puglia, Sardegna, Sicilia nonché in quelli ricompresi nella mappatura aree interne, in vista dell'avvio del ciclo di programmazione 2021/2027 dei fondi strutturali e del Fondo sviluppo e coesione e della partecipazione ai bandi attuativi del Piano Nazionale di Ripresa e Resilienza (PNRR) è istituito nello stato di previsione del Ministero dell'economia e delle finanze, per il successivo trasferimento all'Agenzia per la coesione territoriale, il “Fondo concorsi progettazione e idee per la coesione territoriale”, di seguito denominato Fondo, con la dotazione complessiva di </w:t>
      </w:r>
      <w:r w:rsidRPr="00660EE5">
        <w:rPr>
          <w:rFonts w:asciiTheme="minorHAnsi" w:hAnsiTheme="minorHAnsi"/>
          <w:strike/>
          <w:color w:val="000000" w:themeColor="text1"/>
          <w:sz w:val="24"/>
          <w:szCs w:val="24"/>
          <w:highlight w:val="yellow"/>
        </w:rPr>
        <w:t>123.515.175 euro di cui 12.351.518 euro per il 2021 e 111.163.658 euro per il 2022</w:t>
      </w:r>
      <w:r w:rsidRPr="00660EE5">
        <w:rPr>
          <w:rFonts w:asciiTheme="minorHAnsi" w:hAnsiTheme="minorHAnsi"/>
          <w:color w:val="000000" w:themeColor="text1"/>
          <w:sz w:val="24"/>
          <w:szCs w:val="24"/>
        </w:rPr>
        <w:t xml:space="preserve"> </w:t>
      </w:r>
      <w:r w:rsidRPr="00660EE5">
        <w:rPr>
          <w:rFonts w:asciiTheme="minorHAnsi" w:hAnsiTheme="minorHAnsi"/>
          <w:b/>
          <w:bCs/>
          <w:color w:val="000000" w:themeColor="text1"/>
          <w:sz w:val="24"/>
          <w:szCs w:val="24"/>
        </w:rPr>
        <w:t>161.515.175 euro, di cui 16.151.518 euro per il 2021 e 145.363.657 per il 2022.</w:t>
      </w:r>
      <w:r w:rsidRPr="00660EE5">
        <w:rPr>
          <w:rStyle w:val="Rimandonotaapidipagina"/>
          <w:rFonts w:asciiTheme="minorHAnsi" w:hAnsiTheme="minorHAnsi"/>
          <w:b/>
          <w:bCs/>
          <w:color w:val="000000" w:themeColor="text1"/>
          <w:sz w:val="24"/>
          <w:szCs w:val="24"/>
        </w:rPr>
        <w:footnoteReference w:id="90"/>
      </w:r>
      <w:r w:rsidRPr="00660EE5">
        <w:rPr>
          <w:rFonts w:asciiTheme="minorHAnsi" w:hAnsiTheme="minorHAnsi"/>
          <w:color w:val="000000" w:themeColor="text1"/>
          <w:sz w:val="24"/>
          <w:szCs w:val="24"/>
        </w:rPr>
        <w:t xml:space="preserve"> Ai relativi oneri si provvede mediante corrispondente riduzione del Fondo per lo sviluppo e la coesione – programmazione 2021-2027 di cui all'articolo 1, comma 177, della legge 31 dicembre 2020, n. 178.</w:t>
      </w:r>
    </w:p>
    <w:p w14:paraId="51B9B39D"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         2. Al Fondo accedono tutti i Comuni con popolazione complessiva inferiore a 30.000 abitanti, </w:t>
      </w:r>
      <w:r w:rsidRPr="00660EE5">
        <w:rPr>
          <w:rFonts w:asciiTheme="minorHAnsi" w:hAnsiTheme="minorHAnsi"/>
          <w:b/>
          <w:bCs/>
          <w:color w:val="000000" w:themeColor="text1"/>
          <w:sz w:val="24"/>
          <w:szCs w:val="24"/>
        </w:rPr>
        <w:t>le Città metropolitane e le Province</w:t>
      </w:r>
      <w:r w:rsidRPr="00660EE5">
        <w:rPr>
          <w:rStyle w:val="Rimandonotaapidipagina"/>
          <w:rFonts w:asciiTheme="minorHAnsi" w:hAnsiTheme="minorHAnsi"/>
          <w:b/>
          <w:bCs/>
          <w:color w:val="000000" w:themeColor="text1"/>
          <w:sz w:val="24"/>
          <w:szCs w:val="24"/>
        </w:rPr>
        <w:footnoteReference w:id="91"/>
      </w:r>
      <w:r w:rsidRPr="00660EE5">
        <w:rPr>
          <w:rFonts w:asciiTheme="minorHAnsi" w:hAnsiTheme="minorHAnsi"/>
          <w:color w:val="000000" w:themeColor="text1"/>
          <w:sz w:val="24"/>
          <w:szCs w:val="24"/>
        </w:rPr>
        <w:t>, ricompresi nelle aree indicate al comma 1, sulla base delle classi demografiche e secondo l'assegnazione di cui alla Tabella A, allegata al presente decreto.</w:t>
      </w:r>
    </w:p>
    <w:p w14:paraId="5C2C7DFA"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         3. Le risorse del Fondo sono ripartite ai singoli enti beneficiari con decreto del Presidente del Consiglio dei ministri su proposta dell'Autorità politica delegata per il sud e la coesione territoriale da adottarsi entro il 30 novembre 2021 assicurando una premialità ai comuni aggregati nelle Unioni di cui all'articolo 32 del decreto legislativo 18 agosto 2000, n. 267, nei limiti delle risorse specificate in tabella A. Le risorse sono impegnate dagli enti beneficiari mediante la messa a bando, entro e non oltre sei mesi dalla pubblicazione del decreto di riparto delle risorse, anche per il tramite di società in house, di premi </w:t>
      </w:r>
      <w:r w:rsidRPr="00660EE5">
        <w:rPr>
          <w:rFonts w:asciiTheme="minorHAnsi" w:hAnsiTheme="minorHAnsi"/>
          <w:color w:val="000000" w:themeColor="text1"/>
          <w:sz w:val="24"/>
          <w:szCs w:val="24"/>
        </w:rPr>
        <w:lastRenderedPageBreak/>
        <w:t xml:space="preserve">per l'acquisizione di proposte progettuali, secondo le procedure di evidenza pubblica di cui al Capo IV, Titolo VI del decreto legislativo 18 aprile 2016, n. 50. Il trasferimento delle risorse avviene dopo la pubblicazione del bando. Decorso il </w:t>
      </w:r>
      <w:proofErr w:type="gramStart"/>
      <w:r w:rsidRPr="00660EE5">
        <w:rPr>
          <w:rFonts w:asciiTheme="minorHAnsi" w:hAnsiTheme="minorHAnsi"/>
          <w:color w:val="000000" w:themeColor="text1"/>
          <w:sz w:val="24"/>
          <w:szCs w:val="24"/>
        </w:rPr>
        <w:t>predetto</w:t>
      </w:r>
      <w:proofErr w:type="gramEnd"/>
      <w:r w:rsidRPr="00660EE5">
        <w:rPr>
          <w:rFonts w:asciiTheme="minorHAnsi" w:hAnsiTheme="minorHAnsi"/>
          <w:color w:val="000000" w:themeColor="text1"/>
          <w:sz w:val="24"/>
          <w:szCs w:val="24"/>
        </w:rPr>
        <w:t xml:space="preserve"> termine di sei mesi, le risorse non impegnate sono restituite al Fondo e riassegnate agli enti beneficiari, secondo le modalità e le garanzie stabilite nel decreto di cui al primo periodo. Con il medesimo decreto è definita ogni altra misura utile ad ottenere il miglior impiego delle risorse.</w:t>
      </w:r>
    </w:p>
    <w:p w14:paraId="31E9C7E6"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        4. L'Autorità responsabile della gestione del Fondo è l'Agenzia per la coesione territoriale. L'Agenzia, nell'ambito delle proprie competenze, senza oneri ulteriori, assicura, inoltre, ogni utile supporto agli enti beneficiari per il celere ed efficace accesso al Fondo e provvede al monitoraggio ai fini di cui al comma 3, nonché ai fini della verifica di coerenza delle proposte rispetto a quanto previsto dal comma 6.</w:t>
      </w:r>
    </w:p>
    <w:p w14:paraId="70A6817E"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        5. Il monitoraggio delle risorse di cui al comma 3 avviene attraverso il sistema di cui al decreto legislativo 29 dicembre 2011, n. 229. Ogni proposta progettuale acquisita dall'ente beneficiario che si traduce in impegno di spesa ai sensi del comma 3, è identificata dal codice unico di progetto di cui all'articolo 11 della legge 16 gennaio 2003, n. 3. L'alimentazione del sistema di monitoraggio è assicurata dall'ente beneficiario titolare del codice unico di progetto. L'Agenzia per la coesione territoriale ha pieno accesso alle informazioni raccolte attraverso il sistema citato, anche ai fini di quanto disciplinato dal comma 3.</w:t>
      </w:r>
    </w:p>
    <w:p w14:paraId="3EC2AECB"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     6. Nella valutazione delle proposte progettuali di cui al comma 3, gli enti beneficiari verificano che esse siano coerenti o complementari rispetto agli obiettivi posti dall'articolo 3 del regolamento (UE) 2021/241 che istituisce il dispositivo per la ripresa e la resilienza, nonché con gli obiettivi della programmazione del Fondo per lo sviluppo e la coesione 2021/2027</w:t>
      </w:r>
      <w:r w:rsidRPr="00660EE5">
        <w:rPr>
          <w:rFonts w:asciiTheme="minorHAnsi" w:hAnsiTheme="minorHAnsi"/>
          <w:strike/>
          <w:color w:val="000000" w:themeColor="text1"/>
          <w:sz w:val="24"/>
          <w:szCs w:val="24"/>
          <w:highlight w:val="yellow"/>
        </w:rPr>
        <w:t>, come definiti da apposite linee guida adottate entro il 30 ottobre 2021</w:t>
      </w:r>
      <w:r w:rsidRPr="00660EE5">
        <w:rPr>
          <w:rFonts w:asciiTheme="minorHAnsi" w:hAnsiTheme="minorHAnsi"/>
          <w:color w:val="000000" w:themeColor="text1"/>
          <w:sz w:val="24"/>
          <w:szCs w:val="24"/>
        </w:rPr>
        <w:t xml:space="preserve"> </w:t>
      </w:r>
      <w:r w:rsidRPr="00660EE5">
        <w:rPr>
          <w:rFonts w:asciiTheme="minorHAnsi" w:hAnsiTheme="minorHAnsi"/>
          <w:b/>
          <w:bCs/>
          <w:color w:val="000000" w:themeColor="text1"/>
          <w:sz w:val="24"/>
          <w:szCs w:val="24"/>
        </w:rPr>
        <w:t>ed essere effettuate secondo apposite linee guida, in materia di progettazione infrastrutturale, adottate entro il 15 novembre 2021</w:t>
      </w:r>
      <w:r w:rsidRPr="00660EE5">
        <w:rPr>
          <w:rStyle w:val="Rimandonotaapidipagina"/>
          <w:rFonts w:asciiTheme="minorHAnsi" w:hAnsiTheme="minorHAnsi"/>
          <w:b/>
          <w:bCs/>
          <w:color w:val="000000" w:themeColor="text1"/>
          <w:sz w:val="24"/>
          <w:szCs w:val="24"/>
        </w:rPr>
        <w:footnoteReference w:id="92"/>
      </w:r>
      <w:r w:rsidRPr="00660EE5">
        <w:rPr>
          <w:rFonts w:asciiTheme="minorHAnsi" w:hAnsiTheme="minorHAnsi"/>
          <w:b/>
          <w:bCs/>
          <w:color w:val="000000" w:themeColor="text1"/>
          <w:sz w:val="24"/>
          <w:szCs w:val="24"/>
        </w:rPr>
        <w:t xml:space="preserve"> </w:t>
      </w:r>
      <w:r w:rsidRPr="00660EE5">
        <w:rPr>
          <w:rFonts w:asciiTheme="minorHAnsi" w:hAnsiTheme="minorHAnsi"/>
          <w:color w:val="000000" w:themeColor="text1"/>
          <w:sz w:val="24"/>
          <w:szCs w:val="24"/>
        </w:rPr>
        <w:t xml:space="preserve">dall'Autorità politica delegata per il sud e la coesione territoriale di concerto con il Ministro delle infrastrutture e della mobilità sostenibili. Le proposte devono essere utili a realizzare almeno uno dei seguenti obiettivi: la transizione verde dell'economia locale, la trasformazione digitale dei servizi, la crescita intelligente, sostenibile e inclusiva, che assicuri lo sviluppo armonico dei territori, anche dal punto di vista infrastrutturale, la coesione economica, l'occupazione, la produttività, la competitività, lo sviluppo turistico del territorio, la ricerca, l'innovazione sociale, la cura della salute e la resilienza economica, sociale e istituzionale a livello locale, nonché il miglioramento dei servizi per l'infanzia e di quelli tesi a fornire occasione di crescita professionale ai giovani </w:t>
      </w:r>
      <w:r w:rsidRPr="00660EE5">
        <w:rPr>
          <w:rFonts w:asciiTheme="minorHAnsi" w:hAnsiTheme="minorHAnsi"/>
          <w:b/>
          <w:bCs/>
          <w:color w:val="000000" w:themeColor="text1"/>
          <w:sz w:val="24"/>
          <w:szCs w:val="24"/>
        </w:rPr>
        <w:t>e ad accrescere la partecipazione delle donne al mercato del lavoro</w:t>
      </w:r>
      <w:r w:rsidRPr="00660EE5">
        <w:rPr>
          <w:rStyle w:val="Rimandonotaapidipagina"/>
          <w:rFonts w:asciiTheme="minorHAnsi" w:hAnsiTheme="minorHAnsi"/>
          <w:b/>
          <w:bCs/>
          <w:color w:val="000000" w:themeColor="text1"/>
          <w:sz w:val="24"/>
          <w:szCs w:val="24"/>
        </w:rPr>
        <w:footnoteReference w:id="93"/>
      </w:r>
      <w:r w:rsidRPr="00660EE5">
        <w:rPr>
          <w:rFonts w:asciiTheme="minorHAnsi" w:hAnsiTheme="minorHAnsi"/>
          <w:color w:val="000000" w:themeColor="text1"/>
          <w:sz w:val="24"/>
          <w:szCs w:val="24"/>
        </w:rPr>
        <w:t xml:space="preserve">. Le proposte devono, altresì, privilegiare la vocazione dei territori, individuare soluzioni compatibili con gli strumenti urbanistici regolatori generali o devono comunque essere agevolmente e celermente realizzabili, anche con modeste varianti, e comportare soluzioni a basso impatto ambientale, di recupero e valorizzazione del patrimonio esistente, di contrasto all'abusivismo, in ogni caso limitando il consumo di suolo. Le proposte, ove afferenti a interventi di carattere sociale, devono possedere un livello di </w:t>
      </w:r>
      <w:r w:rsidRPr="00660EE5">
        <w:rPr>
          <w:rFonts w:asciiTheme="minorHAnsi" w:hAnsiTheme="minorHAnsi"/>
          <w:color w:val="000000" w:themeColor="text1"/>
          <w:sz w:val="24"/>
          <w:szCs w:val="24"/>
        </w:rPr>
        <w:lastRenderedPageBreak/>
        <w:t>dettaglio sufficiente all'avvio delle procedure di affidamento del servizio o di co-progettazione, secondo quanto previsto dall'articolo 140 del decreto legislativo 18 aprile 2016, n. 50 e dall'articolo 55 del decreto legislativo 3 luglio 2017, n. 117. Nel caso di lavori pubblici, il livello progettuale oggetto di concorso, da acquisire ai sensi dell'articolo 152, comma 4, del decreto legislativo 18 aprile 2016, n. 50 è quello del progetto di fattibilità tecnica ed economica di cui all'articolo 23 del medesimo predetto decreto legislativo.</w:t>
      </w:r>
    </w:p>
    <w:p w14:paraId="4DB86A80"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       7. Le proposte progettuali selezionate sono acquisite in proprietà dagli enti beneficiari e possono essere poste a base di successive procedure strumentali alla loro concreta realizzazione o utilizzate per la partecipazione degli enti beneficiari ad avvisi o altre procedure di evidenza pubblica attivate da altre amministrazioni nazionali o comunitarie.</w:t>
      </w:r>
    </w:p>
    <w:p w14:paraId="36DA98A7"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      8. Per lo sviluppo delle progettazioni che hanno a oggetto i lavori, l'ente beneficiario, ove non si avvalga di procedure di appalto integrato, affida al vincitore la realizzazione dei successivi livelli di progettazione, con procedura negoziata senza bando, sempre che il soggetto sia in possesso, in proprio o mediante avvalimento, dei requisiti di capacità tecnico-professionale ed economica previsti nel bando in rapporto ai livelli progettuali da sviluppare.</w:t>
      </w:r>
    </w:p>
    <w:p w14:paraId="7B1F0493"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xml:space="preserve">      8-bis. Ove gli enti beneficiari, con popolazione fino a 5000 abitanti, abbiano elaborato un documento di indirizzo della progettazione, le risorse di cui al comma 1 possono essere in via alternativa impegnate a mezzo dell'affidamento di incarichi tesi alla redazione di studi di fattibilità tecnica economica, secondo le modalità di cui all'articolo 1 del decreto-legge 16 luglio 2020, n. 76, convertito, con modificazioni, dalla legge 11 settembre 2020, n. 120, purché coerenti con gli obiettivi di cui al comma 6».</w:t>
      </w:r>
      <w:r w:rsidRPr="00660EE5">
        <w:rPr>
          <w:rStyle w:val="Rimandonotaapidipagina"/>
          <w:rFonts w:asciiTheme="minorHAnsi" w:hAnsiTheme="minorHAnsi"/>
          <w:b/>
          <w:bCs/>
          <w:color w:val="000000" w:themeColor="text1"/>
          <w:sz w:val="24"/>
          <w:szCs w:val="24"/>
        </w:rPr>
        <w:footnoteReference w:id="94"/>
      </w:r>
    </w:p>
    <w:p w14:paraId="6FFF674C"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      9. In attuazione dei commi 7 e 8, l'ente beneficiario, per garantire la qualità della progettazione e della conseguente realizzazione dell'intervento, può avvalersi della Agenzia del demanio - Struttura per la progettazione di beni ed edifici pubblici di cui all'articolo 1, commi da 162 a 170, della legge 30 dicembre 2018, n. 145, la quale opera senza oneri diretti per le prestazioni professionali rese agli enti territoriali richiedenti ai sensi dell'articolo 1, comma 163, della predetta legge n. 145 del 2018.</w:t>
      </w:r>
    </w:p>
    <w:p w14:paraId="342ABE07"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     10. L'Agenzia per la coesione territoriale, in collaborazione con l'ANAC, predispone, entro trenta giorni dalla data di entrata in vigore della legge di conversione del presente decreto, un bando tipo da utilizzare per i concorsi di cui al presente articolo.</w:t>
      </w:r>
    </w:p>
    <w:p w14:paraId="66C8F047"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      11. Le proposte progettuali acquisite dagli enti beneficiari ai sensi del comma 7, sono considerate direttamente candidabili alla selezione delle operazioni previste dai programmi operativi regionali e nazionali di gestione dei Fondi strutturali e dai Piani di sviluppo e coesione finanziati dal FSC, nell'ambito del ciclo di programmazione 2021/2027, sempre che siano coerenti con gli assi prioritari, le priorità d'investimento e gli obiettivi specifici di riferimento fissati dai programmi e dai piani predetti, secondo </w:t>
      </w:r>
      <w:r w:rsidRPr="00660EE5">
        <w:rPr>
          <w:rFonts w:asciiTheme="minorHAnsi" w:hAnsiTheme="minorHAnsi"/>
          <w:color w:val="000000" w:themeColor="text1"/>
          <w:sz w:val="24"/>
          <w:szCs w:val="24"/>
        </w:rPr>
        <w:lastRenderedPageBreak/>
        <w:t>condizioni e modalità individuate con il decreto di cui al comma 3, previa intesa della Conferenza unificata.</w:t>
      </w:r>
    </w:p>
    <w:p w14:paraId="45B6B68C"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     12. Nel portale istituzionale </w:t>
      </w:r>
      <w:proofErr w:type="spellStart"/>
      <w:r w:rsidRPr="00660EE5">
        <w:rPr>
          <w:rFonts w:asciiTheme="minorHAnsi" w:hAnsiTheme="minorHAnsi"/>
          <w:color w:val="000000" w:themeColor="text1"/>
          <w:sz w:val="24"/>
          <w:szCs w:val="24"/>
        </w:rPr>
        <w:t>Opencoesione</w:t>
      </w:r>
      <w:proofErr w:type="spellEnd"/>
      <w:r w:rsidRPr="00660EE5">
        <w:rPr>
          <w:rFonts w:asciiTheme="minorHAnsi" w:hAnsiTheme="minorHAnsi"/>
          <w:color w:val="000000" w:themeColor="text1"/>
          <w:sz w:val="24"/>
          <w:szCs w:val="24"/>
        </w:rPr>
        <w:t xml:space="preserve"> sono raccolte e rese immediatamente accessibili tutte le informazioni dell'iniziativa, anche ai fini del controllo e del monitoraggio sociale dei processi di ideazione, progettazione e realizzazione degli interventi.»;</w:t>
      </w:r>
    </w:p>
    <w:p w14:paraId="0D860223"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color w:val="000000" w:themeColor="text1"/>
          <w:sz w:val="24"/>
          <w:szCs w:val="24"/>
        </w:rPr>
        <w:t> </w:t>
      </w:r>
      <w:r w:rsidRPr="00660EE5">
        <w:rPr>
          <w:rFonts w:asciiTheme="minorHAnsi" w:hAnsiTheme="minorHAnsi"/>
          <w:b/>
          <w:bCs/>
          <w:color w:val="000000" w:themeColor="text1"/>
          <w:sz w:val="24"/>
          <w:szCs w:val="24"/>
        </w:rPr>
        <w:t>12-bis. Al fine di consentire a tutti gli enti territoriali di condividere la programmazione delle politiche per la coesione territoriale, all'articolo 10, comma 4, sesto periodo, del decreto-legge 31 agosto 2013, n. 101, convertito, con modificazioni, dalla legge 30 ottobre 2013, n. 125, sono aggiunte, in fine, le seguenti parole: «attraverso la designazione di quattro componenti da parte della Conferenza unificata, due in rappresentanza delle regioni e due in rappresentanza delle autonomie locali.».</w:t>
      </w:r>
      <w:r w:rsidRPr="00660EE5">
        <w:rPr>
          <w:rStyle w:val="Rimandonotaapidipagina"/>
          <w:rFonts w:asciiTheme="minorHAnsi" w:hAnsiTheme="minorHAnsi"/>
          <w:b/>
          <w:bCs/>
          <w:color w:val="000000" w:themeColor="text1"/>
          <w:sz w:val="24"/>
          <w:szCs w:val="24"/>
        </w:rPr>
        <w:footnoteReference w:id="95"/>
      </w:r>
    </w:p>
    <w:p w14:paraId="690CB40E"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  12-bis. Al fine di garantire il rispetto dei tempi di attuazione del Piano Nazionale di Ripresa e Resilienza e il pieno utilizzo dei relativi fondi, nonché di favorire una riduzione degli oneri per le imprese coinvolte, all'articolo 32 del decreto-legge 24 giugno 2014, n. 90, convertito, con modificazioni, dalla legge 11 agosto 2014, n. 114, sono apportate le seguenti modificazioni:</w:t>
      </w:r>
    </w:p>
    <w:p w14:paraId="276477E5"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   a) al comma 1, lettera b), dopo le parole: «straordinaria e temporanea gestione dell'impresa» è inserita la seguente: «anche»;</w:t>
      </w:r>
    </w:p>
    <w:p w14:paraId="54585ADD"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   b) al comma 1, dopo la lettera b), è inserita la seguente: «b-bis) di ordinare alla stazione appaltante che i pagamenti all'operatore economico, anche nei casi di cui alla lettera a), siano disposti al netto dell'utile derivante dalla conclusione del contratto, quantificato nel 10 per cento del corrispettivo, da accantonare, ai sensi del comma 7, in un apposito fondo.»;</w:t>
      </w:r>
    </w:p>
    <w:p w14:paraId="5CA2C5D9"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   c) al comma 7, dopo le parole: «in via presuntiva dagli amministratori,» sono inserite le seguenti: «o dalle stazioni appaltanti nei casi di cui al comma 1, lettera b-bis),»;</w:t>
      </w:r>
    </w:p>
    <w:p w14:paraId="6B8CEF72"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xml:space="preserve">   d) al comma 8, dopo le parole: «medesimo comma», sono inserite le seguenti: «, anche laddove sia stato concluso e interamente eseguito il contratto di appalto» e dopo le parole: «gli esperti forniscono </w:t>
      </w:r>
      <w:proofErr w:type="gramStart"/>
      <w:r w:rsidRPr="00660EE5">
        <w:rPr>
          <w:rFonts w:asciiTheme="minorHAnsi" w:hAnsiTheme="minorHAnsi"/>
          <w:b/>
          <w:bCs/>
          <w:color w:val="000000" w:themeColor="text1"/>
          <w:sz w:val="24"/>
          <w:szCs w:val="24"/>
        </w:rPr>
        <w:t>all'impresa »</w:t>
      </w:r>
      <w:proofErr w:type="gramEnd"/>
      <w:r w:rsidRPr="00660EE5">
        <w:rPr>
          <w:rFonts w:asciiTheme="minorHAnsi" w:hAnsiTheme="minorHAnsi"/>
          <w:b/>
          <w:bCs/>
          <w:color w:val="000000" w:themeColor="text1"/>
          <w:sz w:val="24"/>
          <w:szCs w:val="24"/>
        </w:rPr>
        <w:t>, sono inserite le seguenti: «, ovvero anche alle imprese che sulla medesima esercitano un controllo ai sensi dell'articolo 2359 del codice civile, ove coinvolte nelle indagini, nonché alle imprese dalle stesse controllate,».</w:t>
      </w:r>
      <w:r w:rsidRPr="00660EE5">
        <w:rPr>
          <w:rStyle w:val="Rimandonotaapidipagina"/>
          <w:rFonts w:asciiTheme="minorHAnsi" w:hAnsiTheme="minorHAnsi"/>
          <w:b/>
          <w:bCs/>
          <w:color w:val="000000" w:themeColor="text1"/>
          <w:sz w:val="24"/>
          <w:szCs w:val="24"/>
        </w:rPr>
        <w:footnoteReference w:id="96"/>
      </w:r>
    </w:p>
    <w:p w14:paraId="18CACB8C"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36EF7953"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 b) è allegata la seguente tabella:</w:t>
      </w:r>
    </w:p>
    <w:p w14:paraId="1C0E3939"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68B611E7"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«Tabella A</w:t>
      </w:r>
    </w:p>
    <w:p w14:paraId="2BD9AEB9"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(Articolo 6-quater)</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42"/>
        <w:gridCol w:w="6390"/>
      </w:tblGrid>
      <w:tr w:rsidR="00660EE5" w:rsidRPr="00CC0AA8" w14:paraId="54B0AE5B" w14:textId="77777777" w:rsidTr="0054500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10C6F2" w14:textId="77777777" w:rsidR="00660EE5" w:rsidRPr="00CC0AA8" w:rsidRDefault="00660EE5" w:rsidP="0054500D">
            <w:pPr>
              <w:spacing w:after="0" w:line="240" w:lineRule="auto"/>
              <w:rPr>
                <w:rFonts w:asciiTheme="minorHAnsi" w:eastAsia="Times New Roman" w:hAnsiTheme="minorHAnsi" w:cs="Arial"/>
                <w:strike/>
                <w:color w:val="000000" w:themeColor="text1"/>
                <w:sz w:val="24"/>
                <w:szCs w:val="24"/>
                <w:highlight w:val="yellow"/>
              </w:rPr>
            </w:pP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Classi demografiche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AD26A6" w14:textId="77777777" w:rsidR="00660EE5" w:rsidRPr="00CC0AA8" w:rsidRDefault="00660EE5" w:rsidP="0054500D">
            <w:pPr>
              <w:spacing w:after="0" w:line="240" w:lineRule="auto"/>
              <w:jc w:val="center"/>
              <w:rPr>
                <w:rFonts w:asciiTheme="minorHAnsi" w:eastAsia="Times New Roman" w:hAnsiTheme="minorHAnsi" w:cs="Arial"/>
                <w:strike/>
                <w:color w:val="000000" w:themeColor="text1"/>
                <w:sz w:val="24"/>
                <w:szCs w:val="24"/>
                <w:highlight w:val="yellow"/>
              </w:rPr>
            </w:pPr>
            <w:r w:rsidRPr="00CC0AA8">
              <w:rPr>
                <w:rFonts w:asciiTheme="minorHAnsi" w:eastAsia="Times New Roman" w:hAnsiTheme="minorHAnsi" w:cs="Arial"/>
                <w:strike/>
                <w:color w:val="000000" w:themeColor="text1"/>
                <w:sz w:val="24"/>
                <w:szCs w:val="24"/>
                <w:highlight w:val="yellow"/>
              </w:rPr>
              <w:t>Importo complessivo da ripartire tra gli enti beneficiari</w:t>
            </w:r>
          </w:p>
        </w:tc>
      </w:tr>
      <w:tr w:rsidR="00660EE5" w:rsidRPr="00CC0AA8" w14:paraId="5AC9FD9F" w14:textId="77777777" w:rsidTr="0054500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1DC33C" w14:textId="77777777" w:rsidR="00660EE5" w:rsidRPr="00CC0AA8" w:rsidRDefault="00660EE5" w:rsidP="0054500D">
            <w:pPr>
              <w:spacing w:after="0" w:line="240" w:lineRule="auto"/>
              <w:rPr>
                <w:rFonts w:asciiTheme="minorHAnsi" w:eastAsia="Times New Roman" w:hAnsiTheme="minorHAnsi" w:cs="Arial"/>
                <w:strike/>
                <w:color w:val="000000" w:themeColor="text1"/>
                <w:sz w:val="24"/>
                <w:szCs w:val="24"/>
                <w:highlight w:val="yellow"/>
              </w:rPr>
            </w:pP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Fino a 1.000 abitanti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D79709" w14:textId="77777777" w:rsidR="00660EE5" w:rsidRPr="00CC0AA8" w:rsidRDefault="00660EE5" w:rsidP="0054500D">
            <w:pPr>
              <w:spacing w:after="0" w:line="240" w:lineRule="auto"/>
              <w:jc w:val="center"/>
              <w:rPr>
                <w:rFonts w:asciiTheme="minorHAnsi" w:eastAsia="Times New Roman" w:hAnsiTheme="minorHAnsi" w:cs="Arial"/>
                <w:strike/>
                <w:color w:val="000000" w:themeColor="text1"/>
                <w:sz w:val="24"/>
                <w:szCs w:val="24"/>
                <w:highlight w:val="yellow"/>
              </w:rPr>
            </w:pP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19.448.000 €</w:t>
            </w:r>
          </w:p>
        </w:tc>
      </w:tr>
      <w:tr w:rsidR="00660EE5" w:rsidRPr="00CC0AA8" w14:paraId="12A4758B" w14:textId="77777777" w:rsidTr="0054500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13B64C" w14:textId="77777777" w:rsidR="00660EE5" w:rsidRPr="00CC0AA8" w:rsidRDefault="00660EE5" w:rsidP="0054500D">
            <w:pPr>
              <w:spacing w:after="0" w:line="240" w:lineRule="auto"/>
              <w:rPr>
                <w:rFonts w:asciiTheme="minorHAnsi" w:eastAsia="Times New Roman" w:hAnsiTheme="minorHAnsi" w:cs="Arial"/>
                <w:strike/>
                <w:color w:val="000000" w:themeColor="text1"/>
                <w:sz w:val="24"/>
                <w:szCs w:val="24"/>
                <w:highlight w:val="yellow"/>
              </w:rPr>
            </w:pPr>
            <w:r w:rsidRPr="00CC0AA8">
              <w:rPr>
                <w:rFonts w:asciiTheme="minorHAnsi" w:eastAsia="Times New Roman" w:hAnsiTheme="minorHAnsi" w:cs="Arial"/>
                <w:strike/>
                <w:color w:val="000000" w:themeColor="text1"/>
                <w:sz w:val="24"/>
                <w:szCs w:val="24"/>
                <w:highlight w:val="yellow"/>
              </w:rPr>
              <w:lastRenderedPageBreak/>
              <w:t> </w:t>
            </w: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Tra 1.001 e 5.000 abitanti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454CEA" w14:textId="77777777" w:rsidR="00660EE5" w:rsidRPr="00CC0AA8" w:rsidRDefault="00660EE5" w:rsidP="0054500D">
            <w:pPr>
              <w:spacing w:after="0" w:line="240" w:lineRule="auto"/>
              <w:jc w:val="center"/>
              <w:rPr>
                <w:rFonts w:asciiTheme="minorHAnsi" w:eastAsia="Times New Roman" w:hAnsiTheme="minorHAnsi" w:cs="Arial"/>
                <w:strike/>
                <w:color w:val="000000" w:themeColor="text1"/>
                <w:sz w:val="24"/>
                <w:szCs w:val="24"/>
                <w:highlight w:val="yellow"/>
              </w:rPr>
            </w:pP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43.192.500 €</w:t>
            </w:r>
          </w:p>
        </w:tc>
      </w:tr>
      <w:tr w:rsidR="00660EE5" w:rsidRPr="00CC0AA8" w14:paraId="13BC0701" w14:textId="77777777" w:rsidTr="0054500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3E0261" w14:textId="77777777" w:rsidR="00660EE5" w:rsidRPr="00CC0AA8" w:rsidRDefault="00660EE5" w:rsidP="0054500D">
            <w:pPr>
              <w:spacing w:after="0" w:line="240" w:lineRule="auto"/>
              <w:rPr>
                <w:rFonts w:asciiTheme="minorHAnsi" w:eastAsia="Times New Roman" w:hAnsiTheme="minorHAnsi" w:cs="Arial"/>
                <w:strike/>
                <w:color w:val="000000" w:themeColor="text1"/>
                <w:sz w:val="24"/>
                <w:szCs w:val="24"/>
                <w:highlight w:val="yellow"/>
              </w:rPr>
            </w:pP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Tra 5.001 e 10.000 abitanti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EE1582" w14:textId="77777777" w:rsidR="00660EE5" w:rsidRPr="00CC0AA8" w:rsidRDefault="00660EE5" w:rsidP="0054500D">
            <w:pPr>
              <w:spacing w:after="0" w:line="240" w:lineRule="auto"/>
              <w:jc w:val="center"/>
              <w:rPr>
                <w:rFonts w:asciiTheme="minorHAnsi" w:eastAsia="Times New Roman" w:hAnsiTheme="minorHAnsi" w:cs="Arial"/>
                <w:strike/>
                <w:color w:val="000000" w:themeColor="text1"/>
                <w:sz w:val="24"/>
                <w:szCs w:val="24"/>
                <w:highlight w:val="yellow"/>
              </w:rPr>
            </w:pP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24.518.000 €</w:t>
            </w:r>
          </w:p>
        </w:tc>
      </w:tr>
      <w:tr w:rsidR="00660EE5" w:rsidRPr="00CC0AA8" w14:paraId="16781FC3" w14:textId="77777777" w:rsidTr="0054500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655E9F" w14:textId="77777777" w:rsidR="00660EE5" w:rsidRPr="00CC0AA8" w:rsidRDefault="00660EE5" w:rsidP="0054500D">
            <w:pPr>
              <w:spacing w:after="0" w:line="240" w:lineRule="auto"/>
              <w:rPr>
                <w:rFonts w:asciiTheme="minorHAnsi" w:eastAsia="Times New Roman" w:hAnsiTheme="minorHAnsi" w:cs="Arial"/>
                <w:strike/>
                <w:color w:val="000000" w:themeColor="text1"/>
                <w:sz w:val="24"/>
                <w:szCs w:val="24"/>
                <w:highlight w:val="yellow"/>
              </w:rPr>
            </w:pP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Tra 10.001 e 20.000 abitanti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EBC883" w14:textId="77777777" w:rsidR="00660EE5" w:rsidRPr="00CC0AA8" w:rsidRDefault="00660EE5" w:rsidP="0054500D">
            <w:pPr>
              <w:spacing w:after="0" w:line="240" w:lineRule="auto"/>
              <w:jc w:val="center"/>
              <w:rPr>
                <w:rFonts w:asciiTheme="minorHAnsi" w:eastAsia="Times New Roman" w:hAnsiTheme="minorHAnsi" w:cs="Arial"/>
                <w:strike/>
                <w:color w:val="000000" w:themeColor="text1"/>
                <w:sz w:val="24"/>
                <w:szCs w:val="24"/>
                <w:highlight w:val="yellow"/>
              </w:rPr>
            </w:pP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21.735.000 €</w:t>
            </w:r>
          </w:p>
        </w:tc>
      </w:tr>
      <w:tr w:rsidR="00660EE5" w:rsidRPr="00CC0AA8" w14:paraId="5C4282D0" w14:textId="77777777" w:rsidTr="0054500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672AF9" w14:textId="77777777" w:rsidR="00660EE5" w:rsidRPr="00CC0AA8" w:rsidRDefault="00660EE5" w:rsidP="0054500D">
            <w:pPr>
              <w:spacing w:after="0" w:line="240" w:lineRule="auto"/>
              <w:rPr>
                <w:rFonts w:asciiTheme="minorHAnsi" w:eastAsia="Times New Roman" w:hAnsiTheme="minorHAnsi" w:cs="Arial"/>
                <w:strike/>
                <w:color w:val="000000" w:themeColor="text1"/>
                <w:sz w:val="24"/>
                <w:szCs w:val="24"/>
                <w:highlight w:val="yellow"/>
              </w:rPr>
            </w:pP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Tra 20.001 e 30.000 abitanti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E84F9A" w14:textId="77777777" w:rsidR="00660EE5" w:rsidRPr="00CC0AA8" w:rsidRDefault="00660EE5" w:rsidP="0054500D">
            <w:pPr>
              <w:spacing w:after="0" w:line="240" w:lineRule="auto"/>
              <w:jc w:val="center"/>
              <w:rPr>
                <w:rFonts w:asciiTheme="minorHAnsi" w:eastAsia="Times New Roman" w:hAnsiTheme="minorHAnsi" w:cs="Arial"/>
                <w:strike/>
                <w:color w:val="000000" w:themeColor="text1"/>
                <w:sz w:val="24"/>
                <w:szCs w:val="24"/>
                <w:highlight w:val="yellow"/>
              </w:rPr>
            </w:pP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8.740.000 €</w:t>
            </w:r>
          </w:p>
        </w:tc>
      </w:tr>
      <w:tr w:rsidR="00660EE5" w:rsidRPr="00CC0AA8" w14:paraId="7B85167E" w14:textId="77777777" w:rsidTr="0054500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A1446B" w14:textId="77777777" w:rsidR="00660EE5" w:rsidRPr="00CC0AA8" w:rsidRDefault="00660EE5" w:rsidP="0054500D">
            <w:pPr>
              <w:spacing w:after="0" w:line="240" w:lineRule="auto"/>
              <w:rPr>
                <w:rFonts w:asciiTheme="minorHAnsi" w:eastAsia="Times New Roman" w:hAnsiTheme="minorHAnsi" w:cs="Arial"/>
                <w:strike/>
                <w:color w:val="000000" w:themeColor="text1"/>
                <w:sz w:val="24"/>
                <w:szCs w:val="24"/>
                <w:highlight w:val="yellow"/>
              </w:rPr>
            </w:pP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Premialità comma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CABB6E" w14:textId="77777777" w:rsidR="00660EE5" w:rsidRPr="00CC0AA8" w:rsidRDefault="00660EE5" w:rsidP="0054500D">
            <w:pPr>
              <w:spacing w:after="0" w:line="240" w:lineRule="auto"/>
              <w:jc w:val="center"/>
              <w:rPr>
                <w:rFonts w:asciiTheme="minorHAnsi" w:eastAsia="Times New Roman" w:hAnsiTheme="minorHAnsi" w:cs="Arial"/>
                <w:strike/>
                <w:color w:val="000000" w:themeColor="text1"/>
                <w:sz w:val="24"/>
                <w:szCs w:val="24"/>
                <w:highlight w:val="yellow"/>
              </w:rPr>
            </w:pP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5.881.675 €</w:t>
            </w:r>
          </w:p>
        </w:tc>
      </w:tr>
      <w:tr w:rsidR="00660EE5" w:rsidRPr="00CC0AA8" w14:paraId="38451E4C" w14:textId="77777777" w:rsidTr="0054500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BCCE12" w14:textId="77777777" w:rsidR="00660EE5" w:rsidRPr="00CC0AA8" w:rsidRDefault="00660EE5" w:rsidP="0054500D">
            <w:pPr>
              <w:spacing w:after="0" w:line="240" w:lineRule="auto"/>
              <w:rPr>
                <w:rFonts w:asciiTheme="minorHAnsi" w:eastAsia="Times New Roman" w:hAnsiTheme="minorHAnsi" w:cs="Arial"/>
                <w:strike/>
                <w:color w:val="000000" w:themeColor="text1"/>
                <w:sz w:val="24"/>
                <w:szCs w:val="24"/>
                <w:highlight w:val="yellow"/>
              </w:rPr>
            </w:pP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Totale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3A4A66" w14:textId="77777777" w:rsidR="00660EE5" w:rsidRPr="00CC0AA8" w:rsidRDefault="00660EE5" w:rsidP="0054500D">
            <w:pPr>
              <w:spacing w:after="0" w:line="240" w:lineRule="auto"/>
              <w:jc w:val="center"/>
              <w:rPr>
                <w:rFonts w:asciiTheme="minorHAnsi" w:eastAsia="Times New Roman" w:hAnsiTheme="minorHAnsi" w:cs="Arial"/>
                <w:strike/>
                <w:color w:val="000000" w:themeColor="text1"/>
                <w:sz w:val="24"/>
                <w:szCs w:val="24"/>
                <w:highlight w:val="yellow"/>
              </w:rPr>
            </w:pP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123.515.175,00 €</w:t>
            </w:r>
          </w:p>
        </w:tc>
      </w:tr>
    </w:tbl>
    <w:p w14:paraId="4EA80B05" w14:textId="77777777" w:rsidR="00660EE5" w:rsidRPr="00660EE5" w:rsidRDefault="00660EE5" w:rsidP="00660EE5">
      <w:pPr>
        <w:shd w:val="clear" w:color="auto" w:fill="FFFFFF"/>
        <w:spacing w:after="0" w:line="240" w:lineRule="auto"/>
        <w:jc w:val="right"/>
        <w:rPr>
          <w:rFonts w:asciiTheme="minorHAnsi" w:eastAsia="Times New Roman" w:hAnsiTheme="minorHAnsi" w:cs="Arial"/>
          <w:color w:val="000000" w:themeColor="text1"/>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left w:w="525" w:type="dxa"/>
          <w:right w:w="525" w:type="dxa"/>
        </w:tblCellMar>
        <w:tblLook w:val="04A0" w:firstRow="1" w:lastRow="0" w:firstColumn="1" w:lastColumn="0" w:noHBand="0" w:noVBand="1"/>
      </w:tblPr>
      <w:tblGrid>
        <w:gridCol w:w="3818"/>
        <w:gridCol w:w="6314"/>
      </w:tblGrid>
      <w:tr w:rsidR="00660EE5" w:rsidRPr="004C6FD4" w14:paraId="7E2670CF" w14:textId="77777777" w:rsidTr="0054500D">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FBBAE9D" w14:textId="77777777" w:rsidR="00660EE5" w:rsidRPr="004C6FD4" w:rsidRDefault="00660EE5" w:rsidP="0054500D">
            <w:pPr>
              <w:spacing w:after="0" w:line="240" w:lineRule="auto"/>
              <w:rPr>
                <w:rFonts w:asciiTheme="minorHAnsi" w:eastAsia="Times New Roman" w:hAnsiTheme="minorHAnsi" w:cs="Times New Roman"/>
                <w:color w:val="000000" w:themeColor="text1"/>
                <w:sz w:val="24"/>
                <w:szCs w:val="24"/>
              </w:rPr>
            </w:pPr>
          </w:p>
        </w:tc>
      </w:tr>
      <w:tr w:rsidR="00660EE5" w:rsidRPr="00660EE5" w14:paraId="4203C6B6" w14:textId="77777777" w:rsidTr="0054500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C2A2BF" w14:textId="77777777" w:rsidR="00660EE5" w:rsidRPr="004C6FD4" w:rsidRDefault="00660EE5" w:rsidP="0054500D">
            <w:pPr>
              <w:spacing w:before="100" w:beforeAutospacing="1" w:after="100" w:afterAutospacing="1" w:line="240" w:lineRule="auto"/>
              <w:jc w:val="center"/>
              <w:rPr>
                <w:rFonts w:asciiTheme="minorHAnsi" w:eastAsia="Times New Roman" w:hAnsiTheme="minorHAnsi" w:cs="Arial"/>
                <w:b/>
                <w:bCs/>
                <w:color w:val="000000" w:themeColor="text1"/>
                <w:sz w:val="24"/>
                <w:szCs w:val="24"/>
              </w:rPr>
            </w:pPr>
            <w:r w:rsidRPr="004C6FD4">
              <w:rPr>
                <w:rFonts w:asciiTheme="minorHAnsi" w:eastAsia="Times New Roman" w:hAnsiTheme="minorHAnsi" w:cs="Arial"/>
                <w:b/>
                <w:bCs/>
                <w:color w:val="000000" w:themeColor="text1"/>
                <w:sz w:val="24"/>
                <w:szCs w:val="24"/>
              </w:rPr>
              <w:t>Classi demografiche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EA4270" w14:textId="77777777" w:rsidR="00660EE5" w:rsidRPr="004C6FD4" w:rsidRDefault="00660EE5" w:rsidP="0054500D">
            <w:pPr>
              <w:spacing w:before="100" w:beforeAutospacing="1" w:after="100" w:afterAutospacing="1" w:line="240" w:lineRule="auto"/>
              <w:jc w:val="center"/>
              <w:rPr>
                <w:rFonts w:asciiTheme="minorHAnsi" w:eastAsia="Times New Roman" w:hAnsiTheme="minorHAnsi" w:cs="Arial"/>
                <w:b/>
                <w:bCs/>
                <w:color w:val="000000" w:themeColor="text1"/>
                <w:sz w:val="24"/>
                <w:szCs w:val="24"/>
              </w:rPr>
            </w:pPr>
            <w:r w:rsidRPr="004C6FD4">
              <w:rPr>
                <w:rFonts w:asciiTheme="minorHAnsi" w:eastAsia="Times New Roman" w:hAnsiTheme="minorHAnsi" w:cs="Arial"/>
                <w:b/>
                <w:bCs/>
                <w:color w:val="000000" w:themeColor="text1"/>
                <w:sz w:val="24"/>
                <w:szCs w:val="24"/>
              </w:rPr>
              <w:t>Importo complessivo da ripartire tra gli enti beneficiari</w:t>
            </w:r>
          </w:p>
        </w:tc>
      </w:tr>
      <w:tr w:rsidR="00660EE5" w:rsidRPr="00660EE5" w14:paraId="672EF82C" w14:textId="77777777" w:rsidTr="0054500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EB100E" w14:textId="77777777" w:rsidR="00660EE5" w:rsidRPr="004C6FD4" w:rsidRDefault="00660EE5" w:rsidP="0054500D">
            <w:pPr>
              <w:spacing w:before="100" w:beforeAutospacing="1" w:after="100" w:afterAutospacing="1" w:line="240" w:lineRule="auto"/>
              <w:jc w:val="center"/>
              <w:rPr>
                <w:rFonts w:asciiTheme="minorHAnsi" w:eastAsia="Times New Roman" w:hAnsiTheme="minorHAnsi" w:cs="Arial"/>
                <w:b/>
                <w:bCs/>
                <w:color w:val="000000" w:themeColor="text1"/>
                <w:sz w:val="24"/>
                <w:szCs w:val="24"/>
              </w:rPr>
            </w:pPr>
            <w:r w:rsidRPr="004C6FD4">
              <w:rPr>
                <w:rFonts w:asciiTheme="minorHAnsi" w:eastAsia="Times New Roman" w:hAnsiTheme="minorHAnsi" w:cs="Arial"/>
                <w:b/>
                <w:bCs/>
                <w:color w:val="000000" w:themeColor="text1"/>
                <w:sz w:val="24"/>
                <w:szCs w:val="24"/>
              </w:rPr>
              <w:t>Fino a 1.000 abitanti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D3BE0E" w14:textId="77777777" w:rsidR="00660EE5" w:rsidRPr="004C6FD4" w:rsidRDefault="00660EE5" w:rsidP="0054500D">
            <w:pPr>
              <w:spacing w:before="100" w:beforeAutospacing="1" w:after="100" w:afterAutospacing="1" w:line="240" w:lineRule="auto"/>
              <w:jc w:val="center"/>
              <w:rPr>
                <w:rFonts w:asciiTheme="minorHAnsi" w:eastAsia="Times New Roman" w:hAnsiTheme="minorHAnsi" w:cs="Arial"/>
                <w:b/>
                <w:bCs/>
                <w:color w:val="000000" w:themeColor="text1"/>
                <w:sz w:val="24"/>
                <w:szCs w:val="24"/>
              </w:rPr>
            </w:pPr>
            <w:r w:rsidRPr="004C6FD4">
              <w:rPr>
                <w:rFonts w:asciiTheme="minorHAnsi" w:eastAsia="Times New Roman" w:hAnsiTheme="minorHAnsi" w:cs="Arial"/>
                <w:b/>
                <w:bCs/>
                <w:color w:val="000000" w:themeColor="text1"/>
                <w:sz w:val="24"/>
                <w:szCs w:val="24"/>
              </w:rPr>
              <w:t>€ 21.431.924,65</w:t>
            </w:r>
          </w:p>
        </w:tc>
      </w:tr>
      <w:tr w:rsidR="00660EE5" w:rsidRPr="00660EE5" w14:paraId="32ED1E34" w14:textId="77777777" w:rsidTr="0054500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F3AF11" w14:textId="77777777" w:rsidR="00660EE5" w:rsidRPr="004C6FD4" w:rsidRDefault="00660EE5" w:rsidP="0054500D">
            <w:pPr>
              <w:spacing w:before="100" w:beforeAutospacing="1" w:after="100" w:afterAutospacing="1" w:line="240" w:lineRule="auto"/>
              <w:jc w:val="center"/>
              <w:rPr>
                <w:rFonts w:asciiTheme="minorHAnsi" w:eastAsia="Times New Roman" w:hAnsiTheme="minorHAnsi" w:cs="Arial"/>
                <w:b/>
                <w:bCs/>
                <w:color w:val="000000" w:themeColor="text1"/>
                <w:sz w:val="24"/>
                <w:szCs w:val="24"/>
              </w:rPr>
            </w:pPr>
            <w:r w:rsidRPr="004C6FD4">
              <w:rPr>
                <w:rFonts w:asciiTheme="minorHAnsi" w:eastAsia="Times New Roman" w:hAnsiTheme="minorHAnsi" w:cs="Arial"/>
                <w:b/>
                <w:bCs/>
                <w:color w:val="000000" w:themeColor="text1"/>
                <w:sz w:val="24"/>
                <w:szCs w:val="24"/>
              </w:rPr>
              <w:t>Tra 1.001 e 5.000 abitanti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8FD50D" w14:textId="77777777" w:rsidR="00660EE5" w:rsidRPr="004C6FD4" w:rsidRDefault="00660EE5" w:rsidP="0054500D">
            <w:pPr>
              <w:spacing w:before="100" w:beforeAutospacing="1" w:after="100" w:afterAutospacing="1" w:line="240" w:lineRule="auto"/>
              <w:jc w:val="center"/>
              <w:rPr>
                <w:rFonts w:asciiTheme="minorHAnsi" w:eastAsia="Times New Roman" w:hAnsiTheme="minorHAnsi" w:cs="Arial"/>
                <w:b/>
                <w:bCs/>
                <w:color w:val="000000" w:themeColor="text1"/>
                <w:sz w:val="24"/>
                <w:szCs w:val="24"/>
              </w:rPr>
            </w:pPr>
            <w:r w:rsidRPr="004C6FD4">
              <w:rPr>
                <w:rFonts w:asciiTheme="minorHAnsi" w:eastAsia="Times New Roman" w:hAnsiTheme="minorHAnsi" w:cs="Arial"/>
                <w:b/>
                <w:bCs/>
                <w:color w:val="000000" w:themeColor="text1"/>
                <w:sz w:val="24"/>
                <w:szCs w:val="24"/>
              </w:rPr>
              <w:t>€ 47.598.642,81</w:t>
            </w:r>
          </w:p>
        </w:tc>
      </w:tr>
      <w:tr w:rsidR="00660EE5" w:rsidRPr="00660EE5" w14:paraId="49FB65D8" w14:textId="77777777" w:rsidTr="0054500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AC797F" w14:textId="77777777" w:rsidR="00660EE5" w:rsidRPr="004C6FD4" w:rsidRDefault="00660EE5" w:rsidP="0054500D">
            <w:pPr>
              <w:spacing w:before="100" w:beforeAutospacing="1" w:after="100" w:afterAutospacing="1" w:line="240" w:lineRule="auto"/>
              <w:jc w:val="center"/>
              <w:rPr>
                <w:rFonts w:asciiTheme="minorHAnsi" w:eastAsia="Times New Roman" w:hAnsiTheme="minorHAnsi" w:cs="Arial"/>
                <w:b/>
                <w:bCs/>
                <w:color w:val="000000" w:themeColor="text1"/>
                <w:sz w:val="24"/>
                <w:szCs w:val="24"/>
              </w:rPr>
            </w:pPr>
            <w:r w:rsidRPr="004C6FD4">
              <w:rPr>
                <w:rFonts w:asciiTheme="minorHAnsi" w:eastAsia="Times New Roman" w:hAnsiTheme="minorHAnsi" w:cs="Arial"/>
                <w:b/>
                <w:bCs/>
                <w:color w:val="000000" w:themeColor="text1"/>
                <w:sz w:val="24"/>
                <w:szCs w:val="24"/>
              </w:rPr>
              <w:t>Tra 5.001 e 10.000 abitanti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BDD759" w14:textId="77777777" w:rsidR="00660EE5" w:rsidRPr="004C6FD4" w:rsidRDefault="00660EE5" w:rsidP="0054500D">
            <w:pPr>
              <w:spacing w:before="100" w:beforeAutospacing="1" w:after="100" w:afterAutospacing="1" w:line="240" w:lineRule="auto"/>
              <w:jc w:val="center"/>
              <w:rPr>
                <w:rFonts w:asciiTheme="minorHAnsi" w:eastAsia="Times New Roman" w:hAnsiTheme="minorHAnsi" w:cs="Arial"/>
                <w:b/>
                <w:bCs/>
                <w:color w:val="000000" w:themeColor="text1"/>
                <w:sz w:val="24"/>
                <w:szCs w:val="24"/>
              </w:rPr>
            </w:pPr>
            <w:r w:rsidRPr="004C6FD4">
              <w:rPr>
                <w:rFonts w:asciiTheme="minorHAnsi" w:eastAsia="Times New Roman" w:hAnsiTheme="minorHAnsi" w:cs="Arial"/>
                <w:b/>
                <w:bCs/>
                <w:color w:val="000000" w:themeColor="text1"/>
                <w:sz w:val="24"/>
                <w:szCs w:val="24"/>
              </w:rPr>
              <w:t>€ 27.019.124,25</w:t>
            </w:r>
          </w:p>
        </w:tc>
      </w:tr>
      <w:tr w:rsidR="00660EE5" w:rsidRPr="00660EE5" w14:paraId="247A0589" w14:textId="77777777" w:rsidTr="0054500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7EFAB1" w14:textId="77777777" w:rsidR="00660EE5" w:rsidRPr="004C6FD4" w:rsidRDefault="00660EE5" w:rsidP="0054500D">
            <w:pPr>
              <w:spacing w:before="100" w:beforeAutospacing="1" w:after="100" w:afterAutospacing="1" w:line="240" w:lineRule="auto"/>
              <w:jc w:val="center"/>
              <w:rPr>
                <w:rFonts w:asciiTheme="minorHAnsi" w:eastAsia="Times New Roman" w:hAnsiTheme="minorHAnsi" w:cs="Arial"/>
                <w:b/>
                <w:bCs/>
                <w:color w:val="000000" w:themeColor="text1"/>
                <w:sz w:val="24"/>
                <w:szCs w:val="24"/>
              </w:rPr>
            </w:pPr>
            <w:r w:rsidRPr="004C6FD4">
              <w:rPr>
                <w:rFonts w:asciiTheme="minorHAnsi" w:eastAsia="Times New Roman" w:hAnsiTheme="minorHAnsi" w:cs="Arial"/>
                <w:b/>
                <w:bCs/>
                <w:color w:val="000000" w:themeColor="text1"/>
                <w:sz w:val="24"/>
                <w:szCs w:val="24"/>
              </w:rPr>
              <w:t>Tra 10.001 e 20.000 abitanti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642F5E" w14:textId="77777777" w:rsidR="00660EE5" w:rsidRPr="004C6FD4" w:rsidRDefault="00660EE5" w:rsidP="0054500D">
            <w:pPr>
              <w:spacing w:before="100" w:beforeAutospacing="1" w:after="100" w:afterAutospacing="1" w:line="240" w:lineRule="auto"/>
              <w:jc w:val="center"/>
              <w:rPr>
                <w:rFonts w:asciiTheme="minorHAnsi" w:eastAsia="Times New Roman" w:hAnsiTheme="minorHAnsi" w:cs="Arial"/>
                <w:b/>
                <w:bCs/>
                <w:color w:val="000000" w:themeColor="text1"/>
                <w:sz w:val="24"/>
                <w:szCs w:val="24"/>
              </w:rPr>
            </w:pPr>
            <w:r w:rsidRPr="004C6FD4">
              <w:rPr>
                <w:rFonts w:asciiTheme="minorHAnsi" w:eastAsia="Times New Roman" w:hAnsiTheme="minorHAnsi" w:cs="Arial"/>
                <w:b/>
                <w:bCs/>
                <w:color w:val="000000" w:themeColor="text1"/>
                <w:sz w:val="24"/>
                <w:szCs w:val="24"/>
              </w:rPr>
              <w:t>€ 23.952.225,54</w:t>
            </w:r>
          </w:p>
        </w:tc>
      </w:tr>
      <w:tr w:rsidR="00660EE5" w:rsidRPr="00660EE5" w14:paraId="218E9983" w14:textId="77777777" w:rsidTr="0054500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33312F" w14:textId="77777777" w:rsidR="00660EE5" w:rsidRPr="004C6FD4" w:rsidRDefault="00660EE5" w:rsidP="0054500D">
            <w:pPr>
              <w:spacing w:before="100" w:beforeAutospacing="1" w:after="100" w:afterAutospacing="1" w:line="240" w:lineRule="auto"/>
              <w:jc w:val="center"/>
              <w:rPr>
                <w:rFonts w:asciiTheme="minorHAnsi" w:eastAsia="Times New Roman" w:hAnsiTheme="minorHAnsi" w:cs="Arial"/>
                <w:b/>
                <w:bCs/>
                <w:color w:val="000000" w:themeColor="text1"/>
                <w:sz w:val="24"/>
                <w:szCs w:val="24"/>
              </w:rPr>
            </w:pPr>
            <w:r w:rsidRPr="004C6FD4">
              <w:rPr>
                <w:rFonts w:asciiTheme="minorHAnsi" w:eastAsia="Times New Roman" w:hAnsiTheme="minorHAnsi" w:cs="Arial"/>
                <w:b/>
                <w:bCs/>
                <w:color w:val="000000" w:themeColor="text1"/>
                <w:sz w:val="24"/>
                <w:szCs w:val="24"/>
              </w:rPr>
              <w:t>Tra 20.001 e 30.000 abitanti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F2BECD" w14:textId="77777777" w:rsidR="00660EE5" w:rsidRPr="004C6FD4" w:rsidRDefault="00660EE5" w:rsidP="0054500D">
            <w:pPr>
              <w:spacing w:before="100" w:beforeAutospacing="1" w:after="100" w:afterAutospacing="1" w:line="240" w:lineRule="auto"/>
              <w:jc w:val="center"/>
              <w:rPr>
                <w:rFonts w:asciiTheme="minorHAnsi" w:eastAsia="Times New Roman" w:hAnsiTheme="minorHAnsi" w:cs="Arial"/>
                <w:b/>
                <w:bCs/>
                <w:color w:val="000000" w:themeColor="text1"/>
                <w:sz w:val="24"/>
                <w:szCs w:val="24"/>
              </w:rPr>
            </w:pPr>
            <w:r w:rsidRPr="004C6FD4">
              <w:rPr>
                <w:rFonts w:asciiTheme="minorHAnsi" w:eastAsia="Times New Roman" w:hAnsiTheme="minorHAnsi" w:cs="Arial"/>
                <w:b/>
                <w:bCs/>
                <w:color w:val="000000" w:themeColor="text1"/>
                <w:sz w:val="24"/>
                <w:szCs w:val="24"/>
              </w:rPr>
              <w:t>€ 9.631.582,75</w:t>
            </w:r>
          </w:p>
        </w:tc>
      </w:tr>
      <w:tr w:rsidR="00660EE5" w:rsidRPr="00660EE5" w14:paraId="63A9B87B" w14:textId="77777777" w:rsidTr="0054500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A404AA" w14:textId="77777777" w:rsidR="00660EE5" w:rsidRPr="004C6FD4" w:rsidRDefault="00660EE5" w:rsidP="0054500D">
            <w:pPr>
              <w:spacing w:before="100" w:beforeAutospacing="1" w:after="100" w:afterAutospacing="1" w:line="240" w:lineRule="auto"/>
              <w:jc w:val="center"/>
              <w:rPr>
                <w:rFonts w:asciiTheme="minorHAnsi" w:eastAsia="Times New Roman" w:hAnsiTheme="minorHAnsi" w:cs="Arial"/>
                <w:b/>
                <w:bCs/>
                <w:color w:val="000000" w:themeColor="text1"/>
                <w:sz w:val="24"/>
                <w:szCs w:val="24"/>
              </w:rPr>
            </w:pPr>
            <w:r w:rsidRPr="004C6FD4">
              <w:rPr>
                <w:rFonts w:asciiTheme="minorHAnsi" w:eastAsia="Times New Roman" w:hAnsiTheme="minorHAnsi" w:cs="Arial"/>
                <w:b/>
                <w:bCs/>
                <w:color w:val="000000" w:themeColor="text1"/>
                <w:sz w:val="24"/>
                <w:szCs w:val="24"/>
              </w:rPr>
              <w:t>Province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53D1F1" w14:textId="77777777" w:rsidR="00660EE5" w:rsidRPr="004C6FD4" w:rsidRDefault="00660EE5" w:rsidP="0054500D">
            <w:pPr>
              <w:spacing w:before="100" w:beforeAutospacing="1" w:after="100" w:afterAutospacing="1" w:line="240" w:lineRule="auto"/>
              <w:jc w:val="center"/>
              <w:rPr>
                <w:rFonts w:asciiTheme="minorHAnsi" w:eastAsia="Times New Roman" w:hAnsiTheme="minorHAnsi" w:cs="Arial"/>
                <w:b/>
                <w:bCs/>
                <w:color w:val="000000" w:themeColor="text1"/>
                <w:sz w:val="24"/>
                <w:szCs w:val="24"/>
              </w:rPr>
            </w:pPr>
            <w:r w:rsidRPr="004C6FD4">
              <w:rPr>
                <w:rFonts w:asciiTheme="minorHAnsi" w:eastAsia="Times New Roman" w:hAnsiTheme="minorHAnsi" w:cs="Arial"/>
                <w:b/>
                <w:bCs/>
                <w:color w:val="000000" w:themeColor="text1"/>
                <w:sz w:val="24"/>
                <w:szCs w:val="24"/>
              </w:rPr>
              <w:t>€ 19.000.000,00</w:t>
            </w:r>
          </w:p>
        </w:tc>
      </w:tr>
      <w:tr w:rsidR="00660EE5" w:rsidRPr="00660EE5" w14:paraId="64A93ABB" w14:textId="77777777" w:rsidTr="0054500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172DCA" w14:textId="77777777" w:rsidR="00660EE5" w:rsidRPr="004C6FD4" w:rsidRDefault="00660EE5" w:rsidP="0054500D">
            <w:pPr>
              <w:spacing w:before="100" w:beforeAutospacing="1" w:after="100" w:afterAutospacing="1" w:line="240" w:lineRule="auto"/>
              <w:jc w:val="center"/>
              <w:rPr>
                <w:rFonts w:asciiTheme="minorHAnsi" w:eastAsia="Times New Roman" w:hAnsiTheme="minorHAnsi" w:cs="Arial"/>
                <w:b/>
                <w:bCs/>
                <w:color w:val="000000" w:themeColor="text1"/>
                <w:sz w:val="24"/>
                <w:szCs w:val="24"/>
              </w:rPr>
            </w:pPr>
            <w:r w:rsidRPr="004C6FD4">
              <w:rPr>
                <w:rFonts w:asciiTheme="minorHAnsi" w:eastAsia="Times New Roman" w:hAnsiTheme="minorHAnsi" w:cs="Arial"/>
                <w:b/>
                <w:bCs/>
                <w:color w:val="000000" w:themeColor="text1"/>
                <w:sz w:val="24"/>
                <w:szCs w:val="24"/>
              </w:rPr>
              <w:t>Città Metropolitane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444F75" w14:textId="77777777" w:rsidR="00660EE5" w:rsidRPr="004C6FD4" w:rsidRDefault="00660EE5" w:rsidP="0054500D">
            <w:pPr>
              <w:spacing w:before="100" w:beforeAutospacing="1" w:after="100" w:afterAutospacing="1" w:line="240" w:lineRule="auto"/>
              <w:jc w:val="center"/>
              <w:rPr>
                <w:rFonts w:asciiTheme="minorHAnsi" w:eastAsia="Times New Roman" w:hAnsiTheme="minorHAnsi" w:cs="Arial"/>
                <w:b/>
                <w:bCs/>
                <w:color w:val="000000" w:themeColor="text1"/>
                <w:sz w:val="24"/>
                <w:szCs w:val="24"/>
              </w:rPr>
            </w:pPr>
            <w:r w:rsidRPr="004C6FD4">
              <w:rPr>
                <w:rFonts w:asciiTheme="minorHAnsi" w:eastAsia="Times New Roman" w:hAnsiTheme="minorHAnsi" w:cs="Arial"/>
                <w:b/>
                <w:bCs/>
                <w:color w:val="000000" w:themeColor="text1"/>
                <w:sz w:val="24"/>
                <w:szCs w:val="24"/>
              </w:rPr>
              <w:t>€ 7.000.000,00</w:t>
            </w:r>
          </w:p>
        </w:tc>
      </w:tr>
      <w:tr w:rsidR="00660EE5" w:rsidRPr="00660EE5" w14:paraId="61CB6EA9" w14:textId="77777777" w:rsidTr="0054500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3F0DA5" w14:textId="77777777" w:rsidR="00660EE5" w:rsidRPr="004C6FD4" w:rsidRDefault="00660EE5" w:rsidP="0054500D">
            <w:pPr>
              <w:spacing w:before="100" w:beforeAutospacing="1" w:after="100" w:afterAutospacing="1" w:line="240" w:lineRule="auto"/>
              <w:jc w:val="center"/>
              <w:rPr>
                <w:rFonts w:asciiTheme="minorHAnsi" w:eastAsia="Times New Roman" w:hAnsiTheme="minorHAnsi" w:cs="Arial"/>
                <w:b/>
                <w:bCs/>
                <w:color w:val="000000" w:themeColor="text1"/>
                <w:sz w:val="24"/>
                <w:szCs w:val="24"/>
              </w:rPr>
            </w:pPr>
            <w:r w:rsidRPr="004C6FD4">
              <w:rPr>
                <w:rFonts w:asciiTheme="minorHAnsi" w:eastAsia="Times New Roman" w:hAnsiTheme="minorHAnsi" w:cs="Arial"/>
                <w:b/>
                <w:bCs/>
                <w:color w:val="000000" w:themeColor="text1"/>
                <w:sz w:val="24"/>
                <w:szCs w:val="24"/>
              </w:rPr>
              <w:t>Premialità comma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FB5A7E" w14:textId="77777777" w:rsidR="00660EE5" w:rsidRPr="004C6FD4" w:rsidRDefault="00660EE5" w:rsidP="0054500D">
            <w:pPr>
              <w:spacing w:before="100" w:beforeAutospacing="1" w:after="100" w:afterAutospacing="1" w:line="240" w:lineRule="auto"/>
              <w:jc w:val="center"/>
              <w:rPr>
                <w:rFonts w:asciiTheme="minorHAnsi" w:eastAsia="Times New Roman" w:hAnsiTheme="minorHAnsi" w:cs="Arial"/>
                <w:b/>
                <w:bCs/>
                <w:color w:val="000000" w:themeColor="text1"/>
                <w:sz w:val="24"/>
                <w:szCs w:val="24"/>
              </w:rPr>
            </w:pPr>
            <w:r w:rsidRPr="004C6FD4">
              <w:rPr>
                <w:rFonts w:asciiTheme="minorHAnsi" w:eastAsia="Times New Roman" w:hAnsiTheme="minorHAnsi" w:cs="Arial"/>
                <w:b/>
                <w:bCs/>
                <w:color w:val="000000" w:themeColor="text1"/>
                <w:sz w:val="24"/>
                <w:szCs w:val="24"/>
              </w:rPr>
              <w:t>€ 5.881.675,00</w:t>
            </w:r>
          </w:p>
        </w:tc>
      </w:tr>
      <w:tr w:rsidR="00660EE5" w:rsidRPr="00660EE5" w14:paraId="0F5C6A82" w14:textId="77777777" w:rsidTr="0054500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612FE5" w14:textId="77777777" w:rsidR="00660EE5" w:rsidRPr="004C6FD4" w:rsidRDefault="00660EE5" w:rsidP="0054500D">
            <w:pPr>
              <w:spacing w:before="100" w:beforeAutospacing="1" w:after="100" w:afterAutospacing="1" w:line="240" w:lineRule="auto"/>
              <w:jc w:val="center"/>
              <w:rPr>
                <w:rFonts w:asciiTheme="minorHAnsi" w:eastAsia="Times New Roman" w:hAnsiTheme="minorHAnsi" w:cs="Arial"/>
                <w:b/>
                <w:bCs/>
                <w:color w:val="000000" w:themeColor="text1"/>
                <w:sz w:val="24"/>
                <w:szCs w:val="24"/>
              </w:rPr>
            </w:pPr>
            <w:r w:rsidRPr="004C6FD4">
              <w:rPr>
                <w:rFonts w:asciiTheme="minorHAnsi" w:eastAsia="Times New Roman" w:hAnsiTheme="minorHAnsi" w:cs="Arial"/>
                <w:b/>
                <w:bCs/>
                <w:color w:val="000000" w:themeColor="text1"/>
                <w:sz w:val="24"/>
                <w:szCs w:val="24"/>
              </w:rPr>
              <w:t>Totale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77509D" w14:textId="77777777" w:rsidR="00660EE5" w:rsidRPr="004C6FD4" w:rsidRDefault="00660EE5" w:rsidP="0054500D">
            <w:pPr>
              <w:spacing w:before="100" w:beforeAutospacing="1" w:after="100" w:afterAutospacing="1" w:line="240" w:lineRule="auto"/>
              <w:jc w:val="center"/>
              <w:rPr>
                <w:rFonts w:asciiTheme="minorHAnsi" w:eastAsia="Times New Roman" w:hAnsiTheme="minorHAnsi" w:cs="Arial"/>
                <w:b/>
                <w:bCs/>
                <w:color w:val="000000" w:themeColor="text1"/>
                <w:sz w:val="24"/>
                <w:szCs w:val="24"/>
              </w:rPr>
            </w:pPr>
            <w:r w:rsidRPr="004C6FD4">
              <w:rPr>
                <w:rFonts w:asciiTheme="minorHAnsi" w:eastAsia="Times New Roman" w:hAnsiTheme="minorHAnsi" w:cs="Arial"/>
                <w:b/>
                <w:bCs/>
                <w:color w:val="000000" w:themeColor="text1"/>
                <w:sz w:val="24"/>
                <w:szCs w:val="24"/>
              </w:rPr>
              <w:t>€ 161.515.175,00</w:t>
            </w:r>
          </w:p>
        </w:tc>
      </w:tr>
    </w:tbl>
    <w:p w14:paraId="676EBE0A" w14:textId="4EE2EF56" w:rsidR="00660EE5" w:rsidRDefault="00660EE5" w:rsidP="00660EE5">
      <w:pPr>
        <w:shd w:val="clear" w:color="auto" w:fill="FFFFFF"/>
        <w:spacing w:after="0" w:line="240" w:lineRule="auto"/>
        <w:jc w:val="right"/>
        <w:rPr>
          <w:rFonts w:asciiTheme="minorHAnsi" w:eastAsia="Times New Roman" w:hAnsiTheme="minorHAnsi" w:cs="Arial"/>
          <w:color w:val="000000" w:themeColor="text1"/>
          <w:sz w:val="24"/>
          <w:szCs w:val="24"/>
        </w:rPr>
      </w:pPr>
      <w:r w:rsidRPr="00660EE5">
        <w:rPr>
          <w:rStyle w:val="Rimandonotaapidipagina"/>
          <w:rFonts w:asciiTheme="minorHAnsi" w:eastAsia="Times New Roman" w:hAnsiTheme="minorHAnsi" w:cs="Arial"/>
          <w:color w:val="000000" w:themeColor="text1"/>
          <w:sz w:val="24"/>
          <w:szCs w:val="24"/>
        </w:rPr>
        <w:footnoteReference w:id="97"/>
      </w:r>
      <w:r w:rsidRPr="00CC0AA8">
        <w:rPr>
          <w:rFonts w:asciiTheme="minorHAnsi" w:eastAsia="Times New Roman" w:hAnsiTheme="minorHAnsi" w:cs="Arial"/>
          <w:color w:val="000000" w:themeColor="text1"/>
          <w:sz w:val="24"/>
          <w:szCs w:val="24"/>
        </w:rPr>
        <w:t>».</w:t>
      </w:r>
    </w:p>
    <w:p w14:paraId="7304A1B0" w14:textId="13BBC8EA" w:rsidR="00602F70" w:rsidRDefault="00602F70" w:rsidP="00660EE5">
      <w:pPr>
        <w:shd w:val="clear" w:color="auto" w:fill="FFFFFF"/>
        <w:spacing w:after="0" w:line="240" w:lineRule="auto"/>
        <w:jc w:val="right"/>
        <w:rPr>
          <w:rFonts w:asciiTheme="minorHAnsi" w:eastAsia="Times New Roman" w:hAnsiTheme="minorHAnsi" w:cs="Arial"/>
          <w:color w:val="000000" w:themeColor="text1"/>
          <w:sz w:val="24"/>
          <w:szCs w:val="24"/>
        </w:rPr>
      </w:pPr>
    </w:p>
    <w:p w14:paraId="6A33F387" w14:textId="1EA6F178" w:rsidR="00602F70" w:rsidRDefault="00602F70" w:rsidP="00602F70">
      <w:pPr>
        <w:shd w:val="clear" w:color="auto" w:fill="FFFFFF"/>
        <w:spacing w:after="0" w:line="240" w:lineRule="auto"/>
        <w:jc w:val="both"/>
        <w:rPr>
          <w:rFonts w:eastAsia="Times New Roman" w:cs="Arial"/>
          <w:color w:val="000000" w:themeColor="text1"/>
          <w:sz w:val="24"/>
          <w:szCs w:val="24"/>
        </w:rPr>
      </w:pPr>
      <w:r w:rsidRPr="00332D91">
        <w:rPr>
          <w:rFonts w:eastAsia="Times New Roman" w:cs="Arial"/>
          <w:b/>
          <w:bCs/>
          <w:color w:val="000000" w:themeColor="text1"/>
          <w:sz w:val="24"/>
          <w:szCs w:val="24"/>
        </w:rPr>
        <w:t>1-</w:t>
      </w:r>
      <w:r w:rsidRPr="00332D91">
        <w:rPr>
          <w:rFonts w:eastAsia="Times New Roman" w:cs="Arial"/>
          <w:b/>
          <w:bCs/>
          <w:i/>
          <w:iCs/>
          <w:color w:val="000000" w:themeColor="text1"/>
          <w:sz w:val="24"/>
          <w:szCs w:val="24"/>
        </w:rPr>
        <w:t>bis</w:t>
      </w:r>
      <w:r w:rsidRPr="00332D91">
        <w:rPr>
          <w:rFonts w:eastAsia="Times New Roman" w:cs="Arial"/>
          <w:b/>
          <w:bCs/>
          <w:color w:val="000000" w:themeColor="text1"/>
          <w:sz w:val="24"/>
          <w:szCs w:val="24"/>
        </w:rPr>
        <w:t xml:space="preserve">. In relazione agli interventi di cui all'Allegato IV del decreto-legge 31 maggio 2021, n. 77 convertito, con modificazioni, dalla Legge 29 luglio 2021, n. 108, per i quali, alla data di entrata in vigore della legge di conversione del presente decreto, il progetto di fattibilità tecnica ed economica è stato già trasmesso all'autorità competente ai fini dell'espressione della valutazione di impatto ambientale di cui alla Parte seconda del decreto legislativo 3 aprile 2006, n. 152, le procedure di valutazione di impatto ambientale sono svolte nei tempi previsti per i progetti di cui al comma 2-bis dell'articolo 8 del citato decreto legislativo n. 152 del 2006 dalla Commissione tecnica di verifica dell'impatto ambientale VIA e VAS di cui all'articolo 8, comma 1, del richiamato decreto. Nella trattazione dei procedimenti di </w:t>
      </w:r>
      <w:r w:rsidRPr="00332D91">
        <w:rPr>
          <w:rFonts w:eastAsia="Times New Roman" w:cs="Arial"/>
          <w:b/>
          <w:bCs/>
          <w:color w:val="000000" w:themeColor="text1"/>
          <w:sz w:val="24"/>
          <w:szCs w:val="24"/>
        </w:rPr>
        <w:lastRenderedPageBreak/>
        <w:t>sua competenza ai sensi della normativa vigente, la Commissione di cui al presente comma dà precedenza, su ogni altro progetto, ai progetti di cui all'Allegato IV del decreto-legge 31 maggio 2021, n. 77 convertito, con modificazioni, dalla Legge 29 luglio 2021, n. 108.</w:t>
      </w:r>
      <w:r>
        <w:rPr>
          <w:rStyle w:val="Rimandonotaapidipagina"/>
          <w:rFonts w:eastAsia="Times New Roman" w:cs="Arial"/>
          <w:b/>
          <w:bCs/>
          <w:color w:val="000000" w:themeColor="text1"/>
          <w:sz w:val="24"/>
          <w:szCs w:val="24"/>
        </w:rPr>
        <w:footnoteReference w:id="98"/>
      </w:r>
    </w:p>
    <w:p w14:paraId="66128072" w14:textId="1826AC26" w:rsidR="00602F70" w:rsidRPr="00155015" w:rsidRDefault="00602F70" w:rsidP="00602F70">
      <w:pPr>
        <w:shd w:val="clear" w:color="auto" w:fill="FFFFFF"/>
        <w:spacing w:after="0" w:line="240" w:lineRule="auto"/>
        <w:jc w:val="both"/>
        <w:rPr>
          <w:rFonts w:eastAsia="Times New Roman" w:cs="Arial"/>
          <w:color w:val="000000" w:themeColor="text1"/>
          <w:sz w:val="24"/>
          <w:szCs w:val="24"/>
        </w:rPr>
      </w:pPr>
      <w:r w:rsidRPr="00155015">
        <w:rPr>
          <w:rFonts w:eastAsia="Times New Roman" w:cs="Arial"/>
          <w:color w:val="000000" w:themeColor="text1"/>
          <w:sz w:val="24"/>
          <w:szCs w:val="24"/>
        </w:rPr>
        <w:br/>
      </w:r>
    </w:p>
    <w:p w14:paraId="261762BF" w14:textId="77777777" w:rsidR="00602F70" w:rsidRPr="00CC0AA8" w:rsidRDefault="00602F70" w:rsidP="00602F70">
      <w:pPr>
        <w:shd w:val="clear" w:color="auto" w:fill="FFFFFF"/>
        <w:spacing w:after="0" w:line="240" w:lineRule="auto"/>
        <w:jc w:val="both"/>
        <w:rPr>
          <w:rFonts w:asciiTheme="minorHAnsi" w:eastAsia="Times New Roman" w:hAnsiTheme="minorHAnsi" w:cs="Arial"/>
          <w:color w:val="000000" w:themeColor="text1"/>
          <w:sz w:val="24"/>
          <w:szCs w:val="24"/>
        </w:rPr>
      </w:pPr>
    </w:p>
    <w:p w14:paraId="1E7D640B"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Articolo 13.</w:t>
      </w:r>
    </w:p>
    <w:p w14:paraId="4B73CEBD"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(Misure di agevolazioni per i comuni)</w:t>
      </w:r>
    </w:p>
    <w:p w14:paraId="34CF1336"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0720BD56" w14:textId="45A50E82" w:rsid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1. All'articolo 1, comma 1, del decreto-legge 20 giugno 2017, n. 91, convertito, con modificazioni, dalla legge 3 agosto 2017, n. 123, è aggiunto, infine, il seguente periodo: «La misura è altresì estesa ai territori insulari dei comuni di Campo nell'Elba, Capoliveri, Capraia, Giglio, Marciana, Marciana Marina, Ponza, Porto Azzurro, Portoferraio, Portovenere, Rio, Ventotene, localizzati nelle isole minori del Centro-Nord</w:t>
      </w:r>
      <w:r w:rsidR="00602F70">
        <w:rPr>
          <w:rFonts w:asciiTheme="minorHAnsi" w:hAnsiTheme="minorHAnsi"/>
          <w:b/>
          <w:bCs/>
          <w:color w:val="000000" w:themeColor="text1"/>
          <w:sz w:val="24"/>
          <w:szCs w:val="24"/>
        </w:rPr>
        <w:t>,</w:t>
      </w:r>
      <w:r w:rsidR="00602F70">
        <w:rPr>
          <w:rFonts w:asciiTheme="minorHAnsi" w:hAnsiTheme="minorHAnsi"/>
          <w:color w:val="000000" w:themeColor="text1"/>
          <w:sz w:val="24"/>
          <w:szCs w:val="24"/>
        </w:rPr>
        <w:t xml:space="preserve"> </w:t>
      </w:r>
      <w:r w:rsidR="00602F70" w:rsidRPr="00602F70">
        <w:rPr>
          <w:rFonts w:eastAsia="Times New Roman" w:cs="Arial"/>
          <w:b/>
          <w:bCs/>
          <w:color w:val="000000" w:themeColor="text1"/>
          <w:sz w:val="24"/>
          <w:szCs w:val="24"/>
        </w:rPr>
        <w:t>nonché alle isole minori lagunari e lacustri</w:t>
      </w:r>
      <w:r w:rsidR="00602F70">
        <w:rPr>
          <w:rStyle w:val="Rimandonotaapidipagina"/>
          <w:rFonts w:eastAsia="Times New Roman" w:cs="Arial"/>
          <w:b/>
          <w:bCs/>
          <w:color w:val="000000" w:themeColor="text1"/>
          <w:sz w:val="24"/>
          <w:szCs w:val="24"/>
        </w:rPr>
        <w:footnoteReference w:id="99"/>
      </w:r>
      <w:r w:rsidRPr="00660EE5">
        <w:rPr>
          <w:rFonts w:asciiTheme="minorHAnsi" w:hAnsiTheme="minorHAnsi"/>
          <w:color w:val="000000" w:themeColor="text1"/>
          <w:sz w:val="24"/>
          <w:szCs w:val="24"/>
        </w:rPr>
        <w:t>.».</w:t>
      </w:r>
    </w:p>
    <w:p w14:paraId="5D778A4B" w14:textId="15C87108" w:rsidR="00602F70" w:rsidRPr="00155015" w:rsidRDefault="00602F70" w:rsidP="00602F70">
      <w:pPr>
        <w:shd w:val="clear" w:color="auto" w:fill="FFFFFF"/>
        <w:spacing w:after="0" w:line="240" w:lineRule="auto"/>
        <w:rPr>
          <w:rFonts w:eastAsia="Times New Roman" w:cs="Arial"/>
          <w:color w:val="000000" w:themeColor="text1"/>
          <w:sz w:val="24"/>
          <w:szCs w:val="24"/>
        </w:rPr>
      </w:pPr>
    </w:p>
    <w:p w14:paraId="6E6AEF7D" w14:textId="77777777" w:rsidR="00602F70" w:rsidRPr="00332D91" w:rsidRDefault="00602F70" w:rsidP="00602F70">
      <w:pPr>
        <w:shd w:val="clear" w:color="auto" w:fill="FFFFFF"/>
        <w:spacing w:after="0" w:line="240" w:lineRule="auto"/>
        <w:jc w:val="both"/>
        <w:rPr>
          <w:rFonts w:eastAsia="Times New Roman" w:cs="Arial"/>
          <w:b/>
          <w:bCs/>
          <w:color w:val="000000" w:themeColor="text1"/>
          <w:sz w:val="24"/>
          <w:szCs w:val="24"/>
        </w:rPr>
      </w:pPr>
      <w:r w:rsidRPr="00332D91">
        <w:rPr>
          <w:rFonts w:eastAsia="Times New Roman" w:cs="Arial"/>
          <w:b/>
          <w:bCs/>
          <w:color w:val="000000" w:themeColor="text1"/>
          <w:sz w:val="24"/>
          <w:szCs w:val="24"/>
        </w:rPr>
        <w:t>1-</w:t>
      </w:r>
      <w:r w:rsidRPr="00332D91">
        <w:rPr>
          <w:rFonts w:eastAsia="Times New Roman" w:cs="Arial"/>
          <w:b/>
          <w:bCs/>
          <w:i/>
          <w:iCs/>
          <w:color w:val="000000" w:themeColor="text1"/>
          <w:sz w:val="24"/>
          <w:szCs w:val="24"/>
        </w:rPr>
        <w:t>bis</w:t>
      </w:r>
      <w:r w:rsidRPr="00332D91">
        <w:rPr>
          <w:rFonts w:eastAsia="Times New Roman" w:cs="Arial"/>
          <w:b/>
          <w:bCs/>
          <w:color w:val="000000" w:themeColor="text1"/>
          <w:sz w:val="24"/>
          <w:szCs w:val="24"/>
        </w:rPr>
        <w:t>. All'articolo 1, comma 10, del decreto-legge 20 giugno 2017, n. 91, convertito, con modificazioni, dalla legge 3 agosto 2017, n. 123, sono apportate le seguenti modificazioni:</w:t>
      </w:r>
    </w:p>
    <w:p w14:paraId="17728686" w14:textId="77777777" w:rsidR="00602F70" w:rsidRPr="00332D91" w:rsidRDefault="00602F70" w:rsidP="00602F70">
      <w:pPr>
        <w:shd w:val="clear" w:color="auto" w:fill="FFFFFF"/>
        <w:spacing w:after="0" w:line="240" w:lineRule="auto"/>
        <w:jc w:val="both"/>
        <w:rPr>
          <w:rFonts w:eastAsia="Times New Roman" w:cs="Arial"/>
          <w:b/>
          <w:bCs/>
          <w:color w:val="000000" w:themeColor="text1"/>
          <w:sz w:val="24"/>
          <w:szCs w:val="24"/>
        </w:rPr>
      </w:pPr>
      <w:r w:rsidRPr="00332D91">
        <w:rPr>
          <w:rFonts w:eastAsia="Times New Roman" w:cs="Arial"/>
          <w:b/>
          <w:bCs/>
          <w:color w:val="000000" w:themeColor="text1"/>
          <w:sz w:val="24"/>
          <w:szCs w:val="24"/>
        </w:rPr>
        <w:t> </w:t>
      </w:r>
      <w:r w:rsidRPr="00332D91">
        <w:rPr>
          <w:rFonts w:eastAsia="Times New Roman" w:cs="Arial"/>
          <w:b/>
          <w:bCs/>
          <w:color w:val="000000" w:themeColor="text1"/>
          <w:sz w:val="24"/>
          <w:szCs w:val="24"/>
        </w:rPr>
        <w:t> </w:t>
      </w:r>
      <w:r w:rsidRPr="00332D91">
        <w:rPr>
          <w:rFonts w:eastAsia="Times New Roman" w:cs="Arial"/>
          <w:b/>
          <w:bCs/>
          <w:color w:val="000000" w:themeColor="text1"/>
          <w:sz w:val="24"/>
          <w:szCs w:val="24"/>
        </w:rPr>
        <w:t> </w:t>
      </w:r>
      <w:r w:rsidRPr="00332D91">
        <w:rPr>
          <w:rFonts w:eastAsia="Times New Roman" w:cs="Arial"/>
          <w:b/>
          <w:bCs/>
          <w:i/>
          <w:iCs/>
          <w:color w:val="000000" w:themeColor="text1"/>
          <w:sz w:val="24"/>
          <w:szCs w:val="24"/>
        </w:rPr>
        <w:t>a)</w:t>
      </w:r>
      <w:r w:rsidRPr="00332D91">
        <w:rPr>
          <w:rFonts w:eastAsia="Times New Roman" w:cs="Arial"/>
          <w:b/>
          <w:bCs/>
          <w:color w:val="000000" w:themeColor="text1"/>
          <w:sz w:val="24"/>
          <w:szCs w:val="24"/>
        </w:rPr>
        <w:t> al primo periodo, dopo le parole: «ivi compresi i servizi turistici», sono aggiunte le seguenti: «, nonché le attività del commercio, ivi compresa la vendita dei beni prodotti nell'attività di impresa.»;</w:t>
      </w:r>
    </w:p>
    <w:p w14:paraId="1F9F7CC0" w14:textId="1918B7E1" w:rsidR="00602F70" w:rsidRDefault="00602F70" w:rsidP="00602F70">
      <w:pPr>
        <w:shd w:val="clear" w:color="auto" w:fill="FFFFFF"/>
        <w:spacing w:after="0" w:line="240" w:lineRule="auto"/>
        <w:jc w:val="both"/>
        <w:rPr>
          <w:rFonts w:eastAsia="Times New Roman" w:cs="Arial"/>
          <w:b/>
          <w:bCs/>
          <w:color w:val="000000" w:themeColor="text1"/>
          <w:sz w:val="24"/>
          <w:szCs w:val="24"/>
        </w:rPr>
      </w:pPr>
      <w:r w:rsidRPr="00332D91">
        <w:rPr>
          <w:rFonts w:eastAsia="Times New Roman" w:cs="Arial"/>
          <w:b/>
          <w:bCs/>
          <w:color w:val="000000" w:themeColor="text1"/>
          <w:sz w:val="24"/>
          <w:szCs w:val="24"/>
        </w:rPr>
        <w:t> </w:t>
      </w:r>
      <w:r w:rsidRPr="00332D91">
        <w:rPr>
          <w:rFonts w:eastAsia="Times New Roman" w:cs="Arial"/>
          <w:b/>
          <w:bCs/>
          <w:color w:val="000000" w:themeColor="text1"/>
          <w:sz w:val="24"/>
          <w:szCs w:val="24"/>
        </w:rPr>
        <w:t> </w:t>
      </w:r>
      <w:r w:rsidRPr="00332D91">
        <w:rPr>
          <w:rFonts w:eastAsia="Times New Roman" w:cs="Arial"/>
          <w:b/>
          <w:bCs/>
          <w:color w:val="000000" w:themeColor="text1"/>
          <w:sz w:val="24"/>
          <w:szCs w:val="24"/>
        </w:rPr>
        <w:t> </w:t>
      </w:r>
      <w:r w:rsidRPr="00332D91">
        <w:rPr>
          <w:rFonts w:eastAsia="Times New Roman" w:cs="Arial"/>
          <w:b/>
          <w:bCs/>
          <w:i/>
          <w:iCs/>
          <w:color w:val="000000" w:themeColor="text1"/>
          <w:sz w:val="24"/>
          <w:szCs w:val="24"/>
        </w:rPr>
        <w:t>b)</w:t>
      </w:r>
      <w:r w:rsidRPr="00332D91">
        <w:rPr>
          <w:rFonts w:eastAsia="Times New Roman" w:cs="Arial"/>
          <w:b/>
          <w:bCs/>
          <w:color w:val="000000" w:themeColor="text1"/>
          <w:sz w:val="24"/>
          <w:szCs w:val="24"/>
        </w:rPr>
        <w:t> il secondo periodo è soppresso.</w:t>
      </w:r>
      <w:r>
        <w:rPr>
          <w:rStyle w:val="Rimandonotaapidipagina"/>
          <w:rFonts w:eastAsia="Times New Roman" w:cs="Arial"/>
          <w:b/>
          <w:bCs/>
          <w:color w:val="000000" w:themeColor="text1"/>
          <w:sz w:val="24"/>
          <w:szCs w:val="24"/>
        </w:rPr>
        <w:footnoteReference w:id="100"/>
      </w:r>
    </w:p>
    <w:p w14:paraId="0E0C40FF"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07262552"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2. All'articolo 1 della legge 27 dicembre 2019, n. 160, sono apportate le seguenti modificazioni:</w:t>
      </w:r>
    </w:p>
    <w:p w14:paraId="5D72747B"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   a) al comma 32, è aggiunto, in fine, il seguente periodo: «Per l'anno 2021, il termine di cui al primo periodo è fissato al </w:t>
      </w:r>
      <w:r w:rsidRPr="00660EE5">
        <w:rPr>
          <w:rFonts w:asciiTheme="minorHAnsi" w:hAnsiTheme="minorHAnsi"/>
          <w:strike/>
          <w:color w:val="000000" w:themeColor="text1"/>
          <w:sz w:val="24"/>
          <w:szCs w:val="24"/>
          <w:highlight w:val="yellow"/>
        </w:rPr>
        <w:t>15 ottobre</w:t>
      </w:r>
      <w:r w:rsidRPr="00660EE5">
        <w:rPr>
          <w:rFonts w:asciiTheme="minorHAnsi" w:hAnsiTheme="minorHAnsi"/>
          <w:color w:val="000000" w:themeColor="text1"/>
          <w:sz w:val="24"/>
          <w:szCs w:val="24"/>
        </w:rPr>
        <w:t xml:space="preserve"> </w:t>
      </w:r>
      <w:r w:rsidRPr="00660EE5">
        <w:rPr>
          <w:rFonts w:asciiTheme="minorHAnsi" w:hAnsiTheme="minorHAnsi"/>
          <w:b/>
          <w:bCs/>
          <w:color w:val="000000" w:themeColor="text1"/>
          <w:sz w:val="24"/>
          <w:szCs w:val="24"/>
        </w:rPr>
        <w:t>31 dicembre</w:t>
      </w:r>
      <w:r w:rsidRPr="00660EE5">
        <w:rPr>
          <w:rStyle w:val="Rimandonotaapidipagina"/>
          <w:rFonts w:asciiTheme="minorHAnsi" w:hAnsiTheme="minorHAnsi"/>
          <w:b/>
          <w:bCs/>
          <w:color w:val="000000" w:themeColor="text1"/>
          <w:sz w:val="24"/>
          <w:szCs w:val="24"/>
        </w:rPr>
        <w:footnoteReference w:id="101"/>
      </w:r>
      <w:r w:rsidRPr="00660EE5">
        <w:rPr>
          <w:rFonts w:asciiTheme="minorHAnsi" w:hAnsiTheme="minorHAnsi"/>
          <w:b/>
          <w:bCs/>
          <w:color w:val="000000" w:themeColor="text1"/>
          <w:sz w:val="24"/>
          <w:szCs w:val="24"/>
        </w:rPr>
        <w:t xml:space="preserve"> </w:t>
      </w:r>
      <w:r w:rsidRPr="00660EE5">
        <w:rPr>
          <w:rFonts w:asciiTheme="minorHAnsi" w:hAnsiTheme="minorHAnsi"/>
          <w:color w:val="000000" w:themeColor="text1"/>
          <w:sz w:val="24"/>
          <w:szCs w:val="24"/>
        </w:rPr>
        <w:t>2021.»;</w:t>
      </w:r>
    </w:p>
    <w:p w14:paraId="0AEB8DA5"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   b) al comma 34, è aggiunto, in fine, il seguente periodo: «Per l'anno 2021, il termine di cui al primo periodo è fissato al </w:t>
      </w:r>
      <w:r w:rsidRPr="00660EE5">
        <w:rPr>
          <w:rFonts w:asciiTheme="minorHAnsi" w:hAnsiTheme="minorHAnsi"/>
          <w:strike/>
          <w:color w:val="000000" w:themeColor="text1"/>
          <w:sz w:val="24"/>
          <w:szCs w:val="24"/>
          <w:highlight w:val="yellow"/>
        </w:rPr>
        <w:t xml:space="preserve">15 </w:t>
      </w:r>
      <w:proofErr w:type="gramStart"/>
      <w:r w:rsidRPr="00660EE5">
        <w:rPr>
          <w:rFonts w:asciiTheme="minorHAnsi" w:hAnsiTheme="minorHAnsi"/>
          <w:strike/>
          <w:color w:val="000000" w:themeColor="text1"/>
          <w:sz w:val="24"/>
          <w:szCs w:val="24"/>
          <w:highlight w:val="yellow"/>
        </w:rPr>
        <w:t>novembre</w:t>
      </w:r>
      <w:r w:rsidRPr="00660EE5">
        <w:rPr>
          <w:rFonts w:asciiTheme="minorHAnsi" w:hAnsiTheme="minorHAnsi"/>
          <w:color w:val="000000" w:themeColor="text1"/>
          <w:sz w:val="24"/>
          <w:szCs w:val="24"/>
        </w:rPr>
        <w:t xml:space="preserve">  </w:t>
      </w:r>
      <w:r w:rsidRPr="00660EE5">
        <w:rPr>
          <w:rFonts w:asciiTheme="minorHAnsi" w:hAnsiTheme="minorHAnsi"/>
          <w:b/>
          <w:bCs/>
          <w:color w:val="000000" w:themeColor="text1"/>
          <w:sz w:val="24"/>
          <w:szCs w:val="24"/>
        </w:rPr>
        <w:t>31</w:t>
      </w:r>
      <w:proofErr w:type="gramEnd"/>
      <w:r w:rsidRPr="00660EE5">
        <w:rPr>
          <w:rFonts w:asciiTheme="minorHAnsi" w:hAnsiTheme="minorHAnsi"/>
          <w:b/>
          <w:bCs/>
          <w:color w:val="000000" w:themeColor="text1"/>
          <w:sz w:val="24"/>
          <w:szCs w:val="24"/>
        </w:rPr>
        <w:t xml:space="preserve"> gennaio</w:t>
      </w:r>
      <w:r w:rsidRPr="00660EE5">
        <w:rPr>
          <w:rStyle w:val="Rimandonotaapidipagina"/>
          <w:rFonts w:asciiTheme="minorHAnsi" w:hAnsiTheme="minorHAnsi"/>
          <w:b/>
          <w:bCs/>
          <w:color w:val="000000" w:themeColor="text1"/>
          <w:sz w:val="24"/>
          <w:szCs w:val="24"/>
        </w:rPr>
        <w:footnoteReference w:id="102"/>
      </w:r>
      <w:r w:rsidRPr="00660EE5">
        <w:rPr>
          <w:rFonts w:asciiTheme="minorHAnsi" w:hAnsiTheme="minorHAnsi"/>
          <w:b/>
          <w:bCs/>
          <w:color w:val="000000" w:themeColor="text1"/>
          <w:sz w:val="24"/>
          <w:szCs w:val="24"/>
        </w:rPr>
        <w:t xml:space="preserve"> </w:t>
      </w:r>
      <w:r w:rsidRPr="00660EE5">
        <w:rPr>
          <w:rFonts w:asciiTheme="minorHAnsi" w:hAnsiTheme="minorHAnsi"/>
          <w:color w:val="000000" w:themeColor="text1"/>
          <w:sz w:val="24"/>
          <w:szCs w:val="24"/>
        </w:rPr>
        <w:t>2021.».</w:t>
      </w:r>
    </w:p>
    <w:p w14:paraId="09A5A931"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xml:space="preserve">          b-bis) al comma 54 è aggiunto, in fine, il seguente periodo: «A partire dall'anno 2022, almeno il 40 per cento delle risorse è assicurato agli enti locali delle regioni del Mezzogiorno».</w:t>
      </w:r>
      <w:r w:rsidRPr="00660EE5">
        <w:rPr>
          <w:rStyle w:val="Rimandonotaapidipagina"/>
          <w:rFonts w:asciiTheme="minorHAnsi" w:hAnsiTheme="minorHAnsi"/>
          <w:b/>
          <w:bCs/>
          <w:color w:val="000000" w:themeColor="text1"/>
          <w:sz w:val="24"/>
          <w:szCs w:val="24"/>
        </w:rPr>
        <w:footnoteReference w:id="103"/>
      </w:r>
    </w:p>
    <w:p w14:paraId="335883C2"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p>
    <w:p w14:paraId="65C383D7"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2-bis. All'articolo 39, comma 3, del decreto-legge 14 agosto 2020, n. 104, convertito, con modificazioni, dalla legge 13 ottobre 2020, n. 126, le parole: «a decorrere dall'anno 2022», ovunque ricorrano, sono sostituite dalle seguenti: «a decorrere dall'anno 2023».</w:t>
      </w:r>
      <w:r w:rsidRPr="00660EE5">
        <w:rPr>
          <w:rStyle w:val="Rimandonotaapidipagina"/>
          <w:rFonts w:asciiTheme="minorHAnsi" w:hAnsiTheme="minorHAnsi"/>
          <w:b/>
          <w:bCs/>
          <w:color w:val="000000" w:themeColor="text1"/>
          <w:sz w:val="24"/>
          <w:szCs w:val="24"/>
        </w:rPr>
        <w:footnoteReference w:id="104"/>
      </w:r>
    </w:p>
    <w:p w14:paraId="18A5AB32"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26A559B5"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2-bis. All'articolo 1 della legge 30 dicembre 2018, n. 145, sono apportate le seguenti modificazioni:</w:t>
      </w:r>
    </w:p>
    <w:p w14:paraId="306F459A"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   a) al comma 140, dopo il primo periodo è aggiunto il seguente: «Per il contributo riferito all'anno 2022, il termine di cui al primo periodo è fissato al 15 febbraio 2022.»</w:t>
      </w:r>
    </w:p>
    <w:p w14:paraId="37CDFE69"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   b) al comma 141, è aggiunto, in fine, il seguente periodo: «Per il contributo riferito all'anno 2022, il termine di cui al primo periodo è prorogato al 28 febbraio 2022.»</w:t>
      </w:r>
      <w:r w:rsidRPr="00660EE5">
        <w:rPr>
          <w:rStyle w:val="Rimandonotaapidipagina"/>
          <w:rFonts w:asciiTheme="minorHAnsi" w:hAnsiTheme="minorHAnsi"/>
          <w:b/>
          <w:bCs/>
          <w:color w:val="000000" w:themeColor="text1"/>
          <w:sz w:val="24"/>
          <w:szCs w:val="24"/>
        </w:rPr>
        <w:footnoteReference w:id="105"/>
      </w:r>
    </w:p>
    <w:p w14:paraId="74A5D756" w14:textId="77777777" w:rsidR="00660EE5" w:rsidRPr="00660EE5" w:rsidRDefault="00660EE5" w:rsidP="00660EE5">
      <w:pPr>
        <w:spacing w:after="0" w:line="240" w:lineRule="auto"/>
        <w:jc w:val="center"/>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Art. 13-bis.</w:t>
      </w:r>
    </w:p>
    <w:p w14:paraId="1942EC3D" w14:textId="77777777" w:rsidR="00660EE5" w:rsidRPr="00660EE5" w:rsidRDefault="00660EE5" w:rsidP="00660EE5">
      <w:pPr>
        <w:spacing w:after="0" w:line="240" w:lineRule="auto"/>
        <w:jc w:val="center"/>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(Proroga dell'utilizzo delle risorse straordinarie connesse all'emergenza Covid-19)</w:t>
      </w:r>
    </w:p>
    <w:p w14:paraId="376DAC83" w14:textId="77777777" w:rsidR="00660EE5" w:rsidRPr="00660EE5" w:rsidRDefault="00660EE5" w:rsidP="00660EE5">
      <w:pPr>
        <w:spacing w:after="0" w:line="240" w:lineRule="auto"/>
        <w:rPr>
          <w:rFonts w:asciiTheme="minorHAnsi" w:hAnsiTheme="minorHAnsi"/>
          <w:b/>
          <w:bCs/>
          <w:color w:val="000000" w:themeColor="text1"/>
          <w:sz w:val="24"/>
          <w:szCs w:val="24"/>
        </w:rPr>
      </w:pPr>
    </w:p>
    <w:p w14:paraId="057FFAF4" w14:textId="0250E23C" w:rsid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1. Le variazioni di bilancio riguardanti le risorse trasferite agli enti locali che rientrano nelle certificazioni di cui all'articolo 1, comma 827, della legge 30 dicembre 2020, n. 178, e all'articolo 39, comma 2, del decreto-legge 14 agosto 2020, n. 104, convertito, con modificazioni, dalla legge 13 ottobre 2020, n. 126, possono essere deliberate sino al 31 dicembre 2021 con deliberazione dell'organo esecutivo, fatte salve in ogni caso le specifiche limitazioni di utilizzo previste dalle norme di riferimento.</w:t>
      </w:r>
      <w:r w:rsidRPr="00660EE5">
        <w:rPr>
          <w:rStyle w:val="Rimandonotaapidipagina"/>
          <w:rFonts w:asciiTheme="minorHAnsi" w:hAnsiTheme="minorHAnsi"/>
          <w:b/>
          <w:bCs/>
          <w:color w:val="000000" w:themeColor="text1"/>
          <w:sz w:val="24"/>
          <w:szCs w:val="24"/>
        </w:rPr>
        <w:footnoteReference w:id="106"/>
      </w:r>
    </w:p>
    <w:p w14:paraId="7403C01B" w14:textId="694A5857" w:rsidR="007837F5" w:rsidRDefault="007837F5" w:rsidP="00660EE5">
      <w:pPr>
        <w:spacing w:after="0" w:line="240" w:lineRule="auto"/>
        <w:jc w:val="both"/>
        <w:rPr>
          <w:rFonts w:asciiTheme="minorHAnsi" w:hAnsiTheme="minorHAnsi"/>
          <w:b/>
          <w:bCs/>
          <w:color w:val="000000" w:themeColor="text1"/>
          <w:sz w:val="24"/>
          <w:szCs w:val="24"/>
        </w:rPr>
      </w:pPr>
    </w:p>
    <w:p w14:paraId="0548CB27" w14:textId="77777777" w:rsidR="007837F5" w:rsidRPr="009B1906" w:rsidRDefault="007837F5" w:rsidP="007837F5">
      <w:pPr>
        <w:shd w:val="clear" w:color="auto" w:fill="FFFFFF"/>
        <w:spacing w:after="0" w:line="240" w:lineRule="auto"/>
        <w:jc w:val="center"/>
        <w:rPr>
          <w:rFonts w:eastAsia="Times New Roman" w:cs="Arial"/>
          <w:b/>
          <w:bCs/>
          <w:color w:val="000000" w:themeColor="text1"/>
          <w:sz w:val="24"/>
          <w:szCs w:val="24"/>
        </w:rPr>
      </w:pPr>
      <w:r w:rsidRPr="009B1906">
        <w:rPr>
          <w:rFonts w:eastAsia="Times New Roman" w:cs="Arial"/>
          <w:b/>
          <w:bCs/>
          <w:color w:val="000000" w:themeColor="text1"/>
          <w:sz w:val="24"/>
          <w:szCs w:val="24"/>
        </w:rPr>
        <w:t>Art. 13-</w:t>
      </w:r>
      <w:r w:rsidRPr="009B1906">
        <w:rPr>
          <w:rFonts w:eastAsia="Times New Roman" w:cs="Arial"/>
          <w:b/>
          <w:bCs/>
          <w:i/>
          <w:iCs/>
          <w:color w:val="000000" w:themeColor="text1"/>
          <w:sz w:val="24"/>
          <w:szCs w:val="24"/>
        </w:rPr>
        <w:t>bis.</w:t>
      </w:r>
      <w:r w:rsidRPr="009B1906">
        <w:rPr>
          <w:rFonts w:eastAsia="Times New Roman" w:cs="Arial"/>
          <w:b/>
          <w:bCs/>
          <w:color w:val="000000" w:themeColor="text1"/>
          <w:sz w:val="24"/>
          <w:szCs w:val="24"/>
        </w:rPr>
        <w:br/>
      </w:r>
      <w:r w:rsidRPr="009B1906">
        <w:rPr>
          <w:rFonts w:eastAsia="Times New Roman" w:cs="Arial"/>
          <w:b/>
          <w:bCs/>
          <w:i/>
          <w:iCs/>
          <w:color w:val="000000" w:themeColor="text1"/>
          <w:sz w:val="24"/>
          <w:szCs w:val="24"/>
        </w:rPr>
        <w:t>(Disposizioni in materia di protezione civile nelle isole minori)</w:t>
      </w:r>
    </w:p>
    <w:p w14:paraId="54A65715" w14:textId="77777777" w:rsidR="007837F5" w:rsidRDefault="007837F5" w:rsidP="007837F5">
      <w:pPr>
        <w:shd w:val="clear" w:color="auto" w:fill="FFFFFF"/>
        <w:spacing w:after="0" w:line="240" w:lineRule="auto"/>
        <w:rPr>
          <w:rFonts w:eastAsia="Times New Roman" w:cs="Arial"/>
          <w:color w:val="000000" w:themeColor="text1"/>
          <w:sz w:val="24"/>
          <w:szCs w:val="24"/>
        </w:rPr>
      </w:pPr>
      <w:r w:rsidRPr="00155015">
        <w:rPr>
          <w:rFonts w:eastAsia="Times New Roman" w:cs="Arial"/>
          <w:color w:val="000000" w:themeColor="text1"/>
          <w:sz w:val="24"/>
          <w:szCs w:val="24"/>
        </w:rPr>
        <w:t> </w:t>
      </w:r>
      <w:r w:rsidRPr="00155015">
        <w:rPr>
          <w:rFonts w:eastAsia="Times New Roman" w:cs="Arial"/>
          <w:color w:val="000000" w:themeColor="text1"/>
          <w:sz w:val="24"/>
          <w:szCs w:val="24"/>
        </w:rPr>
        <w:t> </w:t>
      </w:r>
    </w:p>
    <w:p w14:paraId="0C679826" w14:textId="77777777" w:rsidR="007837F5" w:rsidRDefault="007837F5" w:rsidP="007837F5">
      <w:pPr>
        <w:shd w:val="clear" w:color="auto" w:fill="FFFFFF"/>
        <w:spacing w:after="0" w:line="240" w:lineRule="auto"/>
        <w:jc w:val="both"/>
        <w:rPr>
          <w:rFonts w:eastAsia="Times New Roman" w:cs="Arial"/>
          <w:b/>
          <w:bCs/>
          <w:color w:val="000000" w:themeColor="text1"/>
          <w:sz w:val="24"/>
          <w:szCs w:val="24"/>
        </w:rPr>
      </w:pPr>
      <w:r w:rsidRPr="00332D91">
        <w:rPr>
          <w:rFonts w:eastAsia="Times New Roman" w:cs="Arial"/>
          <w:b/>
          <w:bCs/>
          <w:color w:val="000000" w:themeColor="text1"/>
          <w:sz w:val="24"/>
          <w:szCs w:val="24"/>
        </w:rPr>
        <w:t xml:space="preserve">1. Fermo restando quanto previsto dal codice della protezione civile, di cui al decreto legislativo 2 gennaio 2018, n. 1, per l'esercizio delle funzioni ad essi spettanti in qualità di autorità territoriale di protezione civile ai sensi dell'articolo 6 del citato decreto legislativo n. 1 del 2018, i sindaci dei comuni delle isole minori sul cui territorio abbiano sede uno o più comuni possono, anche congiuntamente in forma intercomunale, istituire un apposito organismo consultivo per l'esercizio delle attribuzioni di cui al citato articolo 6. I sindaci, nell'ambito dell'organismo consultivo, possono designare i rappresentanti delle rispettive amministrazioni e possono essere supportati nelle attività di cui al presente comma da soggetti dotati di competenze scientifiche tecniche e amministrative dirette alla identificazione degli scenari di rischio connessi con i rispettivi territori. Ai componenti dei </w:t>
      </w:r>
      <w:proofErr w:type="gramStart"/>
      <w:r w:rsidRPr="00332D91">
        <w:rPr>
          <w:rFonts w:eastAsia="Times New Roman" w:cs="Arial"/>
          <w:b/>
          <w:bCs/>
          <w:color w:val="000000" w:themeColor="text1"/>
          <w:sz w:val="24"/>
          <w:szCs w:val="24"/>
        </w:rPr>
        <w:t>predetti</w:t>
      </w:r>
      <w:proofErr w:type="gramEnd"/>
      <w:r w:rsidRPr="00332D91">
        <w:rPr>
          <w:rFonts w:eastAsia="Times New Roman" w:cs="Arial"/>
          <w:b/>
          <w:bCs/>
          <w:color w:val="000000" w:themeColor="text1"/>
          <w:sz w:val="24"/>
          <w:szCs w:val="24"/>
        </w:rPr>
        <w:t xml:space="preserve"> organismi non spetta </w:t>
      </w:r>
      <w:r w:rsidRPr="00332D91">
        <w:rPr>
          <w:rFonts w:eastAsia="Times New Roman" w:cs="Arial"/>
          <w:b/>
          <w:bCs/>
          <w:color w:val="000000" w:themeColor="text1"/>
          <w:sz w:val="24"/>
          <w:szCs w:val="24"/>
        </w:rPr>
        <w:lastRenderedPageBreak/>
        <w:t>alcun compenso, indennità, gettone di presenza, rimborso spese o altro emolumento comunque denominato.</w:t>
      </w:r>
    </w:p>
    <w:p w14:paraId="7D44A345" w14:textId="77777777" w:rsidR="007837F5" w:rsidRPr="00332D91" w:rsidRDefault="007837F5" w:rsidP="007837F5">
      <w:pPr>
        <w:shd w:val="clear" w:color="auto" w:fill="FFFFFF"/>
        <w:spacing w:after="0" w:line="240" w:lineRule="auto"/>
        <w:jc w:val="both"/>
        <w:rPr>
          <w:rFonts w:eastAsia="Times New Roman" w:cs="Arial"/>
          <w:b/>
          <w:bCs/>
          <w:color w:val="000000" w:themeColor="text1"/>
          <w:sz w:val="24"/>
          <w:szCs w:val="24"/>
        </w:rPr>
      </w:pPr>
      <w:r w:rsidRPr="00332D91">
        <w:rPr>
          <w:rFonts w:eastAsia="Times New Roman" w:cs="Arial"/>
          <w:b/>
          <w:bCs/>
          <w:color w:val="000000" w:themeColor="text1"/>
          <w:sz w:val="24"/>
          <w:szCs w:val="24"/>
        </w:rPr>
        <w:t> </w:t>
      </w:r>
      <w:r w:rsidRPr="00332D91">
        <w:rPr>
          <w:rFonts w:eastAsia="Times New Roman" w:cs="Arial"/>
          <w:b/>
          <w:bCs/>
          <w:color w:val="000000" w:themeColor="text1"/>
          <w:sz w:val="24"/>
          <w:szCs w:val="24"/>
        </w:rPr>
        <w:t> </w:t>
      </w:r>
    </w:p>
    <w:p w14:paraId="4D389A7B" w14:textId="77777777" w:rsidR="007837F5" w:rsidRDefault="007837F5" w:rsidP="007837F5">
      <w:pPr>
        <w:shd w:val="clear" w:color="auto" w:fill="FFFFFF"/>
        <w:spacing w:after="0" w:line="240" w:lineRule="auto"/>
        <w:jc w:val="both"/>
        <w:rPr>
          <w:rFonts w:eastAsia="Times New Roman" w:cs="Arial"/>
          <w:b/>
          <w:bCs/>
          <w:color w:val="000000" w:themeColor="text1"/>
          <w:sz w:val="24"/>
          <w:szCs w:val="24"/>
        </w:rPr>
      </w:pPr>
      <w:r w:rsidRPr="00332D91">
        <w:rPr>
          <w:rFonts w:eastAsia="Times New Roman" w:cs="Arial"/>
          <w:b/>
          <w:bCs/>
          <w:color w:val="000000" w:themeColor="text1"/>
          <w:sz w:val="24"/>
          <w:szCs w:val="24"/>
        </w:rPr>
        <w:t>2. Per favorire il tempestivo intervento in vista o in occasione degli eventi emergenziali di cui all'articolo 7 del citato decreto legislativo n. 1 del 2018 i comuni delle isole minori possono prevedere la costituzione di un fondo per le attività di protezione civile di competenza comunale di cui all'articolo 2 del medesimo decreto legislativo.</w:t>
      </w:r>
    </w:p>
    <w:p w14:paraId="0F8B49D0" w14:textId="77777777" w:rsidR="007837F5" w:rsidRPr="00332D91" w:rsidRDefault="007837F5" w:rsidP="007837F5">
      <w:pPr>
        <w:shd w:val="clear" w:color="auto" w:fill="FFFFFF"/>
        <w:spacing w:after="0" w:line="240" w:lineRule="auto"/>
        <w:jc w:val="both"/>
        <w:rPr>
          <w:rFonts w:eastAsia="Times New Roman" w:cs="Arial"/>
          <w:b/>
          <w:bCs/>
          <w:color w:val="000000" w:themeColor="text1"/>
          <w:sz w:val="24"/>
          <w:szCs w:val="24"/>
        </w:rPr>
      </w:pPr>
      <w:r w:rsidRPr="00332D91">
        <w:rPr>
          <w:rFonts w:eastAsia="Times New Roman" w:cs="Arial"/>
          <w:b/>
          <w:bCs/>
          <w:color w:val="000000" w:themeColor="text1"/>
          <w:sz w:val="24"/>
          <w:szCs w:val="24"/>
        </w:rPr>
        <w:t> </w:t>
      </w:r>
      <w:r w:rsidRPr="00332D91">
        <w:rPr>
          <w:rFonts w:eastAsia="Times New Roman" w:cs="Arial"/>
          <w:b/>
          <w:bCs/>
          <w:color w:val="000000" w:themeColor="text1"/>
          <w:sz w:val="24"/>
          <w:szCs w:val="24"/>
        </w:rPr>
        <w:t> </w:t>
      </w:r>
    </w:p>
    <w:p w14:paraId="6D9B5DF7" w14:textId="77777777" w:rsidR="007837F5" w:rsidRDefault="007837F5" w:rsidP="007837F5">
      <w:pPr>
        <w:shd w:val="clear" w:color="auto" w:fill="FFFFFF"/>
        <w:spacing w:after="0" w:line="240" w:lineRule="auto"/>
        <w:jc w:val="both"/>
        <w:rPr>
          <w:rFonts w:eastAsia="Times New Roman" w:cs="Arial"/>
          <w:b/>
          <w:bCs/>
          <w:color w:val="000000" w:themeColor="text1"/>
          <w:sz w:val="24"/>
          <w:szCs w:val="24"/>
        </w:rPr>
      </w:pPr>
      <w:r w:rsidRPr="00332D91">
        <w:rPr>
          <w:rFonts w:eastAsia="Times New Roman" w:cs="Arial"/>
          <w:b/>
          <w:bCs/>
          <w:color w:val="000000" w:themeColor="text1"/>
          <w:sz w:val="24"/>
          <w:szCs w:val="24"/>
        </w:rPr>
        <w:t>3. Entro 180 giorni dalla data di entrata in vigore della legge di conversione del presente decreto-legge, i comuni delle isole minori che non vi abbiano ancora provveduto predispongono il piano di protezione civile, con il supporto della regione competente.</w:t>
      </w:r>
    </w:p>
    <w:p w14:paraId="7C70CFC7" w14:textId="77777777" w:rsidR="007837F5" w:rsidRPr="00332D91" w:rsidRDefault="007837F5" w:rsidP="007837F5">
      <w:pPr>
        <w:shd w:val="clear" w:color="auto" w:fill="FFFFFF"/>
        <w:spacing w:after="0" w:line="240" w:lineRule="auto"/>
        <w:jc w:val="both"/>
        <w:rPr>
          <w:rFonts w:eastAsia="Times New Roman" w:cs="Arial"/>
          <w:b/>
          <w:bCs/>
          <w:color w:val="000000" w:themeColor="text1"/>
          <w:sz w:val="24"/>
          <w:szCs w:val="24"/>
        </w:rPr>
      </w:pPr>
      <w:r w:rsidRPr="00332D91">
        <w:rPr>
          <w:rFonts w:eastAsia="Times New Roman" w:cs="Arial"/>
          <w:b/>
          <w:bCs/>
          <w:color w:val="000000" w:themeColor="text1"/>
          <w:sz w:val="24"/>
          <w:szCs w:val="24"/>
        </w:rPr>
        <w:t> </w:t>
      </w:r>
      <w:r w:rsidRPr="00332D91">
        <w:rPr>
          <w:rFonts w:eastAsia="Times New Roman" w:cs="Arial"/>
          <w:b/>
          <w:bCs/>
          <w:color w:val="000000" w:themeColor="text1"/>
          <w:sz w:val="24"/>
          <w:szCs w:val="24"/>
        </w:rPr>
        <w:t> </w:t>
      </w:r>
    </w:p>
    <w:p w14:paraId="0EDFF9A9" w14:textId="77777777" w:rsidR="007837F5" w:rsidRDefault="007837F5" w:rsidP="007837F5">
      <w:pPr>
        <w:shd w:val="clear" w:color="auto" w:fill="FFFFFF"/>
        <w:spacing w:after="0" w:line="240" w:lineRule="auto"/>
        <w:jc w:val="both"/>
        <w:rPr>
          <w:rFonts w:eastAsia="Times New Roman" w:cs="Arial"/>
          <w:b/>
          <w:bCs/>
          <w:color w:val="000000" w:themeColor="text1"/>
          <w:sz w:val="24"/>
          <w:szCs w:val="24"/>
        </w:rPr>
      </w:pPr>
      <w:r w:rsidRPr="00332D91">
        <w:rPr>
          <w:rFonts w:eastAsia="Times New Roman" w:cs="Arial"/>
          <w:b/>
          <w:bCs/>
          <w:color w:val="000000" w:themeColor="text1"/>
          <w:sz w:val="24"/>
          <w:szCs w:val="24"/>
        </w:rPr>
        <w:t>4. I comuni provvedono alle attività di cui al presente articolo e all'eventuale costituzione del fondo di cui al comma 2 nell'ambito delle risorse umane, finanziarie e strumentali disponibili a legislazione vigente nei rispettivi bilanci.</w:t>
      </w:r>
    </w:p>
    <w:p w14:paraId="41797F51" w14:textId="77777777" w:rsidR="007837F5" w:rsidRPr="00332D91" w:rsidRDefault="007837F5" w:rsidP="007837F5">
      <w:pPr>
        <w:shd w:val="clear" w:color="auto" w:fill="FFFFFF"/>
        <w:spacing w:after="0" w:line="240" w:lineRule="auto"/>
        <w:jc w:val="both"/>
        <w:rPr>
          <w:rFonts w:eastAsia="Times New Roman" w:cs="Arial"/>
          <w:b/>
          <w:bCs/>
          <w:color w:val="000000" w:themeColor="text1"/>
          <w:sz w:val="24"/>
          <w:szCs w:val="24"/>
        </w:rPr>
      </w:pPr>
      <w:r w:rsidRPr="00332D91">
        <w:rPr>
          <w:rFonts w:eastAsia="Times New Roman" w:cs="Arial"/>
          <w:b/>
          <w:bCs/>
          <w:color w:val="000000" w:themeColor="text1"/>
          <w:sz w:val="24"/>
          <w:szCs w:val="24"/>
        </w:rPr>
        <w:t> </w:t>
      </w:r>
      <w:r w:rsidRPr="00332D91">
        <w:rPr>
          <w:rFonts w:eastAsia="Times New Roman" w:cs="Arial"/>
          <w:b/>
          <w:bCs/>
          <w:color w:val="000000" w:themeColor="text1"/>
          <w:sz w:val="24"/>
          <w:szCs w:val="24"/>
        </w:rPr>
        <w:t> </w:t>
      </w:r>
    </w:p>
    <w:p w14:paraId="6D1625BB" w14:textId="77777777" w:rsidR="007837F5" w:rsidRDefault="007837F5" w:rsidP="007837F5">
      <w:pPr>
        <w:shd w:val="clear" w:color="auto" w:fill="FFFFFF"/>
        <w:spacing w:after="0" w:line="240" w:lineRule="auto"/>
        <w:jc w:val="both"/>
        <w:rPr>
          <w:rFonts w:eastAsia="Times New Roman" w:cs="Arial"/>
          <w:b/>
          <w:bCs/>
          <w:color w:val="000000" w:themeColor="text1"/>
          <w:sz w:val="24"/>
          <w:szCs w:val="24"/>
        </w:rPr>
      </w:pPr>
      <w:r w:rsidRPr="00332D91">
        <w:rPr>
          <w:rFonts w:eastAsia="Times New Roman" w:cs="Arial"/>
          <w:b/>
          <w:bCs/>
          <w:color w:val="000000" w:themeColor="text1"/>
          <w:sz w:val="24"/>
          <w:szCs w:val="24"/>
        </w:rPr>
        <w:t>5. I sindaci dei comuni delle isole minori, il cui territorio ricade in ambiti interessati dal rischio vulcanico, sentite le Autorità di Protezione Civile nazionale e regionale e le locali Autorità marittime, in caso di crisi vulcaniche possono regolamentare ovvero contingentare l'accesso alle stesse, al fine di assicurare le condizioni di sicurezza dei cittadini, anche in riferimento alle capacità di accoglienza delle isole e dei rispettivi ambiti portuali.</w:t>
      </w:r>
    </w:p>
    <w:p w14:paraId="06FA508E" w14:textId="77777777" w:rsidR="007837F5" w:rsidRDefault="007837F5" w:rsidP="007837F5">
      <w:pPr>
        <w:shd w:val="clear" w:color="auto" w:fill="FFFFFF"/>
        <w:spacing w:after="0" w:line="240" w:lineRule="auto"/>
        <w:jc w:val="both"/>
        <w:rPr>
          <w:rFonts w:eastAsia="Times New Roman" w:cs="Arial"/>
          <w:b/>
          <w:bCs/>
          <w:color w:val="000000" w:themeColor="text1"/>
          <w:sz w:val="24"/>
          <w:szCs w:val="24"/>
        </w:rPr>
      </w:pPr>
      <w:r w:rsidRPr="00332D91">
        <w:rPr>
          <w:rFonts w:eastAsia="Times New Roman" w:cs="Arial"/>
          <w:b/>
          <w:bCs/>
          <w:color w:val="000000" w:themeColor="text1"/>
          <w:sz w:val="24"/>
          <w:szCs w:val="24"/>
        </w:rPr>
        <w:t> </w:t>
      </w:r>
      <w:r w:rsidRPr="00332D91">
        <w:rPr>
          <w:rFonts w:eastAsia="Times New Roman" w:cs="Arial"/>
          <w:b/>
          <w:bCs/>
          <w:color w:val="000000" w:themeColor="text1"/>
          <w:sz w:val="24"/>
          <w:szCs w:val="24"/>
        </w:rPr>
        <w:t> </w:t>
      </w:r>
    </w:p>
    <w:p w14:paraId="05B278F0" w14:textId="4BF102F8" w:rsidR="007837F5" w:rsidRDefault="007837F5" w:rsidP="007837F5">
      <w:pPr>
        <w:shd w:val="clear" w:color="auto" w:fill="FFFFFF"/>
        <w:spacing w:after="0" w:line="240" w:lineRule="auto"/>
        <w:jc w:val="both"/>
        <w:rPr>
          <w:rFonts w:eastAsia="Times New Roman" w:cs="Arial"/>
          <w:b/>
          <w:bCs/>
          <w:color w:val="000000" w:themeColor="text1"/>
          <w:sz w:val="24"/>
          <w:szCs w:val="24"/>
        </w:rPr>
      </w:pPr>
      <w:r w:rsidRPr="00332D91">
        <w:rPr>
          <w:rFonts w:eastAsia="Times New Roman" w:cs="Arial"/>
          <w:b/>
          <w:bCs/>
          <w:color w:val="000000" w:themeColor="text1"/>
          <w:sz w:val="24"/>
          <w:szCs w:val="24"/>
        </w:rPr>
        <w:t>6. All'attuazione delle disposizioni di cui al presente articolo si provvede nei limiti delle risorse umane, strumentali e finanziarie disponibili a legislazione vigente e comunque senza nuovi o maggiori oneri a carico della finanza pubblica.</w:t>
      </w:r>
      <w:r>
        <w:rPr>
          <w:rStyle w:val="Rimandonotaapidipagina"/>
          <w:rFonts w:eastAsia="Times New Roman" w:cs="Arial"/>
          <w:b/>
          <w:bCs/>
          <w:color w:val="000000" w:themeColor="text1"/>
          <w:sz w:val="24"/>
          <w:szCs w:val="24"/>
        </w:rPr>
        <w:footnoteReference w:id="107"/>
      </w:r>
    </w:p>
    <w:p w14:paraId="20F9791B"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1DA7BA48"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Articolo 14.</w:t>
      </w:r>
    </w:p>
    <w:p w14:paraId="46A21BD8"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(Cabina di regia edilizia scolastica)</w:t>
      </w:r>
    </w:p>
    <w:p w14:paraId="54131671"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7B50D93E"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1. All'articolo 1, comma 61, della legge 27 dicembre 2019, n. 160, al quinto periodo, dopo le parole «Ministero dell'istruzione, dell'università e della ricerca», sono inserite le seguenti: «, dell'Autorità politica delegata per le politiche di coesione».</w:t>
      </w:r>
    </w:p>
    <w:p w14:paraId="67AB2AD0"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2C96612E"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Articolo 15.</w:t>
      </w:r>
    </w:p>
    <w:p w14:paraId="201ADF9B"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(Disposizioni urgenti in materia di perequazione infrastrutturale)</w:t>
      </w:r>
    </w:p>
    <w:p w14:paraId="4200F222"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3955DE5D"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1. All'articolo 22 della legge 5 maggio 2009, n. 42, i commi da 1 a 1-sexies sono sostituiti dai seguenti:</w:t>
      </w:r>
    </w:p>
    <w:p w14:paraId="2E4071B9"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lastRenderedPageBreak/>
        <w:t xml:space="preserve">   «1. Al fine di assicurare il recupero del divario infrastrutturale tra le diverse aree geografiche del territorio nazionale, anche infra-regionali, nonché di garantire analoghi livelli essenziali di infrastrutturazione e dei servizi a essi connessi, entro e non oltre il 30 novembre 2021 il Ministero delle infrastrutture e della mobilità sostenibili, sentite le amministrazioni competenti, le strutture tecniche del Ministro per il sud e la coesione territoriale, effettua, limitatamente alle infrastrutture statali, la ricognizione del numero e della classificazione funzionale delle strutture sanitarie, assistenziali e scolastiche, nonché del numero e dell'estensione, con indicazione della relativa classificazione funzionale, delle infrastrutture stradali, autostradali, ferroviarie, portuali, aeroportuali, idriche. Le regioni e le province autonome di Trento e di Bolzano, nonché gli enti locali e gli altri soggetti pubblici e privati competenti, anche avvalendosi del supporto tecnico-amministrativo dell'Agenzia per la coesione territoriale, provvedono alla ricognizione delle infrastrutture di cui al primo periodo non di competenza statale. La ricognizione effettuata dagli enti locali e dagli altri soggetti pubblici e privati è trasmessa alle regioni e alle province autonome di Trento e di Bolzano entro il 30 novembre 2021 che la trasmettono, unitamente a quella di propria competenza, nei successivi cinque giorni, alla Conferenza delle regioni e delle province autonome </w:t>
      </w:r>
      <w:r w:rsidRPr="00660EE5">
        <w:rPr>
          <w:rFonts w:asciiTheme="minorHAnsi" w:hAnsiTheme="minorHAnsi"/>
          <w:b/>
          <w:bCs/>
          <w:color w:val="000000" w:themeColor="text1"/>
          <w:sz w:val="24"/>
          <w:szCs w:val="24"/>
        </w:rPr>
        <w:t>e all'Agenzia per la coesione territoriale</w:t>
      </w:r>
      <w:r w:rsidRPr="00660EE5">
        <w:rPr>
          <w:rStyle w:val="Rimandonotaapidipagina"/>
          <w:rFonts w:asciiTheme="minorHAnsi" w:hAnsiTheme="minorHAnsi"/>
          <w:b/>
          <w:bCs/>
          <w:color w:val="000000" w:themeColor="text1"/>
          <w:sz w:val="24"/>
          <w:szCs w:val="24"/>
        </w:rPr>
        <w:footnoteReference w:id="108"/>
      </w:r>
      <w:r w:rsidRPr="00660EE5">
        <w:rPr>
          <w:rFonts w:asciiTheme="minorHAnsi" w:hAnsiTheme="minorHAnsi"/>
          <w:color w:val="000000" w:themeColor="text1"/>
          <w:sz w:val="24"/>
          <w:szCs w:val="24"/>
        </w:rPr>
        <w:t>. Questa predispone il documento di ricognizione conclusivo da comunicare, entro e non oltre il 31 dicembre 2021, al Dipartimento per gli affari regionali e le autonomie della Presidenza del Consiglio dei ministri.</w:t>
      </w:r>
    </w:p>
    <w:p w14:paraId="79579B2C"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      1-bis. All'esito della ricognizione di cui al comma 1, con decreto del Presidente del Consiglio dei ministri, sentiti i Ministri delle infrastrutture e della mobilità sostenibili, per gli affari regionali e le autonomie, dell'economia e delle finanze, e per il Sud e la coesione territoriale, previa intesa in sede di Conferenza unificata di cui all'articolo 8 del decreto legislativo 28 agosto 1997, n. 281, da adottarsi entro il 31 marzo 2022, sono stabiliti i criteri di priorità e le azioni da perseguire per il recupero del divario infrastrutturale e di sviluppo risultante dalla ricognizione predetta, avuto riguardo alle carenze infrastrutturali, anche con riferimento agli aspetti prestazionali e qualitativi, sussistenti in ciascun territorio, con particolare attenzione alle aree che risentono di maggiori criticità nei collegamenti infrastrutturali con le reti su gomma e su ferro di carattere e valenza nazionale della dotazione infrastrutturale di ciascun territorio, all'estensione delle superfici territoriali e alla specificità insulare e delle zone di montagna e delle aree interne, nonché dei territori del Mezzogiorno, alla densità della popolazione e delle unità produttive, e si individuano i Ministeri competenti e la quota di finanziamento con ripartizione annuale, tenuto conto di quanto già previsto dal PNRR e dal Piano complementare di cui al decreto-legge 6 maggio 2021, n. 59, a valere sulle risorse del fondo cui al comma 1-ter. I criteri di priorità per la specificità insulare devono tener conto di quanto previsto dall'articolo 1, comma 690, della legge 30 dicembre 2020, n. 178, e degli esiti del tavolo tecnico-politico sui costi dell'insularità di cui al punto 10 dell'accordo in materia di finanza pubblica fra lo Stato e la regione Sardegna del 7 novembre 2019, purché sia comunque assicurato il rispetto dei termini previsti dal presente articolo.</w:t>
      </w:r>
    </w:p>
    <w:p w14:paraId="30E8E670"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lastRenderedPageBreak/>
        <w:t xml:space="preserve">        1-ter. Per il finanziamento degli interventi di cui al comma 1-quater, nello stato di previsione del Ministero dell'economia e delle finanze è istituito il "Fondo perequativo infrastrutturale" con una dotazione complessiva di 4.600 milioni di euro per gli anni dal 2022 al 2033, di cui 100 milioni di euro per l'anno 2022, 300 milioni di euro annui per ciascuno degli anni dal 2023 al 2027, 500 milioni di euro annui per ciascuno degli anni dal 2028 al 2033. Al </w:t>
      </w:r>
      <w:proofErr w:type="gramStart"/>
      <w:r w:rsidRPr="00660EE5">
        <w:rPr>
          <w:rFonts w:asciiTheme="minorHAnsi" w:hAnsiTheme="minorHAnsi"/>
          <w:color w:val="000000" w:themeColor="text1"/>
          <w:sz w:val="24"/>
          <w:szCs w:val="24"/>
        </w:rPr>
        <w:t>predetto</w:t>
      </w:r>
      <w:proofErr w:type="gramEnd"/>
      <w:r w:rsidRPr="00660EE5">
        <w:rPr>
          <w:rFonts w:asciiTheme="minorHAnsi" w:hAnsiTheme="minorHAnsi"/>
          <w:color w:val="000000" w:themeColor="text1"/>
          <w:sz w:val="24"/>
          <w:szCs w:val="24"/>
        </w:rPr>
        <w:t xml:space="preserve"> Fondo non si applica l'articolo 7-bis del decreto-legge 29 dicembre 2016, n. 243, convertito, con modificazioni, dalla legge 27 febbraio 2017, n. 18. Il Dipartimento per gli affari regionali e le autonomie della Presidenza del Consiglio dei ministri per il supporto tecnico-operativo alle attività di competenza, può stipulare apposita convenzione ai sensi degli articoli 5 e 192 del decreto legislativo 18 aprile 2016, n. 50, nel limite massimo di 200.000 euro per l'anno 2021.   </w:t>
      </w:r>
    </w:p>
    <w:p w14:paraId="71DD2F7A"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       1-quater. Entro trenta giorni dal decreto di cui al comma 1-bis, ciascun Ministero competente, assegnatario delle risorse di cui al comma 1-bis individua, anche sulla base di una proposta non vincolante della Conferenza delle regioni e delle province autonome, in un apposito Piano da adottare con decreto del Ministro competente d'intesa con il Ministro dell'economia e delle finanze, previa intesa, ai sensi dell'articolo 3 del decreto legislativo 28 agosto 1997, n. 281, in sede di Conferenza permanente per i rapporti tra lo Stato, le regioni e le province autonome di Trento e di Bolzano, gli interventi da realizzare, che non devono essere già oggetto di integrale finanziamento a valere su altri fondi nazionali o comunitari, l'importo del relativo finanziamento, i soggetti attuatori, in relazione al tipo e alla localizzazione dell'intervento, il cronoprogramma della spesa, con indicazione delle risorse annuali necessarie per la loro realizzazione, nonché le modalità di revoca e di eventuale riassegnazione delle risorse in caso di mancato avvio nei termini previsti dell'opera da finanziare. Gli interventi devono essere corredati, ai sensi dell'articolo 11, comma 2-bis, della legge 16 gennaio 2003, n. 3, del Codice unico di progetto. Il Piano di cui al primo periodo è comunicato alla Conferenza unificata di cui all'articolo 8 del decreto legislativo 28 agosto 1997, n. 281. </w:t>
      </w:r>
    </w:p>
    <w:p w14:paraId="4D733E86"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       1-quinquies. Il monitoraggio della realizzazione degli interventi finanziati di cui al comma 1-quater è effettuato attraverso il sistema di cui al decreto legislativo 29 dicembre 2011, n. 229, classificando gli interventi sotto la voce "Interventi per il recupero del divario infrastrutturale legge di bilancio 2021.”.  </w:t>
      </w:r>
    </w:p>
    <w:p w14:paraId="59328766" w14:textId="25F42713" w:rsid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      1-sexies. Agli oneri derivanti </w:t>
      </w:r>
      <w:r w:rsidRPr="007837F5">
        <w:rPr>
          <w:rFonts w:asciiTheme="minorHAnsi" w:hAnsiTheme="minorHAnsi"/>
          <w:strike/>
          <w:color w:val="000000" w:themeColor="text1"/>
          <w:sz w:val="24"/>
          <w:szCs w:val="24"/>
          <w:highlight w:val="yellow"/>
        </w:rPr>
        <w:t>dal comma 1-ter</w:t>
      </w:r>
      <w:r w:rsidR="007837F5">
        <w:rPr>
          <w:rFonts w:asciiTheme="minorHAnsi" w:hAnsiTheme="minorHAnsi"/>
          <w:color w:val="000000" w:themeColor="text1"/>
          <w:sz w:val="24"/>
          <w:szCs w:val="24"/>
        </w:rPr>
        <w:t xml:space="preserve"> </w:t>
      </w:r>
      <w:r w:rsidR="007837F5" w:rsidRPr="007837F5">
        <w:rPr>
          <w:rFonts w:eastAsia="Times New Roman" w:cs="Arial"/>
          <w:b/>
          <w:bCs/>
          <w:color w:val="000000" w:themeColor="text1"/>
          <w:sz w:val="24"/>
          <w:szCs w:val="24"/>
        </w:rPr>
        <w:t>dal terzo periodo del comma 1-</w:t>
      </w:r>
      <w:r w:rsidR="007837F5" w:rsidRPr="007837F5">
        <w:rPr>
          <w:rFonts w:eastAsia="Times New Roman" w:cs="Arial"/>
          <w:b/>
          <w:bCs/>
          <w:i/>
          <w:iCs/>
          <w:color w:val="000000" w:themeColor="text1"/>
          <w:sz w:val="24"/>
          <w:szCs w:val="24"/>
        </w:rPr>
        <w:t>ter</w:t>
      </w:r>
      <w:r w:rsidR="007837F5">
        <w:rPr>
          <w:rStyle w:val="Rimandonotaapidipagina"/>
          <w:rFonts w:eastAsia="Times New Roman" w:cs="Arial"/>
          <w:b/>
          <w:bCs/>
          <w:i/>
          <w:iCs/>
          <w:color w:val="000000" w:themeColor="text1"/>
          <w:sz w:val="24"/>
          <w:szCs w:val="24"/>
        </w:rPr>
        <w:footnoteReference w:id="109"/>
      </w:r>
      <w:r w:rsidR="007837F5">
        <w:rPr>
          <w:rFonts w:eastAsia="Times New Roman" w:cs="Arial"/>
          <w:b/>
          <w:bCs/>
          <w:i/>
          <w:iCs/>
          <w:color w:val="000000" w:themeColor="text1"/>
          <w:sz w:val="24"/>
          <w:szCs w:val="24"/>
        </w:rPr>
        <w:t xml:space="preserve">, </w:t>
      </w:r>
      <w:r w:rsidRPr="00660EE5">
        <w:rPr>
          <w:rFonts w:asciiTheme="minorHAnsi" w:hAnsiTheme="minorHAnsi"/>
          <w:color w:val="000000" w:themeColor="text1"/>
          <w:sz w:val="24"/>
          <w:szCs w:val="24"/>
        </w:rPr>
        <w:t xml:space="preserve"> pari a 200.000 euro per l'anno 2021, si provvede mediante corrispondente riduzione del Fondo di cui all'articolo 1, comma 200, della legge 23 dicembre 2014, n. 190.».</w:t>
      </w:r>
    </w:p>
    <w:p w14:paraId="02814367"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340376BF"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Articolo 16.</w:t>
      </w:r>
    </w:p>
    <w:p w14:paraId="03EF5D4D"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(Disposizioni urgenti in materia di Commissari straordinari)</w:t>
      </w:r>
    </w:p>
    <w:p w14:paraId="10DB0A46"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3E25D4DB"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1. All'articolo 1, comma 1, del decreto-legge 28 settembre 2018, n. 109, convertito, con modificazioni, dalla legge 16 novembre 2018, n. 130, all'ultimo periodo, le parole «per non oltre un triennio dalla prima nomina» sono sostituite dalle seguenti: «non oltre la data del 31 dicembre 2024».</w:t>
      </w:r>
    </w:p>
    <w:p w14:paraId="4C639C97"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247B2E30"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lastRenderedPageBreak/>
        <w:t>2. Agli oneri derivanti dal comma 1, pari a 375.000 euro per l'anno 2021 e a 1.500.000 euro per ciascuno degli anni dal 2022 al 2024, si provvede:</w:t>
      </w:r>
    </w:p>
    <w:p w14:paraId="24A7BF68" w14:textId="647A7E9C"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   a) quanto a 375.000 euro per l'anno 2021 e a 1.500.000 euro per ciascuno degli anni 2023 e 2024,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delle infrastrutture e dei trasporti</w:t>
      </w:r>
      <w:r w:rsidR="004F10BE">
        <w:rPr>
          <w:rFonts w:asciiTheme="minorHAnsi" w:hAnsiTheme="minorHAnsi"/>
          <w:color w:val="000000" w:themeColor="text1"/>
          <w:sz w:val="24"/>
          <w:szCs w:val="24"/>
        </w:rPr>
        <w:t xml:space="preserve">. </w:t>
      </w:r>
      <w:r w:rsidR="004F10BE" w:rsidRPr="004F10BE">
        <w:rPr>
          <w:rFonts w:asciiTheme="minorHAnsi" w:hAnsiTheme="minorHAnsi"/>
          <w:b/>
          <w:bCs/>
          <w:color w:val="000000" w:themeColor="text1"/>
          <w:sz w:val="24"/>
          <w:szCs w:val="24"/>
        </w:rPr>
        <w:t>Il Ministro dell'economia e delle finanze è autorizzato ad apportare, con propri decreti, le occorrenti variazioni di bilancio</w:t>
      </w:r>
      <w:r w:rsidR="0097079E">
        <w:rPr>
          <w:rStyle w:val="Rimandonotaapidipagina"/>
          <w:rFonts w:asciiTheme="minorHAnsi" w:hAnsiTheme="minorHAnsi"/>
          <w:b/>
          <w:bCs/>
          <w:color w:val="000000" w:themeColor="text1"/>
          <w:sz w:val="24"/>
          <w:szCs w:val="24"/>
        </w:rPr>
        <w:footnoteReference w:id="110"/>
      </w:r>
      <w:r w:rsidRPr="00660EE5">
        <w:rPr>
          <w:rFonts w:asciiTheme="minorHAnsi" w:hAnsiTheme="minorHAnsi"/>
          <w:color w:val="000000" w:themeColor="text1"/>
          <w:sz w:val="24"/>
          <w:szCs w:val="24"/>
        </w:rPr>
        <w:t>;</w:t>
      </w:r>
    </w:p>
    <w:p w14:paraId="5266B5B2"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   b) quanto a 1.500.000 euro per l'anno 2022, mediante corrispondente riduzione del Fondo di parte corrente di cui all'articolo 34-ter, comma 5, della legge 31 dicembre 2009, n. 196, iscritto nello stato di previsione del Ministero delle infrastrutture e della mobilità sostenibili.</w:t>
      </w:r>
    </w:p>
    <w:p w14:paraId="6D942FC1" w14:textId="77777777" w:rsidR="007837F5" w:rsidRPr="009B1906" w:rsidRDefault="007837F5" w:rsidP="007837F5">
      <w:pPr>
        <w:shd w:val="clear" w:color="auto" w:fill="FFFFFF"/>
        <w:spacing w:after="0" w:line="240" w:lineRule="auto"/>
        <w:jc w:val="both"/>
        <w:rPr>
          <w:rFonts w:eastAsia="Times New Roman" w:cs="Arial"/>
          <w:b/>
          <w:bCs/>
          <w:color w:val="000000" w:themeColor="text1"/>
          <w:sz w:val="24"/>
          <w:szCs w:val="24"/>
        </w:rPr>
      </w:pPr>
      <w:r w:rsidRPr="009B1906">
        <w:rPr>
          <w:rFonts w:eastAsia="Times New Roman" w:cs="Arial"/>
          <w:b/>
          <w:bCs/>
          <w:color w:val="000000" w:themeColor="text1"/>
          <w:sz w:val="24"/>
          <w:szCs w:val="24"/>
        </w:rPr>
        <w:t>2-</w:t>
      </w:r>
      <w:r w:rsidRPr="009B1906">
        <w:rPr>
          <w:rFonts w:eastAsia="Times New Roman" w:cs="Arial"/>
          <w:b/>
          <w:bCs/>
          <w:i/>
          <w:iCs/>
          <w:color w:val="000000" w:themeColor="text1"/>
          <w:sz w:val="24"/>
          <w:szCs w:val="24"/>
        </w:rPr>
        <w:t>bis.</w:t>
      </w:r>
      <w:r w:rsidRPr="009B1906">
        <w:rPr>
          <w:rFonts w:eastAsia="Times New Roman" w:cs="Arial"/>
          <w:b/>
          <w:bCs/>
          <w:color w:val="000000" w:themeColor="text1"/>
          <w:sz w:val="24"/>
          <w:szCs w:val="24"/>
        </w:rPr>
        <w:t> All'articolo 7 del decreto-legge 28 settembre 2018, n. 109, convertito, con modificazioni, dalla legge 16 novembre 2018, n. 130, sono apportate le seguenti modificazioni:</w:t>
      </w:r>
    </w:p>
    <w:p w14:paraId="68F8F952" w14:textId="77777777" w:rsidR="007837F5" w:rsidRPr="009B1906" w:rsidRDefault="007837F5" w:rsidP="007837F5">
      <w:pPr>
        <w:shd w:val="clear" w:color="auto" w:fill="FFFFFF"/>
        <w:spacing w:after="0" w:line="240" w:lineRule="auto"/>
        <w:jc w:val="both"/>
        <w:rPr>
          <w:rFonts w:eastAsia="Times New Roman" w:cs="Arial"/>
          <w:b/>
          <w:bCs/>
          <w:color w:val="000000" w:themeColor="text1"/>
          <w:sz w:val="24"/>
          <w:szCs w:val="24"/>
        </w:rPr>
      </w:pP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 </w:t>
      </w:r>
      <w:r w:rsidRPr="009B1906">
        <w:rPr>
          <w:rFonts w:eastAsia="Times New Roman" w:cs="Arial"/>
          <w:b/>
          <w:bCs/>
          <w:i/>
          <w:iCs/>
          <w:color w:val="000000" w:themeColor="text1"/>
          <w:sz w:val="24"/>
          <w:szCs w:val="24"/>
        </w:rPr>
        <w:t>a)</w:t>
      </w:r>
      <w:r w:rsidRPr="009B1906">
        <w:rPr>
          <w:rFonts w:eastAsia="Times New Roman" w:cs="Arial"/>
          <w:b/>
          <w:bCs/>
          <w:color w:val="000000" w:themeColor="text1"/>
          <w:sz w:val="24"/>
          <w:szCs w:val="24"/>
        </w:rPr>
        <w:t> al comma 1, dopo le parole «Vado Ligure.» sono aggiunte le seguenti «, nonché, ai soli fini delle semplificazioni di cui al comma 2, agli ulteriori siti retroportuali individuati con le modalità di cui al comma 1-</w:t>
      </w:r>
      <w:r w:rsidRPr="009B1906">
        <w:rPr>
          <w:rFonts w:eastAsia="Times New Roman" w:cs="Arial"/>
          <w:b/>
          <w:bCs/>
          <w:i/>
          <w:iCs/>
          <w:color w:val="000000" w:themeColor="text1"/>
          <w:sz w:val="24"/>
          <w:szCs w:val="24"/>
        </w:rPr>
        <w:t>bis»</w:t>
      </w:r>
      <w:r w:rsidRPr="009B1906">
        <w:rPr>
          <w:rFonts w:eastAsia="Times New Roman" w:cs="Arial"/>
          <w:b/>
          <w:bCs/>
          <w:color w:val="000000" w:themeColor="text1"/>
          <w:sz w:val="24"/>
          <w:szCs w:val="24"/>
        </w:rPr>
        <w:t>;</w:t>
      </w:r>
    </w:p>
    <w:p w14:paraId="3281A285" w14:textId="77777777" w:rsidR="007837F5" w:rsidRPr="009B1906" w:rsidRDefault="007837F5" w:rsidP="007837F5">
      <w:pPr>
        <w:shd w:val="clear" w:color="auto" w:fill="FFFFFF"/>
        <w:spacing w:after="0" w:line="240" w:lineRule="auto"/>
        <w:jc w:val="both"/>
        <w:rPr>
          <w:rFonts w:eastAsia="Times New Roman" w:cs="Arial"/>
          <w:b/>
          <w:bCs/>
          <w:color w:val="000000" w:themeColor="text1"/>
          <w:sz w:val="24"/>
          <w:szCs w:val="24"/>
        </w:rPr>
      </w:pP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 </w:t>
      </w:r>
      <w:r w:rsidRPr="009B1906">
        <w:rPr>
          <w:rFonts w:eastAsia="Times New Roman" w:cs="Arial"/>
          <w:b/>
          <w:bCs/>
          <w:i/>
          <w:iCs/>
          <w:color w:val="000000" w:themeColor="text1"/>
          <w:sz w:val="24"/>
          <w:szCs w:val="24"/>
        </w:rPr>
        <w:t>b)</w:t>
      </w:r>
      <w:r w:rsidRPr="009B1906">
        <w:rPr>
          <w:rFonts w:eastAsia="Times New Roman" w:cs="Arial"/>
          <w:b/>
          <w:bCs/>
          <w:color w:val="000000" w:themeColor="text1"/>
          <w:sz w:val="24"/>
          <w:szCs w:val="24"/>
        </w:rPr>
        <w:t> il comma 1-</w:t>
      </w:r>
      <w:r w:rsidRPr="009B1906">
        <w:rPr>
          <w:rFonts w:eastAsia="Times New Roman" w:cs="Arial"/>
          <w:b/>
          <w:bCs/>
          <w:i/>
          <w:iCs/>
          <w:color w:val="000000" w:themeColor="text1"/>
          <w:sz w:val="24"/>
          <w:szCs w:val="24"/>
        </w:rPr>
        <w:t>bis</w:t>
      </w:r>
      <w:r w:rsidRPr="009B1906">
        <w:rPr>
          <w:rFonts w:eastAsia="Times New Roman" w:cs="Arial"/>
          <w:b/>
          <w:bCs/>
          <w:color w:val="000000" w:themeColor="text1"/>
          <w:sz w:val="24"/>
          <w:szCs w:val="24"/>
        </w:rPr>
        <w:t> è sostituito dal seguente:</w:t>
      </w:r>
    </w:p>
    <w:p w14:paraId="32449917" w14:textId="293316FE" w:rsidR="007837F5" w:rsidRDefault="007837F5" w:rsidP="007837F5">
      <w:pPr>
        <w:shd w:val="clear" w:color="auto" w:fill="FFFFFF"/>
        <w:spacing w:after="0" w:line="240" w:lineRule="auto"/>
        <w:jc w:val="both"/>
        <w:rPr>
          <w:rFonts w:eastAsia="Times New Roman" w:cs="Arial"/>
          <w:b/>
          <w:bCs/>
          <w:color w:val="000000" w:themeColor="text1"/>
          <w:sz w:val="24"/>
          <w:szCs w:val="24"/>
        </w:rPr>
      </w:pP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«1-</w:t>
      </w:r>
      <w:r w:rsidRPr="009B1906">
        <w:rPr>
          <w:rFonts w:eastAsia="Times New Roman" w:cs="Arial"/>
          <w:b/>
          <w:bCs/>
          <w:i/>
          <w:iCs/>
          <w:color w:val="000000" w:themeColor="text1"/>
          <w:sz w:val="24"/>
          <w:szCs w:val="24"/>
        </w:rPr>
        <w:t>bis</w:t>
      </w:r>
      <w:r w:rsidRPr="009B1906">
        <w:rPr>
          <w:rFonts w:eastAsia="Times New Roman" w:cs="Arial"/>
          <w:b/>
          <w:bCs/>
          <w:color w:val="000000" w:themeColor="text1"/>
          <w:sz w:val="24"/>
          <w:szCs w:val="24"/>
        </w:rPr>
        <w:t>. Entro novanta giorni dalla data di entrata in vigore della presente disposizione, con decreto del Presidente del Consiglio dei ministri, da adottare su proposta del Ministro per il Sud e la coesione territoriale, di concerto con il Ministro per le infrastrutture e la mobilità sostenibili, su proposta delle regioni interessate, può provvedersi all'individuazione di ulteriori siti retroportuali. La proposta è corredata da un piano di sviluppo strategico che specifica la delimitazione delle zone interessate, in coerenza con le zone portuali».</w:t>
      </w:r>
      <w:r>
        <w:rPr>
          <w:rStyle w:val="Rimandonotaapidipagina"/>
          <w:rFonts w:eastAsia="Times New Roman" w:cs="Arial"/>
          <w:b/>
          <w:bCs/>
          <w:color w:val="000000" w:themeColor="text1"/>
          <w:sz w:val="24"/>
          <w:szCs w:val="24"/>
        </w:rPr>
        <w:footnoteReference w:id="111"/>
      </w:r>
    </w:p>
    <w:p w14:paraId="55B07563" w14:textId="77777777" w:rsidR="007837F5" w:rsidRDefault="007837F5" w:rsidP="00660EE5">
      <w:pPr>
        <w:spacing w:after="0" w:line="240" w:lineRule="auto"/>
        <w:jc w:val="both"/>
        <w:rPr>
          <w:rFonts w:asciiTheme="minorHAnsi" w:hAnsiTheme="minorHAnsi"/>
          <w:color w:val="000000" w:themeColor="text1"/>
          <w:sz w:val="24"/>
          <w:szCs w:val="24"/>
        </w:rPr>
      </w:pPr>
    </w:p>
    <w:p w14:paraId="6B84A4EA" w14:textId="15FE9318" w:rsid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3. All'articolo 10 del decreto-legge 18 aprile 2019, n. 32, convertito, con modificazioni, dalla legge 14 giugno 2019, n. 55, il comma 8 è abrogato.</w:t>
      </w:r>
    </w:p>
    <w:p w14:paraId="625DB464" w14:textId="3FDE54C4" w:rsidR="007837F5" w:rsidRDefault="007837F5" w:rsidP="00660EE5">
      <w:pPr>
        <w:spacing w:after="0" w:line="240" w:lineRule="auto"/>
        <w:jc w:val="both"/>
        <w:rPr>
          <w:rFonts w:asciiTheme="minorHAnsi" w:hAnsiTheme="minorHAnsi"/>
          <w:color w:val="000000" w:themeColor="text1"/>
          <w:sz w:val="24"/>
          <w:szCs w:val="24"/>
        </w:rPr>
      </w:pPr>
    </w:p>
    <w:p w14:paraId="729ECEC2" w14:textId="77777777" w:rsidR="007837F5" w:rsidRDefault="007837F5" w:rsidP="007837F5">
      <w:pPr>
        <w:shd w:val="clear" w:color="auto" w:fill="FFFFFF"/>
        <w:spacing w:after="0" w:line="240" w:lineRule="auto"/>
        <w:jc w:val="both"/>
        <w:rPr>
          <w:rFonts w:eastAsia="Times New Roman" w:cs="Arial"/>
          <w:b/>
          <w:bCs/>
          <w:color w:val="000000" w:themeColor="text1"/>
          <w:sz w:val="24"/>
          <w:szCs w:val="24"/>
        </w:rPr>
      </w:pPr>
      <w:r w:rsidRPr="009B1906">
        <w:rPr>
          <w:rFonts w:eastAsia="Times New Roman" w:cs="Arial"/>
          <w:b/>
          <w:bCs/>
          <w:color w:val="000000" w:themeColor="text1"/>
          <w:sz w:val="24"/>
          <w:szCs w:val="24"/>
        </w:rPr>
        <w:t>3-</w:t>
      </w:r>
      <w:r w:rsidRPr="009B1906">
        <w:rPr>
          <w:rFonts w:eastAsia="Times New Roman" w:cs="Arial"/>
          <w:b/>
          <w:bCs/>
          <w:i/>
          <w:iCs/>
          <w:color w:val="000000" w:themeColor="text1"/>
          <w:sz w:val="24"/>
          <w:szCs w:val="24"/>
        </w:rPr>
        <w:t>bis</w:t>
      </w:r>
      <w:r w:rsidRPr="009B1906">
        <w:rPr>
          <w:rFonts w:eastAsia="Times New Roman" w:cs="Arial"/>
          <w:b/>
          <w:bCs/>
          <w:color w:val="000000" w:themeColor="text1"/>
          <w:sz w:val="24"/>
          <w:szCs w:val="24"/>
        </w:rPr>
        <w:t>. Al fine di assicurare la tempestiva realizzazione entro il 31 dicembre 2024 degli interventi di adeguamento della pista olimpica di bob e slittino «Eugenio Monti» di Cortina d'Ampezzo, l'amministratore delegato della società di cui all'articolo 3 del decreto-legge 11 marzo 2020, n. 16, convertito, con modificazioni, dalla legge 8 maggio 2020, n. 31, è nominato commissario straordinario ai sensi dell'articolo 4 del decreto-legge 18 aprile 2019, n. 32, convertito, con modificazioni, dalla legge 14 giugno 2019, n. 55. Fermo quanto previsto dai commi 2, 3, 3-</w:t>
      </w:r>
      <w:r w:rsidRPr="009B1906">
        <w:rPr>
          <w:rFonts w:eastAsia="Times New Roman" w:cs="Arial"/>
          <w:b/>
          <w:bCs/>
          <w:i/>
          <w:iCs/>
          <w:color w:val="000000" w:themeColor="text1"/>
          <w:sz w:val="24"/>
          <w:szCs w:val="24"/>
        </w:rPr>
        <w:t>bis</w:t>
      </w:r>
      <w:r w:rsidRPr="009B1906">
        <w:rPr>
          <w:rFonts w:eastAsia="Times New Roman" w:cs="Arial"/>
          <w:b/>
          <w:bCs/>
          <w:color w:val="000000" w:themeColor="text1"/>
          <w:sz w:val="24"/>
          <w:szCs w:val="24"/>
        </w:rPr>
        <w:t> e 4 dell'articolo 4 del citato decreto-legge n. 32 del 2019, al commissario straordinario sono altresì attribuiti i poteri e le facoltà di cui all'articolo 3, comma 2-</w:t>
      </w:r>
      <w:r w:rsidRPr="009B1906">
        <w:rPr>
          <w:rFonts w:eastAsia="Times New Roman" w:cs="Arial"/>
          <w:b/>
          <w:bCs/>
          <w:i/>
          <w:iCs/>
          <w:color w:val="000000" w:themeColor="text1"/>
          <w:sz w:val="24"/>
          <w:szCs w:val="24"/>
        </w:rPr>
        <w:t>bis</w:t>
      </w:r>
      <w:r w:rsidRPr="009B1906">
        <w:rPr>
          <w:rFonts w:eastAsia="Times New Roman" w:cs="Arial"/>
          <w:b/>
          <w:bCs/>
          <w:color w:val="000000" w:themeColor="text1"/>
          <w:sz w:val="24"/>
          <w:szCs w:val="24"/>
        </w:rPr>
        <w:t xml:space="preserve">, del </w:t>
      </w:r>
      <w:proofErr w:type="gramStart"/>
      <w:r w:rsidRPr="009B1906">
        <w:rPr>
          <w:rFonts w:eastAsia="Times New Roman" w:cs="Arial"/>
          <w:b/>
          <w:bCs/>
          <w:color w:val="000000" w:themeColor="text1"/>
          <w:sz w:val="24"/>
          <w:szCs w:val="24"/>
        </w:rPr>
        <w:t>predetto</w:t>
      </w:r>
      <w:proofErr w:type="gramEnd"/>
      <w:r w:rsidRPr="009B1906">
        <w:rPr>
          <w:rFonts w:eastAsia="Times New Roman" w:cs="Arial"/>
          <w:b/>
          <w:bCs/>
          <w:color w:val="000000" w:themeColor="text1"/>
          <w:sz w:val="24"/>
          <w:szCs w:val="24"/>
        </w:rPr>
        <w:t xml:space="preserve"> decreto-legge n. 16 del 2020. Per lo svolgimento delle attività </w:t>
      </w:r>
      <w:r w:rsidRPr="009B1906">
        <w:rPr>
          <w:rFonts w:eastAsia="Times New Roman" w:cs="Arial"/>
          <w:b/>
          <w:bCs/>
          <w:color w:val="000000" w:themeColor="text1"/>
          <w:sz w:val="24"/>
          <w:szCs w:val="24"/>
        </w:rPr>
        <w:lastRenderedPageBreak/>
        <w:t>di cui al presente comma, al commissario straordinario non spetta alcun compenso, gettone di presenza, indennità comunque denominata o rimborso di spese.</w:t>
      </w:r>
    </w:p>
    <w:p w14:paraId="34FBCED2" w14:textId="516EE109" w:rsidR="007837F5" w:rsidRPr="009B1906" w:rsidRDefault="007837F5" w:rsidP="007837F5">
      <w:pPr>
        <w:shd w:val="clear" w:color="auto" w:fill="FFFFFF"/>
        <w:spacing w:after="0" w:line="240" w:lineRule="auto"/>
        <w:jc w:val="both"/>
        <w:rPr>
          <w:rFonts w:eastAsia="Times New Roman" w:cs="Arial"/>
          <w:b/>
          <w:bCs/>
          <w:color w:val="000000" w:themeColor="text1"/>
          <w:sz w:val="24"/>
          <w:szCs w:val="24"/>
        </w:rPr>
      </w:pP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 </w:t>
      </w:r>
    </w:p>
    <w:p w14:paraId="3B3A2E6C" w14:textId="77777777" w:rsidR="007837F5" w:rsidRPr="009B1906" w:rsidRDefault="007837F5" w:rsidP="007837F5">
      <w:pPr>
        <w:shd w:val="clear" w:color="auto" w:fill="FFFFFF"/>
        <w:spacing w:after="0" w:line="240" w:lineRule="auto"/>
        <w:jc w:val="both"/>
        <w:rPr>
          <w:rFonts w:eastAsia="Times New Roman" w:cs="Arial"/>
          <w:b/>
          <w:bCs/>
          <w:color w:val="000000" w:themeColor="text1"/>
          <w:sz w:val="24"/>
          <w:szCs w:val="24"/>
        </w:rPr>
      </w:pPr>
      <w:r w:rsidRPr="009B1906">
        <w:rPr>
          <w:rFonts w:eastAsia="Times New Roman" w:cs="Arial"/>
          <w:b/>
          <w:bCs/>
          <w:color w:val="000000" w:themeColor="text1"/>
          <w:sz w:val="24"/>
          <w:szCs w:val="24"/>
        </w:rPr>
        <w:t>3-</w:t>
      </w:r>
      <w:r w:rsidRPr="009B1906">
        <w:rPr>
          <w:rFonts w:eastAsia="Times New Roman" w:cs="Arial"/>
          <w:b/>
          <w:bCs/>
          <w:i/>
          <w:iCs/>
          <w:color w:val="000000" w:themeColor="text1"/>
          <w:sz w:val="24"/>
          <w:szCs w:val="24"/>
        </w:rPr>
        <w:t>ter</w:t>
      </w:r>
      <w:r w:rsidRPr="009B1906">
        <w:rPr>
          <w:rFonts w:eastAsia="Times New Roman" w:cs="Arial"/>
          <w:b/>
          <w:bCs/>
          <w:color w:val="000000" w:themeColor="text1"/>
          <w:sz w:val="24"/>
          <w:szCs w:val="24"/>
        </w:rPr>
        <w:t>. Con decreto del Ministro delle infrastrutture e della mobilità sostenibili, di concerto con il Ministero dell'economia e delle finanze, adottato entro trenta giorni dalla data di entrata in vigore della legge di conversione del presente decreto è stabilita la quota percentuale del quadro economico dell'intervento di cui al comma 3-bis eventualmente da destinare alle spese di supporto tecnico e la tipologia delle spese ammissibili. Per il supporto tecnico, il Commissario si può avvalere, senza nuovi o maggiori oneri per la finanza pubblica, di strutture dell'amministrazione centrale o territoriale interessata, nonché di società controllate direttamente o indirettamente dallo Stato, dalle Regioni o da altri soggetti di cui all'articolo 1, comma 2, della legge 31 dicembre 2009, n. 196, i cui oneri sono posti a carico dei quadri economici degli interventi da realizzare nell'ambito della percentuale individuata ai sensi del primo periodo. Il Commissario straordinario può nominare un sub-commissario. L'eventuale compenso del sub-commissario, da determinare in misura non superiore a quella indicata all'articolo 15, comma 3, del decreto-legge 6 luglio 2011, n. 98, convertito, con modificazioni, dalla legge 15 luglio 2011, n. 111, è posto a carico del quadro economico dell'intervento da realizzare, nell'ambito della quota percentuale individuata ai sensi del primo periodo. Il quadro economico, nonché le ulteriori informazioni di tipo anagrafico, finanziario fisico e procedurale, sono desumibili dal sistema di cui al decreto legislativo 29 dicembre 2011, n. 229. Gli interventi devono essere identificati dal Codice Unico di Progetto (CUP) ai sensi dell'articolo 11 della legge 16 gennaio 2003, n. 3.</w:t>
      </w:r>
      <w:r w:rsidRPr="009B1906">
        <w:rPr>
          <w:rFonts w:eastAsia="Times New Roman" w:cs="Arial"/>
          <w:b/>
          <w:bCs/>
          <w:color w:val="000000" w:themeColor="text1"/>
          <w:sz w:val="24"/>
          <w:szCs w:val="24"/>
        </w:rPr>
        <w:br/>
      </w: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 </w:t>
      </w:r>
    </w:p>
    <w:p w14:paraId="4213C0CC" w14:textId="77777777" w:rsidR="007837F5" w:rsidRPr="009B1906" w:rsidRDefault="007837F5" w:rsidP="007837F5">
      <w:pPr>
        <w:shd w:val="clear" w:color="auto" w:fill="FFFFFF"/>
        <w:spacing w:after="0" w:line="240" w:lineRule="auto"/>
        <w:jc w:val="both"/>
        <w:rPr>
          <w:rFonts w:eastAsia="Times New Roman" w:cs="Arial"/>
          <w:b/>
          <w:bCs/>
          <w:color w:val="000000" w:themeColor="text1"/>
          <w:sz w:val="24"/>
          <w:szCs w:val="24"/>
        </w:rPr>
      </w:pPr>
      <w:r w:rsidRPr="009B1906">
        <w:rPr>
          <w:rFonts w:eastAsia="Times New Roman" w:cs="Arial"/>
          <w:b/>
          <w:bCs/>
          <w:color w:val="000000" w:themeColor="text1"/>
          <w:sz w:val="24"/>
          <w:szCs w:val="24"/>
        </w:rPr>
        <w:t>3-</w:t>
      </w:r>
      <w:r w:rsidRPr="009B1906">
        <w:rPr>
          <w:rFonts w:eastAsia="Times New Roman" w:cs="Arial"/>
          <w:b/>
          <w:bCs/>
          <w:i/>
          <w:iCs/>
          <w:color w:val="000000" w:themeColor="text1"/>
          <w:sz w:val="24"/>
          <w:szCs w:val="24"/>
        </w:rPr>
        <w:t>quater</w:t>
      </w:r>
      <w:r w:rsidRPr="009B1906">
        <w:rPr>
          <w:rFonts w:eastAsia="Times New Roman" w:cs="Arial"/>
          <w:b/>
          <w:bCs/>
          <w:color w:val="000000" w:themeColor="text1"/>
          <w:sz w:val="24"/>
          <w:szCs w:val="24"/>
        </w:rPr>
        <w:t>. Alle controversie relative alle procedure di progettazione, approvazione e realizzazione dell'intervento di cui al comma 3-</w:t>
      </w:r>
      <w:r w:rsidRPr="009B1906">
        <w:rPr>
          <w:rFonts w:eastAsia="Times New Roman" w:cs="Arial"/>
          <w:b/>
          <w:bCs/>
          <w:i/>
          <w:iCs/>
          <w:color w:val="000000" w:themeColor="text1"/>
          <w:sz w:val="24"/>
          <w:szCs w:val="24"/>
        </w:rPr>
        <w:t>bis</w:t>
      </w:r>
      <w:r w:rsidRPr="009B1906">
        <w:rPr>
          <w:rFonts w:eastAsia="Times New Roman" w:cs="Arial"/>
          <w:b/>
          <w:bCs/>
          <w:color w:val="000000" w:themeColor="text1"/>
          <w:sz w:val="24"/>
          <w:szCs w:val="24"/>
        </w:rPr>
        <w:t>, si applicano le previsioni dell'articolo 3, comma 12-ter, del decreto-legge 11 marzo 2020, n. 16, convertito, con modificazioni, dalla legge 8 maggio 2020, n. 31.</w:t>
      </w:r>
      <w:r w:rsidRPr="009B1906">
        <w:rPr>
          <w:rFonts w:eastAsia="Times New Roman" w:cs="Arial"/>
          <w:b/>
          <w:bCs/>
          <w:color w:val="000000" w:themeColor="text1"/>
          <w:sz w:val="24"/>
          <w:szCs w:val="24"/>
        </w:rPr>
        <w:br/>
      </w: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 </w:t>
      </w:r>
    </w:p>
    <w:p w14:paraId="0AD82A9A" w14:textId="0497B2B3" w:rsidR="007837F5" w:rsidRDefault="007837F5" w:rsidP="007837F5">
      <w:pPr>
        <w:shd w:val="clear" w:color="auto" w:fill="FFFFFF"/>
        <w:spacing w:after="0" w:line="240" w:lineRule="auto"/>
        <w:jc w:val="both"/>
        <w:rPr>
          <w:rFonts w:eastAsia="Times New Roman" w:cs="Arial"/>
          <w:b/>
          <w:bCs/>
          <w:color w:val="000000" w:themeColor="text1"/>
          <w:sz w:val="24"/>
          <w:szCs w:val="24"/>
        </w:rPr>
      </w:pPr>
      <w:r w:rsidRPr="009B1906">
        <w:rPr>
          <w:rFonts w:eastAsia="Times New Roman" w:cs="Arial"/>
          <w:b/>
          <w:bCs/>
          <w:color w:val="000000" w:themeColor="text1"/>
          <w:sz w:val="24"/>
          <w:szCs w:val="24"/>
        </w:rPr>
        <w:t>3-</w:t>
      </w:r>
      <w:r w:rsidRPr="009B1906">
        <w:rPr>
          <w:rFonts w:eastAsia="Times New Roman" w:cs="Arial"/>
          <w:b/>
          <w:bCs/>
          <w:i/>
          <w:iCs/>
          <w:color w:val="000000" w:themeColor="text1"/>
          <w:sz w:val="24"/>
          <w:szCs w:val="24"/>
        </w:rPr>
        <w:t>quinquies</w:t>
      </w:r>
      <w:r w:rsidRPr="009B1906">
        <w:rPr>
          <w:rFonts w:eastAsia="Times New Roman" w:cs="Arial"/>
          <w:b/>
          <w:bCs/>
          <w:color w:val="000000" w:themeColor="text1"/>
          <w:sz w:val="24"/>
          <w:szCs w:val="24"/>
        </w:rPr>
        <w:t>. Per l'avvio dell'attività di progettazione e di realizzazione dell'intervento di cui al comma 3-</w:t>
      </w:r>
      <w:r w:rsidRPr="009B1906">
        <w:rPr>
          <w:rFonts w:eastAsia="Times New Roman" w:cs="Arial"/>
          <w:b/>
          <w:bCs/>
          <w:i/>
          <w:iCs/>
          <w:color w:val="000000" w:themeColor="text1"/>
          <w:sz w:val="24"/>
          <w:szCs w:val="24"/>
        </w:rPr>
        <w:t>bis </w:t>
      </w:r>
      <w:r w:rsidRPr="009B1906">
        <w:rPr>
          <w:rFonts w:eastAsia="Times New Roman" w:cs="Arial"/>
          <w:b/>
          <w:bCs/>
          <w:color w:val="000000" w:themeColor="text1"/>
          <w:sz w:val="24"/>
          <w:szCs w:val="24"/>
        </w:rPr>
        <w:t xml:space="preserve">è riconosciuto un contributo pari a complessivi 24,5 milioni di euro, di cui euro 500.000 per l'anno 2021 ed euro 12 milioni per ciascuno degli anni 2022 e 2023, mediante corrispondente riduzione dell'autorizzazione di spesa di cui all'articolo 1, comma 773, della legge 30 dicembre 2020, n. 178. Il Dipartimento per lo sport della Presidenza del </w:t>
      </w:r>
      <w:proofErr w:type="gramStart"/>
      <w:r w:rsidRPr="009B1906">
        <w:rPr>
          <w:rFonts w:eastAsia="Times New Roman" w:cs="Arial"/>
          <w:b/>
          <w:bCs/>
          <w:color w:val="000000" w:themeColor="text1"/>
          <w:sz w:val="24"/>
          <w:szCs w:val="24"/>
        </w:rPr>
        <w:t>Consiglio dei Ministri</w:t>
      </w:r>
      <w:proofErr w:type="gramEnd"/>
      <w:r w:rsidRPr="009B1906">
        <w:rPr>
          <w:rFonts w:eastAsia="Times New Roman" w:cs="Arial"/>
          <w:b/>
          <w:bCs/>
          <w:color w:val="000000" w:themeColor="text1"/>
          <w:sz w:val="24"/>
          <w:szCs w:val="24"/>
        </w:rPr>
        <w:t xml:space="preserve"> pone in essere le iniziative necessarie a garantire il completamento del finanziamento dell'intervento di cui al comma 3-</w:t>
      </w:r>
      <w:r w:rsidRPr="009B1906">
        <w:rPr>
          <w:rFonts w:eastAsia="Times New Roman" w:cs="Arial"/>
          <w:b/>
          <w:bCs/>
          <w:i/>
          <w:iCs/>
          <w:color w:val="000000" w:themeColor="text1"/>
          <w:sz w:val="24"/>
          <w:szCs w:val="24"/>
        </w:rPr>
        <w:t>bis</w:t>
      </w:r>
      <w:r w:rsidRPr="009B1906">
        <w:rPr>
          <w:rFonts w:eastAsia="Times New Roman" w:cs="Arial"/>
          <w:b/>
          <w:bCs/>
          <w:color w:val="000000" w:themeColor="text1"/>
          <w:sz w:val="24"/>
          <w:szCs w:val="24"/>
        </w:rPr>
        <w:t> entro il 30 giugno 2022.</w:t>
      </w:r>
      <w:r>
        <w:rPr>
          <w:rStyle w:val="Rimandonotaapidipagina"/>
          <w:rFonts w:eastAsia="Times New Roman" w:cs="Arial"/>
          <w:b/>
          <w:bCs/>
          <w:color w:val="000000" w:themeColor="text1"/>
          <w:sz w:val="24"/>
          <w:szCs w:val="24"/>
        </w:rPr>
        <w:footnoteReference w:id="112"/>
      </w:r>
    </w:p>
    <w:p w14:paraId="4AAF32E7" w14:textId="3E409266" w:rsidR="007837F5" w:rsidRDefault="007837F5" w:rsidP="007837F5">
      <w:pPr>
        <w:shd w:val="clear" w:color="auto" w:fill="FFFFFF"/>
        <w:spacing w:after="0" w:line="240" w:lineRule="auto"/>
        <w:jc w:val="both"/>
        <w:rPr>
          <w:rFonts w:eastAsia="Times New Roman" w:cs="Arial"/>
          <w:b/>
          <w:bCs/>
          <w:color w:val="000000" w:themeColor="text1"/>
          <w:sz w:val="24"/>
          <w:szCs w:val="24"/>
        </w:rPr>
      </w:pPr>
    </w:p>
    <w:p w14:paraId="195AFC9C" w14:textId="77777777" w:rsidR="007837F5" w:rsidRPr="009B1906" w:rsidRDefault="007837F5" w:rsidP="007837F5">
      <w:pPr>
        <w:shd w:val="clear" w:color="auto" w:fill="FFFFFF"/>
        <w:spacing w:after="0" w:line="240" w:lineRule="auto"/>
        <w:jc w:val="both"/>
        <w:rPr>
          <w:rFonts w:eastAsia="Times New Roman" w:cs="Arial"/>
          <w:b/>
          <w:bCs/>
          <w:color w:val="000000" w:themeColor="text1"/>
          <w:sz w:val="24"/>
          <w:szCs w:val="24"/>
        </w:rPr>
      </w:pPr>
      <w:r w:rsidRPr="009B1906">
        <w:rPr>
          <w:rFonts w:eastAsia="Times New Roman" w:cs="Arial"/>
          <w:b/>
          <w:bCs/>
          <w:color w:val="000000" w:themeColor="text1"/>
          <w:sz w:val="24"/>
          <w:szCs w:val="24"/>
        </w:rPr>
        <w:t>3-</w:t>
      </w:r>
      <w:r w:rsidRPr="009B1906">
        <w:rPr>
          <w:rFonts w:eastAsia="Times New Roman" w:cs="Arial"/>
          <w:b/>
          <w:bCs/>
          <w:i/>
          <w:iCs/>
          <w:color w:val="000000" w:themeColor="text1"/>
          <w:sz w:val="24"/>
          <w:szCs w:val="24"/>
        </w:rPr>
        <w:t>bis</w:t>
      </w:r>
      <w:r w:rsidRPr="009B1906">
        <w:rPr>
          <w:rFonts w:eastAsia="Times New Roman" w:cs="Arial"/>
          <w:b/>
          <w:bCs/>
          <w:color w:val="000000" w:themeColor="text1"/>
          <w:sz w:val="24"/>
          <w:szCs w:val="24"/>
        </w:rPr>
        <w:t>. All'articolo 94-</w:t>
      </w:r>
      <w:r w:rsidRPr="009B1906">
        <w:rPr>
          <w:rFonts w:eastAsia="Times New Roman" w:cs="Arial"/>
          <w:b/>
          <w:bCs/>
          <w:i/>
          <w:iCs/>
          <w:color w:val="000000" w:themeColor="text1"/>
          <w:sz w:val="24"/>
          <w:szCs w:val="24"/>
        </w:rPr>
        <w:t>bis</w:t>
      </w:r>
      <w:r w:rsidRPr="009B1906">
        <w:rPr>
          <w:rFonts w:eastAsia="Times New Roman" w:cs="Arial"/>
          <w:b/>
          <w:bCs/>
          <w:color w:val="000000" w:themeColor="text1"/>
          <w:sz w:val="24"/>
          <w:szCs w:val="24"/>
        </w:rPr>
        <w:t> del decreto-legge 17 marzo 2020, n. 18, convertito, con modificazioni, dalla legge 24 aprile 2020, n. 27, sono apportate le seguenti modificazioni:</w:t>
      </w:r>
    </w:p>
    <w:p w14:paraId="5299BAD2" w14:textId="77777777" w:rsidR="007837F5" w:rsidRPr="009B1906" w:rsidRDefault="007837F5" w:rsidP="007837F5">
      <w:pPr>
        <w:shd w:val="clear" w:color="auto" w:fill="FFFFFF"/>
        <w:spacing w:after="0" w:line="240" w:lineRule="auto"/>
        <w:jc w:val="both"/>
        <w:rPr>
          <w:rFonts w:eastAsia="Times New Roman" w:cs="Arial"/>
          <w:b/>
          <w:bCs/>
          <w:color w:val="000000" w:themeColor="text1"/>
          <w:sz w:val="24"/>
          <w:szCs w:val="24"/>
        </w:rPr>
      </w:pP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 </w:t>
      </w:r>
      <w:r w:rsidRPr="009B1906">
        <w:rPr>
          <w:rFonts w:eastAsia="Times New Roman" w:cs="Arial"/>
          <w:b/>
          <w:bCs/>
          <w:i/>
          <w:iCs/>
          <w:color w:val="000000" w:themeColor="text1"/>
          <w:sz w:val="24"/>
          <w:szCs w:val="24"/>
        </w:rPr>
        <w:t>a)</w:t>
      </w:r>
      <w:r w:rsidRPr="009B1906">
        <w:rPr>
          <w:rFonts w:eastAsia="Times New Roman" w:cs="Arial"/>
          <w:b/>
          <w:bCs/>
          <w:color w:val="000000" w:themeColor="text1"/>
          <w:sz w:val="24"/>
          <w:szCs w:val="24"/>
        </w:rPr>
        <w:t> al comma 1, primo periodo, le parole: «negli anni 2020 e 2021» sono sostituite dalle seguenti: «negli anni 2020, 2021 e 2022» e le parole «degli anni 2020 e 2021,» sono sostituite dalle seguenti: «degli anni 2020, 2021 e 2022,»;</w:t>
      </w:r>
    </w:p>
    <w:p w14:paraId="6EA0F56F" w14:textId="77777777" w:rsidR="007837F5" w:rsidRPr="009B1906" w:rsidRDefault="007837F5" w:rsidP="007837F5">
      <w:pPr>
        <w:shd w:val="clear" w:color="auto" w:fill="FFFFFF"/>
        <w:spacing w:after="0" w:line="240" w:lineRule="auto"/>
        <w:jc w:val="both"/>
        <w:rPr>
          <w:rFonts w:eastAsia="Times New Roman" w:cs="Arial"/>
          <w:b/>
          <w:bCs/>
          <w:color w:val="000000" w:themeColor="text1"/>
          <w:sz w:val="24"/>
          <w:szCs w:val="24"/>
        </w:rPr>
      </w:pPr>
      <w:r w:rsidRPr="009B1906">
        <w:rPr>
          <w:rFonts w:eastAsia="Times New Roman" w:cs="Arial"/>
          <w:b/>
          <w:bCs/>
          <w:color w:val="000000" w:themeColor="text1"/>
          <w:sz w:val="24"/>
          <w:szCs w:val="24"/>
        </w:rPr>
        <w:lastRenderedPageBreak/>
        <w:t> </w:t>
      </w: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 </w:t>
      </w:r>
      <w:r w:rsidRPr="009B1906">
        <w:rPr>
          <w:rFonts w:eastAsia="Times New Roman" w:cs="Arial"/>
          <w:b/>
          <w:bCs/>
          <w:i/>
          <w:iCs/>
          <w:color w:val="000000" w:themeColor="text1"/>
          <w:sz w:val="24"/>
          <w:szCs w:val="24"/>
        </w:rPr>
        <w:t>b)</w:t>
      </w:r>
      <w:r w:rsidRPr="009B1906">
        <w:rPr>
          <w:rFonts w:eastAsia="Times New Roman" w:cs="Arial"/>
          <w:b/>
          <w:bCs/>
          <w:color w:val="000000" w:themeColor="text1"/>
          <w:sz w:val="24"/>
          <w:szCs w:val="24"/>
        </w:rPr>
        <w:t> al comma 3, le parole: «il provveditore interregionale alle opere pubbliche per le regioni Piemonte, Valle d'Aosta e Liguria» sono sostituite dalle seguenti: «il presidente dell'Autorità di sistema portuale del Mar Ligure occidentale»;</w:t>
      </w:r>
    </w:p>
    <w:p w14:paraId="2FF499CA" w14:textId="77777777" w:rsidR="007837F5" w:rsidRPr="009B1906" w:rsidRDefault="007837F5" w:rsidP="007837F5">
      <w:pPr>
        <w:shd w:val="clear" w:color="auto" w:fill="FFFFFF"/>
        <w:spacing w:after="0" w:line="240" w:lineRule="auto"/>
        <w:jc w:val="both"/>
        <w:rPr>
          <w:rFonts w:eastAsia="Times New Roman" w:cs="Arial"/>
          <w:b/>
          <w:bCs/>
          <w:color w:val="000000" w:themeColor="text1"/>
          <w:sz w:val="24"/>
          <w:szCs w:val="24"/>
        </w:rPr>
      </w:pP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 </w:t>
      </w:r>
      <w:r w:rsidRPr="009B1906">
        <w:rPr>
          <w:rFonts w:eastAsia="Times New Roman" w:cs="Arial"/>
          <w:b/>
          <w:bCs/>
          <w:i/>
          <w:iCs/>
          <w:color w:val="000000" w:themeColor="text1"/>
          <w:sz w:val="24"/>
          <w:szCs w:val="24"/>
        </w:rPr>
        <w:t>c)</w:t>
      </w:r>
      <w:r w:rsidRPr="009B1906">
        <w:rPr>
          <w:rFonts w:eastAsia="Times New Roman" w:cs="Arial"/>
          <w:b/>
          <w:bCs/>
          <w:color w:val="000000" w:themeColor="text1"/>
          <w:sz w:val="24"/>
          <w:szCs w:val="24"/>
        </w:rPr>
        <w:t> al comma 6, le parole: «delle strutture centrali e periferiche del Ministero delle infrastrutture e dei trasporti, nonché di società dallo stesso controllate» sono sostituite dalle seguenti: «delle strutture dell'Autorità di sistema portuale del Mar Ligure occidentale, delle strutture centrali e periferiche del Ministero delle infrastrutture e dei trasporti, nonché di società dallo stesso controllate»;</w:t>
      </w:r>
    </w:p>
    <w:p w14:paraId="55BC949A" w14:textId="77777777" w:rsidR="007837F5" w:rsidRPr="009B1906" w:rsidRDefault="007837F5" w:rsidP="007837F5">
      <w:pPr>
        <w:shd w:val="clear" w:color="auto" w:fill="FFFFFF"/>
        <w:spacing w:after="0" w:line="240" w:lineRule="auto"/>
        <w:jc w:val="both"/>
        <w:rPr>
          <w:rFonts w:eastAsia="Times New Roman" w:cs="Arial"/>
          <w:b/>
          <w:bCs/>
          <w:color w:val="000000" w:themeColor="text1"/>
          <w:sz w:val="24"/>
          <w:szCs w:val="24"/>
        </w:rPr>
      </w:pP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 </w:t>
      </w:r>
      <w:r w:rsidRPr="009B1906">
        <w:rPr>
          <w:rFonts w:eastAsia="Times New Roman" w:cs="Arial"/>
          <w:b/>
          <w:bCs/>
          <w:i/>
          <w:iCs/>
          <w:color w:val="000000" w:themeColor="text1"/>
          <w:sz w:val="24"/>
          <w:szCs w:val="24"/>
        </w:rPr>
        <w:t>d)</w:t>
      </w:r>
      <w:r w:rsidRPr="009B1906">
        <w:rPr>
          <w:rFonts w:eastAsia="Times New Roman" w:cs="Arial"/>
          <w:b/>
          <w:bCs/>
          <w:color w:val="000000" w:themeColor="text1"/>
          <w:sz w:val="24"/>
          <w:szCs w:val="24"/>
        </w:rPr>
        <w:t> dopo il comma 7, sono aggiunti i seguenti:</w:t>
      </w:r>
    </w:p>
    <w:p w14:paraId="3E9DB6F4" w14:textId="77777777" w:rsidR="007837F5" w:rsidRDefault="007837F5" w:rsidP="007837F5">
      <w:pPr>
        <w:shd w:val="clear" w:color="auto" w:fill="FFFFFF"/>
        <w:spacing w:after="0" w:line="240" w:lineRule="auto"/>
        <w:jc w:val="both"/>
        <w:rPr>
          <w:rFonts w:eastAsia="Times New Roman" w:cs="Arial"/>
          <w:b/>
          <w:bCs/>
          <w:color w:val="000000" w:themeColor="text1"/>
          <w:sz w:val="24"/>
          <w:szCs w:val="24"/>
        </w:rPr>
      </w:pP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«7-</w:t>
      </w:r>
      <w:r w:rsidRPr="009B1906">
        <w:rPr>
          <w:rFonts w:eastAsia="Times New Roman" w:cs="Arial"/>
          <w:b/>
          <w:bCs/>
          <w:i/>
          <w:iCs/>
          <w:color w:val="000000" w:themeColor="text1"/>
          <w:sz w:val="24"/>
          <w:szCs w:val="24"/>
        </w:rPr>
        <w:t>bis</w:t>
      </w:r>
      <w:r w:rsidRPr="009B1906">
        <w:rPr>
          <w:rFonts w:eastAsia="Times New Roman" w:cs="Arial"/>
          <w:b/>
          <w:bCs/>
          <w:color w:val="000000" w:themeColor="text1"/>
          <w:sz w:val="24"/>
          <w:szCs w:val="24"/>
        </w:rPr>
        <w:t>. Al fine di assicurare il recupero della piena funzionalità tecnica della “Funivia Savona – San Giuseppe di Cairo”, la continuità dell'esercizio dei servizi di trasporto portuale basso impatto ambientale e di traffico, nonché il mantenimento degli attuali livelli occupazionali, il Commissario straordinario di cui al comma 4, in caso di cessazione dell'attuale concessione e nelle more dell'individuazione di un nuovo concessionario da parte del medesimo Commissario, provvede, in deroga alle previsioni di cui all'articolo 21, comma 5, del decreto-legge 6 luglio 2011, n. 98, convertito, con modificazioni, dalla legge 15 luglio 2011, n. 111, alla gestione diretta di detto servizio per un periodo massimo di ventiquattro mesi, prorogabile con decreto del Ministro delle infrastrutture e della mobilità sostenibili per ulteriori dodici mesi e comunque non oltre il 31 dicembre 2024.</w:t>
      </w:r>
    </w:p>
    <w:p w14:paraId="438094C5" w14:textId="77777777" w:rsidR="007837F5" w:rsidRPr="009B1906" w:rsidRDefault="007837F5" w:rsidP="007837F5">
      <w:pPr>
        <w:shd w:val="clear" w:color="auto" w:fill="FFFFFF"/>
        <w:spacing w:after="0" w:line="240" w:lineRule="auto"/>
        <w:jc w:val="both"/>
        <w:rPr>
          <w:rFonts w:eastAsia="Times New Roman" w:cs="Arial"/>
          <w:b/>
          <w:bCs/>
          <w:color w:val="000000" w:themeColor="text1"/>
          <w:sz w:val="24"/>
          <w:szCs w:val="24"/>
        </w:rPr>
      </w:pP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7-</w:t>
      </w:r>
      <w:r w:rsidRPr="009B1906">
        <w:rPr>
          <w:rFonts w:eastAsia="Times New Roman" w:cs="Arial"/>
          <w:b/>
          <w:bCs/>
          <w:i/>
          <w:iCs/>
          <w:color w:val="000000" w:themeColor="text1"/>
          <w:sz w:val="24"/>
          <w:szCs w:val="24"/>
        </w:rPr>
        <w:t>ter</w:t>
      </w:r>
      <w:r w:rsidRPr="009B1906">
        <w:rPr>
          <w:rFonts w:eastAsia="Times New Roman" w:cs="Arial"/>
          <w:b/>
          <w:bCs/>
          <w:color w:val="000000" w:themeColor="text1"/>
          <w:sz w:val="24"/>
          <w:szCs w:val="24"/>
        </w:rPr>
        <w:t>. Con decreto del Ministro delle infrastrutture e della mobilità sostenibile, adottato entro trenta giorni dalla data di entrata in vigore della presente disposizione, sono definiti:</w:t>
      </w:r>
    </w:p>
    <w:p w14:paraId="36D81326" w14:textId="77777777" w:rsidR="007837F5" w:rsidRPr="009B1906" w:rsidRDefault="007837F5" w:rsidP="007837F5">
      <w:pPr>
        <w:shd w:val="clear" w:color="auto" w:fill="FFFFFF"/>
        <w:spacing w:after="0" w:line="240" w:lineRule="auto"/>
        <w:jc w:val="both"/>
        <w:rPr>
          <w:rFonts w:eastAsia="Times New Roman" w:cs="Arial"/>
          <w:b/>
          <w:bCs/>
          <w:color w:val="000000" w:themeColor="text1"/>
          <w:sz w:val="24"/>
          <w:szCs w:val="24"/>
        </w:rPr>
      </w:pP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 </w:t>
      </w:r>
      <w:r w:rsidRPr="009B1906">
        <w:rPr>
          <w:rFonts w:eastAsia="Times New Roman" w:cs="Arial"/>
          <w:b/>
          <w:bCs/>
          <w:i/>
          <w:iCs/>
          <w:color w:val="000000" w:themeColor="text1"/>
          <w:sz w:val="24"/>
          <w:szCs w:val="24"/>
        </w:rPr>
        <w:t>a)</w:t>
      </w:r>
      <w:r w:rsidRPr="009B1906">
        <w:rPr>
          <w:rFonts w:eastAsia="Times New Roman" w:cs="Arial"/>
          <w:b/>
          <w:bCs/>
          <w:color w:val="000000" w:themeColor="text1"/>
          <w:sz w:val="24"/>
          <w:szCs w:val="24"/>
        </w:rPr>
        <w:t> le modalità per l'acquisizione in carico alla gestione commissariale, fermo quanto previsto dal comma 1, dei contratti individuali di lavoro con il personale addetto al servizio alla data di cessazione dell'attuale concessione, nel rispetto delle qualifiche funzionali e dei livelli retributivi posseduti, in conformità alle previsioni del vigente Contratto collettivo nazionale di lavoro di settore;</w:t>
      </w:r>
    </w:p>
    <w:p w14:paraId="1A635A85" w14:textId="77777777" w:rsidR="007837F5" w:rsidRPr="009B1906" w:rsidRDefault="007837F5" w:rsidP="007837F5">
      <w:pPr>
        <w:shd w:val="clear" w:color="auto" w:fill="FFFFFF"/>
        <w:spacing w:after="0" w:line="240" w:lineRule="auto"/>
        <w:jc w:val="both"/>
        <w:rPr>
          <w:rFonts w:eastAsia="Times New Roman" w:cs="Arial"/>
          <w:b/>
          <w:bCs/>
          <w:color w:val="000000" w:themeColor="text1"/>
          <w:sz w:val="24"/>
          <w:szCs w:val="24"/>
        </w:rPr>
      </w:pP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 </w:t>
      </w:r>
      <w:r w:rsidRPr="009B1906">
        <w:rPr>
          <w:rFonts w:eastAsia="Times New Roman" w:cs="Arial"/>
          <w:b/>
          <w:bCs/>
          <w:i/>
          <w:iCs/>
          <w:color w:val="000000" w:themeColor="text1"/>
          <w:sz w:val="24"/>
          <w:szCs w:val="24"/>
        </w:rPr>
        <w:t>b)</w:t>
      </w:r>
      <w:r w:rsidRPr="009B1906">
        <w:rPr>
          <w:rFonts w:eastAsia="Times New Roman" w:cs="Arial"/>
          <w:b/>
          <w:bCs/>
          <w:color w:val="000000" w:themeColor="text1"/>
          <w:sz w:val="24"/>
          <w:szCs w:val="24"/>
        </w:rPr>
        <w:t> le modalità per la reintegrazione dei beni strumentali concessi in uso al concessionario nonché per il riscatto di quelli di proprietà dello stesso, ritenuti indispensabili per la prosecuzione del servizio;</w:t>
      </w:r>
    </w:p>
    <w:p w14:paraId="70945F41" w14:textId="77777777" w:rsidR="007837F5" w:rsidRPr="009B1906" w:rsidRDefault="007837F5" w:rsidP="007837F5">
      <w:pPr>
        <w:shd w:val="clear" w:color="auto" w:fill="FFFFFF"/>
        <w:spacing w:after="0" w:line="240" w:lineRule="auto"/>
        <w:jc w:val="both"/>
        <w:rPr>
          <w:rFonts w:eastAsia="Times New Roman" w:cs="Arial"/>
          <w:b/>
          <w:bCs/>
          <w:color w:val="000000" w:themeColor="text1"/>
          <w:sz w:val="24"/>
          <w:szCs w:val="24"/>
        </w:rPr>
      </w:pP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 </w:t>
      </w:r>
      <w:r w:rsidRPr="009B1906">
        <w:rPr>
          <w:rFonts w:eastAsia="Times New Roman" w:cs="Arial"/>
          <w:b/>
          <w:bCs/>
          <w:i/>
          <w:iCs/>
          <w:color w:val="000000" w:themeColor="text1"/>
          <w:sz w:val="24"/>
          <w:szCs w:val="24"/>
        </w:rPr>
        <w:t>c)</w:t>
      </w:r>
      <w:r w:rsidRPr="009B1906">
        <w:rPr>
          <w:rFonts w:eastAsia="Times New Roman" w:cs="Arial"/>
          <w:b/>
          <w:bCs/>
          <w:color w:val="000000" w:themeColor="text1"/>
          <w:sz w:val="24"/>
          <w:szCs w:val="24"/>
        </w:rPr>
        <w:t> le modalità per il trasferimento alla gestione commissariale dei contratti con soggetti terzi in corso di validità, necessari per la prosecuzione del servizio, ivi compresi i contratti di appalto per l'esecuzione di lavori, servizi e forniture di cui al decreto legislativo 18 aprile 2016 n. 50;</w:t>
      </w:r>
    </w:p>
    <w:p w14:paraId="071730A3" w14:textId="77777777" w:rsidR="007837F5" w:rsidRPr="009B1906" w:rsidRDefault="007837F5" w:rsidP="007837F5">
      <w:pPr>
        <w:shd w:val="clear" w:color="auto" w:fill="FFFFFF"/>
        <w:spacing w:after="0" w:line="240" w:lineRule="auto"/>
        <w:jc w:val="both"/>
        <w:rPr>
          <w:rFonts w:eastAsia="Times New Roman" w:cs="Arial"/>
          <w:b/>
          <w:bCs/>
          <w:color w:val="000000" w:themeColor="text1"/>
          <w:sz w:val="24"/>
          <w:szCs w:val="24"/>
        </w:rPr>
      </w:pP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 </w:t>
      </w:r>
      <w:r w:rsidRPr="009B1906">
        <w:rPr>
          <w:rFonts w:eastAsia="Times New Roman" w:cs="Arial"/>
          <w:b/>
          <w:bCs/>
          <w:i/>
          <w:iCs/>
          <w:color w:val="000000" w:themeColor="text1"/>
          <w:sz w:val="24"/>
          <w:szCs w:val="24"/>
        </w:rPr>
        <w:t>d)</w:t>
      </w:r>
      <w:r w:rsidRPr="009B1906">
        <w:rPr>
          <w:rFonts w:eastAsia="Times New Roman" w:cs="Arial"/>
          <w:b/>
          <w:bCs/>
          <w:color w:val="000000" w:themeColor="text1"/>
          <w:sz w:val="24"/>
          <w:szCs w:val="24"/>
        </w:rPr>
        <w:t> i termini per la predisposizione da parte della gestione commissariale di un nuovo piano industriale, operativo e finanziario, nonché per l'affidamento del servizio ad un nuovo concessionario secondo le modalità di cui al decreto legislativo 18 aprile 2016, n. 50;</w:t>
      </w:r>
    </w:p>
    <w:p w14:paraId="1FB17F9C" w14:textId="77777777" w:rsidR="007837F5" w:rsidRPr="009B1906" w:rsidRDefault="007837F5" w:rsidP="007837F5">
      <w:pPr>
        <w:shd w:val="clear" w:color="auto" w:fill="FFFFFF"/>
        <w:spacing w:after="0" w:line="240" w:lineRule="auto"/>
        <w:jc w:val="both"/>
        <w:rPr>
          <w:rFonts w:eastAsia="Times New Roman" w:cs="Arial"/>
          <w:b/>
          <w:bCs/>
          <w:color w:val="000000" w:themeColor="text1"/>
          <w:sz w:val="24"/>
          <w:szCs w:val="24"/>
        </w:rPr>
      </w:pP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 </w:t>
      </w:r>
      <w:r w:rsidRPr="009B1906">
        <w:rPr>
          <w:rFonts w:eastAsia="Times New Roman" w:cs="Arial"/>
          <w:b/>
          <w:bCs/>
          <w:i/>
          <w:iCs/>
          <w:color w:val="000000" w:themeColor="text1"/>
          <w:sz w:val="24"/>
          <w:szCs w:val="24"/>
        </w:rPr>
        <w:t>e)</w:t>
      </w:r>
      <w:r w:rsidRPr="009B1906">
        <w:rPr>
          <w:rFonts w:eastAsia="Times New Roman" w:cs="Arial"/>
          <w:b/>
          <w:bCs/>
          <w:color w:val="000000" w:themeColor="text1"/>
          <w:sz w:val="24"/>
          <w:szCs w:val="24"/>
        </w:rPr>
        <w:t> la quota percentuale delle risorse di cui al comma 7-</w:t>
      </w:r>
      <w:r w:rsidRPr="009B1906">
        <w:rPr>
          <w:rFonts w:eastAsia="Times New Roman" w:cs="Arial"/>
          <w:b/>
          <w:bCs/>
          <w:i/>
          <w:iCs/>
          <w:color w:val="000000" w:themeColor="text1"/>
          <w:sz w:val="24"/>
          <w:szCs w:val="24"/>
        </w:rPr>
        <w:t>septies</w:t>
      </w:r>
      <w:r w:rsidRPr="009B1906">
        <w:rPr>
          <w:rFonts w:eastAsia="Times New Roman" w:cs="Arial"/>
          <w:b/>
          <w:bCs/>
          <w:color w:val="000000" w:themeColor="text1"/>
          <w:sz w:val="24"/>
          <w:szCs w:val="24"/>
        </w:rPr>
        <w:t> eventualmente da destinare alle spese di supporto tecnico per lo svolgimento delle attività di cui al presente comma e al comma 7-</w:t>
      </w:r>
      <w:r w:rsidRPr="009B1906">
        <w:rPr>
          <w:rFonts w:eastAsia="Times New Roman" w:cs="Arial"/>
          <w:b/>
          <w:bCs/>
          <w:i/>
          <w:iCs/>
          <w:color w:val="000000" w:themeColor="text1"/>
          <w:sz w:val="24"/>
          <w:szCs w:val="24"/>
        </w:rPr>
        <w:t>bis</w:t>
      </w:r>
      <w:r w:rsidRPr="009B1906">
        <w:rPr>
          <w:rFonts w:eastAsia="Times New Roman" w:cs="Arial"/>
          <w:b/>
          <w:bCs/>
          <w:color w:val="000000" w:themeColor="text1"/>
          <w:sz w:val="24"/>
          <w:szCs w:val="24"/>
        </w:rPr>
        <w:t>.</w:t>
      </w:r>
    </w:p>
    <w:p w14:paraId="77794575" w14:textId="77777777" w:rsidR="007837F5" w:rsidRDefault="007837F5" w:rsidP="007837F5">
      <w:pPr>
        <w:shd w:val="clear" w:color="auto" w:fill="FFFFFF"/>
        <w:spacing w:after="0" w:line="240" w:lineRule="auto"/>
        <w:jc w:val="both"/>
        <w:rPr>
          <w:rFonts w:eastAsia="Times New Roman" w:cs="Arial"/>
          <w:b/>
          <w:bCs/>
          <w:color w:val="000000" w:themeColor="text1"/>
          <w:sz w:val="24"/>
          <w:szCs w:val="24"/>
        </w:rPr>
      </w:pP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7-</w:t>
      </w:r>
      <w:r w:rsidRPr="009B1906">
        <w:rPr>
          <w:rFonts w:eastAsia="Times New Roman" w:cs="Arial"/>
          <w:b/>
          <w:bCs/>
          <w:i/>
          <w:iCs/>
          <w:color w:val="000000" w:themeColor="text1"/>
          <w:sz w:val="24"/>
          <w:szCs w:val="24"/>
        </w:rPr>
        <w:t>quater</w:t>
      </w:r>
      <w:r w:rsidRPr="009B1906">
        <w:rPr>
          <w:rFonts w:eastAsia="Times New Roman" w:cs="Arial"/>
          <w:b/>
          <w:bCs/>
          <w:color w:val="000000" w:themeColor="text1"/>
          <w:sz w:val="24"/>
          <w:szCs w:val="24"/>
        </w:rPr>
        <w:t>. Per il supporto tecnico e le attività connesse alla realizzazione delle attività di cui ai commi 7-</w:t>
      </w:r>
      <w:r w:rsidRPr="009B1906">
        <w:rPr>
          <w:rFonts w:eastAsia="Times New Roman" w:cs="Arial"/>
          <w:b/>
          <w:bCs/>
          <w:i/>
          <w:iCs/>
          <w:color w:val="000000" w:themeColor="text1"/>
          <w:sz w:val="24"/>
          <w:szCs w:val="24"/>
        </w:rPr>
        <w:t>bis</w:t>
      </w:r>
      <w:r w:rsidRPr="009B1906">
        <w:rPr>
          <w:rFonts w:eastAsia="Times New Roman" w:cs="Arial"/>
          <w:b/>
          <w:bCs/>
          <w:color w:val="000000" w:themeColor="text1"/>
          <w:sz w:val="24"/>
          <w:szCs w:val="24"/>
        </w:rPr>
        <w:t> e 7-</w:t>
      </w:r>
      <w:r w:rsidRPr="009B1906">
        <w:rPr>
          <w:rFonts w:eastAsia="Times New Roman" w:cs="Arial"/>
          <w:b/>
          <w:bCs/>
          <w:i/>
          <w:iCs/>
          <w:color w:val="000000" w:themeColor="text1"/>
          <w:sz w:val="24"/>
          <w:szCs w:val="24"/>
        </w:rPr>
        <w:t>ter</w:t>
      </w:r>
      <w:r w:rsidRPr="009B1906">
        <w:rPr>
          <w:rFonts w:eastAsia="Times New Roman" w:cs="Arial"/>
          <w:b/>
          <w:bCs/>
          <w:color w:val="000000" w:themeColor="text1"/>
          <w:sz w:val="24"/>
          <w:szCs w:val="24"/>
        </w:rPr>
        <w:t>, il Commissario si può avvalere, senza nuovi o maggiori oneri per la finanza pubblica, di strutture dell'amministrazione centrale o territoriale interessata, nonché di società controllate direttamente o indirettamente dallo Stato, dalle regioni o da altri soggetti di cui all'articolo 1, comma 2, della legge 31 dicembre 2009, n. 196, i cui oneri sono posti a carico delle risorse di cui al comma 7-</w:t>
      </w:r>
      <w:r w:rsidRPr="009B1906">
        <w:rPr>
          <w:rFonts w:eastAsia="Times New Roman" w:cs="Arial"/>
          <w:b/>
          <w:bCs/>
          <w:i/>
          <w:iCs/>
          <w:color w:val="000000" w:themeColor="text1"/>
          <w:sz w:val="24"/>
          <w:szCs w:val="24"/>
        </w:rPr>
        <w:t>septies</w:t>
      </w:r>
      <w:r w:rsidRPr="009B1906">
        <w:rPr>
          <w:rFonts w:eastAsia="Times New Roman" w:cs="Arial"/>
          <w:b/>
          <w:bCs/>
          <w:color w:val="000000" w:themeColor="text1"/>
          <w:sz w:val="24"/>
          <w:szCs w:val="24"/>
        </w:rPr>
        <w:t> nell'ambito della percentuale individuata ai sensi della lettera </w:t>
      </w:r>
      <w:r w:rsidRPr="009B1906">
        <w:rPr>
          <w:rFonts w:eastAsia="Times New Roman" w:cs="Arial"/>
          <w:b/>
          <w:bCs/>
          <w:i/>
          <w:iCs/>
          <w:color w:val="000000" w:themeColor="text1"/>
          <w:sz w:val="24"/>
          <w:szCs w:val="24"/>
        </w:rPr>
        <w:t>e)</w:t>
      </w:r>
      <w:r w:rsidRPr="009B1906">
        <w:rPr>
          <w:rFonts w:eastAsia="Times New Roman" w:cs="Arial"/>
          <w:b/>
          <w:bCs/>
          <w:color w:val="000000" w:themeColor="text1"/>
          <w:sz w:val="24"/>
          <w:szCs w:val="24"/>
        </w:rPr>
        <w:t> del comma 7-</w:t>
      </w:r>
      <w:r w:rsidRPr="009B1906">
        <w:rPr>
          <w:rFonts w:eastAsia="Times New Roman" w:cs="Arial"/>
          <w:b/>
          <w:bCs/>
          <w:i/>
          <w:iCs/>
          <w:color w:val="000000" w:themeColor="text1"/>
          <w:sz w:val="24"/>
          <w:szCs w:val="24"/>
        </w:rPr>
        <w:t>ter</w:t>
      </w:r>
      <w:r w:rsidRPr="009B1906">
        <w:rPr>
          <w:rFonts w:eastAsia="Times New Roman" w:cs="Arial"/>
          <w:b/>
          <w:bCs/>
          <w:color w:val="000000" w:themeColor="text1"/>
          <w:sz w:val="24"/>
          <w:szCs w:val="24"/>
        </w:rPr>
        <w:t>. Il Commissario straordinario può nominare fino a due sub-commissari. L'eventuale compenso del sub-</w:t>
      </w:r>
      <w:r w:rsidRPr="009B1906">
        <w:rPr>
          <w:rFonts w:eastAsia="Times New Roman" w:cs="Arial"/>
          <w:b/>
          <w:bCs/>
          <w:color w:val="000000" w:themeColor="text1"/>
          <w:sz w:val="24"/>
          <w:szCs w:val="24"/>
        </w:rPr>
        <w:lastRenderedPageBreak/>
        <w:t>commissario, da determinare in misura non superiore a quella indicata all'articolo 15, comma 3, del decreto-legge 6 luglio 2011, n. 98, convertito, con modificazioni, dalla legge 15 luglio 2011, n. 111, è posto a carico del quadro delle risorse di cui al comma 7-</w:t>
      </w:r>
      <w:r w:rsidRPr="009B1906">
        <w:rPr>
          <w:rFonts w:eastAsia="Times New Roman" w:cs="Arial"/>
          <w:b/>
          <w:bCs/>
          <w:i/>
          <w:iCs/>
          <w:color w:val="000000" w:themeColor="text1"/>
          <w:sz w:val="24"/>
          <w:szCs w:val="24"/>
        </w:rPr>
        <w:t>septies</w:t>
      </w:r>
      <w:r w:rsidRPr="009B1906">
        <w:rPr>
          <w:rFonts w:eastAsia="Times New Roman" w:cs="Arial"/>
          <w:b/>
          <w:bCs/>
          <w:color w:val="000000" w:themeColor="text1"/>
          <w:sz w:val="24"/>
          <w:szCs w:val="24"/>
        </w:rPr>
        <w:t> nell'ambito della percentuale individuata ai sensi della citata lettera </w:t>
      </w:r>
      <w:r w:rsidRPr="009B1906">
        <w:rPr>
          <w:rFonts w:eastAsia="Times New Roman" w:cs="Arial"/>
          <w:b/>
          <w:bCs/>
          <w:i/>
          <w:iCs/>
          <w:color w:val="000000" w:themeColor="text1"/>
          <w:sz w:val="24"/>
          <w:szCs w:val="24"/>
        </w:rPr>
        <w:t>e)</w:t>
      </w:r>
      <w:r w:rsidRPr="009B1906">
        <w:rPr>
          <w:rFonts w:eastAsia="Times New Roman" w:cs="Arial"/>
          <w:b/>
          <w:bCs/>
          <w:color w:val="000000" w:themeColor="text1"/>
          <w:sz w:val="24"/>
          <w:szCs w:val="24"/>
        </w:rPr>
        <w:t> del comma 7-</w:t>
      </w:r>
      <w:r w:rsidRPr="009B1906">
        <w:rPr>
          <w:rFonts w:eastAsia="Times New Roman" w:cs="Arial"/>
          <w:b/>
          <w:bCs/>
          <w:i/>
          <w:iCs/>
          <w:color w:val="000000" w:themeColor="text1"/>
          <w:sz w:val="24"/>
          <w:szCs w:val="24"/>
        </w:rPr>
        <w:t>ter</w:t>
      </w:r>
      <w:r w:rsidRPr="009B1906">
        <w:rPr>
          <w:rFonts w:eastAsia="Times New Roman" w:cs="Arial"/>
          <w:b/>
          <w:bCs/>
          <w:color w:val="000000" w:themeColor="text1"/>
          <w:sz w:val="24"/>
          <w:szCs w:val="24"/>
        </w:rPr>
        <w:t>.</w:t>
      </w:r>
    </w:p>
    <w:p w14:paraId="7582E2FD" w14:textId="77777777" w:rsidR="007837F5" w:rsidRDefault="007837F5" w:rsidP="007837F5">
      <w:pPr>
        <w:shd w:val="clear" w:color="auto" w:fill="FFFFFF"/>
        <w:spacing w:after="0" w:line="240" w:lineRule="auto"/>
        <w:jc w:val="both"/>
        <w:rPr>
          <w:rFonts w:eastAsia="Times New Roman" w:cs="Arial"/>
          <w:b/>
          <w:bCs/>
          <w:color w:val="000000" w:themeColor="text1"/>
          <w:sz w:val="24"/>
          <w:szCs w:val="24"/>
        </w:rPr>
      </w:pP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7-</w:t>
      </w:r>
      <w:r w:rsidRPr="009B1906">
        <w:rPr>
          <w:rFonts w:eastAsia="Times New Roman" w:cs="Arial"/>
          <w:b/>
          <w:bCs/>
          <w:i/>
          <w:iCs/>
          <w:color w:val="000000" w:themeColor="text1"/>
          <w:sz w:val="24"/>
          <w:szCs w:val="24"/>
        </w:rPr>
        <w:t>quinquies</w:t>
      </w:r>
      <w:r w:rsidRPr="009B1906">
        <w:rPr>
          <w:rFonts w:eastAsia="Times New Roman" w:cs="Arial"/>
          <w:b/>
          <w:bCs/>
          <w:color w:val="000000" w:themeColor="text1"/>
          <w:sz w:val="24"/>
          <w:szCs w:val="24"/>
        </w:rPr>
        <w:t>. In relazione alle attività di cui ai commi 7-</w:t>
      </w:r>
      <w:r w:rsidRPr="009B1906">
        <w:rPr>
          <w:rFonts w:eastAsia="Times New Roman" w:cs="Arial"/>
          <w:b/>
          <w:bCs/>
          <w:i/>
          <w:iCs/>
          <w:color w:val="000000" w:themeColor="text1"/>
          <w:sz w:val="24"/>
          <w:szCs w:val="24"/>
        </w:rPr>
        <w:t>bis</w:t>
      </w:r>
      <w:r w:rsidRPr="009B1906">
        <w:rPr>
          <w:rFonts w:eastAsia="Times New Roman" w:cs="Arial"/>
          <w:b/>
          <w:bCs/>
          <w:color w:val="000000" w:themeColor="text1"/>
          <w:sz w:val="24"/>
          <w:szCs w:val="24"/>
        </w:rPr>
        <w:t> e 7-</w:t>
      </w:r>
      <w:r w:rsidRPr="009B1906">
        <w:rPr>
          <w:rFonts w:eastAsia="Times New Roman" w:cs="Arial"/>
          <w:b/>
          <w:bCs/>
          <w:i/>
          <w:iCs/>
          <w:color w:val="000000" w:themeColor="text1"/>
          <w:sz w:val="24"/>
          <w:szCs w:val="24"/>
        </w:rPr>
        <w:t>ter</w:t>
      </w:r>
      <w:r w:rsidRPr="009B1906">
        <w:rPr>
          <w:rFonts w:eastAsia="Times New Roman" w:cs="Arial"/>
          <w:b/>
          <w:bCs/>
          <w:color w:val="000000" w:themeColor="text1"/>
          <w:sz w:val="24"/>
          <w:szCs w:val="24"/>
        </w:rPr>
        <w:t xml:space="preserve">, il Commissario straordinario invia al Ministero delle infrastrutture e della mobilità sostenibili entro il 31 dicembre 2021 e, successivamente, ogni sei mesi, una dettagliata relazione in ordine alle </w:t>
      </w:r>
      <w:proofErr w:type="gramStart"/>
      <w:r w:rsidRPr="009B1906">
        <w:rPr>
          <w:rFonts w:eastAsia="Times New Roman" w:cs="Arial"/>
          <w:b/>
          <w:bCs/>
          <w:color w:val="000000" w:themeColor="text1"/>
          <w:sz w:val="24"/>
          <w:szCs w:val="24"/>
        </w:rPr>
        <w:t>predette</w:t>
      </w:r>
      <w:proofErr w:type="gramEnd"/>
      <w:r w:rsidRPr="009B1906">
        <w:rPr>
          <w:rFonts w:eastAsia="Times New Roman" w:cs="Arial"/>
          <w:b/>
          <w:bCs/>
          <w:color w:val="000000" w:themeColor="text1"/>
          <w:sz w:val="24"/>
          <w:szCs w:val="24"/>
        </w:rPr>
        <w:t xml:space="preserve"> attività, recante l'indicazione dello stato di realizzazione delle attività e delle iniziative adottate e da intraprendere, anche in funzione delle eventuali criticità rilevate nel corso del processo di realizzazione.</w:t>
      </w:r>
      <w:r w:rsidRPr="009B1906">
        <w:rPr>
          <w:rFonts w:eastAsia="Times New Roman" w:cs="Arial"/>
          <w:b/>
          <w:bCs/>
          <w:color w:val="000000" w:themeColor="text1"/>
          <w:sz w:val="24"/>
          <w:szCs w:val="24"/>
        </w:rPr>
        <w:br/>
      </w: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7-</w:t>
      </w:r>
      <w:r w:rsidRPr="009B1906">
        <w:rPr>
          <w:rFonts w:eastAsia="Times New Roman" w:cs="Arial"/>
          <w:b/>
          <w:bCs/>
          <w:i/>
          <w:iCs/>
          <w:color w:val="000000" w:themeColor="text1"/>
          <w:sz w:val="24"/>
          <w:szCs w:val="24"/>
        </w:rPr>
        <w:t>sexies</w:t>
      </w:r>
      <w:r w:rsidRPr="009B1906">
        <w:rPr>
          <w:rFonts w:eastAsia="Times New Roman" w:cs="Arial"/>
          <w:b/>
          <w:bCs/>
          <w:color w:val="000000" w:themeColor="text1"/>
          <w:sz w:val="24"/>
          <w:szCs w:val="24"/>
        </w:rPr>
        <w:t>. Alla scadenza della gestione commissariale di cui al comma 7-</w:t>
      </w:r>
      <w:r w:rsidRPr="009B1906">
        <w:rPr>
          <w:rFonts w:eastAsia="Times New Roman" w:cs="Arial"/>
          <w:b/>
          <w:bCs/>
          <w:i/>
          <w:iCs/>
          <w:color w:val="000000" w:themeColor="text1"/>
          <w:sz w:val="24"/>
          <w:szCs w:val="24"/>
        </w:rPr>
        <w:t>bis</w:t>
      </w:r>
      <w:r w:rsidRPr="009B1906">
        <w:rPr>
          <w:rFonts w:eastAsia="Times New Roman" w:cs="Arial"/>
          <w:b/>
          <w:bCs/>
          <w:color w:val="000000" w:themeColor="text1"/>
          <w:sz w:val="24"/>
          <w:szCs w:val="24"/>
        </w:rPr>
        <w:t>, qualora non sia stato possibile individuare un nuovo concessionario, la regione Liguria subentra allo Stato, quale concedente dell'impianto funiviario. Con decreto del Presidente del Consiglio dei ministri, previo accordo di programma tra il Ministero delle infrastrutture e della mobilità sostenibile e la regione Liguria, ai sensi dell'articolo 4, comma 4, lettera </w:t>
      </w:r>
      <w:r w:rsidRPr="009B1906">
        <w:rPr>
          <w:rFonts w:eastAsia="Times New Roman" w:cs="Arial"/>
          <w:b/>
          <w:bCs/>
          <w:i/>
          <w:iCs/>
          <w:color w:val="000000" w:themeColor="text1"/>
          <w:sz w:val="24"/>
          <w:szCs w:val="24"/>
        </w:rPr>
        <w:t>a)</w:t>
      </w:r>
      <w:r w:rsidRPr="009B1906">
        <w:rPr>
          <w:rFonts w:eastAsia="Times New Roman" w:cs="Arial"/>
          <w:b/>
          <w:bCs/>
          <w:color w:val="000000" w:themeColor="text1"/>
          <w:sz w:val="24"/>
          <w:szCs w:val="24"/>
        </w:rPr>
        <w:t>, della legge 15 marzo 1997, n. 59, si provvede all'attuazione del conferimento e all'attribuzione delle relative risorse. L'accordo di programma, di cui al primo periodo, può disporre, previa intesa tra regione ed enti locali, la contestuale attribuzione e ripartizione fra gli enti locali delle risorse finanziarie, umane, strumentali ed organizzative.</w:t>
      </w:r>
    </w:p>
    <w:p w14:paraId="29F29ED1" w14:textId="70F7FF5B" w:rsidR="007837F5" w:rsidRDefault="007837F5" w:rsidP="007837F5">
      <w:pPr>
        <w:shd w:val="clear" w:color="auto" w:fill="FFFFFF"/>
        <w:spacing w:after="0" w:line="240" w:lineRule="auto"/>
        <w:jc w:val="both"/>
        <w:rPr>
          <w:rFonts w:eastAsia="Times New Roman" w:cs="Arial"/>
          <w:b/>
          <w:bCs/>
          <w:color w:val="000000" w:themeColor="text1"/>
          <w:sz w:val="24"/>
          <w:szCs w:val="24"/>
        </w:rPr>
      </w:pP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7-</w:t>
      </w:r>
      <w:r w:rsidRPr="009B1906">
        <w:rPr>
          <w:rFonts w:eastAsia="Times New Roman" w:cs="Arial"/>
          <w:b/>
          <w:bCs/>
          <w:i/>
          <w:iCs/>
          <w:color w:val="000000" w:themeColor="text1"/>
          <w:sz w:val="24"/>
          <w:szCs w:val="24"/>
        </w:rPr>
        <w:t>septies</w:t>
      </w:r>
      <w:r w:rsidRPr="009B1906">
        <w:rPr>
          <w:rFonts w:eastAsia="Times New Roman" w:cs="Arial"/>
          <w:b/>
          <w:bCs/>
          <w:color w:val="000000" w:themeColor="text1"/>
          <w:sz w:val="24"/>
          <w:szCs w:val="24"/>
        </w:rPr>
        <w:t>. All'attuazione delle disposizioni del presente articolo, pari a euro 90 mila per l'anno 2021, a euro 2.000.000 per l'anno 2022, a euro 5.600.000 per ciascuno degli anni 2023 e 2024, si provvede nell'ambito delle risorse finanziarie disponibili a legislazione vigente e, comunque, senza nuovi o maggiori oneri per la finanza pubblica.</w:t>
      </w:r>
      <w:r>
        <w:rPr>
          <w:rStyle w:val="Rimandonotaapidipagina"/>
          <w:rFonts w:eastAsia="Times New Roman" w:cs="Arial"/>
          <w:b/>
          <w:bCs/>
          <w:color w:val="000000" w:themeColor="text1"/>
          <w:sz w:val="24"/>
          <w:szCs w:val="24"/>
        </w:rPr>
        <w:footnoteReference w:id="113"/>
      </w:r>
    </w:p>
    <w:p w14:paraId="750C2C42" w14:textId="6F0AD6E3" w:rsidR="007837F5" w:rsidRDefault="007837F5" w:rsidP="007837F5">
      <w:pPr>
        <w:shd w:val="clear" w:color="auto" w:fill="FFFFFF"/>
        <w:spacing w:after="0" w:line="240" w:lineRule="auto"/>
        <w:jc w:val="both"/>
        <w:rPr>
          <w:rFonts w:eastAsia="Times New Roman" w:cs="Arial"/>
          <w:b/>
          <w:bCs/>
          <w:color w:val="000000" w:themeColor="text1"/>
          <w:sz w:val="24"/>
          <w:szCs w:val="24"/>
        </w:rPr>
      </w:pPr>
    </w:p>
    <w:p w14:paraId="4B1A1C7E" w14:textId="77777777" w:rsidR="007837F5" w:rsidRPr="009B1906" w:rsidRDefault="007837F5" w:rsidP="007837F5">
      <w:pPr>
        <w:shd w:val="clear" w:color="auto" w:fill="FFFFFF"/>
        <w:spacing w:after="0" w:line="240" w:lineRule="auto"/>
        <w:jc w:val="both"/>
        <w:rPr>
          <w:rFonts w:eastAsia="Times New Roman" w:cs="Arial"/>
          <w:b/>
          <w:bCs/>
          <w:color w:val="000000" w:themeColor="text1"/>
          <w:sz w:val="24"/>
          <w:szCs w:val="24"/>
        </w:rPr>
      </w:pPr>
      <w:r w:rsidRPr="009B1906">
        <w:rPr>
          <w:rFonts w:eastAsia="Times New Roman" w:cs="Arial"/>
          <w:b/>
          <w:bCs/>
          <w:color w:val="000000" w:themeColor="text1"/>
          <w:sz w:val="24"/>
          <w:szCs w:val="24"/>
        </w:rPr>
        <w:t>3-</w:t>
      </w:r>
      <w:r w:rsidRPr="009B1906">
        <w:rPr>
          <w:rFonts w:eastAsia="Times New Roman" w:cs="Arial"/>
          <w:b/>
          <w:bCs/>
          <w:i/>
          <w:iCs/>
          <w:color w:val="000000" w:themeColor="text1"/>
          <w:sz w:val="24"/>
          <w:szCs w:val="24"/>
        </w:rPr>
        <w:t>bis</w:t>
      </w:r>
      <w:r w:rsidRPr="009B1906">
        <w:rPr>
          <w:rFonts w:eastAsia="Times New Roman" w:cs="Arial"/>
          <w:b/>
          <w:bCs/>
          <w:color w:val="000000" w:themeColor="text1"/>
          <w:sz w:val="24"/>
          <w:szCs w:val="24"/>
        </w:rPr>
        <w:t>. All'articolo 3 del decreto-legge 11 marzo 2020, n. 16, convertito, con modificazioni, dalla legge 8 maggio 2020, n. 31, sono apportate le seguenti modificazioni:</w:t>
      </w:r>
    </w:p>
    <w:p w14:paraId="43C3FD1E" w14:textId="77777777" w:rsidR="007837F5" w:rsidRPr="009B1906" w:rsidRDefault="007837F5" w:rsidP="007837F5">
      <w:pPr>
        <w:shd w:val="clear" w:color="auto" w:fill="FFFFFF"/>
        <w:spacing w:after="0" w:line="240" w:lineRule="auto"/>
        <w:jc w:val="both"/>
        <w:rPr>
          <w:rFonts w:eastAsia="Times New Roman" w:cs="Arial"/>
          <w:b/>
          <w:bCs/>
          <w:color w:val="000000" w:themeColor="text1"/>
          <w:sz w:val="24"/>
          <w:szCs w:val="24"/>
        </w:rPr>
      </w:pP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 </w:t>
      </w:r>
      <w:r w:rsidRPr="009B1906">
        <w:rPr>
          <w:rFonts w:eastAsia="Times New Roman" w:cs="Arial"/>
          <w:b/>
          <w:bCs/>
          <w:i/>
          <w:iCs/>
          <w:color w:val="000000" w:themeColor="text1"/>
          <w:sz w:val="24"/>
          <w:szCs w:val="24"/>
        </w:rPr>
        <w:t>a)</w:t>
      </w:r>
      <w:r w:rsidRPr="009B1906">
        <w:rPr>
          <w:rFonts w:eastAsia="Times New Roman" w:cs="Arial"/>
          <w:b/>
          <w:bCs/>
          <w:color w:val="000000" w:themeColor="text1"/>
          <w:sz w:val="24"/>
          <w:szCs w:val="24"/>
        </w:rPr>
        <w:t xml:space="preserve"> al comma 6, è aggiunto in fine il seguente periodo: «Non si applicano le previsioni di cui all'articolo 2397, primo comma, secondo periodo, del </w:t>
      </w:r>
      <w:proofErr w:type="gramStart"/>
      <w:r w:rsidRPr="009B1906">
        <w:rPr>
          <w:rFonts w:eastAsia="Times New Roman" w:cs="Arial"/>
          <w:b/>
          <w:bCs/>
          <w:color w:val="000000" w:themeColor="text1"/>
          <w:sz w:val="24"/>
          <w:szCs w:val="24"/>
        </w:rPr>
        <w:t>codice civile</w:t>
      </w:r>
      <w:proofErr w:type="gramEnd"/>
      <w:r w:rsidRPr="009B1906">
        <w:rPr>
          <w:rFonts w:eastAsia="Times New Roman" w:cs="Arial"/>
          <w:b/>
          <w:bCs/>
          <w:color w:val="000000" w:themeColor="text1"/>
          <w:sz w:val="24"/>
          <w:szCs w:val="24"/>
        </w:rPr>
        <w:t>.»;</w:t>
      </w:r>
    </w:p>
    <w:p w14:paraId="50D23E97" w14:textId="77777777" w:rsidR="007837F5" w:rsidRPr="009B1906" w:rsidRDefault="007837F5" w:rsidP="007837F5">
      <w:pPr>
        <w:shd w:val="clear" w:color="auto" w:fill="FFFFFF"/>
        <w:spacing w:after="0" w:line="240" w:lineRule="auto"/>
        <w:jc w:val="both"/>
        <w:rPr>
          <w:rFonts w:eastAsia="Times New Roman" w:cs="Arial"/>
          <w:b/>
          <w:bCs/>
          <w:color w:val="000000" w:themeColor="text1"/>
          <w:sz w:val="24"/>
          <w:szCs w:val="24"/>
        </w:rPr>
      </w:pP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 </w:t>
      </w:r>
      <w:r w:rsidRPr="009B1906">
        <w:rPr>
          <w:rFonts w:eastAsia="Times New Roman" w:cs="Arial"/>
          <w:b/>
          <w:bCs/>
          <w:i/>
          <w:iCs/>
          <w:color w:val="000000" w:themeColor="text1"/>
          <w:sz w:val="24"/>
          <w:szCs w:val="24"/>
        </w:rPr>
        <w:t>b)</w:t>
      </w:r>
      <w:r w:rsidRPr="009B1906">
        <w:rPr>
          <w:rFonts w:eastAsia="Times New Roman" w:cs="Arial"/>
          <w:b/>
          <w:bCs/>
          <w:color w:val="000000" w:themeColor="text1"/>
          <w:sz w:val="24"/>
          <w:szCs w:val="24"/>
        </w:rPr>
        <w:t> al comma 11, è aggiunto in fine il seguente periodo: «Le somme previste nei quadri economici destinate ai servizi di ingegneria e architettura restano nella disponibilità della società che può svolgere direttamente i suddetti servizi o affidarli a soggetti terzi, secondo le procedure previste dal codice dei contratti pubblici.»;</w:t>
      </w:r>
    </w:p>
    <w:p w14:paraId="2CB806C4" w14:textId="77777777" w:rsidR="007837F5" w:rsidRPr="009B1906" w:rsidRDefault="007837F5" w:rsidP="007837F5">
      <w:pPr>
        <w:shd w:val="clear" w:color="auto" w:fill="FFFFFF"/>
        <w:spacing w:after="0" w:line="240" w:lineRule="auto"/>
        <w:jc w:val="both"/>
        <w:rPr>
          <w:rFonts w:eastAsia="Times New Roman" w:cs="Arial"/>
          <w:b/>
          <w:bCs/>
          <w:color w:val="000000" w:themeColor="text1"/>
          <w:sz w:val="24"/>
          <w:szCs w:val="24"/>
        </w:rPr>
      </w:pP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 </w:t>
      </w:r>
      <w:r w:rsidRPr="009B1906">
        <w:rPr>
          <w:rFonts w:eastAsia="Times New Roman" w:cs="Arial"/>
          <w:b/>
          <w:bCs/>
          <w:i/>
          <w:iCs/>
          <w:color w:val="000000" w:themeColor="text1"/>
          <w:sz w:val="24"/>
          <w:szCs w:val="24"/>
        </w:rPr>
        <w:t>c)</w:t>
      </w:r>
      <w:r w:rsidRPr="009B1906">
        <w:rPr>
          <w:rFonts w:eastAsia="Times New Roman" w:cs="Arial"/>
          <w:b/>
          <w:bCs/>
          <w:color w:val="000000" w:themeColor="text1"/>
          <w:sz w:val="24"/>
          <w:szCs w:val="24"/>
        </w:rPr>
        <w:t> dopo il comma 11, è inserito il seguente: «11-</w:t>
      </w:r>
      <w:r w:rsidRPr="009B1906">
        <w:rPr>
          <w:rFonts w:eastAsia="Times New Roman" w:cs="Arial"/>
          <w:b/>
          <w:bCs/>
          <w:i/>
          <w:iCs/>
          <w:color w:val="000000" w:themeColor="text1"/>
          <w:sz w:val="24"/>
          <w:szCs w:val="24"/>
        </w:rPr>
        <w:t>bis</w:t>
      </w:r>
      <w:r w:rsidRPr="009B1906">
        <w:rPr>
          <w:rFonts w:eastAsia="Times New Roman" w:cs="Arial"/>
          <w:b/>
          <w:bCs/>
          <w:color w:val="000000" w:themeColor="text1"/>
          <w:sz w:val="24"/>
          <w:szCs w:val="24"/>
        </w:rPr>
        <w:t>. Con uno o più decreti del Presidente del Consiglio dei ministri, su proposta del Ministro delle infrastrutture e della mobilità sostenibili, di concerto con l'Autorità di Governo competente in materia di sport, possono essere individuati gli interventi, tra quelli ricompresi nel piano predisposto dalla Società ai sensi del comma 2, caratterizzati da elevata complessità progettuale o procedurale, sottoposti alla procedura di cui all'articolo 44 del decreto-legge 31 maggio 2021, n. 77, convertito, con modificazioni, dalla legge 29 luglio 2021, n. 108».</w:t>
      </w:r>
    </w:p>
    <w:p w14:paraId="2AE853DD" w14:textId="77777777" w:rsidR="007837F5" w:rsidRPr="009B1906" w:rsidRDefault="007837F5" w:rsidP="007837F5">
      <w:pPr>
        <w:shd w:val="clear" w:color="auto" w:fill="FFFFFF"/>
        <w:spacing w:after="0" w:line="240" w:lineRule="auto"/>
        <w:jc w:val="both"/>
        <w:rPr>
          <w:rFonts w:eastAsia="Times New Roman" w:cs="Arial"/>
          <w:b/>
          <w:bCs/>
          <w:color w:val="000000" w:themeColor="text1"/>
          <w:sz w:val="24"/>
          <w:szCs w:val="24"/>
        </w:rPr>
      </w:pP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 </w:t>
      </w:r>
    </w:p>
    <w:p w14:paraId="2DE603C7" w14:textId="77777777" w:rsidR="007837F5" w:rsidRPr="009B1906" w:rsidRDefault="007837F5" w:rsidP="007837F5">
      <w:pPr>
        <w:shd w:val="clear" w:color="auto" w:fill="FFFFFF"/>
        <w:spacing w:after="0" w:line="240" w:lineRule="auto"/>
        <w:jc w:val="both"/>
        <w:rPr>
          <w:rFonts w:eastAsia="Times New Roman" w:cs="Arial"/>
          <w:b/>
          <w:bCs/>
          <w:color w:val="000000" w:themeColor="text1"/>
          <w:sz w:val="24"/>
          <w:szCs w:val="24"/>
        </w:rPr>
      </w:pPr>
      <w:r w:rsidRPr="009B1906">
        <w:rPr>
          <w:rFonts w:eastAsia="Times New Roman" w:cs="Arial"/>
          <w:b/>
          <w:bCs/>
          <w:color w:val="000000" w:themeColor="text1"/>
          <w:sz w:val="24"/>
          <w:szCs w:val="24"/>
        </w:rPr>
        <w:lastRenderedPageBreak/>
        <w:t>3-</w:t>
      </w:r>
      <w:r w:rsidRPr="009B1906">
        <w:rPr>
          <w:rFonts w:eastAsia="Times New Roman" w:cs="Arial"/>
          <w:b/>
          <w:bCs/>
          <w:i/>
          <w:iCs/>
          <w:color w:val="000000" w:themeColor="text1"/>
          <w:sz w:val="24"/>
          <w:szCs w:val="24"/>
        </w:rPr>
        <w:t>ter.</w:t>
      </w:r>
      <w:r w:rsidRPr="009B1906">
        <w:rPr>
          <w:rFonts w:eastAsia="Times New Roman" w:cs="Arial"/>
          <w:b/>
          <w:bCs/>
          <w:color w:val="000000" w:themeColor="text1"/>
          <w:sz w:val="24"/>
          <w:szCs w:val="24"/>
        </w:rPr>
        <w:t> All'articolo 44 del decreto-legge 31 maggio 2021, n. 77, convertito, con modificazioni, dalla legge 29 luglio 2021, n. 108, apportare le seguenti modificazioni:</w:t>
      </w:r>
    </w:p>
    <w:p w14:paraId="6C2BAF80" w14:textId="77777777" w:rsidR="007837F5" w:rsidRPr="009B1906" w:rsidRDefault="007837F5" w:rsidP="007837F5">
      <w:pPr>
        <w:shd w:val="clear" w:color="auto" w:fill="FFFFFF"/>
        <w:spacing w:after="0" w:line="240" w:lineRule="auto"/>
        <w:jc w:val="both"/>
        <w:rPr>
          <w:rFonts w:eastAsia="Times New Roman" w:cs="Arial"/>
          <w:b/>
          <w:bCs/>
          <w:color w:val="000000" w:themeColor="text1"/>
          <w:sz w:val="24"/>
          <w:szCs w:val="24"/>
        </w:rPr>
      </w:pP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 </w:t>
      </w:r>
      <w:r w:rsidRPr="009B1906">
        <w:rPr>
          <w:rFonts w:eastAsia="Times New Roman" w:cs="Arial"/>
          <w:b/>
          <w:bCs/>
          <w:i/>
          <w:iCs/>
          <w:color w:val="000000" w:themeColor="text1"/>
          <w:sz w:val="24"/>
          <w:szCs w:val="24"/>
        </w:rPr>
        <w:t>a)</w:t>
      </w:r>
      <w:r w:rsidRPr="009B1906">
        <w:rPr>
          <w:rFonts w:eastAsia="Times New Roman" w:cs="Arial"/>
          <w:b/>
          <w:bCs/>
          <w:color w:val="000000" w:themeColor="text1"/>
          <w:sz w:val="24"/>
          <w:szCs w:val="24"/>
        </w:rPr>
        <w:t> al comma 7, le parole: «definitivo e del progetto esecutivo» sono sostituite dalle seguenti: «da porre a base della procedura di affidamento» e le parole: «definitivo ovvero del progetto esecutivo» sono sostituite le seguenti: «posto a base della procedura di affidamento nonché dei successivi livelli progettuali»;</w:t>
      </w:r>
    </w:p>
    <w:p w14:paraId="62F8A2E8" w14:textId="5406FADF" w:rsidR="007837F5" w:rsidRDefault="007837F5" w:rsidP="007837F5">
      <w:pPr>
        <w:shd w:val="clear" w:color="auto" w:fill="FFFFFF"/>
        <w:spacing w:after="0" w:line="240" w:lineRule="auto"/>
        <w:jc w:val="both"/>
        <w:rPr>
          <w:rFonts w:eastAsia="Times New Roman" w:cs="Arial"/>
          <w:b/>
          <w:bCs/>
          <w:color w:val="000000" w:themeColor="text1"/>
          <w:sz w:val="24"/>
          <w:szCs w:val="24"/>
        </w:rPr>
      </w:pP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 </w:t>
      </w:r>
      <w:r w:rsidRPr="009B1906">
        <w:rPr>
          <w:rFonts w:eastAsia="Times New Roman" w:cs="Arial"/>
          <w:b/>
          <w:bCs/>
          <w:i/>
          <w:iCs/>
          <w:color w:val="000000" w:themeColor="text1"/>
          <w:sz w:val="24"/>
          <w:szCs w:val="24"/>
        </w:rPr>
        <w:t>b)</w:t>
      </w:r>
      <w:r w:rsidRPr="009B1906">
        <w:rPr>
          <w:rFonts w:eastAsia="Times New Roman" w:cs="Arial"/>
          <w:b/>
          <w:bCs/>
          <w:color w:val="000000" w:themeColor="text1"/>
          <w:sz w:val="24"/>
          <w:szCs w:val="24"/>
        </w:rPr>
        <w:t> dopo il comma 7, inserire il seguente: «7-</w:t>
      </w:r>
      <w:r w:rsidRPr="009B1906">
        <w:rPr>
          <w:rFonts w:eastAsia="Times New Roman" w:cs="Arial"/>
          <w:b/>
          <w:bCs/>
          <w:i/>
          <w:iCs/>
          <w:color w:val="000000" w:themeColor="text1"/>
          <w:sz w:val="24"/>
          <w:szCs w:val="24"/>
        </w:rPr>
        <w:t>bis</w:t>
      </w:r>
      <w:r w:rsidRPr="009B1906">
        <w:rPr>
          <w:rFonts w:eastAsia="Times New Roman" w:cs="Arial"/>
          <w:b/>
          <w:bCs/>
          <w:color w:val="000000" w:themeColor="text1"/>
          <w:sz w:val="24"/>
          <w:szCs w:val="24"/>
        </w:rPr>
        <w:t> Le previsioni dell'articolo 48, comma 5, primo, terzo e quarto periodo, si applicano anche ai fini della realizzazione degli interventi di cui al comma 1 del presente articolo.».</w:t>
      </w:r>
      <w:r>
        <w:rPr>
          <w:rStyle w:val="Rimandonotaapidipagina"/>
          <w:rFonts w:eastAsia="Times New Roman" w:cs="Arial"/>
          <w:b/>
          <w:bCs/>
          <w:color w:val="000000" w:themeColor="text1"/>
          <w:sz w:val="24"/>
          <w:szCs w:val="24"/>
        </w:rPr>
        <w:footnoteReference w:id="114"/>
      </w:r>
    </w:p>
    <w:p w14:paraId="2AD317FA" w14:textId="7F4B98EC" w:rsidR="007837F5" w:rsidRDefault="007837F5" w:rsidP="007837F5">
      <w:pPr>
        <w:shd w:val="clear" w:color="auto" w:fill="FFFFFF"/>
        <w:spacing w:after="0" w:line="240" w:lineRule="auto"/>
        <w:jc w:val="both"/>
        <w:rPr>
          <w:rFonts w:eastAsia="Times New Roman" w:cs="Arial"/>
          <w:b/>
          <w:bCs/>
          <w:color w:val="000000" w:themeColor="text1"/>
          <w:sz w:val="24"/>
          <w:szCs w:val="24"/>
        </w:rPr>
      </w:pPr>
    </w:p>
    <w:p w14:paraId="554DB0E6" w14:textId="3D4F8A7E" w:rsidR="007837F5" w:rsidRPr="009B1906" w:rsidRDefault="007837F5" w:rsidP="007837F5">
      <w:pPr>
        <w:shd w:val="clear" w:color="auto" w:fill="FFFFFF"/>
        <w:spacing w:after="0" w:line="240" w:lineRule="auto"/>
        <w:jc w:val="both"/>
        <w:rPr>
          <w:rFonts w:eastAsia="Times New Roman" w:cs="Arial"/>
          <w:b/>
          <w:bCs/>
          <w:color w:val="000000" w:themeColor="text1"/>
          <w:sz w:val="24"/>
          <w:szCs w:val="24"/>
        </w:rPr>
      </w:pPr>
      <w:r w:rsidRPr="009B1906">
        <w:rPr>
          <w:rFonts w:eastAsia="Times New Roman" w:cs="Arial"/>
          <w:b/>
          <w:bCs/>
          <w:color w:val="000000" w:themeColor="text1"/>
          <w:sz w:val="24"/>
          <w:szCs w:val="24"/>
        </w:rPr>
        <w:t>3-</w:t>
      </w:r>
      <w:r w:rsidRPr="009B1906">
        <w:rPr>
          <w:rFonts w:eastAsia="Times New Roman" w:cs="Arial"/>
          <w:b/>
          <w:bCs/>
          <w:i/>
          <w:iCs/>
          <w:color w:val="000000" w:themeColor="text1"/>
          <w:sz w:val="24"/>
          <w:szCs w:val="24"/>
        </w:rPr>
        <w:t>bis</w:t>
      </w:r>
      <w:r w:rsidRPr="009B1906">
        <w:rPr>
          <w:rFonts w:eastAsia="Times New Roman" w:cs="Arial"/>
          <w:b/>
          <w:bCs/>
          <w:color w:val="000000" w:themeColor="text1"/>
          <w:sz w:val="24"/>
          <w:szCs w:val="24"/>
        </w:rPr>
        <w:t>. Al comma 3 dell'articolo 1-</w:t>
      </w:r>
      <w:r w:rsidRPr="009B1906">
        <w:rPr>
          <w:rFonts w:eastAsia="Times New Roman" w:cs="Arial"/>
          <w:b/>
          <w:bCs/>
          <w:i/>
          <w:iCs/>
          <w:color w:val="000000" w:themeColor="text1"/>
          <w:sz w:val="24"/>
          <w:szCs w:val="24"/>
        </w:rPr>
        <w:t>septies</w:t>
      </w:r>
      <w:r w:rsidRPr="009B1906">
        <w:rPr>
          <w:rFonts w:eastAsia="Times New Roman" w:cs="Arial"/>
          <w:b/>
          <w:bCs/>
          <w:color w:val="000000" w:themeColor="text1"/>
          <w:sz w:val="24"/>
          <w:szCs w:val="24"/>
        </w:rPr>
        <w:t> del decreto-legge 25 maggio 2021, n. 73, convertito, con modificazioni, dalla legge 23 luglio 2021, n. 106, dopo le parole: «e contabilizzate dal direttore dei lavori» sono inserite le seguenti: «ovvero annotate sotto la responsabilità del direttore dei lavori nel libretto delle misure».</w:t>
      </w:r>
      <w:r>
        <w:rPr>
          <w:rStyle w:val="Rimandonotaapidipagina"/>
          <w:rFonts w:eastAsia="Times New Roman" w:cs="Arial"/>
          <w:b/>
          <w:bCs/>
          <w:color w:val="000000" w:themeColor="text1"/>
          <w:sz w:val="24"/>
          <w:szCs w:val="24"/>
        </w:rPr>
        <w:footnoteReference w:id="115"/>
      </w:r>
    </w:p>
    <w:p w14:paraId="21E71D47" w14:textId="7535AC83" w:rsidR="007837F5" w:rsidRDefault="007837F5" w:rsidP="007837F5">
      <w:pPr>
        <w:shd w:val="clear" w:color="auto" w:fill="FFFFFF"/>
        <w:spacing w:after="0" w:line="240" w:lineRule="auto"/>
        <w:jc w:val="both"/>
        <w:rPr>
          <w:rFonts w:eastAsia="Times New Roman" w:cs="Arial"/>
          <w:b/>
          <w:bCs/>
          <w:color w:val="000000" w:themeColor="text1"/>
          <w:sz w:val="24"/>
          <w:szCs w:val="24"/>
        </w:rPr>
      </w:pPr>
      <w:r w:rsidRPr="00155015">
        <w:rPr>
          <w:rFonts w:eastAsia="Times New Roman" w:cs="Arial"/>
          <w:color w:val="000000" w:themeColor="text1"/>
          <w:sz w:val="24"/>
          <w:szCs w:val="24"/>
        </w:rPr>
        <w:br/>
      </w:r>
    </w:p>
    <w:p w14:paraId="4F3CCE18" w14:textId="77777777" w:rsidR="00747720" w:rsidRPr="00747720" w:rsidRDefault="00747720" w:rsidP="00747720">
      <w:pPr>
        <w:spacing w:after="0" w:line="240" w:lineRule="auto"/>
        <w:jc w:val="center"/>
        <w:rPr>
          <w:rFonts w:asciiTheme="minorHAnsi" w:hAnsiTheme="minorHAnsi"/>
          <w:b/>
          <w:bCs/>
          <w:color w:val="000000" w:themeColor="text1"/>
          <w:sz w:val="24"/>
          <w:szCs w:val="24"/>
        </w:rPr>
      </w:pPr>
      <w:r w:rsidRPr="00747720">
        <w:rPr>
          <w:rFonts w:asciiTheme="minorHAnsi" w:hAnsiTheme="minorHAnsi"/>
          <w:b/>
          <w:bCs/>
          <w:color w:val="000000" w:themeColor="text1"/>
          <w:sz w:val="24"/>
          <w:szCs w:val="24"/>
        </w:rPr>
        <w:t>Art. 16-bis.</w:t>
      </w:r>
    </w:p>
    <w:p w14:paraId="6ABB3E11" w14:textId="77777777" w:rsidR="00747720" w:rsidRPr="00747720" w:rsidRDefault="00747720" w:rsidP="00747720">
      <w:pPr>
        <w:spacing w:after="0" w:line="240" w:lineRule="auto"/>
        <w:jc w:val="center"/>
        <w:rPr>
          <w:rFonts w:asciiTheme="minorHAnsi" w:hAnsiTheme="minorHAnsi"/>
          <w:b/>
          <w:bCs/>
          <w:color w:val="000000" w:themeColor="text1"/>
          <w:sz w:val="24"/>
          <w:szCs w:val="24"/>
        </w:rPr>
      </w:pPr>
      <w:r w:rsidRPr="00747720">
        <w:rPr>
          <w:rFonts w:asciiTheme="minorHAnsi" w:hAnsiTheme="minorHAnsi"/>
          <w:b/>
          <w:bCs/>
          <w:color w:val="000000" w:themeColor="text1"/>
          <w:sz w:val="24"/>
          <w:szCs w:val="24"/>
        </w:rPr>
        <w:t>(Misure urgenti per il completamento della strada statale 291 della Nurra in Sardegna)</w:t>
      </w:r>
    </w:p>
    <w:p w14:paraId="2C48F9BA" w14:textId="77777777" w:rsidR="00747720" w:rsidRPr="00747720" w:rsidRDefault="00747720" w:rsidP="00747720">
      <w:pPr>
        <w:spacing w:after="0" w:line="240" w:lineRule="auto"/>
        <w:jc w:val="both"/>
        <w:rPr>
          <w:rFonts w:asciiTheme="minorHAnsi" w:hAnsiTheme="minorHAnsi"/>
          <w:b/>
          <w:bCs/>
          <w:color w:val="000000" w:themeColor="text1"/>
          <w:sz w:val="24"/>
          <w:szCs w:val="24"/>
        </w:rPr>
      </w:pPr>
    </w:p>
    <w:p w14:paraId="387FAAF0" w14:textId="67560395" w:rsidR="00747720" w:rsidRDefault="00747720" w:rsidP="00747720">
      <w:pPr>
        <w:spacing w:after="0" w:line="240" w:lineRule="auto"/>
        <w:jc w:val="both"/>
        <w:rPr>
          <w:rFonts w:asciiTheme="minorHAnsi" w:hAnsiTheme="minorHAnsi"/>
          <w:b/>
          <w:bCs/>
          <w:color w:val="000000" w:themeColor="text1"/>
          <w:sz w:val="24"/>
          <w:szCs w:val="24"/>
        </w:rPr>
      </w:pPr>
      <w:r w:rsidRPr="00747720">
        <w:rPr>
          <w:rFonts w:asciiTheme="minorHAnsi" w:hAnsiTheme="minorHAnsi"/>
          <w:b/>
          <w:bCs/>
          <w:color w:val="000000" w:themeColor="text1"/>
          <w:sz w:val="24"/>
          <w:szCs w:val="24"/>
        </w:rPr>
        <w:t>1. Al fine di evitare la revoca dei finanziamenti per lo sblocco di opere indifferibili, urgenti e cantierabili per il rilancio dell'economia, al comma 3-bis dell'articolo 3 del decreto-legge 12 settembre 2014, n. 133, convertito, con modificazioni, dalla legge 11 novembre 2014, n. 164, è aggiunto, in fine, il seguente periodo: «Le disposizioni del precedente periodo si applicano anche al completamento della strada statale 291 della Nurra in Sardegna».</w:t>
      </w:r>
      <w:r>
        <w:rPr>
          <w:rStyle w:val="Rimandonotaapidipagina"/>
          <w:rFonts w:asciiTheme="minorHAnsi" w:hAnsiTheme="minorHAnsi"/>
          <w:b/>
          <w:bCs/>
          <w:color w:val="000000" w:themeColor="text1"/>
          <w:sz w:val="24"/>
          <w:szCs w:val="24"/>
        </w:rPr>
        <w:footnoteReference w:id="116"/>
      </w:r>
    </w:p>
    <w:p w14:paraId="69D46243" w14:textId="13CA9D34" w:rsidR="007837F5" w:rsidRDefault="007837F5" w:rsidP="00747720">
      <w:pPr>
        <w:spacing w:after="0" w:line="240" w:lineRule="auto"/>
        <w:jc w:val="both"/>
        <w:rPr>
          <w:rFonts w:asciiTheme="minorHAnsi" w:hAnsiTheme="minorHAnsi"/>
          <w:b/>
          <w:bCs/>
          <w:color w:val="000000" w:themeColor="text1"/>
          <w:sz w:val="24"/>
          <w:szCs w:val="24"/>
        </w:rPr>
      </w:pPr>
    </w:p>
    <w:p w14:paraId="3F2AD3BA" w14:textId="77777777" w:rsidR="007837F5" w:rsidRPr="009B1906" w:rsidRDefault="007837F5" w:rsidP="007837F5">
      <w:pPr>
        <w:shd w:val="clear" w:color="auto" w:fill="FFFFFF"/>
        <w:spacing w:after="0" w:line="240" w:lineRule="auto"/>
        <w:jc w:val="center"/>
        <w:rPr>
          <w:rFonts w:eastAsia="Times New Roman" w:cs="Arial"/>
          <w:b/>
          <w:bCs/>
          <w:color w:val="000000" w:themeColor="text1"/>
          <w:sz w:val="24"/>
          <w:szCs w:val="24"/>
        </w:rPr>
      </w:pPr>
      <w:r w:rsidRPr="009B1906">
        <w:rPr>
          <w:rFonts w:eastAsia="Times New Roman" w:cs="Arial"/>
          <w:b/>
          <w:bCs/>
          <w:color w:val="000000" w:themeColor="text1"/>
          <w:sz w:val="24"/>
          <w:szCs w:val="24"/>
        </w:rPr>
        <w:t>Art. 16-</w:t>
      </w:r>
      <w:r w:rsidRPr="009B1906">
        <w:rPr>
          <w:rFonts w:eastAsia="Times New Roman" w:cs="Arial"/>
          <w:b/>
          <w:bCs/>
          <w:i/>
          <w:iCs/>
          <w:color w:val="000000" w:themeColor="text1"/>
          <w:sz w:val="24"/>
          <w:szCs w:val="24"/>
        </w:rPr>
        <w:t>bis</w:t>
      </w:r>
      <w:r w:rsidRPr="009B1906">
        <w:rPr>
          <w:rFonts w:eastAsia="Times New Roman" w:cs="Arial"/>
          <w:b/>
          <w:bCs/>
          <w:color w:val="000000" w:themeColor="text1"/>
          <w:sz w:val="24"/>
          <w:szCs w:val="24"/>
        </w:rPr>
        <w:t>.</w:t>
      </w:r>
      <w:r w:rsidRPr="009B1906">
        <w:rPr>
          <w:rFonts w:eastAsia="Times New Roman" w:cs="Arial"/>
          <w:b/>
          <w:bCs/>
          <w:color w:val="000000" w:themeColor="text1"/>
          <w:sz w:val="24"/>
          <w:szCs w:val="24"/>
        </w:rPr>
        <w:br/>
      </w:r>
      <w:r w:rsidRPr="009B1906">
        <w:rPr>
          <w:rFonts w:eastAsia="Times New Roman" w:cs="Arial"/>
          <w:b/>
          <w:bCs/>
          <w:i/>
          <w:iCs/>
          <w:color w:val="000000" w:themeColor="text1"/>
          <w:sz w:val="24"/>
          <w:szCs w:val="24"/>
        </w:rPr>
        <w:t>(Modifiche all'articolo 48 del decreto-legge 31 maggio 2021, n. 77)</w:t>
      </w:r>
    </w:p>
    <w:p w14:paraId="69095671" w14:textId="77777777" w:rsidR="007837F5" w:rsidRPr="009B1906" w:rsidRDefault="007837F5" w:rsidP="007837F5">
      <w:pPr>
        <w:shd w:val="clear" w:color="auto" w:fill="FFFFFF"/>
        <w:spacing w:after="0" w:line="240" w:lineRule="auto"/>
        <w:rPr>
          <w:rFonts w:eastAsia="Times New Roman" w:cs="Arial"/>
          <w:b/>
          <w:bCs/>
          <w:color w:val="000000" w:themeColor="text1"/>
          <w:sz w:val="24"/>
          <w:szCs w:val="24"/>
        </w:rPr>
      </w:pPr>
      <w:r w:rsidRPr="009B1906">
        <w:rPr>
          <w:rFonts w:eastAsia="Times New Roman" w:cs="Arial"/>
          <w:b/>
          <w:bCs/>
          <w:color w:val="000000" w:themeColor="text1"/>
          <w:sz w:val="24"/>
          <w:szCs w:val="24"/>
        </w:rPr>
        <w:t> </w:t>
      </w:r>
      <w:r w:rsidRPr="009B1906">
        <w:rPr>
          <w:rFonts w:eastAsia="Times New Roman" w:cs="Arial"/>
          <w:b/>
          <w:bCs/>
          <w:color w:val="000000" w:themeColor="text1"/>
          <w:sz w:val="24"/>
          <w:szCs w:val="24"/>
        </w:rPr>
        <w:t> </w:t>
      </w:r>
    </w:p>
    <w:p w14:paraId="26461F05" w14:textId="42BF033E" w:rsidR="007837F5" w:rsidRDefault="007837F5" w:rsidP="007837F5">
      <w:pPr>
        <w:shd w:val="clear" w:color="auto" w:fill="FFFFFF"/>
        <w:spacing w:after="0" w:line="240" w:lineRule="auto"/>
        <w:jc w:val="both"/>
        <w:rPr>
          <w:rFonts w:eastAsia="Times New Roman" w:cs="Arial"/>
          <w:b/>
          <w:bCs/>
          <w:color w:val="000000" w:themeColor="text1"/>
          <w:sz w:val="24"/>
          <w:szCs w:val="24"/>
        </w:rPr>
      </w:pPr>
      <w:r w:rsidRPr="009B1906">
        <w:rPr>
          <w:rFonts w:eastAsia="Times New Roman" w:cs="Arial"/>
          <w:b/>
          <w:bCs/>
          <w:color w:val="000000" w:themeColor="text1"/>
          <w:sz w:val="24"/>
          <w:szCs w:val="24"/>
        </w:rPr>
        <w:t>1. All'articolo 48, comma 3, del decreto-legge 31 maggio 2021, n. 77, convertito, con modificazioni, dalla legge 29 luglio 2021, n. 108, è aggiunto in fine il seguente periodo: «Al solo scopo di assicurare la trasparenza, le stazioni appaltanti danno evidenza dell'avvio delle procedure negoziate di cui al presente comma mediante i rispettivi siti </w:t>
      </w:r>
      <w:r w:rsidRPr="009B1906">
        <w:rPr>
          <w:rFonts w:eastAsia="Times New Roman" w:cs="Arial"/>
          <w:b/>
          <w:bCs/>
          <w:i/>
          <w:iCs/>
          <w:color w:val="000000" w:themeColor="text1"/>
          <w:sz w:val="24"/>
          <w:szCs w:val="24"/>
        </w:rPr>
        <w:t>web </w:t>
      </w:r>
      <w:r w:rsidRPr="009B1906">
        <w:rPr>
          <w:rFonts w:eastAsia="Times New Roman" w:cs="Arial"/>
          <w:b/>
          <w:bCs/>
          <w:color w:val="000000" w:themeColor="text1"/>
          <w:sz w:val="24"/>
          <w:szCs w:val="24"/>
        </w:rPr>
        <w:t xml:space="preserve">istituzionali. La </w:t>
      </w:r>
      <w:proofErr w:type="gramStart"/>
      <w:r w:rsidRPr="009B1906">
        <w:rPr>
          <w:rFonts w:eastAsia="Times New Roman" w:cs="Arial"/>
          <w:b/>
          <w:bCs/>
          <w:color w:val="000000" w:themeColor="text1"/>
          <w:sz w:val="24"/>
          <w:szCs w:val="24"/>
        </w:rPr>
        <w:t>predetta</w:t>
      </w:r>
      <w:proofErr w:type="gramEnd"/>
      <w:r w:rsidRPr="009B1906">
        <w:rPr>
          <w:rFonts w:eastAsia="Times New Roman" w:cs="Arial"/>
          <w:b/>
          <w:bCs/>
          <w:color w:val="000000" w:themeColor="text1"/>
          <w:sz w:val="24"/>
          <w:szCs w:val="24"/>
        </w:rPr>
        <w:t xml:space="preserve"> pubblicazione non costituisce </w:t>
      </w:r>
      <w:r w:rsidRPr="009B1906">
        <w:rPr>
          <w:rFonts w:eastAsia="Times New Roman" w:cs="Arial"/>
          <w:b/>
          <w:bCs/>
          <w:color w:val="000000" w:themeColor="text1"/>
          <w:sz w:val="24"/>
          <w:szCs w:val="24"/>
        </w:rPr>
        <w:lastRenderedPageBreak/>
        <w:t>ricorso a invito, avviso o bando di gara a seguito del quale qualsiasi operatore economico può presentare un'offerta.»</w:t>
      </w:r>
      <w:r>
        <w:rPr>
          <w:rStyle w:val="Rimandonotaapidipagina"/>
          <w:rFonts w:eastAsia="Times New Roman" w:cs="Arial"/>
          <w:b/>
          <w:bCs/>
          <w:color w:val="000000" w:themeColor="text1"/>
          <w:sz w:val="24"/>
          <w:szCs w:val="24"/>
        </w:rPr>
        <w:footnoteReference w:id="117"/>
      </w:r>
    </w:p>
    <w:p w14:paraId="51DF7F39" w14:textId="0468C7A0" w:rsidR="00660EE5" w:rsidRPr="00660EE5" w:rsidRDefault="007837F5" w:rsidP="007837F5">
      <w:pPr>
        <w:shd w:val="clear" w:color="auto" w:fill="FFFFFF"/>
        <w:spacing w:after="0" w:line="240" w:lineRule="auto"/>
        <w:jc w:val="center"/>
        <w:rPr>
          <w:rFonts w:asciiTheme="minorHAnsi" w:hAnsiTheme="minorHAnsi"/>
          <w:color w:val="000000" w:themeColor="text1"/>
          <w:sz w:val="24"/>
          <w:szCs w:val="24"/>
        </w:rPr>
      </w:pPr>
      <w:r w:rsidRPr="00155015">
        <w:rPr>
          <w:rFonts w:eastAsia="Times New Roman" w:cs="Arial"/>
          <w:color w:val="000000" w:themeColor="text1"/>
          <w:sz w:val="24"/>
          <w:szCs w:val="24"/>
        </w:rPr>
        <w:br/>
      </w:r>
      <w:r w:rsidR="00660EE5" w:rsidRPr="00660EE5">
        <w:rPr>
          <w:rFonts w:asciiTheme="minorHAnsi" w:hAnsiTheme="minorHAnsi"/>
          <w:color w:val="000000" w:themeColor="text1"/>
          <w:sz w:val="24"/>
          <w:szCs w:val="24"/>
        </w:rPr>
        <w:t>Articolo 17.</w:t>
      </w:r>
    </w:p>
    <w:p w14:paraId="06209410"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(Entrata in vigore)</w:t>
      </w:r>
    </w:p>
    <w:p w14:paraId="2ADCE1EF"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76D46989"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1. Il presente decreto entra in vigore il giorno successivo a quello della sua pubblicazione nella Gazzetta Ufficiale della Repubblica italiana e sarà presentato alle Camere per la conversione in legge.</w:t>
      </w:r>
    </w:p>
    <w:p w14:paraId="4DE19332"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61D8CAB1" w14:textId="1CD01363" w:rsid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  Il presente decreto, munito del sigillo dello Stato, sarà inserito nella Raccolta ufficiale degli atti normativi della Repubblica italiana. È fatto obbligo a chiunque spetti di osservarlo e di farlo osservare.</w:t>
      </w:r>
    </w:p>
    <w:p w14:paraId="75847FB9" w14:textId="7724D656" w:rsidR="007837F5" w:rsidRDefault="007837F5" w:rsidP="00660EE5">
      <w:pPr>
        <w:spacing w:after="0" w:line="240" w:lineRule="auto"/>
        <w:jc w:val="both"/>
        <w:rPr>
          <w:rFonts w:asciiTheme="minorHAnsi" w:hAnsiTheme="minorHAnsi"/>
          <w:color w:val="000000" w:themeColor="text1"/>
          <w:sz w:val="24"/>
          <w:szCs w:val="24"/>
        </w:rPr>
      </w:pPr>
    </w:p>
    <w:p w14:paraId="5B3FA471" w14:textId="641540AD" w:rsidR="007837F5" w:rsidRDefault="007837F5" w:rsidP="00660EE5">
      <w:pPr>
        <w:spacing w:after="0" w:line="240" w:lineRule="auto"/>
        <w:jc w:val="both"/>
        <w:rPr>
          <w:rFonts w:asciiTheme="minorHAnsi" w:hAnsiTheme="minorHAnsi"/>
          <w:color w:val="000000" w:themeColor="text1"/>
          <w:sz w:val="24"/>
          <w:szCs w:val="24"/>
        </w:rPr>
      </w:pPr>
    </w:p>
    <w:p w14:paraId="213A70FC" w14:textId="77777777" w:rsidR="006D0E25" w:rsidRPr="006D0E25" w:rsidRDefault="006D0E25" w:rsidP="006D0E25">
      <w:pPr>
        <w:spacing w:after="0" w:line="240" w:lineRule="auto"/>
        <w:jc w:val="center"/>
        <w:rPr>
          <w:rFonts w:asciiTheme="minorHAnsi" w:hAnsiTheme="minorHAnsi"/>
          <w:b/>
          <w:bCs/>
          <w:color w:val="000000" w:themeColor="text1"/>
          <w:sz w:val="24"/>
          <w:szCs w:val="24"/>
        </w:rPr>
      </w:pPr>
      <w:r w:rsidRPr="006D0E25">
        <w:rPr>
          <w:rFonts w:asciiTheme="minorHAnsi" w:hAnsiTheme="minorHAnsi"/>
          <w:b/>
          <w:bCs/>
          <w:color w:val="000000" w:themeColor="text1"/>
          <w:sz w:val="24"/>
          <w:szCs w:val="24"/>
        </w:rPr>
        <w:t>PROPOSTA DI CORREZIONI DEL TESTO APPROVATA DALLE COMMISSIONI</w:t>
      </w:r>
    </w:p>
    <w:p w14:paraId="5A0D2A78" w14:textId="77777777" w:rsidR="006D0E25" w:rsidRPr="006D0E25" w:rsidRDefault="006D0E25" w:rsidP="006D0E25">
      <w:pPr>
        <w:spacing w:after="0" w:line="240" w:lineRule="auto"/>
        <w:jc w:val="center"/>
        <w:rPr>
          <w:rFonts w:asciiTheme="minorHAnsi" w:hAnsiTheme="minorHAnsi"/>
          <w:b/>
          <w:bCs/>
          <w:color w:val="000000" w:themeColor="text1"/>
          <w:sz w:val="24"/>
          <w:szCs w:val="24"/>
        </w:rPr>
      </w:pPr>
    </w:p>
    <w:p w14:paraId="46231CE7"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  All'articolo 1:</w:t>
      </w:r>
    </w:p>
    <w:p w14:paraId="4C18A58E"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6894180B"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 comma 1, lettera g), capoverso Art. 188-bis, comma 3, le parole: «o ne faccia uso improprio,» sono sostituite dalle seguenti: «, o ne fa uso improprio»;</w:t>
      </w:r>
    </w:p>
    <w:p w14:paraId="146B4793"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72A58341"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 comma 2, lettera b), dopo le parole: «dei trasporti» è inserito il seguente segno d'interpunzione: «,»;</w:t>
      </w:r>
    </w:p>
    <w:p w14:paraId="52A93EF0"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41E04D70"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 comma 3, terzo periodo, la parola: «ricorrono» è sostituita dalla seguente: «ricorrano»;</w:t>
      </w:r>
    </w:p>
    <w:p w14:paraId="550789C4"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1D3D1A5E"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 comma 6:</w:t>
      </w:r>
    </w:p>
    <w:p w14:paraId="4C294CC8"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67737D2E"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    ai capoversi 4-nonies e 4-decies, la parola: «4-nonies», ovunque ricorre, è sostituita dalla seguente: «4-novies»;</w:t>
      </w:r>
    </w:p>
    <w:p w14:paraId="54963676"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21B42429"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 capoverso 4-undecies, primo periodo, le parole: «In relazione all'anno» sono sostituite dalle seguenti: «Per l'anno».</w:t>
      </w:r>
    </w:p>
    <w:p w14:paraId="16DC03D3"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118B81B5"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  All'articolo 3:</w:t>
      </w:r>
    </w:p>
    <w:p w14:paraId="2FFBBE3E"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67BE20EB"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lastRenderedPageBreak/>
        <w:t>   al comma 1, primo periodo, le parole: «di seguito ERTMS» sono sostituite dalle seguenti: «di seguito denominato “sistema ERTMS”» e le parole: «sotto sistema» sono sostituite dalla seguente: «sottosistema»;</w:t>
      </w:r>
    </w:p>
    <w:p w14:paraId="0401D3C2"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55255AAB"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 comma 2, secondo periodo, le parole: «e soltanto nel caso che in cui» sono sostituite dalle seguenti: «, soltanto nel caso in cui»;</w:t>
      </w:r>
    </w:p>
    <w:p w14:paraId="15143DDF"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44964F21"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 comma 3, secondo periodo, le parole: «le tempistiche previste» sono sostituite dalle seguenti: «i tempi previsti»;</w:t>
      </w:r>
    </w:p>
    <w:p w14:paraId="55668AE4"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59EB27DD"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 comma 8, primo periodo, le parole: «si interseca con il» sono sostituite dalle seguenti: «interseca il» e le parole: «e con i» sono sostituite dalle seguenti: «e i»;</w:t>
      </w:r>
    </w:p>
    <w:p w14:paraId="2D653DBA"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1FFDC663"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 comma 9, le parole: «anno 2021» sono sostituite dalle seguenti: «anno 2021,».</w:t>
      </w:r>
    </w:p>
    <w:p w14:paraId="65B0982F"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42CB2335"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  All'articolo 4:</w:t>
      </w:r>
    </w:p>
    <w:p w14:paraId="061283D2"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0F57C16B"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 comma 5, lettera d), capoverso 10-sexies, secondo periodo, dopo le parole: «Ministero delle infrastrutture e» è inserita la seguente: «della».</w:t>
      </w:r>
    </w:p>
    <w:p w14:paraId="34A3ED34"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0FCFBABC"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  All'articolo 5:</w:t>
      </w:r>
    </w:p>
    <w:p w14:paraId="2F3B85C8"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19880813"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 comma 1:</w:t>
      </w:r>
    </w:p>
    <w:p w14:paraId="12AA8025"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3202CA9B"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 primo periodo, le parole: «di seguito CISMI» sono sostituite dalle seguenti: «di seguito denominato “CISMI”»</w:t>
      </w:r>
    </w:p>
    <w:p w14:paraId="30237ADF"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5C2D7954"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 secondo periodo, le parole: «collocato in fuori ruolo» sono sostituite dalle seguenti: «collocato fuori ruolo»;</w:t>
      </w:r>
    </w:p>
    <w:p w14:paraId="57946DD2"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7445F71D"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 quarto periodo, le parole: «euro per l'anno» sono sostituite dalle seguenti: «per l'anno» e le parole: «può avvalersi fino ad un massimo di» sono sostituite dalle seguenti: «può avvalersi di non più di»;</w:t>
      </w:r>
    </w:p>
    <w:p w14:paraId="3B260DF8"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3DF2B571"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 comma 2, dopo le parole: «pubblici e privati» è inserito il seguente segno d'interpunzione: «,»;</w:t>
      </w:r>
    </w:p>
    <w:p w14:paraId="23277B6E"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3CB6FA76"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 comma 4:</w:t>
      </w:r>
    </w:p>
    <w:p w14:paraId="52B34FFE"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441095EB"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    alla lettera a), le parole: «e delle finanze,» sono sostituite dalle seguenti: «e delle finanze»;</w:t>
      </w:r>
    </w:p>
    <w:p w14:paraId="4B543F9F"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7A199C23"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lastRenderedPageBreak/>
        <w:t>Pag. 69</w:t>
      </w:r>
    </w:p>
    <w:p w14:paraId="4387E1B3"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    alla lettera b), le parole: «rimborso spese» sono sostituite dalle seguenti: «rimborso delle spese»;</w:t>
      </w:r>
    </w:p>
    <w:p w14:paraId="4EEA7AF3"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147B9DD6"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 comma 5, secondo periodo, dopo le parole: «per l'anno 2021» è inserito il seguente segno d'interpunzione: «,»;</w:t>
      </w:r>
    </w:p>
    <w:p w14:paraId="6562E13F"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1D682B2B"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 comma 11:</w:t>
      </w:r>
    </w:p>
    <w:p w14:paraId="404CDF12"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60169632"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    alla lettera a), dopo le parole: «per ciascuna» sono inserite le seguenti: «, ovunque ricorrono,»;</w:t>
      </w:r>
    </w:p>
    <w:p w14:paraId="5D8CE224"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00CC6117"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    alla lettera b), le parole: «punto 7» sono sostituite dalle seguenti: «numero 7)».</w:t>
      </w:r>
    </w:p>
    <w:p w14:paraId="3BB552F2"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363BF278"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  All'articolo 6:</w:t>
      </w:r>
    </w:p>
    <w:p w14:paraId="34D1C1C2"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6E02F2FC"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 comma 5, ultimo periodo, le parole: «decreto ministeriale» sono sostituite dalle seguenti: «decreto del Ministro delle infrastrutture e dei trasporti»;</w:t>
      </w:r>
    </w:p>
    <w:p w14:paraId="0230A0A4"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1E8F670E"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 comma 8, lettera b), le parole: «e, al secondo periodo» sono sostituite dalle seguenti: «e le parole: “da un rappresentante dell'Agenzia nazionale per la sicurezza delle ferrovie e delle infrastrutture stradali e autostradali,” sono soppresse e, al secondo periodo»;</w:t>
      </w:r>
    </w:p>
    <w:p w14:paraId="7E7155C2"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5CF3E3DE"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   alla rubrica, dopo le parole: «dell'Agenzia nazionale per la sicurezza» sono inserite le seguenti: «delle ferrovie e».</w:t>
      </w:r>
    </w:p>
    <w:p w14:paraId="1379A72C"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3D0F0F90"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  All'articolo 7:</w:t>
      </w:r>
    </w:p>
    <w:p w14:paraId="05D4D338"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50B7BEE5"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 comma 2:</w:t>
      </w:r>
    </w:p>
    <w:p w14:paraId="34232FD5"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44EED3A6"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    alla lettera a), capoverso 4, primo periodo, le parole: «che possono procedere» sono sostituite dalle seguenti: «; i commissari straordinari possono procedere»;</w:t>
      </w:r>
    </w:p>
    <w:p w14:paraId="193A55E8"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6DFE6D82"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    alla lettera b), capoverso 9, quarto periodo, le parole: «della presente norma» sono sostituite dalle seguenti: «del presente comma».</w:t>
      </w:r>
    </w:p>
    <w:p w14:paraId="54BC1853"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4EFE0AFB"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  All'articolo 8:</w:t>
      </w:r>
    </w:p>
    <w:p w14:paraId="02F82F6E"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06404630"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 comma 2, primo periodo, le parole: «e di un termine di scadenza» sono sostituite dalle seguenti: «e con termine di scadenza»;</w:t>
      </w:r>
    </w:p>
    <w:p w14:paraId="6AD14DE5"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7AA62C56"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lastRenderedPageBreak/>
        <w:t>   al comma 3, primo e secondo periodo, le parole: «legge 23 luglio 2021, n. 123» sono sostituite dalle seguenti: «legge 23 luglio 2021, n. 106».</w:t>
      </w:r>
    </w:p>
    <w:p w14:paraId="53FFCE5C"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179C87A6"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  All'articolo 9:</w:t>
      </w:r>
    </w:p>
    <w:p w14:paraId="6B0CB82E"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6202A47C"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 comma 1, secondo periodo, le parole: «conferenza dei servizi» sono sostituite dalle seguenti: «conferenza di servizi»;</w:t>
      </w:r>
    </w:p>
    <w:p w14:paraId="1A6D18EB"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6661AA1D"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 comma 2:</w:t>
      </w:r>
    </w:p>
    <w:p w14:paraId="4BC803F5"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534CBDA5"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 primo periodo, la parola: «altresì,» è sostituita dalla seguente: «, altresì»;</w:t>
      </w:r>
    </w:p>
    <w:p w14:paraId="42145582"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21212BA7"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 secondo periodo, le parole: «n. 32, convertito con modificazioni» sono sostituite dalle seguenti: «, n. 32, convertito, con modificazioni»;</w:t>
      </w:r>
    </w:p>
    <w:p w14:paraId="10946DD4"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29460E6C"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 comma 3, secondo periodo, le parole: «di cui dell'articolo» sono sostituite dalle seguenti: «di cui all'articolo».</w:t>
      </w:r>
    </w:p>
    <w:p w14:paraId="7FA405BE"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527D5949"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  All'articolo 10:</w:t>
      </w:r>
    </w:p>
    <w:p w14:paraId="2DD72AC0"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328FCA70"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 comma 4 sono aggiunte, in fine, le seguenti parole: «del Parlamento europeo e del Consiglio, del 24 giugno 2021»;</w:t>
      </w:r>
    </w:p>
    <w:p w14:paraId="5155F77D"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6A045737"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 comma 5, le parole: «regolamento (UE) 241/2021» sono sostituite dalle seguenti: «regolamento (UE) 2021/241 del Parlamento europeo e del Consiglio, del 12 febbraio 2021»;</w:t>
      </w:r>
    </w:p>
    <w:p w14:paraId="4392CCE5"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71CB46F4"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 comma 6, le parole: «di regioni, province autonome» sono sostituite dalle seguenti: «delle regioni, delle province autonome»;</w:t>
      </w:r>
    </w:p>
    <w:p w14:paraId="1E6DEFB6"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7A91D056"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 comma 7, le parole da: «All'articolo 66-bis» fino a: «è sostituito dal seguente:» sono sostituite dalle seguenti: «All'articolo 64 del codice dell'amministrazione digitale, di cui al decreto legislativo 7 marzo 2005, n. 82, è aggiunto, in fine, il seguente comma: “», le parole: «e la digitalizzazione» sono sostituite dalle seguenti: «e la transizione digitale» e la parola: «on-line.'.”» è sostituita dalla seguente: «on-line”».</w:t>
      </w:r>
    </w:p>
    <w:p w14:paraId="46F26E6D"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5D8316C0"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  All'articolo 11:</w:t>
      </w:r>
    </w:p>
    <w:p w14:paraId="090CA4B6"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45178F3E"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 comma 3, lettera a), dopo le parole: «regolamento (UE) 2021/241» sono inserite</w:t>
      </w:r>
    </w:p>
    <w:p w14:paraId="33DF0F0C"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Pag. 70</w:t>
      </w:r>
    </w:p>
    <w:p w14:paraId="0F510AD1"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lastRenderedPageBreak/>
        <w:t>le seguenti: «del Parlamento europeo e del Consiglio, del 12 febbraio 2021» e le parole: «regolamento (UE) 2020/285» sono sostituite dalle seguenti: «regolamento (UE) 2020/852 del Parlamento europeo e del Consiglio, del 18 giugno 2020».</w:t>
      </w:r>
    </w:p>
    <w:p w14:paraId="3318A408"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535991E9"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  All'articolo 12:</w:t>
      </w:r>
    </w:p>
    <w:p w14:paraId="2E3F6AAB"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51EBDF7D"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 comma 1, lettera a), capoverso Art. 6-quater:</w:t>
      </w:r>
    </w:p>
    <w:p w14:paraId="60E98F2E"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7B26D091"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 comma 1:</w:t>
      </w:r>
    </w:p>
    <w:p w14:paraId="1B1C4A5B"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275D4C51"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 primo periodo, le parole: «Fondo sviluppo e coesione» sono sostituite dalle seguenti: «Fondo per lo sviluppo e la coesione» e dopo la parola: «(PNRR)» è inserito il seguente segno d'interpunzione: «,»;</w:t>
      </w:r>
    </w:p>
    <w:p w14:paraId="41458F4D"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24974894"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 secondo periodo, le parole: «legge 31 dicembre 2020, n. 178» sono sostituite dalle seguenti: «legge 30 dicembre 2020, n. 178»;</w:t>
      </w:r>
    </w:p>
    <w:p w14:paraId="5AC813CE"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48ACAEF6"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 comma 3:</w:t>
      </w:r>
    </w:p>
    <w:p w14:paraId="23C0E724"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3A700667"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 primo periodo, le parole: «sono ripartite ai singoli enti» sono sostituite dalle seguenti: «sono ripartite tra i singoli enti» e le parole: «in tabella A» sono sostituite dalle seguenti: «nella Tabella A allegata al presente decreto»;</w:t>
      </w:r>
    </w:p>
    <w:p w14:paraId="76B26B57"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35CCE536"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 secondo periodo, le parole: «e non oltre» sono soppresse e le parole: «Capo IV, Titolo VI del» sono sostituite dalle seguenti: «capo IV del titolo VI della parte II del codice di cui al»;</w:t>
      </w:r>
    </w:p>
    <w:p w14:paraId="10822528"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6BD82F85"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 comma 6:</w:t>
      </w:r>
    </w:p>
    <w:p w14:paraId="5FA3DFCD"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2CCD9743"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 terzo periodo, le parole: «all'abusivismo» sono sostituite dalle seguenti: «dell'abusivismo»;</w:t>
      </w:r>
    </w:p>
    <w:p w14:paraId="6630AC5F"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745199D7"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 quinto periodo, le parole: «del medesimo predetto» sono sostituite dalle seguenti: «del medesimo»;</w:t>
      </w:r>
    </w:p>
    <w:p w14:paraId="7987CB6E"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699444C0"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 comma 7, la parola: «comunitarie» è sostituita dalle seguenti: «dell'Unione europea»;</w:t>
      </w:r>
    </w:p>
    <w:p w14:paraId="781E7B73"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4472D4BA"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 comma 11, le parole: «della Conferenza unificata» sono sostituite dalle seguenti: «in sede di Conferenza unificata di cui all'articolo 8 del decreto legislativo 28 agosto 1997, n. 281».</w:t>
      </w:r>
    </w:p>
    <w:p w14:paraId="0457B76B"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3424412A"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  All'articolo 15, comma 1:</w:t>
      </w:r>
    </w:p>
    <w:p w14:paraId="6DE4B20F"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798FE66D"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lastRenderedPageBreak/>
        <w:t>   al capoverso 1:</w:t>
      </w:r>
    </w:p>
    <w:p w14:paraId="2087E2E7"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181882C6"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 primo periodo, le parole: «e non oltre» sono soppresse, le parole: «competenti, le strutture» sono sostituite dalle seguenti: «competenti e le strutture» e le parole: «aeroportuali, idriche» sono sostituite dalle seguenti: «aeroportuali e idriche»;</w:t>
      </w:r>
    </w:p>
    <w:p w14:paraId="7F5DAB03"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47767E10"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 terzo periodo, le parole: «è trasmessa alle regioni e alle province autonome di Trento e di Bolzano entro il 30 novembre 2021 che la trasmettono» sono sostituite dalle seguenti: «è trasmessa entro il 30 novembre 2021 alle regioni e alle province autonome di Trento e di Bolzano, che la trasmettono»;</w:t>
      </w:r>
    </w:p>
    <w:p w14:paraId="27CEFBEA"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4AA2FA27"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 quarto periodo, le parole: «e non oltre» sono soppresse;</w:t>
      </w:r>
    </w:p>
    <w:p w14:paraId="69638235"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29871581"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 capoverso 1-bis, primo periodo, le parole: «si individuano» sono sostituite dalle seguenti: «sono individuati» e dopo le parole: «decreto-legge 6 maggio 2021, n. 59,» sono inserite le seguenti: «convertito, con modificazioni, dalla legge 1° luglio 2021, n. 101,»;</w:t>
      </w:r>
    </w:p>
    <w:p w14:paraId="3E50BF12"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3ABEDAC6"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 capoverso 1-ter, terzo periodo, dopo le parole: «del Consiglio dei ministri» è inserito il seguente segno d'interpunzione: «,» e dopo le parole: «nel limite massimo» sono inserite le seguenti: «di spesa»;</w:t>
      </w:r>
    </w:p>
    <w:p w14:paraId="46DBB17A"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75345D19"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 capoverso 1-quater, primo periodo, le parole: «dal decreto» sono sostituite dalle seguenti: «dalla data di entrata in vigore del decreto», le parole: «d'intesa» sono sostituite dalle seguenti: «, di concerto» e la parola: «comunitari» è sostituita dalle seguenti: «dell'Unione europea».</w:t>
      </w:r>
    </w:p>
    <w:p w14:paraId="74E488BB"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7E5E697D" w14:textId="77777777" w:rsidR="006D0E25" w:rsidRPr="006D0E2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  Al titolo:</w:t>
      </w:r>
    </w:p>
    <w:p w14:paraId="0701CE7C" w14:textId="77777777" w:rsidR="006D0E25" w:rsidRPr="006D0E25" w:rsidRDefault="006D0E25" w:rsidP="006D0E25">
      <w:pPr>
        <w:spacing w:after="0" w:line="240" w:lineRule="auto"/>
        <w:jc w:val="both"/>
        <w:rPr>
          <w:rFonts w:asciiTheme="minorHAnsi" w:hAnsiTheme="minorHAnsi"/>
          <w:color w:val="000000" w:themeColor="text1"/>
          <w:sz w:val="24"/>
          <w:szCs w:val="24"/>
        </w:rPr>
      </w:pPr>
    </w:p>
    <w:p w14:paraId="1E5F16E0" w14:textId="6B5B1814" w:rsidR="006D0E25" w:rsidRPr="00660EE5" w:rsidRDefault="006D0E25" w:rsidP="006D0E25">
      <w:pPr>
        <w:spacing w:after="0" w:line="240" w:lineRule="auto"/>
        <w:jc w:val="both"/>
        <w:rPr>
          <w:rFonts w:asciiTheme="minorHAnsi" w:hAnsiTheme="minorHAnsi"/>
          <w:color w:val="000000" w:themeColor="text1"/>
          <w:sz w:val="24"/>
          <w:szCs w:val="24"/>
        </w:rPr>
      </w:pPr>
      <w:r w:rsidRPr="006D0E25">
        <w:rPr>
          <w:rFonts w:asciiTheme="minorHAnsi" w:hAnsiTheme="minorHAnsi"/>
          <w:color w:val="000000" w:themeColor="text1"/>
          <w:sz w:val="24"/>
          <w:szCs w:val="24"/>
        </w:rPr>
        <w:t>   dopo le parole: «dell'Agenzia nazionale per la sicurezza» sono inserite le seguenti: «delle ferrovie e».</w:t>
      </w:r>
    </w:p>
    <w:sectPr w:rsidR="006D0E25" w:rsidRPr="00660EE5" w:rsidSect="00C973FC">
      <w:headerReference w:type="even" r:id="rId8"/>
      <w:headerReference w:type="default" r:id="rId9"/>
      <w:footerReference w:type="even" r:id="rId10"/>
      <w:footerReference w:type="default" r:id="rId11"/>
      <w:headerReference w:type="first" r:id="rId12"/>
      <w:footerReference w:type="first" r:id="rId13"/>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3D643" w14:textId="77777777" w:rsidR="00E714BF" w:rsidRDefault="00E714BF">
      <w:pPr>
        <w:spacing w:after="0" w:line="240" w:lineRule="auto"/>
      </w:pPr>
      <w:r>
        <w:separator/>
      </w:r>
    </w:p>
  </w:endnote>
  <w:endnote w:type="continuationSeparator" w:id="0">
    <w:p w14:paraId="150867FB" w14:textId="77777777" w:rsidR="00E714BF" w:rsidRDefault="00E71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Arial"/>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C6FE" w14:textId="1F8EFF7A" w:rsidR="00240A1E" w:rsidRPr="004D0F93" w:rsidRDefault="00240A1E" w:rsidP="00FB6FCB">
    <w:pPr>
      <w:pStyle w:val="Pidipagina"/>
      <w:tabs>
        <w:tab w:val="clear" w:pos="9638"/>
        <w:tab w:val="right" w:pos="10034"/>
      </w:tabs>
      <w:jc w:val="right"/>
      <w:rPr>
        <w:rFonts w:asciiTheme="majorHAnsi" w:hAnsiTheme="majorHAnsi"/>
        <w:sz w:val="18"/>
        <w:szCs w:val="18"/>
      </w:rPr>
    </w:pPr>
    <w:r w:rsidRPr="00C8796C">
      <w:rPr>
        <w:rFonts w:asciiTheme="majorHAnsi" w:hAnsiTheme="majorHAnsi"/>
        <w:color w:val="595959" w:themeColor="text1" w:themeTint="A6"/>
        <w:sz w:val="18"/>
        <w:szCs w:val="18"/>
      </w:rPr>
      <w:t xml:space="preserve"> Pag. </w:t>
    </w:r>
    <w:r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Pr="00C8796C">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8</w:t>
    </w:r>
    <w:r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fldSimple w:instr="NUMPAGES  \* Arabic  \* MERGEFORMAT">
      <w:r w:rsidRPr="0017636E">
        <w:rPr>
          <w:rFonts w:asciiTheme="majorHAnsi" w:hAnsiTheme="majorHAnsi"/>
          <w:noProof/>
          <w:color w:val="595959" w:themeColor="text1" w:themeTint="A6"/>
          <w:sz w:val="18"/>
          <w:szCs w:val="18"/>
        </w:rPr>
        <w:t>8</w:t>
      </w:r>
    </w:fldSimple>
  </w:p>
  <w:p w14:paraId="797CCC7F" w14:textId="77777777" w:rsidR="00240A1E" w:rsidRDefault="00240A1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87AA" w14:textId="290CABB9" w:rsidR="00240A1E" w:rsidRDefault="00240A1E" w:rsidP="004532C6">
    <w:pPr>
      <w:pStyle w:val="Pidipagina"/>
      <w:tabs>
        <w:tab w:val="clear" w:pos="9638"/>
        <w:tab w:val="right" w:pos="10034"/>
      </w:tabs>
      <w:rPr>
        <w:rFonts w:asciiTheme="majorHAnsi" w:hAnsiTheme="majorHAnsi"/>
        <w:sz w:val="18"/>
        <w:szCs w:val="18"/>
      </w:rPr>
    </w:pPr>
  </w:p>
  <w:p w14:paraId="3B296C9C" w14:textId="77777777" w:rsidR="00240A1E" w:rsidRPr="005F27F8" w:rsidRDefault="00240A1E" w:rsidP="004532C6">
    <w:pPr>
      <w:pStyle w:val="Pidipagina"/>
      <w:tabs>
        <w:tab w:val="clear" w:pos="9638"/>
        <w:tab w:val="right" w:pos="10034"/>
      </w:tabs>
      <w:rPr>
        <w:rFonts w:asciiTheme="majorHAnsi" w:hAnsiTheme="majorHAnsi"/>
        <w:color w:val="595959" w:themeColor="text1" w:themeTint="A6"/>
        <w:sz w:val="18"/>
        <w:szCs w:val="18"/>
      </w:rPr>
    </w:pPr>
  </w:p>
  <w:p w14:paraId="3F386D38" w14:textId="77777777" w:rsidR="00240A1E" w:rsidRPr="005F27F8" w:rsidRDefault="00240A1E"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7</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fldSimple w:instr="NUMPAGES  \* Arabic  \* MERGEFORMAT">
      <w:r w:rsidRPr="0017636E">
        <w:rPr>
          <w:rFonts w:asciiTheme="majorHAnsi" w:hAnsiTheme="majorHAnsi"/>
          <w:noProof/>
          <w:color w:val="595959" w:themeColor="text1" w:themeTint="A6"/>
          <w:sz w:val="18"/>
          <w:szCs w:val="18"/>
        </w:rPr>
        <w:t>8</w:t>
      </w:r>
    </w:fldSimple>
  </w:p>
  <w:p w14:paraId="72C2E14C" w14:textId="77777777" w:rsidR="00240A1E" w:rsidRPr="002739D4" w:rsidRDefault="00240A1E" w:rsidP="002739D4">
    <w:pPr>
      <w:pStyle w:val="Pidipagina"/>
      <w:spacing w:line="36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E1C7" w14:textId="77777777" w:rsidR="00240A1E" w:rsidRPr="00F46BB9" w:rsidRDefault="00240A1E" w:rsidP="00F46BB9">
    <w:pPr>
      <w:pStyle w:val="Pidipagina"/>
      <w:spacing w:line="360" w:lineRule="auto"/>
      <w:jc w:val="center"/>
      <w:rPr>
        <w:color w:val="595959" w:themeColor="text1" w:themeTint="A6"/>
        <w:sz w:val="24"/>
        <w:szCs w:val="24"/>
      </w:rPr>
    </w:pPr>
    <w:r w:rsidRPr="00F46BB9">
      <w:rPr>
        <w:color w:val="595959" w:themeColor="text1" w:themeTint="A6"/>
        <w:sz w:val="24"/>
        <w:szCs w:val="24"/>
      </w:rPr>
      <w:t>www.</w:t>
    </w:r>
    <w:r>
      <w:rPr>
        <w:color w:val="595959" w:themeColor="text1" w:themeTint="A6"/>
        <w:sz w:val="24"/>
        <w:szCs w:val="24"/>
      </w:rPr>
      <w:t>i</w:t>
    </w:r>
    <w:r w:rsidRPr="00F46BB9">
      <w:rPr>
        <w:color w:val="595959" w:themeColor="text1" w:themeTint="A6"/>
        <w:sz w:val="24"/>
        <w:szCs w:val="24"/>
      </w:rPr>
      <w:t>spronet.it</w:t>
    </w:r>
  </w:p>
  <w:p w14:paraId="13EF4817" w14:textId="77777777" w:rsidR="00240A1E" w:rsidRPr="002739D4" w:rsidRDefault="00240A1E"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E0053" w14:textId="77777777" w:rsidR="00E714BF" w:rsidRDefault="00E714BF">
      <w:pPr>
        <w:spacing w:after="0" w:line="240" w:lineRule="auto"/>
      </w:pPr>
      <w:r>
        <w:separator/>
      </w:r>
    </w:p>
  </w:footnote>
  <w:footnote w:type="continuationSeparator" w:id="0">
    <w:p w14:paraId="70829477" w14:textId="77777777" w:rsidR="00E714BF" w:rsidRDefault="00E714BF">
      <w:pPr>
        <w:spacing w:after="0" w:line="240" w:lineRule="auto"/>
      </w:pPr>
      <w:r>
        <w:continuationSeparator/>
      </w:r>
    </w:p>
  </w:footnote>
  <w:footnote w:id="1">
    <w:p w14:paraId="1EF2210F" w14:textId="430568BB" w:rsidR="00240A1E" w:rsidRDefault="00240A1E" w:rsidP="0054500D">
      <w:pPr>
        <w:pStyle w:val="Testonotaapidipagina"/>
        <w:jc w:val="both"/>
      </w:pPr>
      <w:r>
        <w:rPr>
          <w:rStyle w:val="Rimandonotaapidipagina"/>
        </w:rPr>
        <w:footnoteRef/>
      </w:r>
      <w:r>
        <w:t xml:space="preserve"> *1.258. (Nuova formulazione) De </w:t>
      </w:r>
      <w:proofErr w:type="spellStart"/>
      <w:r>
        <w:t>Lorenzis</w:t>
      </w:r>
      <w:proofErr w:type="spellEnd"/>
      <w:r>
        <w:t xml:space="preserve">, </w:t>
      </w:r>
      <w:proofErr w:type="spellStart"/>
      <w:r>
        <w:t>Scagliusi</w:t>
      </w:r>
      <w:proofErr w:type="spellEnd"/>
      <w:r>
        <w:t xml:space="preserve">, Ficara, Barbuto, Grippa, Luciano Cantone, Liuzzi, Marino, Raffa, </w:t>
      </w:r>
      <w:proofErr w:type="spellStart"/>
      <w:r>
        <w:t>Serritella</w:t>
      </w:r>
      <w:proofErr w:type="spellEnd"/>
      <w:r>
        <w:t xml:space="preserve">, Traversi; *1.13. (Nuova formulazione) Ruffino; *1.27. (Nuova formulazione) Spessotto, </w:t>
      </w:r>
      <w:proofErr w:type="spellStart"/>
      <w:r>
        <w:t>Gebhard</w:t>
      </w:r>
      <w:proofErr w:type="spellEnd"/>
      <w:r>
        <w:t xml:space="preserve">, </w:t>
      </w:r>
      <w:proofErr w:type="spellStart"/>
      <w:r>
        <w:t>Plangger</w:t>
      </w:r>
      <w:proofErr w:type="spellEnd"/>
      <w:r>
        <w:t xml:space="preserve">, Emanuela </w:t>
      </w:r>
      <w:proofErr w:type="gramStart"/>
      <w:r>
        <w:t>Rossini;  *</w:t>
      </w:r>
      <w:proofErr w:type="gramEnd"/>
      <w:r>
        <w:t xml:space="preserve">1.49. (Nuova formulazione) </w:t>
      </w:r>
      <w:proofErr w:type="spellStart"/>
      <w:r>
        <w:t>Silvestroni</w:t>
      </w:r>
      <w:proofErr w:type="spellEnd"/>
      <w:r>
        <w:t xml:space="preserve">, Rotelli, Foti, Rachele Silvestri; *1.62. (Nuova formulazione) </w:t>
      </w:r>
      <w:proofErr w:type="spellStart"/>
      <w:r>
        <w:t>Plangger</w:t>
      </w:r>
      <w:proofErr w:type="spellEnd"/>
      <w:r>
        <w:t xml:space="preserve">, </w:t>
      </w:r>
      <w:proofErr w:type="spellStart"/>
      <w:r>
        <w:t>Gebhard</w:t>
      </w:r>
      <w:proofErr w:type="spellEnd"/>
      <w:r>
        <w:t xml:space="preserve">, </w:t>
      </w:r>
      <w:proofErr w:type="spellStart"/>
      <w:r>
        <w:t>Schullian</w:t>
      </w:r>
      <w:proofErr w:type="spellEnd"/>
      <w:r>
        <w:t xml:space="preserve">, Emanuela Rossini; *1.143. (Nuova formulazione) Pella, Pentangelo; *1.259. (Nuova formulazione) Gariglio, Andrea Romano, Pizzetti, Cantini, Del Basso De Caro, Bruno Bossio, Morassut; *1.10. (Nuova formulazione) Muroni, </w:t>
      </w:r>
      <w:proofErr w:type="spellStart"/>
      <w:r>
        <w:t>Fioramonti</w:t>
      </w:r>
      <w:proofErr w:type="spellEnd"/>
      <w:r>
        <w:t xml:space="preserve">, Fusacchia, Cecconi, Lombardo; *1.70. (Nuova formulazione) Timbro; *1.129. (Nuova formulazione) Donina, Capitanio, Maccanti, </w:t>
      </w:r>
      <w:proofErr w:type="spellStart"/>
      <w:r>
        <w:t>Rixi</w:t>
      </w:r>
      <w:proofErr w:type="spellEnd"/>
      <w:r>
        <w:t xml:space="preserve">, Fogliani, </w:t>
      </w:r>
      <w:proofErr w:type="spellStart"/>
      <w:r>
        <w:t>Furgiuele</w:t>
      </w:r>
      <w:proofErr w:type="spellEnd"/>
      <w:r>
        <w:t xml:space="preserve">, Giacometti, Tombolato, Zanella, Zordan, Lucchini, </w:t>
      </w:r>
      <w:proofErr w:type="spellStart"/>
      <w:r>
        <w:t>Badole</w:t>
      </w:r>
      <w:proofErr w:type="spellEnd"/>
      <w:r>
        <w:t xml:space="preserve">, Benvenuto, D'Eramo, Dara, Eva Lorenzoni, </w:t>
      </w:r>
      <w:proofErr w:type="spellStart"/>
      <w:r>
        <w:t>Patassini</w:t>
      </w:r>
      <w:proofErr w:type="spellEnd"/>
      <w:r>
        <w:t xml:space="preserve">, Raffaelli, Valbusa, </w:t>
      </w:r>
      <w:proofErr w:type="spellStart"/>
      <w:r>
        <w:t>Vallotto</w:t>
      </w:r>
      <w:proofErr w:type="spellEnd"/>
      <w:r>
        <w:t xml:space="preserve">; *1.177. (Nuova formulazione) Gagliardi, Ruffino; *1.225. (Nuova formulazione) </w:t>
      </w:r>
      <w:proofErr w:type="spellStart"/>
      <w:r>
        <w:t>Scagliusi</w:t>
      </w:r>
      <w:proofErr w:type="spellEnd"/>
      <w:r>
        <w:t xml:space="preserve">; *1.266. (Nuova formulazione) Gariglio, Morassut, Andrea Romano, Pizzetti, Cantini, Del Basso De Caro, Bruno Bossio; *1.223. (Nuova formulazione) Grippa, De </w:t>
      </w:r>
      <w:proofErr w:type="spellStart"/>
      <w:r>
        <w:t>Lorenzis</w:t>
      </w:r>
      <w:proofErr w:type="spellEnd"/>
      <w:r>
        <w:t xml:space="preserve">; *1.71. (Nuova formulazione) Timbro; *1.9. (Nuova formulazione) Muroni, </w:t>
      </w:r>
      <w:proofErr w:type="spellStart"/>
      <w:r>
        <w:t>Fioramonti</w:t>
      </w:r>
      <w:proofErr w:type="spellEnd"/>
      <w:r>
        <w:t xml:space="preserve">, Fusacchia, Cecconi, Lombardo; *1.289. (Nuova formulazione) Rotelli, </w:t>
      </w:r>
      <w:proofErr w:type="spellStart"/>
      <w:r>
        <w:t>Silvestroni</w:t>
      </w:r>
      <w:proofErr w:type="spellEnd"/>
      <w:r>
        <w:t xml:space="preserve">; *1.115. (Nuova formulazione) Donina, Maccanti, Capitanio, Fogliani, </w:t>
      </w:r>
      <w:proofErr w:type="spellStart"/>
      <w:r>
        <w:t>Furgiuele</w:t>
      </w:r>
      <w:proofErr w:type="spellEnd"/>
      <w:r>
        <w:t xml:space="preserve">, Giacometti, </w:t>
      </w:r>
      <w:proofErr w:type="spellStart"/>
      <w:r>
        <w:t>Rixi</w:t>
      </w:r>
      <w:proofErr w:type="spellEnd"/>
      <w:r>
        <w:t>, Tombolato, Zanella, Zordan.</w:t>
      </w:r>
    </w:p>
    <w:p w14:paraId="418FB3B0" w14:textId="77777777" w:rsidR="00240A1E" w:rsidRDefault="00240A1E" w:rsidP="0054500D">
      <w:pPr>
        <w:pStyle w:val="Testonotaapidipagina"/>
        <w:jc w:val="both"/>
      </w:pPr>
    </w:p>
  </w:footnote>
  <w:footnote w:id="2">
    <w:p w14:paraId="2ED0FA4E" w14:textId="34B1B235" w:rsidR="00240A1E" w:rsidRDefault="00240A1E">
      <w:pPr>
        <w:pStyle w:val="Testonotaapidipagina"/>
      </w:pPr>
      <w:r>
        <w:rPr>
          <w:rStyle w:val="Rimandonotaapidipagina"/>
        </w:rPr>
        <w:footnoteRef/>
      </w:r>
      <w:r>
        <w:t xml:space="preserve"> </w:t>
      </w:r>
      <w:r w:rsidRPr="00B02D0C">
        <w:t xml:space="preserve">1.53. (Nuova formulazione) </w:t>
      </w:r>
      <w:proofErr w:type="spellStart"/>
      <w:r w:rsidRPr="00B02D0C">
        <w:t>Schullian</w:t>
      </w:r>
      <w:proofErr w:type="spellEnd"/>
      <w:r w:rsidRPr="00B02D0C">
        <w:t xml:space="preserve">, </w:t>
      </w:r>
      <w:proofErr w:type="spellStart"/>
      <w:r w:rsidRPr="00B02D0C">
        <w:t>Gebhard</w:t>
      </w:r>
      <w:proofErr w:type="spellEnd"/>
      <w:r w:rsidRPr="00B02D0C">
        <w:t xml:space="preserve">, </w:t>
      </w:r>
      <w:proofErr w:type="spellStart"/>
      <w:r w:rsidRPr="00B02D0C">
        <w:t>Plangger</w:t>
      </w:r>
      <w:proofErr w:type="spellEnd"/>
      <w:r w:rsidRPr="00B02D0C">
        <w:t>, Emanuela Rossini.</w:t>
      </w:r>
    </w:p>
  </w:footnote>
  <w:footnote w:id="3">
    <w:p w14:paraId="24E853FB" w14:textId="30FF5A35" w:rsidR="00240A1E" w:rsidRDefault="00240A1E" w:rsidP="009963F7">
      <w:pPr>
        <w:pStyle w:val="Testonotaapidipagina"/>
        <w:jc w:val="both"/>
      </w:pPr>
      <w:r>
        <w:rPr>
          <w:rStyle w:val="Rimandonotaapidipagina"/>
        </w:rPr>
        <w:footnoteRef/>
      </w:r>
      <w:r>
        <w:t xml:space="preserve"> *1.257. (Nuova formulazione) De </w:t>
      </w:r>
      <w:proofErr w:type="spellStart"/>
      <w:r>
        <w:t>Lorenzis</w:t>
      </w:r>
      <w:proofErr w:type="spellEnd"/>
      <w:r>
        <w:t xml:space="preserve">, </w:t>
      </w:r>
      <w:proofErr w:type="spellStart"/>
      <w:r>
        <w:t>Scagliusi</w:t>
      </w:r>
      <w:proofErr w:type="spellEnd"/>
      <w:r>
        <w:t xml:space="preserve">, Ficara, Barbuto, Grippa, Luciano Cantone, Liuzzi, Marino, Raffa, </w:t>
      </w:r>
      <w:proofErr w:type="spellStart"/>
      <w:r>
        <w:t>Serritella</w:t>
      </w:r>
      <w:proofErr w:type="spellEnd"/>
      <w:r>
        <w:t xml:space="preserve">, Traversi; *1.137. (Nuova formulazione) Maccanti, Donina, </w:t>
      </w:r>
      <w:proofErr w:type="spellStart"/>
      <w:r>
        <w:t>Rixi</w:t>
      </w:r>
      <w:proofErr w:type="spellEnd"/>
      <w:r>
        <w:t xml:space="preserve">, Capitanio, Fogliani, </w:t>
      </w:r>
      <w:proofErr w:type="spellStart"/>
      <w:r>
        <w:t>Furgiuele</w:t>
      </w:r>
      <w:proofErr w:type="spellEnd"/>
      <w:r>
        <w:t xml:space="preserve">, Giacometti, Tombolato, Zanella, Zordan, Lucchini, </w:t>
      </w:r>
      <w:proofErr w:type="spellStart"/>
      <w:r>
        <w:t>Badole</w:t>
      </w:r>
      <w:proofErr w:type="spellEnd"/>
      <w:r>
        <w:t xml:space="preserve">, Benvenuto, D'Eramo, Dara, Eva Lorenzoni, </w:t>
      </w:r>
      <w:proofErr w:type="spellStart"/>
      <w:r>
        <w:t>Patassini</w:t>
      </w:r>
      <w:proofErr w:type="spellEnd"/>
      <w:r>
        <w:t xml:space="preserve">, Raffaelli, Valbusa, </w:t>
      </w:r>
      <w:proofErr w:type="spellStart"/>
      <w:r>
        <w:t>Vallotto</w:t>
      </w:r>
      <w:proofErr w:type="spellEnd"/>
      <w:r>
        <w:t xml:space="preserve">; *1.214. (Nuova formulazione) De </w:t>
      </w:r>
      <w:proofErr w:type="spellStart"/>
      <w:r>
        <w:t>Lorenzis</w:t>
      </w:r>
      <w:proofErr w:type="spellEnd"/>
      <w:r>
        <w:t xml:space="preserve">; *1.94. (Nuova formulazione) Bruno Bossio, Pizzetti, Carnevali, Gariglio, Morassut, Del Basso De Caro; *1.106. (Nuova formulazione) Donina, Maccanti, Capitanio, Fogliani, </w:t>
      </w:r>
      <w:proofErr w:type="spellStart"/>
      <w:r>
        <w:t>Furgiuele</w:t>
      </w:r>
      <w:proofErr w:type="spellEnd"/>
      <w:r>
        <w:t xml:space="preserve">, Giacometti, </w:t>
      </w:r>
      <w:proofErr w:type="spellStart"/>
      <w:r>
        <w:t>Rixi</w:t>
      </w:r>
      <w:proofErr w:type="spellEnd"/>
      <w:r>
        <w:t xml:space="preserve">, Tombolato, Zanella, Zordan; *1.151. (Nuova formulazione) Pentangelo, Sarro; *1.205. (Nuova formulazione) De </w:t>
      </w:r>
      <w:proofErr w:type="spellStart"/>
      <w:r>
        <w:t>Lorenzis</w:t>
      </w:r>
      <w:proofErr w:type="spellEnd"/>
      <w:r>
        <w:t xml:space="preserve">, Marino, </w:t>
      </w:r>
      <w:proofErr w:type="spellStart"/>
      <w:r>
        <w:t>Scagliusi</w:t>
      </w:r>
      <w:proofErr w:type="spellEnd"/>
      <w:r>
        <w:t xml:space="preserve">; *1.150. (Nuova formulazione) Pentangelo, Sarro; *1.204. (Nuova formulazione) De </w:t>
      </w:r>
      <w:proofErr w:type="spellStart"/>
      <w:r>
        <w:t>Lorenzis</w:t>
      </w:r>
      <w:proofErr w:type="spellEnd"/>
      <w:r>
        <w:t xml:space="preserve">; *1.42. (Nuova formulazione) Moretto; 1.166. (Nuova formulazione) Sozzani; *1.011. (Nuova formulazione) Bruno Bossio, Pizzetti, Carnevali, Gariglio, Morassut, Del Basso De Caro; *1.021. (Nuova formulazione) Maccanti, Donina, </w:t>
      </w:r>
      <w:proofErr w:type="spellStart"/>
      <w:r>
        <w:t>Rixi</w:t>
      </w:r>
      <w:proofErr w:type="spellEnd"/>
      <w:r>
        <w:t xml:space="preserve">, Capitanio, Fogliani, </w:t>
      </w:r>
      <w:proofErr w:type="spellStart"/>
      <w:r>
        <w:t>Furgiuele</w:t>
      </w:r>
      <w:proofErr w:type="spellEnd"/>
      <w:r>
        <w:t xml:space="preserve">, Giacometti, Tombolato, Zanella, Zordan, Lucchini, </w:t>
      </w:r>
      <w:proofErr w:type="spellStart"/>
      <w:r>
        <w:t>Badole</w:t>
      </w:r>
      <w:proofErr w:type="spellEnd"/>
      <w:r>
        <w:t xml:space="preserve">, Benvenuto, D'Eramo, Dara, Eva Lorenzoni, </w:t>
      </w:r>
      <w:proofErr w:type="spellStart"/>
      <w:r>
        <w:t>Patassini</w:t>
      </w:r>
      <w:proofErr w:type="spellEnd"/>
      <w:r>
        <w:t xml:space="preserve">, Raffaelli, Valbusa, </w:t>
      </w:r>
      <w:proofErr w:type="spellStart"/>
      <w:r>
        <w:t>Vallotto</w:t>
      </w:r>
      <w:proofErr w:type="spellEnd"/>
      <w:r>
        <w:t xml:space="preserve">; *1.027. (Nuova formulazione) De </w:t>
      </w:r>
      <w:proofErr w:type="spellStart"/>
      <w:r>
        <w:t>Lorenzis</w:t>
      </w:r>
      <w:proofErr w:type="spellEnd"/>
      <w:r>
        <w:t xml:space="preserve">; *1.039. (Nuova formulazione) Rotelli, </w:t>
      </w:r>
      <w:proofErr w:type="spellStart"/>
      <w:r>
        <w:t>Silvestroni</w:t>
      </w:r>
      <w:proofErr w:type="spellEnd"/>
      <w:r>
        <w:t>.</w:t>
      </w:r>
    </w:p>
    <w:p w14:paraId="5761794D" w14:textId="77777777" w:rsidR="00240A1E" w:rsidRDefault="00240A1E">
      <w:pPr>
        <w:pStyle w:val="Testonotaapidipagina"/>
      </w:pPr>
    </w:p>
  </w:footnote>
  <w:footnote w:id="4">
    <w:p w14:paraId="4E53968E" w14:textId="4488FF1C" w:rsidR="00240A1E" w:rsidRDefault="00240A1E" w:rsidP="0054500D">
      <w:pPr>
        <w:pStyle w:val="Testonotaapidipagina"/>
        <w:jc w:val="both"/>
      </w:pPr>
      <w:r>
        <w:rPr>
          <w:rStyle w:val="Rimandonotaapidipagina"/>
        </w:rPr>
        <w:footnoteRef/>
      </w:r>
      <w:r>
        <w:t xml:space="preserve"> *1.258. (Nuova formulazione) De </w:t>
      </w:r>
      <w:proofErr w:type="spellStart"/>
      <w:r>
        <w:t>Lorenzis</w:t>
      </w:r>
      <w:proofErr w:type="spellEnd"/>
      <w:r>
        <w:t xml:space="preserve">, </w:t>
      </w:r>
      <w:proofErr w:type="spellStart"/>
      <w:r>
        <w:t>Scagliusi</w:t>
      </w:r>
      <w:proofErr w:type="spellEnd"/>
      <w:r>
        <w:t xml:space="preserve">, Ficara, Barbuto, Grippa, Luciano Cantone, Liuzzi, Marino, Raffa, </w:t>
      </w:r>
      <w:proofErr w:type="spellStart"/>
      <w:r>
        <w:t>Serritella</w:t>
      </w:r>
      <w:proofErr w:type="spellEnd"/>
      <w:r>
        <w:t xml:space="preserve">, Traversi; *1.13. (Nuova formulazione) Ruffino; *1.27. (Nuova formulazione) Spessotto, </w:t>
      </w:r>
      <w:proofErr w:type="spellStart"/>
      <w:r>
        <w:t>Gebhard</w:t>
      </w:r>
      <w:proofErr w:type="spellEnd"/>
      <w:r>
        <w:t xml:space="preserve">, </w:t>
      </w:r>
      <w:proofErr w:type="spellStart"/>
      <w:r>
        <w:t>Plangger</w:t>
      </w:r>
      <w:proofErr w:type="spellEnd"/>
      <w:r>
        <w:t xml:space="preserve">, Emanuela </w:t>
      </w:r>
      <w:proofErr w:type="gramStart"/>
      <w:r>
        <w:t>Rossini;  *</w:t>
      </w:r>
      <w:proofErr w:type="gramEnd"/>
      <w:r>
        <w:t xml:space="preserve">1.49. (Nuova formulazione) </w:t>
      </w:r>
      <w:proofErr w:type="spellStart"/>
      <w:r>
        <w:t>Silvestroni</w:t>
      </w:r>
      <w:proofErr w:type="spellEnd"/>
      <w:r>
        <w:t xml:space="preserve">, Rotelli, Foti, Rachele Silvestri; *1.62. (Nuova formulazione) </w:t>
      </w:r>
      <w:proofErr w:type="spellStart"/>
      <w:r>
        <w:t>Plangger</w:t>
      </w:r>
      <w:proofErr w:type="spellEnd"/>
      <w:r>
        <w:t xml:space="preserve">, </w:t>
      </w:r>
      <w:proofErr w:type="spellStart"/>
      <w:r>
        <w:t>Gebhard</w:t>
      </w:r>
      <w:proofErr w:type="spellEnd"/>
      <w:r>
        <w:t xml:space="preserve">, </w:t>
      </w:r>
      <w:proofErr w:type="spellStart"/>
      <w:r>
        <w:t>Schullian</w:t>
      </w:r>
      <w:proofErr w:type="spellEnd"/>
      <w:r>
        <w:t xml:space="preserve">, Emanuela Rossini; *1.143. (Nuova formulazione) Pella, Pentangelo; *1.259. (Nuova formulazione) Gariglio, Andrea Romano, Pizzetti, Cantini, Del Basso De Caro, Bruno Bossio, Morassut; *1.10. (Nuova formulazione) Muroni, </w:t>
      </w:r>
      <w:proofErr w:type="spellStart"/>
      <w:r>
        <w:t>Fioramonti</w:t>
      </w:r>
      <w:proofErr w:type="spellEnd"/>
      <w:r>
        <w:t xml:space="preserve">, Fusacchia, Cecconi, Lombardo; *1.70. (Nuova formulazione) Timbro; *1.129. (Nuova formulazione) Donina, Capitanio, Maccanti, </w:t>
      </w:r>
      <w:proofErr w:type="spellStart"/>
      <w:r>
        <w:t>Rixi</w:t>
      </w:r>
      <w:proofErr w:type="spellEnd"/>
      <w:r>
        <w:t xml:space="preserve">, Fogliani, </w:t>
      </w:r>
      <w:proofErr w:type="spellStart"/>
      <w:r>
        <w:t>Furgiuele</w:t>
      </w:r>
      <w:proofErr w:type="spellEnd"/>
      <w:r>
        <w:t xml:space="preserve">, Giacometti, Tombolato, Zanella, Zordan, Lucchini, </w:t>
      </w:r>
      <w:proofErr w:type="spellStart"/>
      <w:r>
        <w:t>Badole</w:t>
      </w:r>
      <w:proofErr w:type="spellEnd"/>
      <w:r>
        <w:t xml:space="preserve">, Benvenuto, D'Eramo, Dara, Eva Lorenzoni, </w:t>
      </w:r>
      <w:proofErr w:type="spellStart"/>
      <w:r>
        <w:t>Patassini</w:t>
      </w:r>
      <w:proofErr w:type="spellEnd"/>
      <w:r>
        <w:t xml:space="preserve">, Raffaelli, Valbusa, </w:t>
      </w:r>
      <w:proofErr w:type="spellStart"/>
      <w:r>
        <w:t>Vallotto</w:t>
      </w:r>
      <w:proofErr w:type="spellEnd"/>
      <w:r>
        <w:t xml:space="preserve">; *1.177. (Nuova formulazione) Gagliardi, Ruffino; *1.225. (Nuova formulazione) </w:t>
      </w:r>
      <w:proofErr w:type="spellStart"/>
      <w:r>
        <w:t>Scagliusi</w:t>
      </w:r>
      <w:proofErr w:type="spellEnd"/>
      <w:r>
        <w:t xml:space="preserve">; *1.266. (Nuova formulazione) Gariglio, Morassut, Andrea Romano, Pizzetti, Cantini, Del Basso De Caro, Bruno Bossio; *1.223. (Nuova formulazione) Grippa, De </w:t>
      </w:r>
      <w:proofErr w:type="spellStart"/>
      <w:proofErr w:type="gramStart"/>
      <w:r>
        <w:t>Lorenzis</w:t>
      </w:r>
      <w:proofErr w:type="spellEnd"/>
      <w:r>
        <w:t>;*</w:t>
      </w:r>
      <w:proofErr w:type="gramEnd"/>
      <w:r>
        <w:t xml:space="preserve">1.71. (Nuova formulazione) Timbro; *1.9. (Nuova formulazione) Muroni, </w:t>
      </w:r>
      <w:proofErr w:type="spellStart"/>
      <w:r>
        <w:t>Fioramonti</w:t>
      </w:r>
      <w:proofErr w:type="spellEnd"/>
      <w:r>
        <w:t xml:space="preserve">, Fusacchia, Cecconi, Lombardo; *1.289. (Nuova formulazione) Rotelli, </w:t>
      </w:r>
      <w:proofErr w:type="spellStart"/>
      <w:r>
        <w:t>Silvestroni</w:t>
      </w:r>
      <w:proofErr w:type="spellEnd"/>
      <w:r>
        <w:t xml:space="preserve">; *1.115. (Nuova formulazione) Donina, Maccanti, Capitanio, Fogliani, </w:t>
      </w:r>
      <w:proofErr w:type="spellStart"/>
      <w:r>
        <w:t>Furgiuele</w:t>
      </w:r>
      <w:proofErr w:type="spellEnd"/>
      <w:r>
        <w:t xml:space="preserve">, Giacometti, </w:t>
      </w:r>
      <w:proofErr w:type="spellStart"/>
      <w:r>
        <w:t>Rixi</w:t>
      </w:r>
      <w:proofErr w:type="spellEnd"/>
      <w:r>
        <w:t>, Tombolato, Zanella, Zordan.</w:t>
      </w:r>
    </w:p>
    <w:p w14:paraId="56AFB78D" w14:textId="77777777" w:rsidR="00240A1E" w:rsidRDefault="00240A1E" w:rsidP="0054500D">
      <w:pPr>
        <w:pStyle w:val="Testonotaapidipagina"/>
        <w:jc w:val="both"/>
      </w:pPr>
    </w:p>
  </w:footnote>
  <w:footnote w:id="5">
    <w:p w14:paraId="09FC6038" w14:textId="2617F286" w:rsidR="00240A1E" w:rsidRDefault="00240A1E" w:rsidP="009963F7">
      <w:pPr>
        <w:pStyle w:val="Testonotaapidipagina"/>
        <w:jc w:val="both"/>
      </w:pPr>
      <w:r>
        <w:rPr>
          <w:rStyle w:val="Rimandonotaapidipagina"/>
        </w:rPr>
        <w:footnoteRef/>
      </w:r>
      <w:r>
        <w:t xml:space="preserve"> *1.257. (Nuova formulazione) De </w:t>
      </w:r>
      <w:proofErr w:type="spellStart"/>
      <w:r>
        <w:t>Lorenzis</w:t>
      </w:r>
      <w:proofErr w:type="spellEnd"/>
      <w:r>
        <w:t xml:space="preserve">, </w:t>
      </w:r>
      <w:proofErr w:type="spellStart"/>
      <w:r>
        <w:t>Scagliusi</w:t>
      </w:r>
      <w:proofErr w:type="spellEnd"/>
      <w:r>
        <w:t xml:space="preserve">, Ficara, Barbuto, Grippa, Luciano Cantone, Liuzzi, Marino, Raffa, </w:t>
      </w:r>
      <w:proofErr w:type="spellStart"/>
      <w:r>
        <w:t>Serritella</w:t>
      </w:r>
      <w:proofErr w:type="spellEnd"/>
      <w:r>
        <w:t xml:space="preserve">, Traversi; *1.137. (Nuova formulazione) Maccanti, Donina, </w:t>
      </w:r>
      <w:proofErr w:type="spellStart"/>
      <w:r>
        <w:t>Rixi</w:t>
      </w:r>
      <w:proofErr w:type="spellEnd"/>
      <w:r>
        <w:t xml:space="preserve">, Capitanio, Fogliani, </w:t>
      </w:r>
      <w:proofErr w:type="spellStart"/>
      <w:r>
        <w:t>Furgiuele</w:t>
      </w:r>
      <w:proofErr w:type="spellEnd"/>
      <w:r>
        <w:t xml:space="preserve">, Giacometti, Tombolato, Zanella, Zordan, Lucchini, </w:t>
      </w:r>
      <w:proofErr w:type="spellStart"/>
      <w:r>
        <w:t>Badole</w:t>
      </w:r>
      <w:proofErr w:type="spellEnd"/>
      <w:r>
        <w:t xml:space="preserve">, Benvenuto, D'Eramo, Dara, Eva Lorenzoni, </w:t>
      </w:r>
      <w:proofErr w:type="spellStart"/>
      <w:r>
        <w:t>Patassini</w:t>
      </w:r>
      <w:proofErr w:type="spellEnd"/>
      <w:r>
        <w:t xml:space="preserve">, Raffaelli, Valbusa, </w:t>
      </w:r>
      <w:proofErr w:type="spellStart"/>
      <w:r>
        <w:t>Vallotto</w:t>
      </w:r>
      <w:proofErr w:type="spellEnd"/>
      <w:r>
        <w:t xml:space="preserve">; *1.214. (Nuova formulazione) De </w:t>
      </w:r>
      <w:proofErr w:type="spellStart"/>
      <w:r>
        <w:t>Lorenzis</w:t>
      </w:r>
      <w:proofErr w:type="spellEnd"/>
      <w:r>
        <w:t xml:space="preserve">; *1.94. (Nuova formulazione) Bruno Bossio, Pizzetti, Carnevali, Gariglio, Morassut, Del Basso De Caro; *1.106. (Nuova formulazione) Donina, Maccanti, Capitanio, Fogliani, </w:t>
      </w:r>
      <w:proofErr w:type="spellStart"/>
      <w:r>
        <w:t>Furgiuele</w:t>
      </w:r>
      <w:proofErr w:type="spellEnd"/>
      <w:r>
        <w:t xml:space="preserve">, Giacometti, </w:t>
      </w:r>
      <w:proofErr w:type="spellStart"/>
      <w:r>
        <w:t>Rixi</w:t>
      </w:r>
      <w:proofErr w:type="spellEnd"/>
      <w:r>
        <w:t xml:space="preserve">, Tombolato, Zanella, Zordan; *1.151. (Nuova formulazione) Pentangelo, Sarro; *1.205. (Nuova formulazione) De </w:t>
      </w:r>
      <w:proofErr w:type="spellStart"/>
      <w:r>
        <w:t>Lorenzis</w:t>
      </w:r>
      <w:proofErr w:type="spellEnd"/>
      <w:r>
        <w:t xml:space="preserve">, Marino, </w:t>
      </w:r>
      <w:proofErr w:type="spellStart"/>
      <w:r>
        <w:t>Scagliusi</w:t>
      </w:r>
      <w:proofErr w:type="spellEnd"/>
      <w:r>
        <w:t xml:space="preserve">; *1.150. (Nuova formulazione) Pentangelo, Sarro; *1.204. (Nuova formulazione) De </w:t>
      </w:r>
      <w:proofErr w:type="spellStart"/>
      <w:r>
        <w:t>Lorenzis</w:t>
      </w:r>
      <w:proofErr w:type="spellEnd"/>
      <w:r>
        <w:t xml:space="preserve">; *1.42. (Nuova formulazione) Moretto; 1.166. (Nuova formulazione) Sozzani; *1.011. (Nuova formulazione) Bruno Bossio, Pizzetti, Carnevali, Gariglio, Morassut, Del Basso De Caro; *1.021. (Nuova formulazione) Maccanti, Donina, </w:t>
      </w:r>
      <w:proofErr w:type="spellStart"/>
      <w:r>
        <w:t>Rixi</w:t>
      </w:r>
      <w:proofErr w:type="spellEnd"/>
      <w:r>
        <w:t xml:space="preserve">, Capitanio, Fogliani, </w:t>
      </w:r>
      <w:proofErr w:type="spellStart"/>
      <w:r>
        <w:t>Furgiuele</w:t>
      </w:r>
      <w:proofErr w:type="spellEnd"/>
      <w:r>
        <w:t xml:space="preserve">, Giacometti, Tombolato, Zanella, Zordan, Lucchini, </w:t>
      </w:r>
      <w:proofErr w:type="spellStart"/>
      <w:r>
        <w:t>Badole</w:t>
      </w:r>
      <w:proofErr w:type="spellEnd"/>
      <w:r>
        <w:t xml:space="preserve">, Benvenuto, D'Eramo, Dara, Eva Lorenzoni, </w:t>
      </w:r>
      <w:proofErr w:type="spellStart"/>
      <w:r>
        <w:t>Patassini</w:t>
      </w:r>
      <w:proofErr w:type="spellEnd"/>
      <w:r>
        <w:t xml:space="preserve">, Raffaelli, Valbusa, </w:t>
      </w:r>
      <w:proofErr w:type="spellStart"/>
      <w:r>
        <w:t>Vallotto</w:t>
      </w:r>
      <w:proofErr w:type="spellEnd"/>
      <w:r>
        <w:t xml:space="preserve">; *1.027. (Nuova formulazione) De </w:t>
      </w:r>
      <w:proofErr w:type="spellStart"/>
      <w:r>
        <w:t>Lorenzis</w:t>
      </w:r>
      <w:proofErr w:type="spellEnd"/>
      <w:r>
        <w:t xml:space="preserve">; *1.039. (Nuova formulazione) Rotelli, </w:t>
      </w:r>
      <w:proofErr w:type="spellStart"/>
      <w:r>
        <w:t>Silvestroni</w:t>
      </w:r>
      <w:proofErr w:type="spellEnd"/>
      <w:r>
        <w:t>.</w:t>
      </w:r>
    </w:p>
    <w:p w14:paraId="7FBFD48B" w14:textId="77777777" w:rsidR="00240A1E" w:rsidRDefault="00240A1E">
      <w:pPr>
        <w:pStyle w:val="Testonotaapidipagina"/>
      </w:pPr>
    </w:p>
  </w:footnote>
  <w:footnote w:id="6">
    <w:p w14:paraId="02F33F7B" w14:textId="1B77E8DB" w:rsidR="00240A1E" w:rsidRDefault="00240A1E">
      <w:pPr>
        <w:pStyle w:val="Testonotaapidipagina"/>
      </w:pPr>
      <w:r>
        <w:rPr>
          <w:rStyle w:val="Rimandonotaapidipagina"/>
        </w:rPr>
        <w:footnoteRef/>
      </w:r>
      <w:r>
        <w:t xml:space="preserve"> </w:t>
      </w:r>
      <w:r w:rsidRPr="002513B9">
        <w:t xml:space="preserve">**1.3. (Nuova formulazione) Nardi; **1.293. (Nuova formulazione) Nobili, </w:t>
      </w:r>
      <w:proofErr w:type="spellStart"/>
      <w:r w:rsidRPr="002513B9">
        <w:t>Fregolent</w:t>
      </w:r>
      <w:proofErr w:type="spellEnd"/>
      <w:r w:rsidRPr="002513B9">
        <w:t>; **1.74. (Nuova formulazione) Buratti.</w:t>
      </w:r>
    </w:p>
    <w:p w14:paraId="622CD952" w14:textId="77777777" w:rsidR="00240A1E" w:rsidRDefault="00240A1E">
      <w:pPr>
        <w:pStyle w:val="Testonotaapidipagina"/>
      </w:pPr>
    </w:p>
  </w:footnote>
  <w:footnote w:id="7">
    <w:p w14:paraId="4E1EF38D" w14:textId="420AF872" w:rsidR="00240A1E" w:rsidRDefault="00240A1E">
      <w:pPr>
        <w:pStyle w:val="Testonotaapidipagina"/>
      </w:pPr>
      <w:r>
        <w:rPr>
          <w:rStyle w:val="Rimandonotaapidipagina"/>
        </w:rPr>
        <w:footnoteRef/>
      </w:r>
      <w:r>
        <w:t xml:space="preserve"> </w:t>
      </w:r>
      <w:r w:rsidRPr="008533A9">
        <w:t>1.192. (Nuova formulazione) Ficara, Grippa.</w:t>
      </w:r>
    </w:p>
    <w:p w14:paraId="39EA0468" w14:textId="77777777" w:rsidR="00240A1E" w:rsidRDefault="00240A1E">
      <w:pPr>
        <w:pStyle w:val="Testonotaapidipagina"/>
      </w:pPr>
    </w:p>
  </w:footnote>
  <w:footnote w:id="8">
    <w:p w14:paraId="11944B44" w14:textId="6961B1AA" w:rsidR="00240A1E" w:rsidRDefault="00240A1E">
      <w:pPr>
        <w:pStyle w:val="Testonotaapidipagina"/>
      </w:pPr>
      <w:r>
        <w:rPr>
          <w:rStyle w:val="Rimandonotaapidipagina"/>
        </w:rPr>
        <w:footnoteRef/>
      </w:r>
      <w:r>
        <w:t xml:space="preserve"> </w:t>
      </w:r>
      <w:r w:rsidRPr="008533A9">
        <w:t xml:space="preserve">1.56. (Nuova formulazione) </w:t>
      </w:r>
      <w:proofErr w:type="spellStart"/>
      <w:r w:rsidRPr="008533A9">
        <w:t>Schullian</w:t>
      </w:r>
      <w:proofErr w:type="spellEnd"/>
      <w:r w:rsidRPr="008533A9">
        <w:t xml:space="preserve">, </w:t>
      </w:r>
      <w:proofErr w:type="spellStart"/>
      <w:r w:rsidRPr="008533A9">
        <w:t>Gebhard</w:t>
      </w:r>
      <w:proofErr w:type="spellEnd"/>
      <w:r w:rsidRPr="008533A9">
        <w:t xml:space="preserve">, </w:t>
      </w:r>
      <w:proofErr w:type="spellStart"/>
      <w:r w:rsidRPr="008533A9">
        <w:t>Plangger</w:t>
      </w:r>
      <w:proofErr w:type="spellEnd"/>
      <w:r w:rsidRPr="008533A9">
        <w:t>, Emanuela Rossini.</w:t>
      </w:r>
    </w:p>
    <w:p w14:paraId="63E9AD8F" w14:textId="77777777" w:rsidR="00240A1E" w:rsidRDefault="00240A1E">
      <w:pPr>
        <w:pStyle w:val="Testonotaapidipagina"/>
      </w:pPr>
    </w:p>
  </w:footnote>
  <w:footnote w:id="9">
    <w:p w14:paraId="64FFE680" w14:textId="08071A6B" w:rsidR="00240A1E" w:rsidRDefault="00240A1E">
      <w:pPr>
        <w:pStyle w:val="Testonotaapidipagina"/>
      </w:pPr>
      <w:r>
        <w:rPr>
          <w:rStyle w:val="Rimandonotaapidipagina"/>
        </w:rPr>
        <w:footnoteRef/>
      </w:r>
      <w:r>
        <w:t xml:space="preserve"> </w:t>
      </w:r>
      <w:r w:rsidRPr="008533A9">
        <w:t>1.294. (Nuova formulazione) Le Relatrici.</w:t>
      </w:r>
    </w:p>
  </w:footnote>
  <w:footnote w:id="10">
    <w:p w14:paraId="2A189C96" w14:textId="79245528" w:rsidR="00240A1E" w:rsidRDefault="00240A1E" w:rsidP="008533A9">
      <w:pPr>
        <w:pStyle w:val="Testonotaapidipagina"/>
        <w:jc w:val="both"/>
      </w:pPr>
      <w:r>
        <w:rPr>
          <w:rStyle w:val="Rimandonotaapidipagina"/>
        </w:rPr>
        <w:footnoteRef/>
      </w:r>
      <w:r>
        <w:t xml:space="preserve"> </w:t>
      </w:r>
      <w:r w:rsidRPr="008533A9">
        <w:t xml:space="preserve">1.105. (Nuova formulazione) Donina, Maccanti, Capitanio, Fogliani, </w:t>
      </w:r>
      <w:proofErr w:type="spellStart"/>
      <w:r w:rsidRPr="008533A9">
        <w:t>Furgiuele</w:t>
      </w:r>
      <w:proofErr w:type="spellEnd"/>
      <w:r w:rsidRPr="008533A9">
        <w:t xml:space="preserve">, Giacometti, </w:t>
      </w:r>
      <w:proofErr w:type="spellStart"/>
      <w:r w:rsidRPr="008533A9">
        <w:t>Rixi</w:t>
      </w:r>
      <w:proofErr w:type="spellEnd"/>
      <w:r w:rsidRPr="008533A9">
        <w:t>, Tombolato, Zanella, Zordan, Dara.</w:t>
      </w:r>
    </w:p>
    <w:p w14:paraId="59502052" w14:textId="77777777" w:rsidR="00240A1E" w:rsidRDefault="00240A1E">
      <w:pPr>
        <w:pStyle w:val="Testonotaapidipagina"/>
      </w:pPr>
    </w:p>
  </w:footnote>
  <w:footnote w:id="11">
    <w:p w14:paraId="6BB4410F" w14:textId="075A1FB5" w:rsidR="00240A1E" w:rsidRDefault="00240A1E">
      <w:pPr>
        <w:pStyle w:val="Testonotaapidipagina"/>
      </w:pPr>
      <w:r>
        <w:rPr>
          <w:rStyle w:val="Rimandonotaapidipagina"/>
        </w:rPr>
        <w:footnoteRef/>
      </w:r>
      <w:r>
        <w:t xml:space="preserve"> </w:t>
      </w:r>
      <w:r w:rsidRPr="000D7841">
        <w:t xml:space="preserve">1.110. Tombolato, Maccanti, Capitanio, Donina, Fogliani, </w:t>
      </w:r>
      <w:proofErr w:type="spellStart"/>
      <w:r w:rsidRPr="000D7841">
        <w:t>Furgiuele</w:t>
      </w:r>
      <w:proofErr w:type="spellEnd"/>
      <w:r w:rsidRPr="000D7841">
        <w:t xml:space="preserve">, Giacometti, </w:t>
      </w:r>
      <w:proofErr w:type="spellStart"/>
      <w:r w:rsidRPr="000D7841">
        <w:t>Rixi</w:t>
      </w:r>
      <w:proofErr w:type="spellEnd"/>
      <w:r w:rsidRPr="000D7841">
        <w:t>, Zanella, Zordan</w:t>
      </w:r>
    </w:p>
    <w:p w14:paraId="57D43928" w14:textId="77777777" w:rsidR="00240A1E" w:rsidRDefault="00240A1E">
      <w:pPr>
        <w:pStyle w:val="Testonotaapidipagina"/>
      </w:pPr>
    </w:p>
  </w:footnote>
  <w:footnote w:id="12">
    <w:p w14:paraId="6BF7F265" w14:textId="77777777" w:rsidR="00240A1E" w:rsidRDefault="00240A1E" w:rsidP="000D7841">
      <w:pPr>
        <w:pStyle w:val="Testonotaapidipagina"/>
        <w:jc w:val="both"/>
      </w:pPr>
      <w:r>
        <w:rPr>
          <w:rStyle w:val="Rimandonotaapidipagina"/>
        </w:rPr>
        <w:footnoteRef/>
      </w:r>
      <w:r>
        <w:t xml:space="preserve"> *1.28. Spessotto, </w:t>
      </w:r>
      <w:proofErr w:type="spellStart"/>
      <w:r>
        <w:t>Giuliodori</w:t>
      </w:r>
      <w:proofErr w:type="spellEnd"/>
      <w:r>
        <w:t xml:space="preserve">, Leda Volpi; *1.134. Donina, Capitanio, Maccanti, </w:t>
      </w:r>
      <w:proofErr w:type="spellStart"/>
      <w:r>
        <w:t>Rixi</w:t>
      </w:r>
      <w:proofErr w:type="spellEnd"/>
      <w:r>
        <w:t xml:space="preserve">, Fogliani, </w:t>
      </w:r>
      <w:proofErr w:type="spellStart"/>
      <w:r>
        <w:t>Furgiuele</w:t>
      </w:r>
      <w:proofErr w:type="spellEnd"/>
      <w:r>
        <w:t xml:space="preserve">, Giacometti, Tombolato, Zanella, Zordan, Lucchini, </w:t>
      </w:r>
      <w:proofErr w:type="spellStart"/>
      <w:r>
        <w:t>Badole</w:t>
      </w:r>
      <w:proofErr w:type="spellEnd"/>
      <w:r>
        <w:t xml:space="preserve">, Benvenuto, D'Eramo, Dara, Eva Lorenzoni, </w:t>
      </w:r>
      <w:proofErr w:type="spellStart"/>
      <w:r>
        <w:t>Patassini</w:t>
      </w:r>
      <w:proofErr w:type="spellEnd"/>
      <w:r>
        <w:t xml:space="preserve">, Raffaelli, Valbusa, </w:t>
      </w:r>
      <w:proofErr w:type="spellStart"/>
      <w:r>
        <w:t>Vallotto</w:t>
      </w:r>
      <w:proofErr w:type="spellEnd"/>
      <w:r>
        <w:t xml:space="preserve">; *1.182. Ruffino, Gagliardi; *1.147. Pella, Pentangelo; *1.64. Timbro; *1.260. Gariglio, Andrea Romano, Pizzetti, Cantini, Del Basso De Caro, Bruno Bossio, Morassut; *1.285. Rotelli, </w:t>
      </w:r>
      <w:proofErr w:type="spellStart"/>
      <w:r>
        <w:t>Silvestroni</w:t>
      </w:r>
      <w:proofErr w:type="spellEnd"/>
      <w:r>
        <w:t>.</w:t>
      </w:r>
    </w:p>
    <w:p w14:paraId="67A01185" w14:textId="221B0B06" w:rsidR="00240A1E" w:rsidRDefault="00240A1E" w:rsidP="000D7841">
      <w:pPr>
        <w:pStyle w:val="Testonotaapidipagina"/>
      </w:pPr>
      <w:r>
        <w:t>  </w:t>
      </w:r>
    </w:p>
  </w:footnote>
  <w:footnote w:id="13">
    <w:p w14:paraId="34543FEC" w14:textId="0A47B0C0" w:rsidR="00240A1E" w:rsidRDefault="00240A1E">
      <w:pPr>
        <w:pStyle w:val="Testonotaapidipagina"/>
      </w:pPr>
      <w:r>
        <w:rPr>
          <w:rStyle w:val="Rimandonotaapidipagina"/>
        </w:rPr>
        <w:footnoteRef/>
      </w:r>
      <w:r>
        <w:t xml:space="preserve"> </w:t>
      </w:r>
      <w:r w:rsidRPr="000D7841">
        <w:t xml:space="preserve">1.222. </w:t>
      </w:r>
      <w:proofErr w:type="spellStart"/>
      <w:r w:rsidRPr="000D7841">
        <w:t>Scagliusi</w:t>
      </w:r>
      <w:proofErr w:type="spellEnd"/>
      <w:r w:rsidRPr="000D7841">
        <w:t>.</w:t>
      </w:r>
    </w:p>
  </w:footnote>
  <w:footnote w:id="14">
    <w:p w14:paraId="0C17E230" w14:textId="1FBD47EF" w:rsidR="00240A1E" w:rsidRDefault="00240A1E" w:rsidP="00B02D0C">
      <w:pPr>
        <w:pStyle w:val="Testonotaapidipagina"/>
        <w:jc w:val="both"/>
      </w:pPr>
      <w:r>
        <w:rPr>
          <w:rStyle w:val="Rimandonotaapidipagina"/>
        </w:rPr>
        <w:footnoteRef/>
      </w:r>
      <w:r>
        <w:t xml:space="preserve"> *1.258. (Nuova formulazione) De </w:t>
      </w:r>
      <w:proofErr w:type="spellStart"/>
      <w:r>
        <w:t>Lorenzis</w:t>
      </w:r>
      <w:proofErr w:type="spellEnd"/>
      <w:r>
        <w:t xml:space="preserve">, </w:t>
      </w:r>
      <w:proofErr w:type="spellStart"/>
      <w:r>
        <w:t>Scagliusi</w:t>
      </w:r>
      <w:proofErr w:type="spellEnd"/>
      <w:r>
        <w:t xml:space="preserve">, Ficara, Barbuto, Grippa, Luciano Cantone, Liuzzi, Marino, Raffa, </w:t>
      </w:r>
      <w:proofErr w:type="spellStart"/>
      <w:r>
        <w:t>Serritella</w:t>
      </w:r>
      <w:proofErr w:type="spellEnd"/>
      <w:r>
        <w:t xml:space="preserve">, Traversi; *1.13. (Nuova formulazione) Ruffino; *1.27. (Nuova formulazione) Spessotto, </w:t>
      </w:r>
      <w:proofErr w:type="spellStart"/>
      <w:r>
        <w:t>Gebhard</w:t>
      </w:r>
      <w:proofErr w:type="spellEnd"/>
      <w:r>
        <w:t xml:space="preserve">, </w:t>
      </w:r>
      <w:proofErr w:type="spellStart"/>
      <w:r>
        <w:t>Plangger</w:t>
      </w:r>
      <w:proofErr w:type="spellEnd"/>
      <w:r>
        <w:t xml:space="preserve">, Emanuela </w:t>
      </w:r>
      <w:proofErr w:type="gramStart"/>
      <w:r>
        <w:t>Rossini;  *</w:t>
      </w:r>
      <w:proofErr w:type="gramEnd"/>
      <w:r>
        <w:t xml:space="preserve">1.49. (Nuova formulazione) </w:t>
      </w:r>
      <w:proofErr w:type="spellStart"/>
      <w:r>
        <w:t>Silvestroni</w:t>
      </w:r>
      <w:proofErr w:type="spellEnd"/>
      <w:r>
        <w:t xml:space="preserve">, Rotelli, Foti, Rachele Silvestri; *1.62. (Nuova formulazione) </w:t>
      </w:r>
      <w:proofErr w:type="spellStart"/>
      <w:r>
        <w:t>Plangger</w:t>
      </w:r>
      <w:proofErr w:type="spellEnd"/>
      <w:r>
        <w:t xml:space="preserve">, </w:t>
      </w:r>
      <w:proofErr w:type="spellStart"/>
      <w:r>
        <w:t>Gebhard</w:t>
      </w:r>
      <w:proofErr w:type="spellEnd"/>
      <w:r>
        <w:t xml:space="preserve">, </w:t>
      </w:r>
      <w:proofErr w:type="spellStart"/>
      <w:r>
        <w:t>Schullian</w:t>
      </w:r>
      <w:proofErr w:type="spellEnd"/>
      <w:r>
        <w:t xml:space="preserve">, Emanuela Rossini; *1.143. (Nuova formulazione) Pella, Pentangelo; *1.259. (Nuova formulazione) Gariglio, Andrea Romano, Pizzetti, Cantini, Del Basso De Caro, Bruno Bossio, Morassut; *1.10. (Nuova formulazione) Muroni, </w:t>
      </w:r>
      <w:proofErr w:type="spellStart"/>
      <w:r>
        <w:t>Fioramonti</w:t>
      </w:r>
      <w:proofErr w:type="spellEnd"/>
      <w:r>
        <w:t xml:space="preserve">, Fusacchia, Cecconi, Lombardo; *1.70. (Nuova formulazione) Timbro; *1.129. (Nuova formulazione) Donina, Capitanio, Maccanti, </w:t>
      </w:r>
      <w:proofErr w:type="spellStart"/>
      <w:r>
        <w:t>Rixi</w:t>
      </w:r>
      <w:proofErr w:type="spellEnd"/>
      <w:r>
        <w:t xml:space="preserve">, Fogliani, </w:t>
      </w:r>
      <w:proofErr w:type="spellStart"/>
      <w:r>
        <w:t>Furgiuele</w:t>
      </w:r>
      <w:proofErr w:type="spellEnd"/>
      <w:r>
        <w:t xml:space="preserve">, Giacometti, Tombolato, Zanella, Zordan, Lucchini, </w:t>
      </w:r>
      <w:proofErr w:type="spellStart"/>
      <w:r>
        <w:t>Badole</w:t>
      </w:r>
      <w:proofErr w:type="spellEnd"/>
      <w:r>
        <w:t xml:space="preserve">, Benvenuto, D'Eramo, Dara, Eva Lorenzoni, </w:t>
      </w:r>
      <w:proofErr w:type="spellStart"/>
      <w:r>
        <w:t>Patassini</w:t>
      </w:r>
      <w:proofErr w:type="spellEnd"/>
      <w:r>
        <w:t xml:space="preserve">, Raffaelli, Valbusa, </w:t>
      </w:r>
      <w:proofErr w:type="spellStart"/>
      <w:r>
        <w:t>Vallotto</w:t>
      </w:r>
      <w:proofErr w:type="spellEnd"/>
      <w:r>
        <w:t xml:space="preserve">; *1.177. (Nuova formulazione) Gagliardi, Ruffino; *1.225. (Nuova formulazione) </w:t>
      </w:r>
      <w:proofErr w:type="spellStart"/>
      <w:r>
        <w:t>Scagliusi</w:t>
      </w:r>
      <w:proofErr w:type="spellEnd"/>
      <w:r>
        <w:t xml:space="preserve">; *1.266. (Nuova formulazione) Gariglio, Morassut, Andrea Romano, Pizzetti, Cantini, Del Basso De Caro, Bruno Bossio; *1.223. (Nuova formulazione) Grippa, De </w:t>
      </w:r>
      <w:proofErr w:type="spellStart"/>
      <w:proofErr w:type="gramStart"/>
      <w:r>
        <w:t>Lorenzis</w:t>
      </w:r>
      <w:proofErr w:type="spellEnd"/>
      <w:r>
        <w:t>;*</w:t>
      </w:r>
      <w:proofErr w:type="gramEnd"/>
      <w:r>
        <w:t xml:space="preserve">1.71. (Nuova formulazione) Timbro; *1.9. (Nuova formulazione) Muroni, </w:t>
      </w:r>
      <w:proofErr w:type="spellStart"/>
      <w:r>
        <w:t>Fioramonti</w:t>
      </w:r>
      <w:proofErr w:type="spellEnd"/>
      <w:r>
        <w:t xml:space="preserve">, Fusacchia, Cecconi, Lombardo; *1.289. (Nuova formulazione) Rotelli, </w:t>
      </w:r>
      <w:proofErr w:type="spellStart"/>
      <w:r>
        <w:t>Silvestroni</w:t>
      </w:r>
      <w:proofErr w:type="spellEnd"/>
      <w:r>
        <w:t xml:space="preserve">; *1.115. (Nuova formulazione) Donina, Maccanti, Capitanio, Fogliani, </w:t>
      </w:r>
      <w:proofErr w:type="spellStart"/>
      <w:r>
        <w:t>Furgiuele</w:t>
      </w:r>
      <w:proofErr w:type="spellEnd"/>
      <w:r>
        <w:t xml:space="preserve">, Giacometti, </w:t>
      </w:r>
      <w:proofErr w:type="spellStart"/>
      <w:r>
        <w:t>Rixi</w:t>
      </w:r>
      <w:proofErr w:type="spellEnd"/>
      <w:r>
        <w:t>, Tombolato, Zanella, Zordan.</w:t>
      </w:r>
    </w:p>
    <w:p w14:paraId="3B7D5658" w14:textId="77777777" w:rsidR="00240A1E" w:rsidRDefault="00240A1E" w:rsidP="00B02D0C">
      <w:pPr>
        <w:pStyle w:val="Testonotaapidipagina"/>
        <w:jc w:val="both"/>
      </w:pPr>
    </w:p>
  </w:footnote>
  <w:footnote w:id="15">
    <w:p w14:paraId="61C341A5" w14:textId="53A389D0" w:rsidR="00240A1E" w:rsidRDefault="00240A1E">
      <w:pPr>
        <w:pStyle w:val="Testonotaapidipagina"/>
      </w:pPr>
      <w:r>
        <w:rPr>
          <w:rStyle w:val="Rimandonotaapidipagina"/>
        </w:rPr>
        <w:footnoteRef/>
      </w:r>
      <w:r>
        <w:t xml:space="preserve"> </w:t>
      </w:r>
      <w:r w:rsidRPr="000D7841">
        <w:t xml:space="preserve">1.277. (Nuova formulazione) Nobili, </w:t>
      </w:r>
      <w:proofErr w:type="spellStart"/>
      <w:r w:rsidRPr="000D7841">
        <w:t>Fregolent</w:t>
      </w:r>
      <w:proofErr w:type="spellEnd"/>
      <w:r w:rsidRPr="000D7841">
        <w:t>, Rosato.</w:t>
      </w:r>
    </w:p>
    <w:p w14:paraId="43EACC33" w14:textId="77777777" w:rsidR="00240A1E" w:rsidRDefault="00240A1E">
      <w:pPr>
        <w:pStyle w:val="Testonotaapidipagina"/>
      </w:pPr>
    </w:p>
  </w:footnote>
  <w:footnote w:id="16">
    <w:p w14:paraId="2E3B63B0" w14:textId="3FAF8D54" w:rsidR="00240A1E" w:rsidRDefault="00240A1E">
      <w:pPr>
        <w:pStyle w:val="Testonotaapidipagina"/>
      </w:pPr>
      <w:r>
        <w:rPr>
          <w:rStyle w:val="Rimandonotaapidipagina"/>
        </w:rPr>
        <w:footnoteRef/>
      </w:r>
      <w:r>
        <w:t xml:space="preserve"> </w:t>
      </w:r>
      <w:r w:rsidRPr="000D7841">
        <w:t xml:space="preserve">1.201. (Nuova formulazione) De </w:t>
      </w:r>
      <w:proofErr w:type="spellStart"/>
      <w:r w:rsidRPr="000D7841">
        <w:t>Lorenzis</w:t>
      </w:r>
      <w:proofErr w:type="spellEnd"/>
      <w:r w:rsidRPr="000D7841">
        <w:t>.</w:t>
      </w:r>
    </w:p>
  </w:footnote>
  <w:footnote w:id="17">
    <w:p w14:paraId="750F4785" w14:textId="5D6F0166" w:rsidR="00240A1E" w:rsidRDefault="00240A1E">
      <w:pPr>
        <w:pStyle w:val="Testonotaapidipagina"/>
      </w:pPr>
      <w:r>
        <w:rPr>
          <w:rStyle w:val="Rimandonotaapidipagina"/>
        </w:rPr>
        <w:footnoteRef/>
      </w:r>
      <w:r>
        <w:t xml:space="preserve"> </w:t>
      </w:r>
      <w:r w:rsidRPr="000D7841">
        <w:t>1.269. (Nuova riformulazione) Prestipino, Gariglio, Andrea Romano, Morassut, Bruno Bossio, Del Basso De Caro, Pizzetti, Cantini, Donina, Rosso.</w:t>
      </w:r>
    </w:p>
    <w:p w14:paraId="1A142D49" w14:textId="77777777" w:rsidR="00240A1E" w:rsidRPr="003E35CA" w:rsidRDefault="00240A1E">
      <w:pPr>
        <w:pStyle w:val="Testonotaapidipagina"/>
        <w:rPr>
          <w:lang w:val="en-US"/>
        </w:rPr>
      </w:pPr>
    </w:p>
  </w:footnote>
  <w:footnote w:id="18">
    <w:p w14:paraId="0A5A9227" w14:textId="1C6F7F3A" w:rsidR="00240A1E" w:rsidRDefault="00240A1E">
      <w:pPr>
        <w:pStyle w:val="Testonotaapidipagina"/>
        <w:rPr>
          <w:lang w:val="en-US"/>
        </w:rPr>
      </w:pPr>
      <w:r>
        <w:rPr>
          <w:rStyle w:val="Rimandonotaapidipagina"/>
        </w:rPr>
        <w:footnoteRef/>
      </w:r>
      <w:r w:rsidRPr="003E35CA">
        <w:rPr>
          <w:lang w:val="en-US"/>
        </w:rPr>
        <w:t xml:space="preserve"> 1.60. </w:t>
      </w:r>
      <w:proofErr w:type="spellStart"/>
      <w:r w:rsidRPr="003E35CA">
        <w:rPr>
          <w:lang w:val="en-US"/>
        </w:rPr>
        <w:t>Schullian</w:t>
      </w:r>
      <w:proofErr w:type="spellEnd"/>
      <w:r w:rsidRPr="003E35CA">
        <w:rPr>
          <w:lang w:val="en-US"/>
        </w:rPr>
        <w:t xml:space="preserve">, </w:t>
      </w:r>
      <w:proofErr w:type="spellStart"/>
      <w:r w:rsidRPr="003E35CA">
        <w:rPr>
          <w:lang w:val="en-US"/>
        </w:rPr>
        <w:t>Gebhard</w:t>
      </w:r>
      <w:proofErr w:type="spellEnd"/>
      <w:r w:rsidRPr="003E35CA">
        <w:rPr>
          <w:lang w:val="en-US"/>
        </w:rPr>
        <w:t xml:space="preserve">, </w:t>
      </w:r>
      <w:proofErr w:type="spellStart"/>
      <w:r w:rsidRPr="003E35CA">
        <w:rPr>
          <w:lang w:val="en-US"/>
        </w:rPr>
        <w:t>Plangger</w:t>
      </w:r>
      <w:proofErr w:type="spellEnd"/>
      <w:r w:rsidRPr="003E35CA">
        <w:rPr>
          <w:lang w:val="en-US"/>
        </w:rPr>
        <w:t>, Emanuela Rossini.</w:t>
      </w:r>
    </w:p>
    <w:p w14:paraId="7C70A2E4" w14:textId="77777777" w:rsidR="00240A1E" w:rsidRPr="003E35CA" w:rsidRDefault="00240A1E">
      <w:pPr>
        <w:pStyle w:val="Testonotaapidipagina"/>
        <w:rPr>
          <w:lang w:val="en-US"/>
        </w:rPr>
      </w:pPr>
    </w:p>
  </w:footnote>
  <w:footnote w:id="19">
    <w:p w14:paraId="751A86CA" w14:textId="1410632B" w:rsidR="00240A1E" w:rsidRDefault="00240A1E" w:rsidP="00B02D0C">
      <w:pPr>
        <w:pStyle w:val="Testonotaapidipagina"/>
        <w:jc w:val="both"/>
      </w:pPr>
      <w:r>
        <w:rPr>
          <w:rStyle w:val="Rimandonotaapidipagina"/>
        </w:rPr>
        <w:footnoteRef/>
      </w:r>
      <w:r w:rsidRPr="003E35CA">
        <w:rPr>
          <w:lang w:val="en-US"/>
        </w:rPr>
        <w:t xml:space="preserve">  *1.258. </w:t>
      </w:r>
      <w:r>
        <w:t xml:space="preserve">(Nuova formulazione) De </w:t>
      </w:r>
      <w:proofErr w:type="spellStart"/>
      <w:r>
        <w:t>Lorenzis</w:t>
      </w:r>
      <w:proofErr w:type="spellEnd"/>
      <w:r>
        <w:t xml:space="preserve">, </w:t>
      </w:r>
      <w:proofErr w:type="spellStart"/>
      <w:r>
        <w:t>Scagliusi</w:t>
      </w:r>
      <w:proofErr w:type="spellEnd"/>
      <w:r>
        <w:t xml:space="preserve">, Ficara, Barbuto, Grippa, Luciano Cantone, Liuzzi, Marino, Raffa, </w:t>
      </w:r>
      <w:proofErr w:type="spellStart"/>
      <w:r>
        <w:t>Serritella</w:t>
      </w:r>
      <w:proofErr w:type="spellEnd"/>
      <w:r>
        <w:t xml:space="preserve">, Traversi; *1.13. (Nuova formulazione) Ruffino; *1.27. (Nuova formulazione) Spessotto, </w:t>
      </w:r>
      <w:proofErr w:type="spellStart"/>
      <w:r>
        <w:t>Gebhard</w:t>
      </w:r>
      <w:proofErr w:type="spellEnd"/>
      <w:r>
        <w:t xml:space="preserve">, </w:t>
      </w:r>
      <w:proofErr w:type="spellStart"/>
      <w:r>
        <w:t>Plangger</w:t>
      </w:r>
      <w:proofErr w:type="spellEnd"/>
      <w:r>
        <w:t xml:space="preserve">, Emanuela </w:t>
      </w:r>
      <w:proofErr w:type="gramStart"/>
      <w:r>
        <w:t>Rossini;  *</w:t>
      </w:r>
      <w:proofErr w:type="gramEnd"/>
      <w:r>
        <w:t xml:space="preserve">1.49. (Nuova formulazione) </w:t>
      </w:r>
      <w:proofErr w:type="spellStart"/>
      <w:r>
        <w:t>Silvestroni</w:t>
      </w:r>
      <w:proofErr w:type="spellEnd"/>
      <w:r>
        <w:t xml:space="preserve">, Rotelli, Foti, Rachele Silvestri; *1.62. (Nuova formulazione) </w:t>
      </w:r>
      <w:proofErr w:type="spellStart"/>
      <w:r>
        <w:t>Plangger</w:t>
      </w:r>
      <w:proofErr w:type="spellEnd"/>
      <w:r>
        <w:t xml:space="preserve">, </w:t>
      </w:r>
      <w:proofErr w:type="spellStart"/>
      <w:r>
        <w:t>Gebhard</w:t>
      </w:r>
      <w:proofErr w:type="spellEnd"/>
      <w:r>
        <w:t xml:space="preserve">, </w:t>
      </w:r>
      <w:proofErr w:type="spellStart"/>
      <w:r>
        <w:t>Schullian</w:t>
      </w:r>
      <w:proofErr w:type="spellEnd"/>
      <w:r>
        <w:t xml:space="preserve">, Emanuela Rossini; *1.143. (Nuova formulazione) Pella, Pentangelo; *1.259. (Nuova formulazione) Gariglio, Andrea Romano, Pizzetti, Cantini, Del Basso De Caro, Bruno Bossio, Morassut; *1.10. (Nuova formulazione) Muroni, </w:t>
      </w:r>
      <w:proofErr w:type="spellStart"/>
      <w:r>
        <w:t>Fioramonti</w:t>
      </w:r>
      <w:proofErr w:type="spellEnd"/>
      <w:r>
        <w:t xml:space="preserve">, Fusacchia, Cecconi, Lombardo; *1.70. (Nuova formulazione) Timbro; *1.129. (Nuova formulazione) Donina, Capitanio, Maccanti, </w:t>
      </w:r>
      <w:proofErr w:type="spellStart"/>
      <w:r>
        <w:t>Rixi</w:t>
      </w:r>
      <w:proofErr w:type="spellEnd"/>
      <w:r>
        <w:t xml:space="preserve">, Fogliani, </w:t>
      </w:r>
      <w:proofErr w:type="spellStart"/>
      <w:r>
        <w:t>Furgiuele</w:t>
      </w:r>
      <w:proofErr w:type="spellEnd"/>
      <w:r>
        <w:t xml:space="preserve">, Giacometti, Tombolato, Zanella, Zordan, Lucchini, </w:t>
      </w:r>
      <w:proofErr w:type="spellStart"/>
      <w:r>
        <w:t>Badole</w:t>
      </w:r>
      <w:proofErr w:type="spellEnd"/>
      <w:r>
        <w:t xml:space="preserve">, Benvenuto, D'Eramo, Dara, Eva Lorenzoni, </w:t>
      </w:r>
      <w:proofErr w:type="spellStart"/>
      <w:r>
        <w:t>Patassini</w:t>
      </w:r>
      <w:proofErr w:type="spellEnd"/>
      <w:r>
        <w:t xml:space="preserve">, Raffaelli, Valbusa, </w:t>
      </w:r>
      <w:proofErr w:type="spellStart"/>
      <w:r>
        <w:t>Vallotto</w:t>
      </w:r>
      <w:proofErr w:type="spellEnd"/>
      <w:r>
        <w:t xml:space="preserve">; *1.177. (Nuova formulazione) Gagliardi, Ruffino; *1.225. (Nuova formulazione) </w:t>
      </w:r>
      <w:proofErr w:type="spellStart"/>
      <w:r>
        <w:t>Scagliusi</w:t>
      </w:r>
      <w:proofErr w:type="spellEnd"/>
      <w:r>
        <w:t xml:space="preserve">; *1.266. (Nuova formulazione) Gariglio, Morassut, Andrea Romano, Pizzetti, Cantini, Del Basso De Caro, Bruno Bossio; *1.223. (Nuova formulazione) Grippa, De </w:t>
      </w:r>
      <w:proofErr w:type="spellStart"/>
      <w:proofErr w:type="gramStart"/>
      <w:r>
        <w:t>Lorenzis</w:t>
      </w:r>
      <w:proofErr w:type="spellEnd"/>
      <w:r>
        <w:t>;*</w:t>
      </w:r>
      <w:proofErr w:type="gramEnd"/>
      <w:r>
        <w:t xml:space="preserve">1.71. (Nuova formulazione) Timbro; *1.9. (Nuova formulazione) Muroni, </w:t>
      </w:r>
      <w:proofErr w:type="spellStart"/>
      <w:r>
        <w:t>Fioramonti</w:t>
      </w:r>
      <w:proofErr w:type="spellEnd"/>
      <w:r>
        <w:t xml:space="preserve">, Fusacchia, Cecconi, Lombardo; *1.289. (Nuova formulazione) Rotelli, </w:t>
      </w:r>
      <w:proofErr w:type="spellStart"/>
      <w:r>
        <w:t>Silvestroni</w:t>
      </w:r>
      <w:proofErr w:type="spellEnd"/>
      <w:r>
        <w:t xml:space="preserve">; *1.115. (Nuova formulazione) Donina, Maccanti, Capitanio, Fogliani, </w:t>
      </w:r>
      <w:proofErr w:type="spellStart"/>
      <w:r>
        <w:t>Furgiuele</w:t>
      </w:r>
      <w:proofErr w:type="spellEnd"/>
      <w:r>
        <w:t xml:space="preserve">, Giacometti, </w:t>
      </w:r>
      <w:proofErr w:type="spellStart"/>
      <w:r>
        <w:t>Rixi</w:t>
      </w:r>
      <w:proofErr w:type="spellEnd"/>
      <w:r>
        <w:t>, Tombolato, Zanella, Zordan.</w:t>
      </w:r>
    </w:p>
  </w:footnote>
  <w:footnote w:id="20">
    <w:p w14:paraId="6D5FA8DB" w14:textId="77777777" w:rsidR="00240A1E" w:rsidRDefault="00240A1E" w:rsidP="00B02D0C">
      <w:pPr>
        <w:pStyle w:val="Testonotaapidipagina"/>
        <w:jc w:val="both"/>
      </w:pPr>
      <w:r>
        <w:rPr>
          <w:rStyle w:val="Rimandonotaapidipagina"/>
        </w:rPr>
        <w:footnoteRef/>
      </w:r>
      <w:r>
        <w:t xml:space="preserve">  *1.258. (Nuova formulazione) De </w:t>
      </w:r>
      <w:proofErr w:type="spellStart"/>
      <w:r>
        <w:t>Lorenzis</w:t>
      </w:r>
      <w:proofErr w:type="spellEnd"/>
      <w:r>
        <w:t xml:space="preserve">, </w:t>
      </w:r>
      <w:proofErr w:type="spellStart"/>
      <w:r>
        <w:t>Scagliusi</w:t>
      </w:r>
      <w:proofErr w:type="spellEnd"/>
      <w:r>
        <w:t xml:space="preserve">, Ficara, Barbuto, Grippa, Luciano Cantone, Liuzzi, Marino, Raffa, </w:t>
      </w:r>
      <w:proofErr w:type="spellStart"/>
      <w:r>
        <w:t>Serritella</w:t>
      </w:r>
      <w:proofErr w:type="spellEnd"/>
      <w:r>
        <w:t xml:space="preserve">, Traversi; *1.13. (Nuova formulazione) Ruffino; *1.27. (Nuova formulazione) Spessotto, </w:t>
      </w:r>
      <w:proofErr w:type="spellStart"/>
      <w:r>
        <w:t>Gebhard</w:t>
      </w:r>
      <w:proofErr w:type="spellEnd"/>
      <w:r>
        <w:t xml:space="preserve">, </w:t>
      </w:r>
      <w:proofErr w:type="spellStart"/>
      <w:r>
        <w:t>Plangger</w:t>
      </w:r>
      <w:proofErr w:type="spellEnd"/>
      <w:r>
        <w:t xml:space="preserve">, Emanuela </w:t>
      </w:r>
      <w:proofErr w:type="gramStart"/>
      <w:r>
        <w:t>Rossini;  *</w:t>
      </w:r>
      <w:proofErr w:type="gramEnd"/>
      <w:r>
        <w:t xml:space="preserve">1.49. (Nuova formulazione) </w:t>
      </w:r>
      <w:proofErr w:type="spellStart"/>
      <w:r>
        <w:t>Silvestroni</w:t>
      </w:r>
      <w:proofErr w:type="spellEnd"/>
      <w:r>
        <w:t xml:space="preserve">, Rotelli, Foti, Rachele Silvestri; *1.62. (Nuova formulazione) </w:t>
      </w:r>
      <w:proofErr w:type="spellStart"/>
      <w:r>
        <w:t>Plangger</w:t>
      </w:r>
      <w:proofErr w:type="spellEnd"/>
      <w:r>
        <w:t xml:space="preserve">, </w:t>
      </w:r>
      <w:proofErr w:type="spellStart"/>
      <w:r>
        <w:t>Gebhard</w:t>
      </w:r>
      <w:proofErr w:type="spellEnd"/>
      <w:r>
        <w:t xml:space="preserve">, </w:t>
      </w:r>
      <w:proofErr w:type="spellStart"/>
      <w:r>
        <w:t>Schullian</w:t>
      </w:r>
      <w:proofErr w:type="spellEnd"/>
      <w:r>
        <w:t xml:space="preserve">, Emanuela Rossini; *1.143. (Nuova formulazione) Pella, Pentangelo; *1.259. (Nuova formulazione) Gariglio, Andrea Romano, Pizzetti, Cantini, Del Basso De Caro, Bruno Bossio, Morassut; *1.10. (Nuova formulazione) Muroni, </w:t>
      </w:r>
      <w:proofErr w:type="spellStart"/>
      <w:r>
        <w:t>Fioramonti</w:t>
      </w:r>
      <w:proofErr w:type="spellEnd"/>
      <w:r>
        <w:t xml:space="preserve">, Fusacchia, Cecconi, Lombardo; *1.70. (Nuova formulazione) Timbro; *1.129. (Nuova formulazione) Donina, Capitanio, Maccanti, </w:t>
      </w:r>
      <w:proofErr w:type="spellStart"/>
      <w:r>
        <w:t>Rixi</w:t>
      </w:r>
      <w:proofErr w:type="spellEnd"/>
      <w:r>
        <w:t xml:space="preserve">, Fogliani, </w:t>
      </w:r>
      <w:proofErr w:type="spellStart"/>
      <w:r>
        <w:t>Furgiuele</w:t>
      </w:r>
      <w:proofErr w:type="spellEnd"/>
      <w:r>
        <w:t xml:space="preserve">, Giacometti, Tombolato, Zanella, Zordan, Lucchini, </w:t>
      </w:r>
      <w:proofErr w:type="spellStart"/>
      <w:r>
        <w:t>Badole</w:t>
      </w:r>
      <w:proofErr w:type="spellEnd"/>
      <w:r>
        <w:t xml:space="preserve">, Benvenuto, D'Eramo, Dara, Eva Lorenzoni, </w:t>
      </w:r>
      <w:proofErr w:type="spellStart"/>
      <w:r>
        <w:t>Patassini</w:t>
      </w:r>
      <w:proofErr w:type="spellEnd"/>
      <w:r>
        <w:t xml:space="preserve">, Raffaelli, Valbusa, </w:t>
      </w:r>
      <w:proofErr w:type="spellStart"/>
      <w:r>
        <w:t>Vallotto</w:t>
      </w:r>
      <w:proofErr w:type="spellEnd"/>
      <w:r>
        <w:t xml:space="preserve">; *1.177. (Nuova formulazione) Gagliardi, Ruffino; *1.225. (Nuova formulazione) </w:t>
      </w:r>
      <w:proofErr w:type="spellStart"/>
      <w:r>
        <w:t>Scagliusi</w:t>
      </w:r>
      <w:proofErr w:type="spellEnd"/>
      <w:r>
        <w:t xml:space="preserve">; *1.266. (Nuova formulazione) Gariglio, Morassut, Andrea Romano, Pizzetti, Cantini, Del Basso De Caro, Bruno Bossio; *1.223. (Nuova formulazione) Grippa, De </w:t>
      </w:r>
      <w:proofErr w:type="spellStart"/>
      <w:proofErr w:type="gramStart"/>
      <w:r>
        <w:t>Lorenzis</w:t>
      </w:r>
      <w:proofErr w:type="spellEnd"/>
      <w:r>
        <w:t>;*</w:t>
      </w:r>
      <w:proofErr w:type="gramEnd"/>
      <w:r>
        <w:t xml:space="preserve">1.71. (Nuova formulazione) Timbro; *1.9. (Nuova formulazione) Muroni, </w:t>
      </w:r>
      <w:proofErr w:type="spellStart"/>
      <w:r>
        <w:t>Fioramonti</w:t>
      </w:r>
      <w:proofErr w:type="spellEnd"/>
      <w:r>
        <w:t xml:space="preserve">, Fusacchia, Cecconi, Lombardo; *1.289. (Nuova formulazione) Rotelli, </w:t>
      </w:r>
      <w:proofErr w:type="spellStart"/>
      <w:r>
        <w:t>Silvestroni</w:t>
      </w:r>
      <w:proofErr w:type="spellEnd"/>
      <w:r>
        <w:t xml:space="preserve">; *1.115. (Nuova formulazione) Donina, Maccanti, Capitanio, Fogliani, </w:t>
      </w:r>
      <w:proofErr w:type="spellStart"/>
      <w:r>
        <w:t>Furgiuele</w:t>
      </w:r>
      <w:proofErr w:type="spellEnd"/>
      <w:r>
        <w:t xml:space="preserve">, Giacometti, </w:t>
      </w:r>
      <w:proofErr w:type="spellStart"/>
      <w:r>
        <w:t>Rixi</w:t>
      </w:r>
      <w:proofErr w:type="spellEnd"/>
      <w:r>
        <w:t>, Tombolato, Zanella, Zordan.</w:t>
      </w:r>
    </w:p>
    <w:p w14:paraId="044AC5D3" w14:textId="09DDD019" w:rsidR="00240A1E" w:rsidRDefault="00240A1E">
      <w:pPr>
        <w:pStyle w:val="Testonotaapidipagina"/>
      </w:pPr>
    </w:p>
  </w:footnote>
  <w:footnote w:id="21">
    <w:p w14:paraId="328AF140" w14:textId="12654153" w:rsidR="00240A1E" w:rsidRDefault="00240A1E" w:rsidP="002513B9">
      <w:pPr>
        <w:pStyle w:val="Testonotaapidipagina"/>
        <w:jc w:val="both"/>
      </w:pPr>
      <w:r>
        <w:rPr>
          <w:rStyle w:val="Rimandonotaapidipagina"/>
        </w:rPr>
        <w:footnoteRef/>
      </w:r>
      <w:r>
        <w:t xml:space="preserve"> *1.257. (Nuova formulazione) De </w:t>
      </w:r>
      <w:proofErr w:type="spellStart"/>
      <w:r>
        <w:t>Lorenzis</w:t>
      </w:r>
      <w:proofErr w:type="spellEnd"/>
      <w:r>
        <w:t xml:space="preserve">, </w:t>
      </w:r>
      <w:proofErr w:type="spellStart"/>
      <w:r>
        <w:t>Scagliusi</w:t>
      </w:r>
      <w:proofErr w:type="spellEnd"/>
      <w:r>
        <w:t xml:space="preserve">, Ficara, Barbuto, Grippa, Luciano Cantone, Liuzzi, Marino, Raffa, </w:t>
      </w:r>
      <w:proofErr w:type="spellStart"/>
      <w:r>
        <w:t>Serritella</w:t>
      </w:r>
      <w:proofErr w:type="spellEnd"/>
      <w:r>
        <w:t xml:space="preserve">, Traversi; *1.137. (Nuova formulazione) Maccanti, Donina, </w:t>
      </w:r>
      <w:proofErr w:type="spellStart"/>
      <w:r>
        <w:t>Rixi</w:t>
      </w:r>
      <w:proofErr w:type="spellEnd"/>
      <w:r>
        <w:t xml:space="preserve">, Capitanio, Fogliani, </w:t>
      </w:r>
      <w:proofErr w:type="spellStart"/>
      <w:r>
        <w:t>Furgiuele</w:t>
      </w:r>
      <w:proofErr w:type="spellEnd"/>
      <w:r>
        <w:t xml:space="preserve">, Giacometti, Tombolato, Zanella, Zordan, Lucchini, </w:t>
      </w:r>
      <w:proofErr w:type="spellStart"/>
      <w:r>
        <w:t>Badole</w:t>
      </w:r>
      <w:proofErr w:type="spellEnd"/>
      <w:r>
        <w:t xml:space="preserve">, Benvenuto, D'Eramo, Dara, Eva Lorenzoni, </w:t>
      </w:r>
      <w:proofErr w:type="spellStart"/>
      <w:r>
        <w:t>Patassini</w:t>
      </w:r>
      <w:proofErr w:type="spellEnd"/>
      <w:r>
        <w:t xml:space="preserve">, Raffaelli, Valbusa, </w:t>
      </w:r>
      <w:proofErr w:type="spellStart"/>
      <w:r>
        <w:t>Vallotto</w:t>
      </w:r>
      <w:proofErr w:type="spellEnd"/>
      <w:r>
        <w:t xml:space="preserve">; *1.214. (Nuova formulazione) De </w:t>
      </w:r>
      <w:proofErr w:type="spellStart"/>
      <w:r>
        <w:t>Lorenzis</w:t>
      </w:r>
      <w:proofErr w:type="spellEnd"/>
      <w:r>
        <w:t xml:space="preserve">; *1.94. (Nuova formulazione) Bruno Bossio, Pizzetti, Carnevali, Gariglio, Morassut, Del Basso De Caro; *1.106. (Nuova formulazione) Donina, Maccanti, Capitanio, Fogliani, </w:t>
      </w:r>
      <w:proofErr w:type="spellStart"/>
      <w:r>
        <w:t>Furgiuele</w:t>
      </w:r>
      <w:proofErr w:type="spellEnd"/>
      <w:r>
        <w:t xml:space="preserve">, Giacometti, </w:t>
      </w:r>
      <w:proofErr w:type="spellStart"/>
      <w:r>
        <w:t>Rixi</w:t>
      </w:r>
      <w:proofErr w:type="spellEnd"/>
      <w:r>
        <w:t xml:space="preserve">, Tombolato, Zanella, Zordan; *1.151. (Nuova formulazione) Pentangelo, Sarro; *1.205. (Nuova formulazione) De </w:t>
      </w:r>
      <w:proofErr w:type="spellStart"/>
      <w:r>
        <w:t>Lorenzis</w:t>
      </w:r>
      <w:proofErr w:type="spellEnd"/>
      <w:r>
        <w:t xml:space="preserve">, Marino, </w:t>
      </w:r>
      <w:proofErr w:type="spellStart"/>
      <w:r>
        <w:t>Scagliusi</w:t>
      </w:r>
      <w:proofErr w:type="spellEnd"/>
      <w:r>
        <w:t xml:space="preserve">; *1.150. (Nuova formulazione) Pentangelo, Sarro; *1.204. (Nuova formulazione) De </w:t>
      </w:r>
      <w:proofErr w:type="spellStart"/>
      <w:r>
        <w:t>Lorenzis</w:t>
      </w:r>
      <w:proofErr w:type="spellEnd"/>
      <w:r>
        <w:t xml:space="preserve">; *1.42. (Nuova formulazione) Moretto; 1.166. (Nuova formulazione) Sozzani; *1.011. (Nuova formulazione) Bruno Bossio, Pizzetti, Carnevali, Gariglio, Morassut, Del Basso De Caro; *1.021. (Nuova formulazione) Maccanti, Donina, </w:t>
      </w:r>
      <w:proofErr w:type="spellStart"/>
      <w:r>
        <w:t>Rixi</w:t>
      </w:r>
      <w:proofErr w:type="spellEnd"/>
      <w:r>
        <w:t xml:space="preserve">, Capitanio, Fogliani, </w:t>
      </w:r>
      <w:proofErr w:type="spellStart"/>
      <w:r>
        <w:t>Furgiuele</w:t>
      </w:r>
      <w:proofErr w:type="spellEnd"/>
      <w:r>
        <w:t xml:space="preserve">, Giacometti, Tombolato, Zanella, Zordan, Lucchini, </w:t>
      </w:r>
      <w:proofErr w:type="spellStart"/>
      <w:r>
        <w:t>Badole</w:t>
      </w:r>
      <w:proofErr w:type="spellEnd"/>
      <w:r>
        <w:t xml:space="preserve">, Benvenuto, D'Eramo, Dara, Eva Lorenzoni, </w:t>
      </w:r>
      <w:proofErr w:type="spellStart"/>
      <w:r>
        <w:t>Patassini</w:t>
      </w:r>
      <w:proofErr w:type="spellEnd"/>
      <w:r>
        <w:t xml:space="preserve">, Raffaelli, Valbusa, </w:t>
      </w:r>
      <w:proofErr w:type="spellStart"/>
      <w:r>
        <w:t>Vallotto</w:t>
      </w:r>
      <w:proofErr w:type="spellEnd"/>
      <w:r>
        <w:t xml:space="preserve">; *1.027. (Nuova formulazione) De </w:t>
      </w:r>
      <w:proofErr w:type="spellStart"/>
      <w:r>
        <w:t>Lorenzis</w:t>
      </w:r>
      <w:proofErr w:type="spellEnd"/>
      <w:r>
        <w:t xml:space="preserve">; *1.039. (Nuova formulazione) Rotelli, </w:t>
      </w:r>
      <w:proofErr w:type="spellStart"/>
      <w:r>
        <w:t>Silvestroni</w:t>
      </w:r>
      <w:proofErr w:type="spellEnd"/>
      <w:r>
        <w:t>.</w:t>
      </w:r>
    </w:p>
    <w:p w14:paraId="30AE0E70" w14:textId="77777777" w:rsidR="00240A1E" w:rsidRDefault="00240A1E">
      <w:pPr>
        <w:pStyle w:val="Testonotaapidipagina"/>
      </w:pPr>
    </w:p>
  </w:footnote>
  <w:footnote w:id="22">
    <w:p w14:paraId="010A4A08" w14:textId="5ACF564F" w:rsidR="00240A1E" w:rsidRDefault="00240A1E">
      <w:pPr>
        <w:pStyle w:val="Testonotaapidipagina"/>
      </w:pPr>
      <w:r>
        <w:rPr>
          <w:rStyle w:val="Rimandonotaapidipagina"/>
        </w:rPr>
        <w:footnoteRef/>
      </w:r>
      <w:r>
        <w:t xml:space="preserve"> </w:t>
      </w:r>
      <w:r w:rsidRPr="002513B9">
        <w:t xml:space="preserve">**1.3. (Nuova formulazione) Nardi; **1.293. (Nuova formulazione) Nobili, </w:t>
      </w:r>
      <w:proofErr w:type="spellStart"/>
      <w:r w:rsidRPr="002513B9">
        <w:t>Fregolent</w:t>
      </w:r>
      <w:proofErr w:type="spellEnd"/>
      <w:r w:rsidRPr="002513B9">
        <w:t>; **1.74. (Nuova formulazione) Buratti.</w:t>
      </w:r>
    </w:p>
    <w:p w14:paraId="0C682522" w14:textId="77777777" w:rsidR="00240A1E" w:rsidRDefault="00240A1E">
      <w:pPr>
        <w:pStyle w:val="Testonotaapidipagina"/>
      </w:pPr>
    </w:p>
  </w:footnote>
  <w:footnote w:id="23">
    <w:p w14:paraId="5E4254D0" w14:textId="2BBEA5C3" w:rsidR="00240A1E" w:rsidRDefault="00240A1E" w:rsidP="008533A9">
      <w:pPr>
        <w:pStyle w:val="Testonotaapidipagina"/>
        <w:jc w:val="both"/>
      </w:pPr>
      <w:r>
        <w:rPr>
          <w:rStyle w:val="Rimandonotaapidipagina"/>
        </w:rPr>
        <w:footnoteRef/>
      </w:r>
      <w:r>
        <w:t xml:space="preserve"> 1.105. (Nuova formulazione) Donina, Maccanti, Capitanio, Fogliani, </w:t>
      </w:r>
      <w:proofErr w:type="spellStart"/>
      <w:r>
        <w:t>Furgiuele</w:t>
      </w:r>
      <w:proofErr w:type="spellEnd"/>
      <w:r>
        <w:t xml:space="preserve">, Giacometti, </w:t>
      </w:r>
      <w:proofErr w:type="spellStart"/>
      <w:r>
        <w:t>Rixi</w:t>
      </w:r>
      <w:proofErr w:type="spellEnd"/>
      <w:r>
        <w:t xml:space="preserve">, Tombolato, Zanella, Zordan, Dara; *1.99. (Ulteriore nuova formulazione) Lucchini, Valbusa, </w:t>
      </w:r>
      <w:proofErr w:type="spellStart"/>
      <w:r>
        <w:t>Patassini</w:t>
      </w:r>
      <w:proofErr w:type="spellEnd"/>
      <w:r>
        <w:t xml:space="preserve">, </w:t>
      </w:r>
      <w:proofErr w:type="spellStart"/>
      <w:r>
        <w:t>Badole</w:t>
      </w:r>
      <w:proofErr w:type="spellEnd"/>
      <w:r>
        <w:t xml:space="preserve">, Benvenuto, D'Eramo, Dara, Eva Lorenzoni, Raffaelli, </w:t>
      </w:r>
      <w:proofErr w:type="spellStart"/>
      <w:r>
        <w:t>Vallotto</w:t>
      </w:r>
      <w:proofErr w:type="spellEnd"/>
      <w:r>
        <w:t xml:space="preserve">, </w:t>
      </w:r>
      <w:proofErr w:type="spellStart"/>
      <w:r>
        <w:t>Rixi</w:t>
      </w:r>
      <w:proofErr w:type="spellEnd"/>
      <w:r>
        <w:t xml:space="preserve">, Maccanti, Capitanio, Donina, Fogliani, </w:t>
      </w:r>
      <w:proofErr w:type="spellStart"/>
      <w:r>
        <w:t>Furgiuele</w:t>
      </w:r>
      <w:proofErr w:type="spellEnd"/>
      <w:r>
        <w:t>, Giacometti, Tombolato, Zanella, Zordan.</w:t>
      </w:r>
    </w:p>
    <w:p w14:paraId="7BFFCD1B" w14:textId="31BC9C23" w:rsidR="00240A1E" w:rsidRDefault="00240A1E" w:rsidP="008533A9">
      <w:pPr>
        <w:pStyle w:val="Testonotaapidipagina"/>
        <w:jc w:val="both"/>
      </w:pPr>
      <w:r>
        <w:t xml:space="preserve">*1.181. (Ulteriore nuova formulazione) Gagliardi, Ruffino; *1.268. (Ulteriore nuova formulazione) Gariglio, Andrea Romano, Pizzetti, Morassut, Cantini, Del Basso De Caro, Bruno Bossio; *1.144. (Ulteriore nuova formulazione) Mazzetti; *1.213. (Ulteriore nuova formulazione) Grippa; *1.76. (Ulteriore nuova formulazione) Foti, Butti, Rachele Silvestri, </w:t>
      </w:r>
      <w:proofErr w:type="spellStart"/>
      <w:r>
        <w:t>Silvestroni</w:t>
      </w:r>
      <w:proofErr w:type="spellEnd"/>
      <w:r>
        <w:t>, Rotelli.</w:t>
      </w:r>
    </w:p>
    <w:p w14:paraId="325BEDCE" w14:textId="77777777" w:rsidR="00240A1E" w:rsidRDefault="00240A1E">
      <w:pPr>
        <w:pStyle w:val="Testonotaapidipagina"/>
      </w:pPr>
    </w:p>
  </w:footnote>
  <w:footnote w:id="24">
    <w:p w14:paraId="60710BDD" w14:textId="255E1A7E" w:rsidR="00240A1E" w:rsidRDefault="00240A1E" w:rsidP="00AC04E6">
      <w:pPr>
        <w:pStyle w:val="Testonotaapidipagina"/>
        <w:rPr>
          <w:lang w:val="en-US"/>
        </w:rPr>
      </w:pPr>
      <w:r>
        <w:rPr>
          <w:rStyle w:val="Rimandonotaapidipagina"/>
        </w:rPr>
        <w:footnoteRef/>
      </w:r>
      <w:r>
        <w:t xml:space="preserve"> </w:t>
      </w:r>
      <w:r w:rsidRPr="00AC04E6">
        <w:rPr>
          <w:lang w:val="en-US"/>
        </w:rPr>
        <w:t xml:space="preserve">1.61. </w:t>
      </w:r>
      <w:proofErr w:type="spellStart"/>
      <w:r w:rsidRPr="00AC04E6">
        <w:rPr>
          <w:lang w:val="en-US"/>
        </w:rPr>
        <w:t>Schullian</w:t>
      </w:r>
      <w:proofErr w:type="spellEnd"/>
      <w:r w:rsidRPr="00AC04E6">
        <w:rPr>
          <w:lang w:val="en-US"/>
        </w:rPr>
        <w:t xml:space="preserve">, </w:t>
      </w:r>
      <w:proofErr w:type="spellStart"/>
      <w:r w:rsidRPr="00AC04E6">
        <w:rPr>
          <w:lang w:val="en-US"/>
        </w:rPr>
        <w:t>Gebhard</w:t>
      </w:r>
      <w:proofErr w:type="spellEnd"/>
      <w:r w:rsidRPr="00AC04E6">
        <w:rPr>
          <w:lang w:val="en-US"/>
        </w:rPr>
        <w:t xml:space="preserve">, </w:t>
      </w:r>
      <w:proofErr w:type="spellStart"/>
      <w:r w:rsidRPr="00AC04E6">
        <w:rPr>
          <w:lang w:val="en-US"/>
        </w:rPr>
        <w:t>Plangger</w:t>
      </w:r>
      <w:proofErr w:type="spellEnd"/>
      <w:r w:rsidRPr="00AC04E6">
        <w:rPr>
          <w:lang w:val="en-US"/>
        </w:rPr>
        <w:t>, Emanuela Rossini.</w:t>
      </w:r>
    </w:p>
    <w:p w14:paraId="262B284B" w14:textId="77777777" w:rsidR="00240A1E" w:rsidRPr="00AC04E6" w:rsidRDefault="00240A1E" w:rsidP="00AC04E6">
      <w:pPr>
        <w:pStyle w:val="Testonotaapidipagina"/>
        <w:rPr>
          <w:lang w:val="en-US"/>
        </w:rPr>
      </w:pPr>
    </w:p>
  </w:footnote>
  <w:footnote w:id="25">
    <w:p w14:paraId="75B04790" w14:textId="0C02CA93" w:rsidR="00240A1E" w:rsidRDefault="00240A1E">
      <w:pPr>
        <w:pStyle w:val="Testonotaapidipagina"/>
      </w:pPr>
      <w:r>
        <w:rPr>
          <w:rStyle w:val="Rimandonotaapidipagina"/>
        </w:rPr>
        <w:footnoteRef/>
      </w:r>
      <w:r>
        <w:t xml:space="preserve"> </w:t>
      </w:r>
      <w:r w:rsidRPr="00AC04E6">
        <w:t xml:space="preserve"> 1.159. (Nuova formulazione) Baldelli, Pentangelo, Caon, Rosso, Siracusano, Sozzani, Mazzetti.</w:t>
      </w:r>
    </w:p>
    <w:p w14:paraId="622216BB" w14:textId="77777777" w:rsidR="00240A1E" w:rsidRDefault="00240A1E">
      <w:pPr>
        <w:pStyle w:val="Testonotaapidipagina"/>
      </w:pPr>
    </w:p>
  </w:footnote>
  <w:footnote w:id="26">
    <w:p w14:paraId="0884FE2A" w14:textId="28BAF812" w:rsidR="00240A1E" w:rsidRDefault="00240A1E" w:rsidP="002513B9">
      <w:pPr>
        <w:pStyle w:val="Testonotaapidipagina"/>
        <w:jc w:val="both"/>
      </w:pPr>
      <w:r>
        <w:rPr>
          <w:rStyle w:val="Rimandonotaapidipagina"/>
        </w:rPr>
        <w:footnoteRef/>
      </w:r>
      <w:r w:rsidRPr="00AC04E6">
        <w:t xml:space="preserve"> </w:t>
      </w:r>
      <w:bookmarkStart w:id="0" w:name="_Hlk86135431"/>
      <w:r w:rsidRPr="00AC04E6">
        <w:t xml:space="preserve"> *1.258. </w:t>
      </w:r>
      <w:r>
        <w:t xml:space="preserve">(Nuova formulazione) De </w:t>
      </w:r>
      <w:proofErr w:type="spellStart"/>
      <w:r>
        <w:t>Lorenzis</w:t>
      </w:r>
      <w:proofErr w:type="spellEnd"/>
      <w:r>
        <w:t xml:space="preserve">, </w:t>
      </w:r>
      <w:proofErr w:type="spellStart"/>
      <w:r>
        <w:t>Scagliusi</w:t>
      </w:r>
      <w:proofErr w:type="spellEnd"/>
      <w:r>
        <w:t xml:space="preserve">, Ficara, Barbuto, Grippa, Luciano Cantone, Liuzzi, Marino, Raffa, </w:t>
      </w:r>
      <w:proofErr w:type="spellStart"/>
      <w:r>
        <w:t>Serritella</w:t>
      </w:r>
      <w:proofErr w:type="spellEnd"/>
      <w:r>
        <w:t xml:space="preserve">, Traversi; *1.13. (Nuova formulazione) Ruffino; *1.27. (Nuova formulazione) Spessotto, </w:t>
      </w:r>
      <w:proofErr w:type="spellStart"/>
      <w:r>
        <w:t>Gebhard</w:t>
      </w:r>
      <w:proofErr w:type="spellEnd"/>
      <w:r>
        <w:t xml:space="preserve">, </w:t>
      </w:r>
      <w:proofErr w:type="spellStart"/>
      <w:r>
        <w:t>Plangger</w:t>
      </w:r>
      <w:proofErr w:type="spellEnd"/>
      <w:r>
        <w:t xml:space="preserve">, Emanuela </w:t>
      </w:r>
      <w:proofErr w:type="gramStart"/>
      <w:r>
        <w:t>Rossini;  *</w:t>
      </w:r>
      <w:proofErr w:type="gramEnd"/>
      <w:r>
        <w:t xml:space="preserve">1.49. (Nuova formulazione) </w:t>
      </w:r>
      <w:proofErr w:type="spellStart"/>
      <w:r>
        <w:t>Silvestroni</w:t>
      </w:r>
      <w:proofErr w:type="spellEnd"/>
      <w:r>
        <w:t xml:space="preserve">, Rotelli, Foti, Rachele Silvestri; *1.62. (Nuova formulazione) </w:t>
      </w:r>
      <w:proofErr w:type="spellStart"/>
      <w:r>
        <w:t>Plangger</w:t>
      </w:r>
      <w:proofErr w:type="spellEnd"/>
      <w:r>
        <w:t xml:space="preserve">, </w:t>
      </w:r>
      <w:proofErr w:type="spellStart"/>
      <w:r>
        <w:t>Gebhard</w:t>
      </w:r>
      <w:proofErr w:type="spellEnd"/>
      <w:r>
        <w:t xml:space="preserve">, </w:t>
      </w:r>
      <w:proofErr w:type="spellStart"/>
      <w:r>
        <w:t>Schullian</w:t>
      </w:r>
      <w:proofErr w:type="spellEnd"/>
      <w:r>
        <w:t xml:space="preserve">, Emanuela Rossini; *1.143. (Nuova formulazione) Pella, Pentangelo; *1.259. (Nuova formulazione) Gariglio, Andrea Romano, Pizzetti, Cantini, Del Basso De Caro, Bruno Bossio, Morassut; *1.10. (Nuova formulazione) Muroni, </w:t>
      </w:r>
      <w:proofErr w:type="spellStart"/>
      <w:r>
        <w:t>Fioramonti</w:t>
      </w:r>
      <w:proofErr w:type="spellEnd"/>
      <w:r>
        <w:t xml:space="preserve">, Fusacchia, Cecconi, Lombardo; *1.70. (Nuova formulazione) Timbro; *1.129. (Nuova formulazione) Donina, Capitanio, Maccanti, </w:t>
      </w:r>
      <w:proofErr w:type="spellStart"/>
      <w:r>
        <w:t>Rixi</w:t>
      </w:r>
      <w:proofErr w:type="spellEnd"/>
      <w:r>
        <w:t xml:space="preserve">, Fogliani, </w:t>
      </w:r>
      <w:proofErr w:type="spellStart"/>
      <w:r>
        <w:t>Furgiuele</w:t>
      </w:r>
      <w:proofErr w:type="spellEnd"/>
      <w:r>
        <w:t xml:space="preserve">, Giacometti, Tombolato, Zanella, Zordan, Lucchini, </w:t>
      </w:r>
      <w:proofErr w:type="spellStart"/>
      <w:r>
        <w:t>Badole</w:t>
      </w:r>
      <w:proofErr w:type="spellEnd"/>
      <w:r>
        <w:t xml:space="preserve">, Benvenuto, D'Eramo, Dara, Eva Lorenzoni, </w:t>
      </w:r>
      <w:proofErr w:type="spellStart"/>
      <w:r>
        <w:t>Patassini</w:t>
      </w:r>
      <w:proofErr w:type="spellEnd"/>
      <w:r>
        <w:t xml:space="preserve">, Raffaelli, Valbusa, </w:t>
      </w:r>
      <w:proofErr w:type="spellStart"/>
      <w:r>
        <w:t>Vallotto</w:t>
      </w:r>
      <w:proofErr w:type="spellEnd"/>
      <w:r>
        <w:t xml:space="preserve">; *1.177. (Nuova formulazione) Gagliardi, Ruffino; *1.225. (Nuova formulazione) </w:t>
      </w:r>
      <w:proofErr w:type="spellStart"/>
      <w:r>
        <w:t>Scagliusi</w:t>
      </w:r>
      <w:proofErr w:type="spellEnd"/>
      <w:r>
        <w:t xml:space="preserve">; *1.266. (Nuova formulazione) Gariglio, Morassut, Andrea Romano, Pizzetti, Cantini, Del Basso De Caro, Bruno Bossio; *1.223. (Nuova formulazione) Grippa, De </w:t>
      </w:r>
      <w:proofErr w:type="spellStart"/>
      <w:proofErr w:type="gramStart"/>
      <w:r>
        <w:t>Lorenzis</w:t>
      </w:r>
      <w:proofErr w:type="spellEnd"/>
      <w:r>
        <w:t>;*</w:t>
      </w:r>
      <w:proofErr w:type="gramEnd"/>
      <w:r>
        <w:t xml:space="preserve">1.71. (Nuova formulazione) Timbro; *1.9. (Nuova formulazione) Muroni, </w:t>
      </w:r>
      <w:proofErr w:type="spellStart"/>
      <w:r>
        <w:t>Fioramonti</w:t>
      </w:r>
      <w:proofErr w:type="spellEnd"/>
      <w:r>
        <w:t xml:space="preserve">, Fusacchia, Cecconi, Lombardo; *1.289. (Nuova formulazione) Rotelli, </w:t>
      </w:r>
      <w:proofErr w:type="spellStart"/>
      <w:r>
        <w:t>Silvestroni</w:t>
      </w:r>
      <w:proofErr w:type="spellEnd"/>
      <w:r>
        <w:t xml:space="preserve">; *1.115. (Nuova formulazione) Donina, Maccanti, Capitanio, Fogliani, </w:t>
      </w:r>
      <w:proofErr w:type="spellStart"/>
      <w:r>
        <w:t>Furgiuele</w:t>
      </w:r>
      <w:proofErr w:type="spellEnd"/>
      <w:r>
        <w:t xml:space="preserve">, Giacometti, </w:t>
      </w:r>
      <w:proofErr w:type="spellStart"/>
      <w:r>
        <w:t>Rixi</w:t>
      </w:r>
      <w:proofErr w:type="spellEnd"/>
      <w:r>
        <w:t>, Tombolato, Zanella, Zordan.</w:t>
      </w:r>
      <w:bookmarkEnd w:id="0"/>
    </w:p>
    <w:p w14:paraId="27CB9B2A" w14:textId="77777777" w:rsidR="00240A1E" w:rsidRDefault="00240A1E" w:rsidP="002513B9">
      <w:pPr>
        <w:pStyle w:val="Testonotaapidipagina"/>
        <w:jc w:val="both"/>
      </w:pPr>
    </w:p>
  </w:footnote>
  <w:footnote w:id="27">
    <w:p w14:paraId="0E0C5C4A" w14:textId="076E4FF3" w:rsidR="00240A1E" w:rsidRDefault="00240A1E" w:rsidP="00B02D0C">
      <w:pPr>
        <w:pStyle w:val="Testonotaapidipagina"/>
        <w:jc w:val="both"/>
      </w:pPr>
      <w:r>
        <w:rPr>
          <w:rStyle w:val="Rimandonotaapidipagina"/>
        </w:rPr>
        <w:footnoteRef/>
      </w:r>
      <w:r>
        <w:t xml:space="preserve"> </w:t>
      </w:r>
      <w:r w:rsidRPr="00B02D0C">
        <w:t xml:space="preserve"> *1.258. (Nuova formulazione) De </w:t>
      </w:r>
      <w:proofErr w:type="spellStart"/>
      <w:r w:rsidRPr="00B02D0C">
        <w:t>Lorenzis</w:t>
      </w:r>
      <w:proofErr w:type="spellEnd"/>
      <w:r w:rsidRPr="00B02D0C">
        <w:t xml:space="preserve">, </w:t>
      </w:r>
      <w:proofErr w:type="spellStart"/>
      <w:r w:rsidRPr="00B02D0C">
        <w:t>Scagliusi</w:t>
      </w:r>
      <w:proofErr w:type="spellEnd"/>
      <w:r w:rsidRPr="00B02D0C">
        <w:t xml:space="preserve">, Ficara, Barbuto, Grippa, Luciano Cantone, Liuzzi, Marino, Raffa, </w:t>
      </w:r>
      <w:proofErr w:type="spellStart"/>
      <w:r w:rsidRPr="00B02D0C">
        <w:t>Serritella</w:t>
      </w:r>
      <w:proofErr w:type="spellEnd"/>
      <w:r w:rsidRPr="00B02D0C">
        <w:t xml:space="preserve">, Traversi; *1.13. (Nuova formulazione) Ruffino; *1.27. (Nuova formulazione) Spessotto, </w:t>
      </w:r>
      <w:proofErr w:type="spellStart"/>
      <w:r w:rsidRPr="00B02D0C">
        <w:t>Gebhard</w:t>
      </w:r>
      <w:proofErr w:type="spellEnd"/>
      <w:r w:rsidRPr="00B02D0C">
        <w:t xml:space="preserve">, </w:t>
      </w:r>
      <w:proofErr w:type="spellStart"/>
      <w:r w:rsidRPr="00B02D0C">
        <w:t>Plangger</w:t>
      </w:r>
      <w:proofErr w:type="spellEnd"/>
      <w:r w:rsidRPr="00B02D0C">
        <w:t xml:space="preserve">, Emanuela </w:t>
      </w:r>
      <w:proofErr w:type="gramStart"/>
      <w:r w:rsidRPr="00B02D0C">
        <w:t>Rossini;  *</w:t>
      </w:r>
      <w:proofErr w:type="gramEnd"/>
      <w:r w:rsidRPr="00B02D0C">
        <w:t xml:space="preserve">1.49. (Nuova formulazione) </w:t>
      </w:r>
      <w:proofErr w:type="spellStart"/>
      <w:r w:rsidRPr="00B02D0C">
        <w:t>Silvestroni</w:t>
      </w:r>
      <w:proofErr w:type="spellEnd"/>
      <w:r w:rsidRPr="00B02D0C">
        <w:t xml:space="preserve">, Rotelli, Foti, Rachele Silvestri; *1.62. (Nuova formulazione) </w:t>
      </w:r>
      <w:proofErr w:type="spellStart"/>
      <w:r w:rsidRPr="00B02D0C">
        <w:t>Plangger</w:t>
      </w:r>
      <w:proofErr w:type="spellEnd"/>
      <w:r w:rsidRPr="00B02D0C">
        <w:t xml:space="preserve">, </w:t>
      </w:r>
      <w:proofErr w:type="spellStart"/>
      <w:r w:rsidRPr="00B02D0C">
        <w:t>Gebhard</w:t>
      </w:r>
      <w:proofErr w:type="spellEnd"/>
      <w:r w:rsidRPr="00B02D0C">
        <w:t xml:space="preserve">, </w:t>
      </w:r>
      <w:proofErr w:type="spellStart"/>
      <w:r w:rsidRPr="00B02D0C">
        <w:t>Schullian</w:t>
      </w:r>
      <w:proofErr w:type="spellEnd"/>
      <w:r w:rsidRPr="00B02D0C">
        <w:t xml:space="preserve">, Emanuela Rossini; *1.143. (Nuova formulazione) Pella, Pentangelo; *1.259. (Nuova formulazione) Gariglio, Andrea Romano, Pizzetti, Cantini, Del Basso De Caro, Bruno Bossio, Morassut; *1.10. (Nuova formulazione) Muroni, </w:t>
      </w:r>
      <w:proofErr w:type="spellStart"/>
      <w:r w:rsidRPr="00B02D0C">
        <w:t>Fioramonti</w:t>
      </w:r>
      <w:proofErr w:type="spellEnd"/>
      <w:r w:rsidRPr="00B02D0C">
        <w:t xml:space="preserve">, Fusacchia, Cecconi, Lombardo; *1.70. (Nuova formulazione) Timbro; *1.129. (Nuova formulazione) Donina, Capitanio, Maccanti, </w:t>
      </w:r>
      <w:proofErr w:type="spellStart"/>
      <w:r w:rsidRPr="00B02D0C">
        <w:t>Rixi</w:t>
      </w:r>
      <w:proofErr w:type="spellEnd"/>
      <w:r w:rsidRPr="00B02D0C">
        <w:t xml:space="preserve">, Fogliani, </w:t>
      </w:r>
      <w:proofErr w:type="spellStart"/>
      <w:r w:rsidRPr="00B02D0C">
        <w:t>Furgiuele</w:t>
      </w:r>
      <w:proofErr w:type="spellEnd"/>
      <w:r w:rsidRPr="00B02D0C">
        <w:t xml:space="preserve">, Giacometti, Tombolato, Zanella, Zordan, Lucchini, </w:t>
      </w:r>
      <w:proofErr w:type="spellStart"/>
      <w:r w:rsidRPr="00B02D0C">
        <w:t>Badole</w:t>
      </w:r>
      <w:proofErr w:type="spellEnd"/>
      <w:r w:rsidRPr="00B02D0C">
        <w:t xml:space="preserve">, Benvenuto, D'Eramo, Dara, Eva Lorenzoni, </w:t>
      </w:r>
      <w:proofErr w:type="spellStart"/>
      <w:r w:rsidRPr="00B02D0C">
        <w:t>Patassini</w:t>
      </w:r>
      <w:proofErr w:type="spellEnd"/>
      <w:r w:rsidRPr="00B02D0C">
        <w:t xml:space="preserve">, Raffaelli, Valbusa, </w:t>
      </w:r>
      <w:proofErr w:type="spellStart"/>
      <w:r w:rsidRPr="00B02D0C">
        <w:t>Vallotto</w:t>
      </w:r>
      <w:proofErr w:type="spellEnd"/>
      <w:r w:rsidRPr="00B02D0C">
        <w:t xml:space="preserve">; *1.177. (Nuova formulazione) Gagliardi, Ruffino; *1.225. (Nuova formulazione) </w:t>
      </w:r>
      <w:proofErr w:type="spellStart"/>
      <w:r w:rsidRPr="00B02D0C">
        <w:t>Scagliusi</w:t>
      </w:r>
      <w:proofErr w:type="spellEnd"/>
      <w:r w:rsidRPr="00B02D0C">
        <w:t xml:space="preserve">; *1.266. (Nuova formulazione) Gariglio, Morassut, Andrea Romano, Pizzetti, Cantini, Del Basso De Caro, Bruno Bossio; *1.223. (Nuova formulazione) Grippa, De </w:t>
      </w:r>
      <w:proofErr w:type="spellStart"/>
      <w:proofErr w:type="gramStart"/>
      <w:r w:rsidRPr="00B02D0C">
        <w:t>Lorenzis</w:t>
      </w:r>
      <w:proofErr w:type="spellEnd"/>
      <w:r w:rsidRPr="00B02D0C">
        <w:t>;*</w:t>
      </w:r>
      <w:proofErr w:type="gramEnd"/>
      <w:r w:rsidRPr="00B02D0C">
        <w:t xml:space="preserve">1.71. (Nuova formulazione) Timbro; *1.9. (Nuova formulazione) Muroni, </w:t>
      </w:r>
      <w:proofErr w:type="spellStart"/>
      <w:r w:rsidRPr="00B02D0C">
        <w:t>Fioramonti</w:t>
      </w:r>
      <w:proofErr w:type="spellEnd"/>
      <w:r w:rsidRPr="00B02D0C">
        <w:t xml:space="preserve">, Fusacchia, Cecconi, Lombardo; *1.289. (Nuova formulazione) Rotelli, </w:t>
      </w:r>
      <w:proofErr w:type="spellStart"/>
      <w:r w:rsidRPr="00B02D0C">
        <w:t>Silvestroni</w:t>
      </w:r>
      <w:proofErr w:type="spellEnd"/>
      <w:r w:rsidRPr="00B02D0C">
        <w:t xml:space="preserve">; *1.115. (Nuova formulazione) Donina, Maccanti, Capitanio, Fogliani, </w:t>
      </w:r>
      <w:proofErr w:type="spellStart"/>
      <w:r w:rsidRPr="00B02D0C">
        <w:t>Furgiuele</w:t>
      </w:r>
      <w:proofErr w:type="spellEnd"/>
      <w:r w:rsidRPr="00B02D0C">
        <w:t xml:space="preserve">, Giacometti, </w:t>
      </w:r>
      <w:proofErr w:type="spellStart"/>
      <w:r w:rsidRPr="00B02D0C">
        <w:t>Rixi</w:t>
      </w:r>
      <w:proofErr w:type="spellEnd"/>
      <w:r w:rsidRPr="00B02D0C">
        <w:t>, Tombolato, Zanella, Zordan.</w:t>
      </w:r>
    </w:p>
    <w:p w14:paraId="2DFDCC55" w14:textId="77777777" w:rsidR="00240A1E" w:rsidRDefault="00240A1E" w:rsidP="00B02D0C">
      <w:pPr>
        <w:pStyle w:val="Testonotaapidipagina"/>
        <w:jc w:val="both"/>
      </w:pPr>
    </w:p>
  </w:footnote>
  <w:footnote w:id="28">
    <w:p w14:paraId="700089DB" w14:textId="77777777" w:rsidR="00240A1E" w:rsidRDefault="00240A1E" w:rsidP="009963F7">
      <w:pPr>
        <w:pStyle w:val="Testonotaapidipagina"/>
        <w:jc w:val="both"/>
      </w:pPr>
      <w:r>
        <w:rPr>
          <w:rStyle w:val="Rimandonotaapidipagina"/>
        </w:rPr>
        <w:footnoteRef/>
      </w:r>
      <w:r>
        <w:t xml:space="preserve"> *1.257. (Nuova formulazione) De </w:t>
      </w:r>
      <w:proofErr w:type="spellStart"/>
      <w:r>
        <w:t>Lorenzis</w:t>
      </w:r>
      <w:proofErr w:type="spellEnd"/>
      <w:r>
        <w:t xml:space="preserve">, </w:t>
      </w:r>
      <w:proofErr w:type="spellStart"/>
      <w:r>
        <w:t>Scagliusi</w:t>
      </w:r>
      <w:proofErr w:type="spellEnd"/>
      <w:r>
        <w:t xml:space="preserve">, Ficara, Barbuto, Grippa, Luciano Cantone, Liuzzi, Marino, Raffa, </w:t>
      </w:r>
      <w:proofErr w:type="spellStart"/>
      <w:r>
        <w:t>Serritella</w:t>
      </w:r>
      <w:proofErr w:type="spellEnd"/>
      <w:r>
        <w:t xml:space="preserve">, Traversi; *1.137. (Nuova formulazione) Maccanti, Donina, </w:t>
      </w:r>
      <w:proofErr w:type="spellStart"/>
      <w:r>
        <w:t>Rixi</w:t>
      </w:r>
      <w:proofErr w:type="spellEnd"/>
      <w:r>
        <w:t xml:space="preserve">, Capitanio, Fogliani, </w:t>
      </w:r>
      <w:proofErr w:type="spellStart"/>
      <w:r>
        <w:t>Furgiuele</w:t>
      </w:r>
      <w:proofErr w:type="spellEnd"/>
      <w:r>
        <w:t xml:space="preserve">, Giacometti, Tombolato, Zanella, Zordan, Lucchini, </w:t>
      </w:r>
      <w:proofErr w:type="spellStart"/>
      <w:r>
        <w:t>Badole</w:t>
      </w:r>
      <w:proofErr w:type="spellEnd"/>
      <w:r>
        <w:t xml:space="preserve">, Benvenuto, D'Eramo, Dara, Eva Lorenzoni, </w:t>
      </w:r>
      <w:proofErr w:type="spellStart"/>
      <w:r>
        <w:t>Patassini</w:t>
      </w:r>
      <w:proofErr w:type="spellEnd"/>
      <w:r>
        <w:t xml:space="preserve">, Raffaelli, Valbusa, </w:t>
      </w:r>
      <w:proofErr w:type="spellStart"/>
      <w:r>
        <w:t>Vallotto</w:t>
      </w:r>
      <w:proofErr w:type="spellEnd"/>
      <w:r>
        <w:t xml:space="preserve">; *1.214. (Nuova formulazione) De </w:t>
      </w:r>
      <w:proofErr w:type="spellStart"/>
      <w:r>
        <w:t>Lorenzis</w:t>
      </w:r>
      <w:proofErr w:type="spellEnd"/>
      <w:r>
        <w:t xml:space="preserve">; *1.94. (Nuova formulazione) Bruno Bossio, Pizzetti, Carnevali, Gariglio, Morassut, Del Basso De Caro; *1.106. (Nuova formulazione) Donina, Maccanti, Capitanio, Fogliani, </w:t>
      </w:r>
      <w:proofErr w:type="spellStart"/>
      <w:r>
        <w:t>Furgiuele</w:t>
      </w:r>
      <w:proofErr w:type="spellEnd"/>
      <w:r>
        <w:t xml:space="preserve">, Giacometti, </w:t>
      </w:r>
      <w:proofErr w:type="spellStart"/>
      <w:r>
        <w:t>Rixi</w:t>
      </w:r>
      <w:proofErr w:type="spellEnd"/>
      <w:r>
        <w:t xml:space="preserve">, Tombolato, Zanella, Zordan; *1.151. (Nuova formulazione) Pentangelo, Sarro; *1.205. (Nuova formulazione) De </w:t>
      </w:r>
      <w:proofErr w:type="spellStart"/>
      <w:r>
        <w:t>Lorenzis</w:t>
      </w:r>
      <w:proofErr w:type="spellEnd"/>
      <w:r>
        <w:t xml:space="preserve">, Marino, </w:t>
      </w:r>
      <w:proofErr w:type="spellStart"/>
      <w:r>
        <w:t>Scagliusi</w:t>
      </w:r>
      <w:proofErr w:type="spellEnd"/>
      <w:r>
        <w:t xml:space="preserve">; *1.150. (Nuova formulazione) Pentangelo, Sarro; *1.204. (Nuova formulazione) De </w:t>
      </w:r>
      <w:proofErr w:type="spellStart"/>
      <w:r>
        <w:t>Lorenzis</w:t>
      </w:r>
      <w:proofErr w:type="spellEnd"/>
      <w:r>
        <w:t xml:space="preserve">; *1.42. (Nuova formulazione) Moretto; 1.166. (Nuova formulazione) Sozzani; *1.011. (Nuova formulazione) Bruno Bossio, Pizzetti, Carnevali, Gariglio, Morassut, Del Basso De Caro; *1.021. (Nuova formulazione) Maccanti, Donina, </w:t>
      </w:r>
      <w:proofErr w:type="spellStart"/>
      <w:r>
        <w:t>Rixi</w:t>
      </w:r>
      <w:proofErr w:type="spellEnd"/>
      <w:r>
        <w:t xml:space="preserve">, Capitanio, Fogliani, </w:t>
      </w:r>
      <w:proofErr w:type="spellStart"/>
      <w:r>
        <w:t>Furgiuele</w:t>
      </w:r>
      <w:proofErr w:type="spellEnd"/>
      <w:r>
        <w:t xml:space="preserve">, Giacometti, Tombolato, Zanella, Zordan, Lucchini, </w:t>
      </w:r>
      <w:proofErr w:type="spellStart"/>
      <w:r>
        <w:t>Badole</w:t>
      </w:r>
      <w:proofErr w:type="spellEnd"/>
      <w:r>
        <w:t xml:space="preserve">, Benvenuto, D'Eramo, Dara, Eva Lorenzoni, </w:t>
      </w:r>
      <w:proofErr w:type="spellStart"/>
      <w:r>
        <w:t>Patassini</w:t>
      </w:r>
      <w:proofErr w:type="spellEnd"/>
      <w:r>
        <w:t xml:space="preserve">, Raffaelli, Valbusa, </w:t>
      </w:r>
      <w:proofErr w:type="spellStart"/>
      <w:r>
        <w:t>Vallotto</w:t>
      </w:r>
      <w:proofErr w:type="spellEnd"/>
      <w:r>
        <w:t xml:space="preserve">; *1.027. (Nuova formulazione) De </w:t>
      </w:r>
      <w:proofErr w:type="spellStart"/>
      <w:r>
        <w:t>Lorenzis</w:t>
      </w:r>
      <w:proofErr w:type="spellEnd"/>
      <w:r>
        <w:t xml:space="preserve">; *1.039. (Nuova formulazione) Rotelli, </w:t>
      </w:r>
      <w:proofErr w:type="spellStart"/>
      <w:r>
        <w:t>Silvestroni</w:t>
      </w:r>
      <w:proofErr w:type="spellEnd"/>
      <w:r>
        <w:t>.</w:t>
      </w:r>
    </w:p>
    <w:p w14:paraId="04073C8E" w14:textId="5FB59B8E" w:rsidR="00240A1E" w:rsidRDefault="00240A1E">
      <w:pPr>
        <w:pStyle w:val="Testonotaapidipagina"/>
      </w:pPr>
    </w:p>
  </w:footnote>
  <w:footnote w:id="29">
    <w:p w14:paraId="6C30339E" w14:textId="15A852D9" w:rsidR="00240A1E" w:rsidRDefault="00240A1E" w:rsidP="00AC04E6">
      <w:pPr>
        <w:pStyle w:val="Testonotaapidipagina"/>
        <w:jc w:val="both"/>
      </w:pPr>
      <w:r>
        <w:rPr>
          <w:rStyle w:val="Rimandonotaapidipagina"/>
        </w:rPr>
        <w:footnoteRef/>
      </w:r>
      <w:r>
        <w:t xml:space="preserve"> </w:t>
      </w:r>
      <w:r w:rsidRPr="00AC04E6">
        <w:t xml:space="preserve">1.158. (Nuova formulazione) Baldelli, Pentangelo, Caon, Rosso, Siracusano, Sozzani, Cortelazzo, Mazzetti, De </w:t>
      </w:r>
      <w:proofErr w:type="spellStart"/>
      <w:r w:rsidRPr="00AC04E6">
        <w:t>Lorenzis</w:t>
      </w:r>
      <w:proofErr w:type="spellEnd"/>
      <w:r w:rsidRPr="00AC04E6">
        <w:t xml:space="preserve">, Bruno Bossio, Gariglio, Maccanti, Capitanio, Donina, Fogliani, </w:t>
      </w:r>
      <w:proofErr w:type="spellStart"/>
      <w:r w:rsidRPr="00AC04E6">
        <w:t>Furgiuele</w:t>
      </w:r>
      <w:proofErr w:type="spellEnd"/>
      <w:r w:rsidRPr="00AC04E6">
        <w:t xml:space="preserve">, Giacometti, </w:t>
      </w:r>
      <w:proofErr w:type="spellStart"/>
      <w:r w:rsidRPr="00AC04E6">
        <w:t>Rixi</w:t>
      </w:r>
      <w:proofErr w:type="spellEnd"/>
      <w:r w:rsidRPr="00AC04E6">
        <w:t xml:space="preserve">, Tombolato, Zanella, Zordan, Marino, </w:t>
      </w:r>
      <w:proofErr w:type="spellStart"/>
      <w:r w:rsidRPr="00AC04E6">
        <w:t>Fregolent</w:t>
      </w:r>
      <w:proofErr w:type="spellEnd"/>
      <w:r w:rsidRPr="00AC04E6">
        <w:t>, Rospi, Rotelli.</w:t>
      </w:r>
    </w:p>
    <w:p w14:paraId="757F0680" w14:textId="77777777" w:rsidR="00240A1E" w:rsidRDefault="00240A1E" w:rsidP="00AC04E6">
      <w:pPr>
        <w:pStyle w:val="Testonotaapidipagina"/>
        <w:jc w:val="both"/>
      </w:pPr>
    </w:p>
  </w:footnote>
  <w:footnote w:id="30">
    <w:p w14:paraId="6C36D1B5" w14:textId="155931D5" w:rsidR="00240A1E" w:rsidRDefault="00240A1E">
      <w:pPr>
        <w:pStyle w:val="Testonotaapidipagina"/>
      </w:pPr>
      <w:r>
        <w:rPr>
          <w:rStyle w:val="Rimandonotaapidipagina"/>
        </w:rPr>
        <w:footnoteRef/>
      </w:r>
      <w:r>
        <w:t xml:space="preserve"> </w:t>
      </w:r>
      <w:r w:rsidRPr="00AC04E6">
        <w:t xml:space="preserve">*1.7. (Nuova formulazione) Muroni, </w:t>
      </w:r>
      <w:proofErr w:type="spellStart"/>
      <w:r w:rsidRPr="00AC04E6">
        <w:t>Fioramonti</w:t>
      </w:r>
      <w:proofErr w:type="spellEnd"/>
      <w:r w:rsidRPr="00AC04E6">
        <w:t xml:space="preserve">, Fusacchia, Cecconi, Lombardo, Maccanti, Capitanio, Donina, Fogliani, </w:t>
      </w:r>
      <w:proofErr w:type="spellStart"/>
      <w:r w:rsidRPr="00AC04E6">
        <w:t>Furgiuele</w:t>
      </w:r>
      <w:proofErr w:type="spellEnd"/>
      <w:r w:rsidRPr="00AC04E6">
        <w:t xml:space="preserve">, Giacometti, </w:t>
      </w:r>
      <w:proofErr w:type="spellStart"/>
      <w:r w:rsidRPr="00AC04E6">
        <w:t>Rixi</w:t>
      </w:r>
      <w:proofErr w:type="spellEnd"/>
      <w:r w:rsidRPr="00AC04E6">
        <w:t xml:space="preserve">, Tombolato, Zanella, Zordan, Baldelli, Caon, Pentangelo, Rosso, Siracusano, Sozzani, De </w:t>
      </w:r>
      <w:proofErr w:type="spellStart"/>
      <w:r w:rsidRPr="00AC04E6">
        <w:t>Lorenzis</w:t>
      </w:r>
      <w:proofErr w:type="spellEnd"/>
      <w:r w:rsidRPr="00AC04E6">
        <w:t xml:space="preserve">, Barbuto, Cantone, Carinelli, Ficara, Grippa, Liuzzi, Marino, Raffa, </w:t>
      </w:r>
      <w:proofErr w:type="spellStart"/>
      <w:r w:rsidRPr="00AC04E6">
        <w:t>Scagliusi</w:t>
      </w:r>
      <w:proofErr w:type="spellEnd"/>
      <w:r w:rsidRPr="00AC04E6">
        <w:t xml:space="preserve">, </w:t>
      </w:r>
      <w:proofErr w:type="spellStart"/>
      <w:r w:rsidRPr="00AC04E6">
        <w:t>Serritella</w:t>
      </w:r>
      <w:proofErr w:type="spellEnd"/>
      <w:r w:rsidRPr="00AC04E6">
        <w:t xml:space="preserve">, Traversi, Rospi, De Girolamo; *1.270. (Nuova formulazione) Gadda, Nobili, </w:t>
      </w:r>
      <w:proofErr w:type="spellStart"/>
      <w:r w:rsidRPr="00AC04E6">
        <w:t>Fregolent</w:t>
      </w:r>
      <w:proofErr w:type="spellEnd"/>
      <w:r w:rsidRPr="00AC04E6">
        <w:t xml:space="preserve">, Bruno Bossio, Maccanti, Capitanio, Donina, Fogliani, </w:t>
      </w:r>
      <w:proofErr w:type="spellStart"/>
      <w:r w:rsidRPr="00AC04E6">
        <w:t>Furgiuele</w:t>
      </w:r>
      <w:proofErr w:type="spellEnd"/>
      <w:r w:rsidRPr="00AC04E6">
        <w:t xml:space="preserve">, Giacometti, </w:t>
      </w:r>
      <w:proofErr w:type="spellStart"/>
      <w:r w:rsidRPr="00AC04E6">
        <w:t>Rixi</w:t>
      </w:r>
      <w:proofErr w:type="spellEnd"/>
      <w:r w:rsidRPr="00AC04E6">
        <w:t xml:space="preserve">, Tombolato, Zanella, Zordan, Baldelli, Caon, Pentangelo, Rosso, Siracusano, Sozzani, De </w:t>
      </w:r>
      <w:proofErr w:type="spellStart"/>
      <w:r w:rsidRPr="00AC04E6">
        <w:t>Lorenzis</w:t>
      </w:r>
      <w:proofErr w:type="spellEnd"/>
      <w:r w:rsidRPr="00AC04E6">
        <w:t xml:space="preserve">, Barbuto, Cantone, Carinelli, Ficara, Grippa, Liuzzi, Marino, Raffa, </w:t>
      </w:r>
      <w:proofErr w:type="spellStart"/>
      <w:r w:rsidRPr="00AC04E6">
        <w:t>Scagliusi</w:t>
      </w:r>
      <w:proofErr w:type="spellEnd"/>
      <w:r w:rsidRPr="00AC04E6">
        <w:t xml:space="preserve">, </w:t>
      </w:r>
      <w:proofErr w:type="spellStart"/>
      <w:r w:rsidRPr="00AC04E6">
        <w:t>Serritella</w:t>
      </w:r>
      <w:proofErr w:type="spellEnd"/>
      <w:r w:rsidRPr="00AC04E6">
        <w:t>, Traversi, Rospi, De Girolamo.</w:t>
      </w:r>
    </w:p>
  </w:footnote>
  <w:footnote w:id="31">
    <w:p w14:paraId="16939146" w14:textId="77777777" w:rsidR="00240A1E" w:rsidRDefault="00240A1E" w:rsidP="002513B9">
      <w:pPr>
        <w:pStyle w:val="Testonotaapidipagina"/>
        <w:jc w:val="both"/>
      </w:pPr>
      <w:r>
        <w:rPr>
          <w:rStyle w:val="Rimandonotaapidipagina"/>
        </w:rPr>
        <w:footnoteRef/>
      </w:r>
      <w:r>
        <w:t xml:space="preserve"> *1.257. (Nuova formulazione) De </w:t>
      </w:r>
      <w:proofErr w:type="spellStart"/>
      <w:r>
        <w:t>Lorenzis</w:t>
      </w:r>
      <w:proofErr w:type="spellEnd"/>
      <w:r>
        <w:t xml:space="preserve">, </w:t>
      </w:r>
      <w:proofErr w:type="spellStart"/>
      <w:r>
        <w:t>Scagliusi</w:t>
      </w:r>
      <w:proofErr w:type="spellEnd"/>
      <w:r>
        <w:t xml:space="preserve">, Ficara, Barbuto, Grippa, Luciano Cantone, Liuzzi, Marino, Raffa, </w:t>
      </w:r>
      <w:proofErr w:type="spellStart"/>
      <w:r>
        <w:t>Serritella</w:t>
      </w:r>
      <w:proofErr w:type="spellEnd"/>
      <w:r>
        <w:t xml:space="preserve">, Traversi; *1.137. (Nuova formulazione) Maccanti, Donina, </w:t>
      </w:r>
      <w:proofErr w:type="spellStart"/>
      <w:r>
        <w:t>Rixi</w:t>
      </w:r>
      <w:proofErr w:type="spellEnd"/>
      <w:r>
        <w:t xml:space="preserve">, Capitanio, Fogliani, </w:t>
      </w:r>
      <w:proofErr w:type="spellStart"/>
      <w:r>
        <w:t>Furgiuele</w:t>
      </w:r>
      <w:proofErr w:type="spellEnd"/>
      <w:r>
        <w:t xml:space="preserve">, Giacometti, Tombolato, Zanella, Zordan, Lucchini, </w:t>
      </w:r>
      <w:proofErr w:type="spellStart"/>
      <w:r>
        <w:t>Badole</w:t>
      </w:r>
      <w:proofErr w:type="spellEnd"/>
      <w:r>
        <w:t xml:space="preserve">, Benvenuto, D'Eramo, Dara, Eva Lorenzoni, </w:t>
      </w:r>
      <w:proofErr w:type="spellStart"/>
      <w:r>
        <w:t>Patassini</w:t>
      </w:r>
      <w:proofErr w:type="spellEnd"/>
      <w:r>
        <w:t xml:space="preserve">, Raffaelli, Valbusa, </w:t>
      </w:r>
      <w:proofErr w:type="spellStart"/>
      <w:r>
        <w:t>Vallotto</w:t>
      </w:r>
      <w:proofErr w:type="spellEnd"/>
      <w:r>
        <w:t xml:space="preserve">; *1.214. (Nuova formulazione) De </w:t>
      </w:r>
      <w:proofErr w:type="spellStart"/>
      <w:r>
        <w:t>Lorenzis</w:t>
      </w:r>
      <w:proofErr w:type="spellEnd"/>
      <w:r>
        <w:t xml:space="preserve">; *1.94. (Nuova formulazione) Bruno Bossio, Pizzetti, Carnevali, Gariglio, Morassut, Del Basso De Caro; *1.106. (Nuova formulazione) Donina, Maccanti, Capitanio, Fogliani, </w:t>
      </w:r>
      <w:proofErr w:type="spellStart"/>
      <w:r>
        <w:t>Furgiuele</w:t>
      </w:r>
      <w:proofErr w:type="spellEnd"/>
      <w:r>
        <w:t xml:space="preserve">, Giacometti, </w:t>
      </w:r>
      <w:proofErr w:type="spellStart"/>
      <w:r>
        <w:t>Rixi</w:t>
      </w:r>
      <w:proofErr w:type="spellEnd"/>
      <w:r>
        <w:t xml:space="preserve">, Tombolato, Zanella, Zordan; *1.151. (Nuova formulazione) Pentangelo, Sarro; *1.205. (Nuova formulazione) De </w:t>
      </w:r>
      <w:proofErr w:type="spellStart"/>
      <w:r>
        <w:t>Lorenzis</w:t>
      </w:r>
      <w:proofErr w:type="spellEnd"/>
      <w:r>
        <w:t xml:space="preserve">, Marino, </w:t>
      </w:r>
      <w:proofErr w:type="spellStart"/>
      <w:r>
        <w:t>Scagliusi</w:t>
      </w:r>
      <w:proofErr w:type="spellEnd"/>
      <w:r>
        <w:t xml:space="preserve">; *1.150. (Nuova formulazione) Pentangelo, Sarro; *1.204. (Nuova formulazione) De </w:t>
      </w:r>
      <w:proofErr w:type="spellStart"/>
      <w:r>
        <w:t>Lorenzis</w:t>
      </w:r>
      <w:proofErr w:type="spellEnd"/>
      <w:r>
        <w:t xml:space="preserve">; *1.42. (Nuova formulazione) Moretto; 1.166. (Nuova formulazione) Sozzani; *1.011. (Nuova formulazione) Bruno Bossio, Pizzetti, Carnevali, Gariglio, Morassut, Del Basso De Caro; *1.021. (Nuova formulazione) Maccanti, Donina, </w:t>
      </w:r>
      <w:proofErr w:type="spellStart"/>
      <w:r>
        <w:t>Rixi</w:t>
      </w:r>
      <w:proofErr w:type="spellEnd"/>
      <w:r>
        <w:t xml:space="preserve">, Capitanio, Fogliani, </w:t>
      </w:r>
      <w:proofErr w:type="spellStart"/>
      <w:r>
        <w:t>Furgiuele</w:t>
      </w:r>
      <w:proofErr w:type="spellEnd"/>
      <w:r>
        <w:t xml:space="preserve">, Giacometti, Tombolato, Zanella, Zordan, Lucchini, </w:t>
      </w:r>
      <w:proofErr w:type="spellStart"/>
      <w:r>
        <w:t>Badole</w:t>
      </w:r>
      <w:proofErr w:type="spellEnd"/>
      <w:r>
        <w:t xml:space="preserve">, Benvenuto, D'Eramo, Dara, Eva Lorenzoni, </w:t>
      </w:r>
      <w:proofErr w:type="spellStart"/>
      <w:r>
        <w:t>Patassini</w:t>
      </w:r>
      <w:proofErr w:type="spellEnd"/>
      <w:r>
        <w:t xml:space="preserve">, Raffaelli, Valbusa, </w:t>
      </w:r>
      <w:proofErr w:type="spellStart"/>
      <w:r>
        <w:t>Vallotto</w:t>
      </w:r>
      <w:proofErr w:type="spellEnd"/>
      <w:r>
        <w:t xml:space="preserve">; *1.027. (Nuova formulazione) De </w:t>
      </w:r>
      <w:proofErr w:type="spellStart"/>
      <w:r>
        <w:t>Lorenzis</w:t>
      </w:r>
      <w:proofErr w:type="spellEnd"/>
      <w:r>
        <w:t xml:space="preserve">; *1.039. (Nuova formulazione) Rotelli, </w:t>
      </w:r>
      <w:proofErr w:type="spellStart"/>
      <w:r>
        <w:t>Silvestroni</w:t>
      </w:r>
      <w:proofErr w:type="spellEnd"/>
      <w:r>
        <w:t>.</w:t>
      </w:r>
    </w:p>
    <w:p w14:paraId="027C12EB" w14:textId="3638D7D6" w:rsidR="00240A1E" w:rsidRDefault="00240A1E">
      <w:pPr>
        <w:pStyle w:val="Testonotaapidipagina"/>
      </w:pPr>
    </w:p>
  </w:footnote>
  <w:footnote w:id="32">
    <w:p w14:paraId="67E1190A" w14:textId="3C5EC8AE" w:rsidR="00240A1E" w:rsidRDefault="00240A1E">
      <w:pPr>
        <w:pStyle w:val="Testonotaapidipagina"/>
      </w:pPr>
      <w:r>
        <w:rPr>
          <w:rStyle w:val="Rimandonotaapidipagina"/>
        </w:rPr>
        <w:footnoteRef/>
      </w:r>
      <w:r>
        <w:t xml:space="preserve"> </w:t>
      </w:r>
      <w:r w:rsidRPr="00AC04E6">
        <w:t xml:space="preserve">1.195. (Nuova Riformulazione) Scanu, De </w:t>
      </w:r>
      <w:proofErr w:type="spellStart"/>
      <w:r w:rsidRPr="00AC04E6">
        <w:t>Lorenzis</w:t>
      </w:r>
      <w:proofErr w:type="spellEnd"/>
      <w:r w:rsidRPr="00AC04E6">
        <w:t>.</w:t>
      </w:r>
    </w:p>
    <w:p w14:paraId="6F22CA15" w14:textId="77777777" w:rsidR="00240A1E" w:rsidRDefault="00240A1E">
      <w:pPr>
        <w:pStyle w:val="Testonotaapidipagina"/>
      </w:pPr>
    </w:p>
  </w:footnote>
  <w:footnote w:id="33">
    <w:p w14:paraId="7E99D68B" w14:textId="67F2E4C9" w:rsidR="00240A1E" w:rsidRDefault="00240A1E" w:rsidP="0032471E">
      <w:pPr>
        <w:pStyle w:val="Testonotaapidipagina"/>
        <w:jc w:val="both"/>
      </w:pPr>
      <w:r>
        <w:rPr>
          <w:rStyle w:val="Rimandonotaapidipagina"/>
        </w:rPr>
        <w:footnoteRef/>
      </w:r>
      <w:r>
        <w:t xml:space="preserve"> </w:t>
      </w:r>
      <w:r w:rsidRPr="0032471E">
        <w:t xml:space="preserve">1.034. (Nuova formulazione) Nobili, </w:t>
      </w:r>
      <w:proofErr w:type="spellStart"/>
      <w:r w:rsidRPr="0032471E">
        <w:t>Fregolent</w:t>
      </w:r>
      <w:proofErr w:type="spellEnd"/>
      <w:r w:rsidRPr="0032471E">
        <w:t xml:space="preserve">, De </w:t>
      </w:r>
      <w:proofErr w:type="spellStart"/>
      <w:r w:rsidRPr="0032471E">
        <w:t>Lorenzis</w:t>
      </w:r>
      <w:proofErr w:type="spellEnd"/>
      <w:r w:rsidRPr="0032471E">
        <w:t xml:space="preserve">, Barbuto, Cantone, Carinelli, Ficara, Grippa, Liuzzi, Marino, Raffa, </w:t>
      </w:r>
      <w:proofErr w:type="spellStart"/>
      <w:r w:rsidRPr="0032471E">
        <w:t>Scagliusi</w:t>
      </w:r>
      <w:proofErr w:type="spellEnd"/>
      <w:r w:rsidRPr="0032471E">
        <w:t xml:space="preserve">, </w:t>
      </w:r>
      <w:proofErr w:type="spellStart"/>
      <w:r w:rsidRPr="0032471E">
        <w:t>Serritella</w:t>
      </w:r>
      <w:proofErr w:type="spellEnd"/>
      <w:r w:rsidRPr="0032471E">
        <w:t>, Traversi, Bruno Bossio, Cantini, Casu, Del Basso De Caro, Gariglio, Pizzetti, Andrea Romano, Rospi, De Girolamo.</w:t>
      </w:r>
    </w:p>
    <w:p w14:paraId="34C3E312" w14:textId="77777777" w:rsidR="00240A1E" w:rsidRDefault="00240A1E">
      <w:pPr>
        <w:pStyle w:val="Testonotaapidipagina"/>
      </w:pPr>
    </w:p>
  </w:footnote>
  <w:footnote w:id="34">
    <w:p w14:paraId="367227AC" w14:textId="4648E916" w:rsidR="00240A1E" w:rsidRDefault="00240A1E">
      <w:pPr>
        <w:pStyle w:val="Testonotaapidipagina"/>
      </w:pPr>
      <w:r>
        <w:rPr>
          <w:rStyle w:val="Rimandonotaapidipagina"/>
        </w:rPr>
        <w:footnoteRef/>
      </w:r>
      <w:r>
        <w:t xml:space="preserve"> </w:t>
      </w:r>
      <w:r w:rsidRPr="008533A9">
        <w:t xml:space="preserve">1.56. (Nuova formulazione) </w:t>
      </w:r>
      <w:proofErr w:type="spellStart"/>
      <w:r w:rsidRPr="008533A9">
        <w:t>Schullian</w:t>
      </w:r>
      <w:proofErr w:type="spellEnd"/>
      <w:r w:rsidRPr="008533A9">
        <w:t xml:space="preserve">, </w:t>
      </w:r>
      <w:proofErr w:type="spellStart"/>
      <w:r w:rsidRPr="008533A9">
        <w:t>Gebhard</w:t>
      </w:r>
      <w:proofErr w:type="spellEnd"/>
      <w:r w:rsidRPr="008533A9">
        <w:t xml:space="preserve">, </w:t>
      </w:r>
      <w:proofErr w:type="spellStart"/>
      <w:r w:rsidRPr="008533A9">
        <w:t>Plangger</w:t>
      </w:r>
      <w:proofErr w:type="spellEnd"/>
      <w:r w:rsidRPr="008533A9">
        <w:t>, Emanuela Rossini.</w:t>
      </w:r>
    </w:p>
    <w:p w14:paraId="7622C31C" w14:textId="77777777" w:rsidR="00240A1E" w:rsidRDefault="00240A1E">
      <w:pPr>
        <w:pStyle w:val="Testonotaapidipagina"/>
      </w:pPr>
    </w:p>
  </w:footnote>
  <w:footnote w:id="35">
    <w:p w14:paraId="0FE98576" w14:textId="2E20471E" w:rsidR="00240A1E" w:rsidRDefault="00240A1E" w:rsidP="00AC04E6">
      <w:pPr>
        <w:pStyle w:val="Testonotaapidipagina"/>
        <w:jc w:val="both"/>
      </w:pPr>
      <w:r>
        <w:rPr>
          <w:rStyle w:val="Rimandonotaapidipagina"/>
        </w:rPr>
        <w:footnoteRef/>
      </w:r>
      <w:r>
        <w:t xml:space="preserve"> </w:t>
      </w:r>
      <w:r w:rsidRPr="00AC04E6">
        <w:t xml:space="preserve">*1.7. (Nuova formulazione) Muroni, </w:t>
      </w:r>
      <w:proofErr w:type="spellStart"/>
      <w:r w:rsidRPr="00AC04E6">
        <w:t>Fioramonti</w:t>
      </w:r>
      <w:proofErr w:type="spellEnd"/>
      <w:r w:rsidRPr="00AC04E6">
        <w:t xml:space="preserve">, Fusacchia, Cecconi, Lombardo, Maccanti, Capitanio, Donina, Fogliani, </w:t>
      </w:r>
      <w:proofErr w:type="spellStart"/>
      <w:r w:rsidRPr="00AC04E6">
        <w:t>Furgiuele</w:t>
      </w:r>
      <w:proofErr w:type="spellEnd"/>
      <w:r w:rsidRPr="00AC04E6">
        <w:t xml:space="preserve">, Giacometti, </w:t>
      </w:r>
      <w:proofErr w:type="spellStart"/>
      <w:r w:rsidRPr="00AC04E6">
        <w:t>Rixi</w:t>
      </w:r>
      <w:proofErr w:type="spellEnd"/>
      <w:r w:rsidRPr="00AC04E6">
        <w:t xml:space="preserve">, Tombolato, Zanella, Zordan, Baldelli, Caon, Pentangelo, Rosso, Siracusano, Sozzani, De </w:t>
      </w:r>
      <w:proofErr w:type="spellStart"/>
      <w:r w:rsidRPr="00AC04E6">
        <w:t>Lorenzis</w:t>
      </w:r>
      <w:proofErr w:type="spellEnd"/>
      <w:r w:rsidRPr="00AC04E6">
        <w:t xml:space="preserve">, Barbuto, Cantone, Carinelli, Ficara, Grippa, Liuzzi, Marino, Raffa, </w:t>
      </w:r>
      <w:proofErr w:type="spellStart"/>
      <w:r w:rsidRPr="00AC04E6">
        <w:t>Scagliusi</w:t>
      </w:r>
      <w:proofErr w:type="spellEnd"/>
      <w:r w:rsidRPr="00AC04E6">
        <w:t xml:space="preserve">, </w:t>
      </w:r>
      <w:proofErr w:type="spellStart"/>
      <w:r w:rsidRPr="00AC04E6">
        <w:t>Serritella</w:t>
      </w:r>
      <w:proofErr w:type="spellEnd"/>
      <w:r w:rsidRPr="00AC04E6">
        <w:t xml:space="preserve">, Traversi, Rospi, De Girolamo; *1.270. (Nuova formulazione) Gadda, Nobili, </w:t>
      </w:r>
      <w:proofErr w:type="spellStart"/>
      <w:r w:rsidRPr="00AC04E6">
        <w:t>Fregolent</w:t>
      </w:r>
      <w:proofErr w:type="spellEnd"/>
      <w:r w:rsidRPr="00AC04E6">
        <w:t xml:space="preserve">, Bruno Bossio, Maccanti, Capitanio, Donina, Fogliani, </w:t>
      </w:r>
      <w:proofErr w:type="spellStart"/>
      <w:r w:rsidRPr="00AC04E6">
        <w:t>Furgiuele</w:t>
      </w:r>
      <w:proofErr w:type="spellEnd"/>
      <w:r w:rsidRPr="00AC04E6">
        <w:t xml:space="preserve">, Giacometti, </w:t>
      </w:r>
      <w:proofErr w:type="spellStart"/>
      <w:r w:rsidRPr="00AC04E6">
        <w:t>Rixi</w:t>
      </w:r>
      <w:proofErr w:type="spellEnd"/>
      <w:r w:rsidRPr="00AC04E6">
        <w:t xml:space="preserve">, Tombolato, Zanella, Zordan, Baldelli, Caon, Pentangelo, Rosso, Siracusano, Sozzani, De </w:t>
      </w:r>
      <w:proofErr w:type="spellStart"/>
      <w:r w:rsidRPr="00AC04E6">
        <w:t>Lorenzis</w:t>
      </w:r>
      <w:proofErr w:type="spellEnd"/>
      <w:r w:rsidRPr="00AC04E6">
        <w:t xml:space="preserve">, Barbuto, Cantone, Carinelli, Ficara, Grippa, Liuzzi, Marino, Raffa, </w:t>
      </w:r>
      <w:proofErr w:type="spellStart"/>
      <w:r w:rsidRPr="00AC04E6">
        <w:t>Scagliusi</w:t>
      </w:r>
      <w:proofErr w:type="spellEnd"/>
      <w:r w:rsidRPr="00AC04E6">
        <w:t xml:space="preserve">, </w:t>
      </w:r>
      <w:proofErr w:type="spellStart"/>
      <w:r w:rsidRPr="00AC04E6">
        <w:t>Serritella</w:t>
      </w:r>
      <w:proofErr w:type="spellEnd"/>
      <w:r w:rsidRPr="00AC04E6">
        <w:t>, Traversi, Rospi, De Girolamo.</w:t>
      </w:r>
    </w:p>
  </w:footnote>
  <w:footnote w:id="36">
    <w:p w14:paraId="6389C777" w14:textId="27113EA3" w:rsidR="00240A1E" w:rsidRDefault="00240A1E">
      <w:pPr>
        <w:pStyle w:val="Testonotaapidipagina"/>
      </w:pPr>
      <w:r>
        <w:rPr>
          <w:rStyle w:val="Rimandonotaapidipagina"/>
        </w:rPr>
        <w:footnoteRef/>
      </w:r>
      <w:r>
        <w:t xml:space="preserve"> </w:t>
      </w:r>
      <w:r w:rsidRPr="000D7841">
        <w:t xml:space="preserve">1.110. Tombolato, Maccanti, Capitanio, Donina, Fogliani, </w:t>
      </w:r>
      <w:proofErr w:type="spellStart"/>
      <w:r w:rsidRPr="000D7841">
        <w:t>Furgiuele</w:t>
      </w:r>
      <w:proofErr w:type="spellEnd"/>
      <w:r w:rsidRPr="000D7841">
        <w:t xml:space="preserve">, Giacometti, </w:t>
      </w:r>
      <w:proofErr w:type="spellStart"/>
      <w:r w:rsidRPr="000D7841">
        <w:t>Rixi</w:t>
      </w:r>
      <w:proofErr w:type="spellEnd"/>
      <w:r w:rsidRPr="000D7841">
        <w:t>, Zanella, Zordan</w:t>
      </w:r>
    </w:p>
  </w:footnote>
  <w:footnote w:id="37">
    <w:p w14:paraId="577E6F52" w14:textId="4DB60DB4" w:rsidR="00240A1E" w:rsidRDefault="00240A1E">
      <w:pPr>
        <w:pStyle w:val="Testonotaapidipagina"/>
      </w:pPr>
      <w:r>
        <w:rPr>
          <w:rStyle w:val="Rimandonotaapidipagina"/>
        </w:rPr>
        <w:footnoteRef/>
      </w:r>
      <w:r>
        <w:t xml:space="preserve"> </w:t>
      </w:r>
      <w:r w:rsidRPr="00AC04E6">
        <w:t>1.168. Caon, Rosso, Sozzani, Pentangelo.</w:t>
      </w:r>
    </w:p>
  </w:footnote>
  <w:footnote w:id="38">
    <w:p w14:paraId="06B88282" w14:textId="38D14CB8" w:rsidR="00240A1E" w:rsidRDefault="00240A1E">
      <w:pPr>
        <w:pStyle w:val="Testonotaapidipagina"/>
      </w:pPr>
      <w:r>
        <w:rPr>
          <w:rStyle w:val="Rimandonotaapidipagina"/>
        </w:rPr>
        <w:footnoteRef/>
      </w:r>
      <w:r>
        <w:t xml:space="preserve"> </w:t>
      </w:r>
      <w:r w:rsidRPr="00AC04E6">
        <w:t xml:space="preserve">1.275. (Nuova formulazione) Nobili, </w:t>
      </w:r>
      <w:proofErr w:type="spellStart"/>
      <w:r w:rsidRPr="00AC04E6">
        <w:t>Rixi</w:t>
      </w:r>
      <w:proofErr w:type="spellEnd"/>
      <w:r w:rsidRPr="00AC04E6">
        <w:t>.</w:t>
      </w:r>
    </w:p>
  </w:footnote>
  <w:footnote w:id="39">
    <w:p w14:paraId="11711D0A" w14:textId="64382F59" w:rsidR="00240A1E" w:rsidRDefault="00240A1E" w:rsidP="00A128D4">
      <w:pPr>
        <w:pStyle w:val="Testonotaapidipagina"/>
      </w:pPr>
      <w:r>
        <w:rPr>
          <w:rStyle w:val="Rimandonotaapidipagina"/>
        </w:rPr>
        <w:footnoteRef/>
      </w:r>
      <w:r>
        <w:t xml:space="preserve"> **1.05. (Nuova formulazione) </w:t>
      </w:r>
      <w:proofErr w:type="spellStart"/>
      <w:r>
        <w:t>Fregolent</w:t>
      </w:r>
      <w:proofErr w:type="spellEnd"/>
      <w:r>
        <w:t xml:space="preserve">; **1.029. (Nuova formulazione) Ficara; **3.06. (Nuova formulazione) </w:t>
      </w:r>
      <w:proofErr w:type="spellStart"/>
      <w:r>
        <w:t>Rixi</w:t>
      </w:r>
      <w:proofErr w:type="spellEnd"/>
    </w:p>
  </w:footnote>
  <w:footnote w:id="40">
    <w:p w14:paraId="092F98C8" w14:textId="45642893" w:rsidR="00240A1E" w:rsidRDefault="00240A1E">
      <w:pPr>
        <w:pStyle w:val="Testonotaapidipagina"/>
      </w:pPr>
      <w:r>
        <w:rPr>
          <w:rStyle w:val="Rimandonotaapidipagina"/>
        </w:rPr>
        <w:footnoteRef/>
      </w:r>
      <w:r>
        <w:t xml:space="preserve"> </w:t>
      </w:r>
      <w:r w:rsidRPr="00A128D4">
        <w:t xml:space="preserve">*1.51. (Nuova formulazione) </w:t>
      </w:r>
      <w:proofErr w:type="spellStart"/>
      <w:r w:rsidRPr="00A128D4">
        <w:t>Silvestroni</w:t>
      </w:r>
      <w:proofErr w:type="spellEnd"/>
      <w:r w:rsidRPr="00A128D4">
        <w:t>; *1.263. (Nuova formulazione) Gariglio; *1.185. (Nuova formulazione) Ruffino.</w:t>
      </w:r>
    </w:p>
    <w:p w14:paraId="2E756C9D" w14:textId="77777777" w:rsidR="00240A1E" w:rsidRDefault="00240A1E">
      <w:pPr>
        <w:pStyle w:val="Testonotaapidipagina"/>
      </w:pPr>
    </w:p>
  </w:footnote>
  <w:footnote w:id="41">
    <w:p w14:paraId="48FBC7FE" w14:textId="5C9F273D" w:rsidR="00240A1E" w:rsidRDefault="00240A1E" w:rsidP="00A128D4">
      <w:pPr>
        <w:pStyle w:val="Testonotaapidipagina"/>
        <w:jc w:val="both"/>
      </w:pPr>
      <w:r>
        <w:rPr>
          <w:rStyle w:val="Rimandonotaapidipagina"/>
        </w:rPr>
        <w:footnoteRef/>
      </w:r>
      <w:r>
        <w:t xml:space="preserve"> </w:t>
      </w:r>
      <w:r w:rsidRPr="00A128D4">
        <w:t xml:space="preserve">**1.30. (Nuova formulazione) Spessotto, Termini; **1.46. (Nuova formulazione) </w:t>
      </w:r>
      <w:proofErr w:type="spellStart"/>
      <w:r w:rsidRPr="00A128D4">
        <w:t>Fregolent</w:t>
      </w:r>
      <w:proofErr w:type="spellEnd"/>
      <w:r w:rsidRPr="00A128D4">
        <w:t>; **1.286. (Nuova formulazione) Rotelli; **1.81. (Nuova formulazione) De Girolamo; **1.169. (Nuova formulazione) Pella; **1.184. (Nuova formulazione) Ruffino; **1.262. (Nuova formulazione) Gariglio; **1.73. (Nuova formulazione) Timbro.</w:t>
      </w:r>
    </w:p>
    <w:p w14:paraId="60B13BCE" w14:textId="77777777" w:rsidR="00240A1E" w:rsidRDefault="00240A1E" w:rsidP="00A128D4">
      <w:pPr>
        <w:pStyle w:val="Testonotaapidipagina"/>
        <w:jc w:val="both"/>
      </w:pPr>
    </w:p>
  </w:footnote>
  <w:footnote w:id="42">
    <w:p w14:paraId="3D5FE1C5" w14:textId="00E5071A" w:rsidR="00240A1E" w:rsidRDefault="00240A1E">
      <w:pPr>
        <w:pStyle w:val="Testonotaapidipagina"/>
      </w:pPr>
      <w:r>
        <w:rPr>
          <w:rStyle w:val="Rimandonotaapidipagina"/>
        </w:rPr>
        <w:footnoteRef/>
      </w:r>
      <w:r>
        <w:t xml:space="preserve"> </w:t>
      </w:r>
      <w:r w:rsidRPr="00A128D4">
        <w:t xml:space="preserve">1.278. (Nuova formulazione) </w:t>
      </w:r>
      <w:proofErr w:type="spellStart"/>
      <w:r w:rsidRPr="00A128D4">
        <w:t>Fregolent</w:t>
      </w:r>
      <w:proofErr w:type="spellEnd"/>
      <w:r w:rsidRPr="00A128D4">
        <w:t>.</w:t>
      </w:r>
    </w:p>
    <w:p w14:paraId="6D4E192B" w14:textId="77777777" w:rsidR="00240A1E" w:rsidRDefault="00240A1E">
      <w:pPr>
        <w:pStyle w:val="Testonotaapidipagina"/>
      </w:pPr>
    </w:p>
  </w:footnote>
  <w:footnote w:id="43">
    <w:p w14:paraId="006D95A9" w14:textId="5DAD722D" w:rsidR="00240A1E" w:rsidRDefault="00240A1E">
      <w:pPr>
        <w:pStyle w:val="Testonotaapidipagina"/>
      </w:pPr>
      <w:r>
        <w:rPr>
          <w:rStyle w:val="Rimandonotaapidipagina"/>
        </w:rPr>
        <w:footnoteRef/>
      </w:r>
      <w:r>
        <w:t xml:space="preserve"> </w:t>
      </w:r>
      <w:r w:rsidRPr="00A128D4">
        <w:t xml:space="preserve">1.212. (Nuova formulazione) </w:t>
      </w:r>
      <w:proofErr w:type="spellStart"/>
      <w:r w:rsidRPr="00A128D4">
        <w:t>Tripiedi</w:t>
      </w:r>
      <w:proofErr w:type="spellEnd"/>
      <w:r w:rsidRPr="00A128D4">
        <w:t>, Manzo, Villani, Grippa.</w:t>
      </w:r>
    </w:p>
  </w:footnote>
  <w:footnote w:id="44">
    <w:p w14:paraId="39942C16" w14:textId="22B7EDD9" w:rsidR="00240A1E" w:rsidRDefault="00240A1E">
      <w:pPr>
        <w:pStyle w:val="Testonotaapidipagina"/>
      </w:pPr>
      <w:r>
        <w:rPr>
          <w:rStyle w:val="Rimandonotaapidipagina"/>
        </w:rPr>
        <w:footnoteRef/>
      </w:r>
      <w:r>
        <w:t xml:space="preserve"> </w:t>
      </w:r>
      <w:r w:rsidRPr="00A128D4">
        <w:t>1.208. (Nuova formulazione) Di Lauro.</w:t>
      </w:r>
    </w:p>
    <w:p w14:paraId="052C5EA6" w14:textId="77777777" w:rsidR="00240A1E" w:rsidRDefault="00240A1E">
      <w:pPr>
        <w:pStyle w:val="Testonotaapidipagina"/>
      </w:pPr>
    </w:p>
  </w:footnote>
  <w:footnote w:id="45">
    <w:p w14:paraId="6C8F4665" w14:textId="66D505DB" w:rsidR="00240A1E" w:rsidRDefault="00240A1E">
      <w:pPr>
        <w:pStyle w:val="Testonotaapidipagina"/>
      </w:pPr>
      <w:r>
        <w:rPr>
          <w:rStyle w:val="Rimandonotaapidipagina"/>
        </w:rPr>
        <w:footnoteRef/>
      </w:r>
      <w:r>
        <w:t xml:space="preserve"> </w:t>
      </w:r>
      <w:r w:rsidRPr="00A128D4">
        <w:t xml:space="preserve">1.203. De </w:t>
      </w:r>
      <w:proofErr w:type="spellStart"/>
      <w:r w:rsidRPr="00A128D4">
        <w:t>Lorenzis</w:t>
      </w:r>
      <w:proofErr w:type="spellEnd"/>
      <w:r w:rsidRPr="00A128D4">
        <w:t>, Baldelli.</w:t>
      </w:r>
    </w:p>
  </w:footnote>
  <w:footnote w:id="46">
    <w:p w14:paraId="506745DE" w14:textId="63DDADB1" w:rsidR="00240A1E" w:rsidRDefault="00240A1E" w:rsidP="0032471E">
      <w:pPr>
        <w:pStyle w:val="Testonotaapidipagina"/>
        <w:jc w:val="both"/>
      </w:pPr>
      <w:r>
        <w:rPr>
          <w:rStyle w:val="Rimandonotaapidipagina"/>
        </w:rPr>
        <w:footnoteRef/>
      </w:r>
      <w:r>
        <w:t xml:space="preserve"> </w:t>
      </w:r>
      <w:r w:rsidRPr="0032471E">
        <w:t xml:space="preserve">*1.04. (Nuova formulazione) Nobili, Bruno Bossio; *1.023. (Nuova formulazione) Rosso; *1.78. (Nuova formulazione) </w:t>
      </w:r>
      <w:proofErr w:type="spellStart"/>
      <w:r w:rsidRPr="0032471E">
        <w:t>Silvestroni</w:t>
      </w:r>
      <w:proofErr w:type="spellEnd"/>
      <w:r w:rsidRPr="0032471E">
        <w:t xml:space="preserve">; *1.283. (Nuova formulazione) </w:t>
      </w:r>
      <w:proofErr w:type="spellStart"/>
      <w:r w:rsidRPr="0032471E">
        <w:t>Silvestroni</w:t>
      </w:r>
      <w:proofErr w:type="spellEnd"/>
      <w:r w:rsidRPr="0032471E">
        <w:t xml:space="preserve">; *1.292. (Nuova formulazione) Mollicone, </w:t>
      </w:r>
      <w:proofErr w:type="spellStart"/>
      <w:r w:rsidRPr="0032471E">
        <w:t>Silvestroni</w:t>
      </w:r>
      <w:proofErr w:type="spellEnd"/>
      <w:r w:rsidRPr="0032471E">
        <w:t>.</w:t>
      </w:r>
    </w:p>
  </w:footnote>
  <w:footnote w:id="47">
    <w:p w14:paraId="4C0CEC85" w14:textId="69F7831B" w:rsidR="00240A1E" w:rsidRDefault="00240A1E" w:rsidP="0032471E">
      <w:pPr>
        <w:pStyle w:val="Testonotaapidipagina"/>
        <w:jc w:val="both"/>
      </w:pPr>
      <w:r>
        <w:rPr>
          <w:rStyle w:val="Rimandonotaapidipagina"/>
        </w:rPr>
        <w:footnoteRef/>
      </w:r>
      <w:r>
        <w:t xml:space="preserve"> </w:t>
      </w:r>
      <w:r w:rsidRPr="0032471E">
        <w:t xml:space="preserve">*2.7. Pezzopane, Braga, Buratti, Morassut, </w:t>
      </w:r>
      <w:proofErr w:type="spellStart"/>
      <w:r w:rsidRPr="0032471E">
        <w:t>Morgoni</w:t>
      </w:r>
      <w:proofErr w:type="spellEnd"/>
      <w:r w:rsidRPr="0032471E">
        <w:t xml:space="preserve">, Pellicani, Grippa; *2.13. </w:t>
      </w:r>
      <w:proofErr w:type="spellStart"/>
      <w:r w:rsidRPr="0032471E">
        <w:t>Rixi</w:t>
      </w:r>
      <w:proofErr w:type="spellEnd"/>
      <w:r w:rsidRPr="0032471E">
        <w:t xml:space="preserve">, Lucchini, </w:t>
      </w:r>
      <w:proofErr w:type="spellStart"/>
      <w:r w:rsidRPr="0032471E">
        <w:t>Badole</w:t>
      </w:r>
      <w:proofErr w:type="spellEnd"/>
      <w:r w:rsidRPr="0032471E">
        <w:t xml:space="preserve">, Valbusa, </w:t>
      </w:r>
      <w:proofErr w:type="spellStart"/>
      <w:r w:rsidRPr="0032471E">
        <w:t>Vallotto</w:t>
      </w:r>
      <w:proofErr w:type="spellEnd"/>
      <w:r w:rsidRPr="0032471E">
        <w:t xml:space="preserve">, Maccanti, Donina, Fogliani, </w:t>
      </w:r>
      <w:proofErr w:type="spellStart"/>
      <w:r w:rsidRPr="0032471E">
        <w:t>Furgiuele</w:t>
      </w:r>
      <w:proofErr w:type="spellEnd"/>
      <w:r w:rsidRPr="0032471E">
        <w:t xml:space="preserve">, Giacometti, Tombolato, Zanella, Zordan, Benvenuto, D'Eramo, Dara, Eva Lorenzoni, </w:t>
      </w:r>
      <w:proofErr w:type="spellStart"/>
      <w:r w:rsidRPr="0032471E">
        <w:t>Patassini</w:t>
      </w:r>
      <w:proofErr w:type="spellEnd"/>
      <w:r w:rsidRPr="0032471E">
        <w:t>, Raffaelli.</w:t>
      </w:r>
    </w:p>
  </w:footnote>
  <w:footnote w:id="48">
    <w:p w14:paraId="57B12A72" w14:textId="2549C0F4" w:rsidR="00240A1E" w:rsidRDefault="00240A1E">
      <w:pPr>
        <w:pStyle w:val="Testonotaapidipagina"/>
      </w:pPr>
      <w:r>
        <w:rPr>
          <w:rStyle w:val="Rimandonotaapidipagina"/>
        </w:rPr>
        <w:footnoteRef/>
      </w:r>
      <w:r>
        <w:t xml:space="preserve"> </w:t>
      </w:r>
      <w:r w:rsidRPr="0032471E">
        <w:t>2.33. Le Relatrici.</w:t>
      </w:r>
    </w:p>
    <w:p w14:paraId="197C0FA8" w14:textId="77777777" w:rsidR="00240A1E" w:rsidRDefault="00240A1E">
      <w:pPr>
        <w:pStyle w:val="Testonotaapidipagina"/>
      </w:pPr>
    </w:p>
  </w:footnote>
  <w:footnote w:id="49">
    <w:p w14:paraId="43A7DABA" w14:textId="700B74BF" w:rsidR="00240A1E" w:rsidRDefault="00240A1E">
      <w:pPr>
        <w:pStyle w:val="Testonotaapidipagina"/>
      </w:pPr>
      <w:r>
        <w:rPr>
          <w:rStyle w:val="Rimandonotaapidipagina"/>
        </w:rPr>
        <w:footnoteRef/>
      </w:r>
      <w:r>
        <w:t xml:space="preserve"> </w:t>
      </w:r>
      <w:r w:rsidRPr="0032471E">
        <w:t xml:space="preserve">*2.17. (Nuova formulazione) Pezzopane, Morassut, Braga, Buratti, </w:t>
      </w:r>
      <w:proofErr w:type="spellStart"/>
      <w:r w:rsidRPr="0032471E">
        <w:t>Morgoni</w:t>
      </w:r>
      <w:proofErr w:type="spellEnd"/>
      <w:r w:rsidRPr="0032471E">
        <w:t>, Pellicani, Gariglio, Lorenzin, Madia, Orfini, Prestipino, Piccoli Nardelli, Sensi, Campana; *2.19. (Nuova formulazione) Francesco Silvestri.</w:t>
      </w:r>
    </w:p>
  </w:footnote>
  <w:footnote w:id="50">
    <w:p w14:paraId="05EF0423" w14:textId="45C21D5D" w:rsidR="00240A1E" w:rsidRDefault="00240A1E">
      <w:pPr>
        <w:pStyle w:val="Testonotaapidipagina"/>
      </w:pPr>
      <w:r>
        <w:rPr>
          <w:rStyle w:val="Rimandonotaapidipagina"/>
        </w:rPr>
        <w:footnoteRef/>
      </w:r>
      <w:r>
        <w:t xml:space="preserve"> </w:t>
      </w:r>
      <w:r w:rsidRPr="0032471E">
        <w:t xml:space="preserve">**2.27. (Nuova formulazione) </w:t>
      </w:r>
      <w:proofErr w:type="spellStart"/>
      <w:r w:rsidRPr="0032471E">
        <w:t>Rixi</w:t>
      </w:r>
      <w:proofErr w:type="spellEnd"/>
      <w:r w:rsidRPr="0032471E">
        <w:t xml:space="preserve">, </w:t>
      </w:r>
      <w:proofErr w:type="spellStart"/>
      <w:r w:rsidRPr="0032471E">
        <w:t>Lolini</w:t>
      </w:r>
      <w:proofErr w:type="spellEnd"/>
      <w:r w:rsidRPr="0032471E">
        <w:t>, Lucchini, Maccanti; **2.30. (Nuova formulazione) Le Relatrici.</w:t>
      </w:r>
    </w:p>
    <w:p w14:paraId="42ED5C37" w14:textId="77777777" w:rsidR="00240A1E" w:rsidRDefault="00240A1E">
      <w:pPr>
        <w:pStyle w:val="Testonotaapidipagina"/>
      </w:pPr>
    </w:p>
  </w:footnote>
  <w:footnote w:id="51">
    <w:p w14:paraId="2F85AC9E" w14:textId="64ED3804" w:rsidR="00240A1E" w:rsidRDefault="00240A1E" w:rsidP="0032471E">
      <w:pPr>
        <w:pStyle w:val="Testonotaapidipagina"/>
        <w:jc w:val="both"/>
      </w:pPr>
      <w:r>
        <w:rPr>
          <w:rStyle w:val="Rimandonotaapidipagina"/>
        </w:rPr>
        <w:footnoteRef/>
      </w:r>
      <w:r>
        <w:t xml:space="preserve"> </w:t>
      </w:r>
      <w:r w:rsidRPr="0032471E">
        <w:t xml:space="preserve">*2.25. (Nuova formulazione) </w:t>
      </w:r>
      <w:proofErr w:type="spellStart"/>
      <w:r w:rsidRPr="0032471E">
        <w:t>Rixi</w:t>
      </w:r>
      <w:proofErr w:type="spellEnd"/>
      <w:r w:rsidRPr="0032471E">
        <w:t xml:space="preserve">, Di Muro, Foscolo, Viviani, Maccanti, Capitanio, Donina, Fogliani, </w:t>
      </w:r>
      <w:proofErr w:type="spellStart"/>
      <w:r w:rsidRPr="0032471E">
        <w:t>Furgiuele</w:t>
      </w:r>
      <w:proofErr w:type="spellEnd"/>
      <w:r w:rsidRPr="0032471E">
        <w:t xml:space="preserve">, Giacometti, Tombolato, Zanella, Zordan, Lucchini, </w:t>
      </w:r>
      <w:proofErr w:type="spellStart"/>
      <w:r w:rsidRPr="0032471E">
        <w:t>Badole</w:t>
      </w:r>
      <w:proofErr w:type="spellEnd"/>
      <w:r w:rsidRPr="0032471E">
        <w:t xml:space="preserve">, Benvenuto, D'Eramo, Dara, Eva Lorenzoni, </w:t>
      </w:r>
      <w:proofErr w:type="spellStart"/>
      <w:r w:rsidRPr="0032471E">
        <w:t>Patassini</w:t>
      </w:r>
      <w:proofErr w:type="spellEnd"/>
      <w:r w:rsidRPr="0032471E">
        <w:t xml:space="preserve">, Raffaelli, Valbusa, </w:t>
      </w:r>
      <w:proofErr w:type="spellStart"/>
      <w:r w:rsidRPr="0032471E">
        <w:t>Vallotto</w:t>
      </w:r>
      <w:proofErr w:type="spellEnd"/>
      <w:r w:rsidRPr="0032471E">
        <w:t>, Traversi; *2.28. (Nuova formulazione) Le relatrici.</w:t>
      </w:r>
    </w:p>
  </w:footnote>
  <w:footnote w:id="52">
    <w:p w14:paraId="772C0994" w14:textId="222209D8" w:rsidR="00240A1E" w:rsidRDefault="00240A1E">
      <w:pPr>
        <w:pStyle w:val="Testonotaapidipagina"/>
      </w:pPr>
      <w:r>
        <w:rPr>
          <w:rStyle w:val="Rimandonotaapidipagina"/>
        </w:rPr>
        <w:footnoteRef/>
      </w:r>
      <w:r>
        <w:t xml:space="preserve"> </w:t>
      </w:r>
      <w:r w:rsidRPr="00240A1E">
        <w:t>0.2.100.3. (Nuova formulazione) Casu.</w:t>
      </w:r>
    </w:p>
    <w:p w14:paraId="0EE075BE" w14:textId="77777777" w:rsidR="00240A1E" w:rsidRDefault="00240A1E">
      <w:pPr>
        <w:pStyle w:val="Testonotaapidipagina"/>
      </w:pPr>
    </w:p>
  </w:footnote>
  <w:footnote w:id="53">
    <w:p w14:paraId="21685F34" w14:textId="2078D2C9" w:rsidR="00240A1E" w:rsidRDefault="00240A1E">
      <w:pPr>
        <w:pStyle w:val="Testonotaapidipagina"/>
      </w:pPr>
      <w:r>
        <w:rPr>
          <w:rStyle w:val="Rimandonotaapidipagina"/>
        </w:rPr>
        <w:footnoteRef/>
      </w:r>
      <w:r>
        <w:t xml:space="preserve"> 2.100 Il Governo</w:t>
      </w:r>
    </w:p>
  </w:footnote>
  <w:footnote w:id="54">
    <w:p w14:paraId="73970C75" w14:textId="6AC65E9C" w:rsidR="00240A1E" w:rsidRDefault="00240A1E">
      <w:pPr>
        <w:pStyle w:val="Testonotaapidipagina"/>
      </w:pPr>
      <w:r>
        <w:rPr>
          <w:rStyle w:val="Rimandonotaapidipagina"/>
        </w:rPr>
        <w:footnoteRef/>
      </w:r>
      <w:r>
        <w:t xml:space="preserve"> </w:t>
      </w:r>
      <w:r w:rsidRPr="00240A1E">
        <w:t>*0.2.100.5. Nobili; *0.2.100.4. Casu.</w:t>
      </w:r>
    </w:p>
  </w:footnote>
  <w:footnote w:id="55">
    <w:p w14:paraId="28382991" w14:textId="79FBD3E2" w:rsidR="00240A1E" w:rsidRDefault="00240A1E">
      <w:pPr>
        <w:pStyle w:val="Testonotaapidipagina"/>
      </w:pPr>
      <w:r>
        <w:rPr>
          <w:rStyle w:val="Rimandonotaapidipagina"/>
        </w:rPr>
        <w:footnoteRef/>
      </w:r>
      <w:r>
        <w:t xml:space="preserve"> </w:t>
      </w:r>
      <w:r w:rsidRPr="0032471E">
        <w:t>2.31. (Nuova formulazione) Le Relatrici.</w:t>
      </w:r>
    </w:p>
    <w:p w14:paraId="4CFC77E4" w14:textId="77777777" w:rsidR="00240A1E" w:rsidRDefault="00240A1E">
      <w:pPr>
        <w:pStyle w:val="Testonotaapidipagina"/>
      </w:pPr>
    </w:p>
  </w:footnote>
  <w:footnote w:id="56">
    <w:p w14:paraId="2CEFFE6B" w14:textId="124E7223" w:rsidR="00240A1E" w:rsidRDefault="00240A1E">
      <w:pPr>
        <w:pStyle w:val="Testonotaapidipagina"/>
      </w:pPr>
      <w:r>
        <w:rPr>
          <w:rStyle w:val="Rimandonotaapidipagina"/>
        </w:rPr>
        <w:footnoteRef/>
      </w:r>
      <w:r>
        <w:t xml:space="preserve"> </w:t>
      </w:r>
      <w:r w:rsidRPr="00240A1E">
        <w:t xml:space="preserve">*2.6. Pezzopane, Braga, Buratti, Morassut, </w:t>
      </w:r>
      <w:proofErr w:type="spellStart"/>
      <w:r w:rsidRPr="00240A1E">
        <w:t>Morgoni</w:t>
      </w:r>
      <w:proofErr w:type="spellEnd"/>
      <w:r w:rsidRPr="00240A1E">
        <w:t>, Pellicani; *2.24. Daga, Maraia.</w:t>
      </w:r>
    </w:p>
    <w:p w14:paraId="667D663B" w14:textId="77777777" w:rsidR="00240A1E" w:rsidRDefault="00240A1E">
      <w:pPr>
        <w:pStyle w:val="Testonotaapidipagina"/>
      </w:pPr>
    </w:p>
  </w:footnote>
  <w:footnote w:id="57">
    <w:p w14:paraId="569950D2" w14:textId="28789CAB" w:rsidR="00240A1E" w:rsidRDefault="00240A1E" w:rsidP="00240A1E">
      <w:pPr>
        <w:pStyle w:val="Testonotaapidipagina"/>
      </w:pPr>
      <w:r>
        <w:rPr>
          <w:rStyle w:val="Rimandonotaapidipagina"/>
        </w:rPr>
        <w:footnoteRef/>
      </w:r>
      <w:r>
        <w:t xml:space="preserve"> 2.09. (Nuova formulazione) Maraia.</w:t>
      </w:r>
    </w:p>
    <w:p w14:paraId="4DFA319F" w14:textId="77777777" w:rsidR="00240A1E" w:rsidRDefault="00240A1E">
      <w:pPr>
        <w:pStyle w:val="Testonotaapidipagina"/>
      </w:pPr>
    </w:p>
  </w:footnote>
  <w:footnote w:id="58">
    <w:p w14:paraId="226B72C9" w14:textId="788096E8" w:rsidR="00240A1E" w:rsidRDefault="00240A1E" w:rsidP="00240A1E">
      <w:pPr>
        <w:pStyle w:val="Testonotaapidipagina"/>
        <w:jc w:val="both"/>
      </w:pPr>
      <w:r>
        <w:rPr>
          <w:rStyle w:val="Rimandonotaapidipagina"/>
        </w:rPr>
        <w:footnoteRef/>
      </w:r>
      <w:r>
        <w:t xml:space="preserve"> </w:t>
      </w:r>
      <w:r w:rsidRPr="00240A1E">
        <w:t xml:space="preserve">*3.13. (Nuova formulazione) Le Relatrici; *3.14. (Nuova formulazione) </w:t>
      </w:r>
      <w:proofErr w:type="spellStart"/>
      <w:r w:rsidRPr="00240A1E">
        <w:t>Rixi</w:t>
      </w:r>
      <w:proofErr w:type="spellEnd"/>
      <w:r w:rsidRPr="00240A1E">
        <w:t xml:space="preserve">, Maccanti, Capitanio, Donina, Fogliani, </w:t>
      </w:r>
      <w:proofErr w:type="spellStart"/>
      <w:r w:rsidRPr="00240A1E">
        <w:t>Furgiuele</w:t>
      </w:r>
      <w:proofErr w:type="spellEnd"/>
      <w:r w:rsidRPr="00240A1E">
        <w:t xml:space="preserve">, Giacometti, Tombolato, Zanella, Zordan, Lucchini, </w:t>
      </w:r>
      <w:proofErr w:type="spellStart"/>
      <w:r w:rsidRPr="00240A1E">
        <w:t>Badole</w:t>
      </w:r>
      <w:proofErr w:type="spellEnd"/>
      <w:r w:rsidRPr="00240A1E">
        <w:t xml:space="preserve">, Benvenuto, D'Eramo, Dara, Eva Lorenzoni, </w:t>
      </w:r>
      <w:proofErr w:type="spellStart"/>
      <w:r w:rsidRPr="00240A1E">
        <w:t>Patassini</w:t>
      </w:r>
      <w:proofErr w:type="spellEnd"/>
      <w:r w:rsidRPr="00240A1E">
        <w:t xml:space="preserve">, Raffaelli, Valbusa, </w:t>
      </w:r>
      <w:proofErr w:type="spellStart"/>
      <w:r w:rsidRPr="00240A1E">
        <w:t>Vallotto</w:t>
      </w:r>
      <w:proofErr w:type="spellEnd"/>
      <w:r w:rsidRPr="00240A1E">
        <w:t xml:space="preserve">; *3.12. (Nuova formulazione) </w:t>
      </w:r>
      <w:proofErr w:type="spellStart"/>
      <w:r w:rsidRPr="00240A1E">
        <w:t>Scagliusi</w:t>
      </w:r>
      <w:proofErr w:type="spellEnd"/>
      <w:r w:rsidRPr="00240A1E">
        <w:t>, Grippa.</w:t>
      </w:r>
    </w:p>
    <w:p w14:paraId="782A27F5" w14:textId="77777777" w:rsidR="00240A1E" w:rsidRDefault="00240A1E" w:rsidP="00240A1E">
      <w:pPr>
        <w:pStyle w:val="Testonotaapidipagina"/>
        <w:jc w:val="both"/>
      </w:pPr>
    </w:p>
  </w:footnote>
  <w:footnote w:id="59">
    <w:p w14:paraId="72FA6596" w14:textId="5F81DD0E" w:rsidR="00240A1E" w:rsidRDefault="00240A1E">
      <w:pPr>
        <w:pStyle w:val="Testonotaapidipagina"/>
      </w:pPr>
      <w:r>
        <w:rPr>
          <w:rStyle w:val="Rimandonotaapidipagina"/>
        </w:rPr>
        <w:footnoteRef/>
      </w:r>
      <w:r>
        <w:t xml:space="preserve"> </w:t>
      </w:r>
      <w:r w:rsidRPr="00240A1E">
        <w:t>3.8. Rosso, Sozzani.</w:t>
      </w:r>
    </w:p>
  </w:footnote>
  <w:footnote w:id="60">
    <w:p w14:paraId="54E4C6DC" w14:textId="77777777" w:rsidR="00240A1E" w:rsidRDefault="00240A1E" w:rsidP="00660EE5">
      <w:pPr>
        <w:pStyle w:val="Testonotaapidipagina"/>
      </w:pPr>
      <w:r>
        <w:rPr>
          <w:rStyle w:val="Rimandonotaapidipagina"/>
        </w:rPr>
        <w:footnoteRef/>
      </w:r>
      <w:r>
        <w:t xml:space="preserve"> </w:t>
      </w:r>
      <w:r w:rsidRPr="00A067DF">
        <w:t>4.70. (Nuova formulazione). Le Relatrici.</w:t>
      </w:r>
    </w:p>
  </w:footnote>
  <w:footnote w:id="61">
    <w:p w14:paraId="67ADC89A" w14:textId="77777777" w:rsidR="00240A1E" w:rsidRDefault="00240A1E" w:rsidP="00660EE5">
      <w:pPr>
        <w:pStyle w:val="Testonotaapidipagina"/>
      </w:pPr>
    </w:p>
    <w:p w14:paraId="10F59E41" w14:textId="77777777" w:rsidR="00240A1E" w:rsidRDefault="00240A1E" w:rsidP="00660EE5">
      <w:pPr>
        <w:pStyle w:val="Testonotaapidipagina"/>
      </w:pPr>
      <w:r>
        <w:rPr>
          <w:rStyle w:val="Rimandonotaapidipagina"/>
        </w:rPr>
        <w:footnoteRef/>
      </w:r>
      <w:r>
        <w:t xml:space="preserve"> </w:t>
      </w:r>
      <w:r w:rsidRPr="00A067DF">
        <w:t xml:space="preserve">*4.57. Gariglio, Andrea Romano, Pizzetti, Cantini, Del Basso De Caro, Bruno Bossio, Morassut; *4.59. </w:t>
      </w:r>
      <w:proofErr w:type="spellStart"/>
      <w:r w:rsidRPr="00A067DF">
        <w:t>Fregolent</w:t>
      </w:r>
      <w:proofErr w:type="spellEnd"/>
      <w:r w:rsidRPr="00A067DF">
        <w:t xml:space="preserve">, Nobili; *4.23. </w:t>
      </w:r>
      <w:proofErr w:type="spellStart"/>
      <w:r w:rsidRPr="00A067DF">
        <w:t>Rixi</w:t>
      </w:r>
      <w:proofErr w:type="spellEnd"/>
      <w:r w:rsidRPr="00A067DF">
        <w:t xml:space="preserve">, Maccanti, Capitanio, Donina, Fogliani, </w:t>
      </w:r>
      <w:proofErr w:type="spellStart"/>
      <w:r w:rsidRPr="00A067DF">
        <w:t>Furgiuele</w:t>
      </w:r>
      <w:proofErr w:type="spellEnd"/>
      <w:r w:rsidRPr="00A067DF">
        <w:t xml:space="preserve">, Giacometti, Tombolato, Zanella, Zordan; *4.51. </w:t>
      </w:r>
      <w:proofErr w:type="spellStart"/>
      <w:r w:rsidRPr="00A067DF">
        <w:t>Scagliusi</w:t>
      </w:r>
      <w:proofErr w:type="spellEnd"/>
      <w:r w:rsidRPr="00A067DF">
        <w:t>.</w:t>
      </w:r>
    </w:p>
  </w:footnote>
  <w:footnote w:id="62">
    <w:p w14:paraId="6BB85D41" w14:textId="2A706DA0" w:rsidR="004B2C45" w:rsidRDefault="004B2C45">
      <w:pPr>
        <w:pStyle w:val="Testonotaapidipagina"/>
      </w:pPr>
      <w:r>
        <w:rPr>
          <w:rStyle w:val="Rimandonotaapidipagina"/>
        </w:rPr>
        <w:footnoteRef/>
      </w:r>
      <w:r>
        <w:t xml:space="preserve"> </w:t>
      </w:r>
      <w:r w:rsidRPr="004B2C45">
        <w:t>0.4.100.75. (Nuova formulazione). Siracusano, Rosso.</w:t>
      </w:r>
    </w:p>
    <w:p w14:paraId="362A4B2C" w14:textId="77777777" w:rsidR="004B2C45" w:rsidRDefault="004B2C45">
      <w:pPr>
        <w:pStyle w:val="Testonotaapidipagina"/>
      </w:pPr>
    </w:p>
  </w:footnote>
  <w:footnote w:id="63">
    <w:p w14:paraId="4F9A50C0" w14:textId="144B7ABF" w:rsidR="004B2C45" w:rsidRDefault="004B2C45">
      <w:pPr>
        <w:pStyle w:val="Testonotaapidipagina"/>
      </w:pPr>
      <w:r>
        <w:rPr>
          <w:rStyle w:val="Rimandonotaapidipagina"/>
        </w:rPr>
        <w:footnoteRef/>
      </w:r>
      <w:r>
        <w:t xml:space="preserve"> </w:t>
      </w:r>
      <w:r w:rsidRPr="004B2C45">
        <w:t>0.4.100.91. (Nuova formulazione). Maraia.</w:t>
      </w:r>
    </w:p>
  </w:footnote>
  <w:footnote w:id="64">
    <w:p w14:paraId="44154DCB" w14:textId="50E406F5" w:rsidR="00410563" w:rsidRDefault="00410563">
      <w:pPr>
        <w:pStyle w:val="Testonotaapidipagina"/>
      </w:pPr>
      <w:r>
        <w:rPr>
          <w:rStyle w:val="Rimandonotaapidipagina"/>
        </w:rPr>
        <w:footnoteRef/>
      </w:r>
      <w:r>
        <w:t xml:space="preserve"> </w:t>
      </w:r>
      <w:r w:rsidRPr="00410563">
        <w:t>4.100. Le Relatrici.</w:t>
      </w:r>
    </w:p>
  </w:footnote>
  <w:footnote w:id="65">
    <w:p w14:paraId="39C4E314" w14:textId="77777777" w:rsidR="00240A1E" w:rsidRDefault="00240A1E" w:rsidP="00660EE5">
      <w:pPr>
        <w:pStyle w:val="Testonotaapidipagina"/>
      </w:pPr>
    </w:p>
    <w:p w14:paraId="51484A56" w14:textId="77777777" w:rsidR="00240A1E" w:rsidRDefault="00240A1E" w:rsidP="00660EE5">
      <w:pPr>
        <w:pStyle w:val="Testonotaapidipagina"/>
      </w:pPr>
      <w:r>
        <w:rPr>
          <w:rStyle w:val="Rimandonotaapidipagina"/>
        </w:rPr>
        <w:footnoteRef/>
      </w:r>
      <w:r>
        <w:t xml:space="preserve"> </w:t>
      </w:r>
      <w:r w:rsidRPr="00A067DF">
        <w:t xml:space="preserve">4.26. (Nuova formulazione) </w:t>
      </w:r>
      <w:proofErr w:type="spellStart"/>
      <w:r w:rsidRPr="00A067DF">
        <w:t>Furgiuele</w:t>
      </w:r>
      <w:proofErr w:type="spellEnd"/>
      <w:r w:rsidRPr="00A067DF">
        <w:t xml:space="preserve">, </w:t>
      </w:r>
      <w:proofErr w:type="spellStart"/>
      <w:r w:rsidRPr="00A067DF">
        <w:t>Rixi</w:t>
      </w:r>
      <w:proofErr w:type="spellEnd"/>
      <w:r w:rsidRPr="00A067DF">
        <w:t xml:space="preserve">, Maccanti, Capitanio, Donina, Fogliani, Giacometti, Tombolato, Zanella, Zordan, Lucchini, </w:t>
      </w:r>
      <w:proofErr w:type="spellStart"/>
      <w:r w:rsidRPr="00A067DF">
        <w:t>Badole</w:t>
      </w:r>
      <w:proofErr w:type="spellEnd"/>
      <w:r w:rsidRPr="00A067DF">
        <w:t xml:space="preserve">, Benvenuto, D'Eramo, Dara, Eva Lorenzoni, </w:t>
      </w:r>
      <w:proofErr w:type="spellStart"/>
      <w:r w:rsidRPr="00A067DF">
        <w:t>Patassini</w:t>
      </w:r>
      <w:proofErr w:type="spellEnd"/>
      <w:r w:rsidRPr="00A067DF">
        <w:t xml:space="preserve">, Raffaelli, Valbusa, </w:t>
      </w:r>
      <w:proofErr w:type="spellStart"/>
      <w:r w:rsidRPr="00A067DF">
        <w:t>Vallotto</w:t>
      </w:r>
      <w:proofErr w:type="spellEnd"/>
      <w:r w:rsidRPr="00A067DF">
        <w:t>.</w:t>
      </w:r>
    </w:p>
  </w:footnote>
  <w:footnote w:id="66">
    <w:p w14:paraId="5D589770" w14:textId="77777777" w:rsidR="00240A1E" w:rsidRDefault="00240A1E" w:rsidP="00660EE5">
      <w:pPr>
        <w:pStyle w:val="Testonotaapidipagina"/>
      </w:pPr>
    </w:p>
    <w:p w14:paraId="2AB6877E" w14:textId="77777777" w:rsidR="00240A1E" w:rsidRDefault="00240A1E" w:rsidP="00660EE5">
      <w:pPr>
        <w:pStyle w:val="Testonotaapidipagina"/>
      </w:pPr>
      <w:r>
        <w:rPr>
          <w:rStyle w:val="Rimandonotaapidipagina"/>
        </w:rPr>
        <w:footnoteRef/>
      </w:r>
      <w:r>
        <w:t xml:space="preserve"> </w:t>
      </w:r>
      <w:r w:rsidRPr="00A067DF">
        <w:t xml:space="preserve">*4.25. Alessandro Pagano, </w:t>
      </w:r>
      <w:proofErr w:type="spellStart"/>
      <w:r w:rsidRPr="00A067DF">
        <w:t>Furgiuele</w:t>
      </w:r>
      <w:proofErr w:type="spellEnd"/>
      <w:r w:rsidRPr="00A067DF">
        <w:t xml:space="preserve">, </w:t>
      </w:r>
      <w:proofErr w:type="spellStart"/>
      <w:r w:rsidRPr="00A067DF">
        <w:t>Rixi</w:t>
      </w:r>
      <w:proofErr w:type="spellEnd"/>
      <w:r w:rsidRPr="00A067DF">
        <w:t xml:space="preserve">, Maccanti, Capitanio, Donina, Fogliani, Giacometti, Tombolato, Zanella, Zordan, Lucchini, </w:t>
      </w:r>
      <w:proofErr w:type="spellStart"/>
      <w:r w:rsidRPr="00A067DF">
        <w:t>Badole</w:t>
      </w:r>
      <w:proofErr w:type="spellEnd"/>
      <w:r w:rsidRPr="00A067DF">
        <w:t xml:space="preserve">, Benvenuto, D'Eramo, Dara, Eva Lorenzoni, </w:t>
      </w:r>
      <w:proofErr w:type="spellStart"/>
      <w:r w:rsidRPr="00A067DF">
        <w:t>Patassini</w:t>
      </w:r>
      <w:proofErr w:type="spellEnd"/>
      <w:r w:rsidRPr="00A067DF">
        <w:t xml:space="preserve">, Raffaelli, Valbusa, </w:t>
      </w:r>
      <w:proofErr w:type="spellStart"/>
      <w:r w:rsidRPr="00A067DF">
        <w:t>Vallotto</w:t>
      </w:r>
      <w:proofErr w:type="spellEnd"/>
      <w:r w:rsidRPr="00A067DF">
        <w:t>; *4.40. Traversi; *4.55. (Nuova formulazione) Ficara, Scerra.</w:t>
      </w:r>
    </w:p>
  </w:footnote>
  <w:footnote w:id="67">
    <w:p w14:paraId="3778C484" w14:textId="77777777" w:rsidR="00240A1E" w:rsidRDefault="00240A1E" w:rsidP="00660EE5">
      <w:pPr>
        <w:pStyle w:val="Testonotaapidipagina"/>
      </w:pPr>
      <w:r>
        <w:rPr>
          <w:rStyle w:val="Rimandonotaapidipagina"/>
        </w:rPr>
        <w:footnoteRef/>
      </w:r>
      <w:r>
        <w:t xml:space="preserve"> </w:t>
      </w:r>
      <w:r w:rsidRPr="00A067DF">
        <w:t xml:space="preserve">*4.54. (Nuova formulazione) De </w:t>
      </w:r>
      <w:proofErr w:type="spellStart"/>
      <w:r w:rsidRPr="00A067DF">
        <w:t>Lorenzis</w:t>
      </w:r>
      <w:proofErr w:type="spellEnd"/>
      <w:r w:rsidRPr="00A067DF">
        <w:t>; *4.52. (Nuova formulazione) Luciano Cantone.</w:t>
      </w:r>
    </w:p>
  </w:footnote>
  <w:footnote w:id="68">
    <w:p w14:paraId="2F17CA54" w14:textId="77777777" w:rsidR="00240A1E" w:rsidRDefault="00240A1E" w:rsidP="00660EE5">
      <w:pPr>
        <w:pStyle w:val="Testonotaapidipagina"/>
      </w:pPr>
    </w:p>
    <w:p w14:paraId="3EB9D235" w14:textId="77777777" w:rsidR="00240A1E" w:rsidRDefault="00240A1E" w:rsidP="00660EE5">
      <w:pPr>
        <w:pStyle w:val="Testonotaapidipagina"/>
      </w:pPr>
      <w:r>
        <w:rPr>
          <w:rStyle w:val="Rimandonotaapidipagina"/>
        </w:rPr>
        <w:footnoteRef/>
      </w:r>
      <w:r>
        <w:t xml:space="preserve">  </w:t>
      </w:r>
      <w:r w:rsidRPr="00A067DF">
        <w:t>4.56. (Nuova formulazione) De Micheli, Gariglio, Morassut, Cantini, Andrea Romano, Bruno Bossio, Del Basso De Caro, Pizzetti.</w:t>
      </w:r>
    </w:p>
  </w:footnote>
  <w:footnote w:id="69">
    <w:p w14:paraId="79C1FEFC" w14:textId="12A4B7BE" w:rsidR="00240A1E" w:rsidRDefault="00240A1E" w:rsidP="00660EE5">
      <w:pPr>
        <w:pStyle w:val="Testonotaapidipagina"/>
      </w:pPr>
      <w:r>
        <w:rPr>
          <w:rStyle w:val="Rimandonotaapidipagina"/>
        </w:rPr>
        <w:footnoteRef/>
      </w:r>
      <w:r>
        <w:t xml:space="preserve"> </w:t>
      </w:r>
      <w:r w:rsidRPr="00A067DF">
        <w:t>4.38. (Nuova formulazione) Bruno Bossio, Del Basso De Caro, Braga.</w:t>
      </w:r>
    </w:p>
    <w:p w14:paraId="5429B822" w14:textId="77777777" w:rsidR="0038105E" w:rsidRDefault="0038105E" w:rsidP="00660EE5">
      <w:pPr>
        <w:pStyle w:val="Testonotaapidipagina"/>
      </w:pPr>
    </w:p>
  </w:footnote>
  <w:footnote w:id="70">
    <w:p w14:paraId="18AB3047" w14:textId="7DF8726C" w:rsidR="0038105E" w:rsidRDefault="0038105E" w:rsidP="0038105E">
      <w:pPr>
        <w:pStyle w:val="Testonotaapidipagina"/>
        <w:jc w:val="both"/>
      </w:pPr>
      <w:r>
        <w:rPr>
          <w:rStyle w:val="Rimandonotaapidipagina"/>
        </w:rPr>
        <w:footnoteRef/>
      </w:r>
      <w:r>
        <w:t xml:space="preserve"> *4.6. (Nuova formulazione) Nobili, </w:t>
      </w:r>
      <w:proofErr w:type="spellStart"/>
      <w:r>
        <w:t>Fregolent</w:t>
      </w:r>
      <w:proofErr w:type="spellEnd"/>
      <w:r>
        <w:t xml:space="preserve">; *4.10. (Nuova formulazione) Timbro; *4.16. (Nuova formulazione) De Girolamo; *4.28. (Nuova formulazione) Giacometti, </w:t>
      </w:r>
      <w:proofErr w:type="spellStart"/>
      <w:r>
        <w:t>Rixi</w:t>
      </w:r>
      <w:proofErr w:type="spellEnd"/>
      <w:r>
        <w:t xml:space="preserve">, Maccanti, Capitanio, Donina, Fogliani, </w:t>
      </w:r>
      <w:proofErr w:type="spellStart"/>
      <w:r>
        <w:t>Furgiuele</w:t>
      </w:r>
      <w:proofErr w:type="spellEnd"/>
      <w:r>
        <w:t xml:space="preserve">, Tombolato, Zanella, Zordan, Lucchini, </w:t>
      </w:r>
      <w:proofErr w:type="spellStart"/>
      <w:r>
        <w:t>Badole</w:t>
      </w:r>
      <w:proofErr w:type="spellEnd"/>
      <w:r>
        <w:t xml:space="preserve">, Benvenuto, D'Eramo, Dara, Eva Lorenzoni, </w:t>
      </w:r>
      <w:proofErr w:type="spellStart"/>
      <w:r>
        <w:t>Patassini</w:t>
      </w:r>
      <w:proofErr w:type="spellEnd"/>
      <w:r>
        <w:t xml:space="preserve">, Raffaelli, Valbusa, </w:t>
      </w:r>
      <w:proofErr w:type="spellStart"/>
      <w:r>
        <w:t>Vallotto</w:t>
      </w:r>
      <w:proofErr w:type="spellEnd"/>
      <w:r>
        <w:t>; *4.31. (Nuova formulazione) Mazzetti, Sozzani; *4.35. (Nuova formulazione) Gagliardi, Ruffino; *4.46. (Nuova formulazione) Barbuto; *4.65. (Nuova formulazione) Gariglio, Del Basso De Caro, Morassut, Bruno Bossio, Cantini, Pizzetti, Andrea Romano.</w:t>
      </w:r>
    </w:p>
    <w:p w14:paraId="6A432B84" w14:textId="77777777" w:rsidR="0038105E" w:rsidRDefault="0038105E" w:rsidP="0038105E">
      <w:pPr>
        <w:pStyle w:val="Testonotaapidipagina"/>
      </w:pPr>
    </w:p>
  </w:footnote>
  <w:footnote w:id="71">
    <w:p w14:paraId="77C70A75" w14:textId="77777777" w:rsidR="0038105E" w:rsidRDefault="0038105E" w:rsidP="0038105E">
      <w:pPr>
        <w:pStyle w:val="Testonotaapidipagina"/>
        <w:jc w:val="both"/>
      </w:pPr>
      <w:r>
        <w:rPr>
          <w:rStyle w:val="Rimandonotaapidipagina"/>
        </w:rPr>
        <w:footnoteRef/>
      </w:r>
      <w:r>
        <w:t xml:space="preserve">  *4.6. (Nuova formulazione) Nobili, </w:t>
      </w:r>
      <w:proofErr w:type="spellStart"/>
      <w:r>
        <w:t>Fregolent</w:t>
      </w:r>
      <w:proofErr w:type="spellEnd"/>
      <w:r>
        <w:t xml:space="preserve">; *4.10. (Nuova formulazione) Timbro; *4.16. (Nuova formulazione) De Girolamo; *4.28. (Nuova formulazione) Giacometti, </w:t>
      </w:r>
      <w:proofErr w:type="spellStart"/>
      <w:r>
        <w:t>Rixi</w:t>
      </w:r>
      <w:proofErr w:type="spellEnd"/>
      <w:r>
        <w:t xml:space="preserve">, Maccanti, Capitanio, Donina, Fogliani, </w:t>
      </w:r>
      <w:proofErr w:type="spellStart"/>
      <w:r>
        <w:t>Furgiuele</w:t>
      </w:r>
      <w:proofErr w:type="spellEnd"/>
      <w:r>
        <w:t xml:space="preserve">, Tombolato, Zanella, Zordan, Lucchini, </w:t>
      </w:r>
      <w:proofErr w:type="spellStart"/>
      <w:r>
        <w:t>Badole</w:t>
      </w:r>
      <w:proofErr w:type="spellEnd"/>
      <w:r>
        <w:t xml:space="preserve">, Benvenuto, D'Eramo, Dara, Eva Lorenzoni, </w:t>
      </w:r>
      <w:proofErr w:type="spellStart"/>
      <w:r>
        <w:t>Patassini</w:t>
      </w:r>
      <w:proofErr w:type="spellEnd"/>
      <w:r>
        <w:t xml:space="preserve">, Raffaelli, Valbusa, </w:t>
      </w:r>
      <w:proofErr w:type="spellStart"/>
      <w:r>
        <w:t>Vallotto</w:t>
      </w:r>
      <w:proofErr w:type="spellEnd"/>
      <w:r>
        <w:t>; *4.31. (Nuova formulazione) Mazzetti, Sozzani; *4.35. (Nuova formulazione) Gagliardi, Ruffino; *4.46. (Nuova formulazione) Barbuto; *4.65. (Nuova formulazione) Gariglio, Del Basso De Caro, Morassut, Bruno Bossio, Cantini, Pizzetti, Andrea Romano.</w:t>
      </w:r>
    </w:p>
    <w:p w14:paraId="2B6055D9" w14:textId="77777777" w:rsidR="0038105E" w:rsidRDefault="0038105E">
      <w:pPr>
        <w:pStyle w:val="Testonotaapidipagina"/>
      </w:pPr>
    </w:p>
  </w:footnote>
  <w:footnote w:id="72">
    <w:p w14:paraId="629B57DB" w14:textId="047332F2" w:rsidR="0038105E" w:rsidRDefault="0038105E" w:rsidP="0038105E">
      <w:pPr>
        <w:pStyle w:val="Testonotaapidipagina"/>
      </w:pPr>
      <w:r>
        <w:rPr>
          <w:rStyle w:val="Rimandonotaapidipagina"/>
        </w:rPr>
        <w:footnoteRef/>
      </w:r>
      <w:r>
        <w:t xml:space="preserve"> 4.8. (Nuova formulazione) Nobili, </w:t>
      </w:r>
      <w:proofErr w:type="spellStart"/>
      <w:r>
        <w:t>Fregolent</w:t>
      </w:r>
      <w:proofErr w:type="spellEnd"/>
      <w:r>
        <w:t xml:space="preserve">, </w:t>
      </w:r>
      <w:proofErr w:type="spellStart"/>
      <w:r>
        <w:t>Rixi</w:t>
      </w:r>
      <w:proofErr w:type="spellEnd"/>
      <w:r>
        <w:t>.</w:t>
      </w:r>
    </w:p>
    <w:p w14:paraId="548EC6F3" w14:textId="77777777" w:rsidR="0038105E" w:rsidRDefault="0038105E" w:rsidP="0038105E">
      <w:pPr>
        <w:pStyle w:val="Testonotaapidipagina"/>
      </w:pPr>
    </w:p>
  </w:footnote>
  <w:footnote w:id="73">
    <w:p w14:paraId="12771DF6" w14:textId="587F6454" w:rsidR="0038105E" w:rsidRDefault="0038105E">
      <w:pPr>
        <w:pStyle w:val="Testonotaapidipagina"/>
      </w:pPr>
      <w:r>
        <w:rPr>
          <w:rStyle w:val="Rimandonotaapidipagina"/>
        </w:rPr>
        <w:footnoteRef/>
      </w:r>
      <w:r>
        <w:t xml:space="preserve"> </w:t>
      </w:r>
      <w:r w:rsidRPr="0038105E">
        <w:t>4.9. (Nuova formulazione) Serracchiani, Gariglio.</w:t>
      </w:r>
    </w:p>
    <w:p w14:paraId="2A38C2EF" w14:textId="77777777" w:rsidR="0038105E" w:rsidRDefault="0038105E">
      <w:pPr>
        <w:pStyle w:val="Testonotaapidipagina"/>
      </w:pPr>
    </w:p>
  </w:footnote>
  <w:footnote w:id="74">
    <w:p w14:paraId="29BE2FD3" w14:textId="739E85A6" w:rsidR="0038105E" w:rsidRDefault="0038105E" w:rsidP="0038105E">
      <w:pPr>
        <w:pStyle w:val="Testonotaapidipagina"/>
      </w:pPr>
      <w:r>
        <w:rPr>
          <w:rStyle w:val="Rimandonotaapidipagina"/>
        </w:rPr>
        <w:footnoteRef/>
      </w:r>
      <w:r>
        <w:t xml:space="preserve"> 4.5. (Nuova formulazione) Deiana, Buratti, Ficara.</w:t>
      </w:r>
    </w:p>
    <w:p w14:paraId="237A18C8" w14:textId="77777777" w:rsidR="0038105E" w:rsidRDefault="0038105E" w:rsidP="0038105E">
      <w:pPr>
        <w:pStyle w:val="Testonotaapidipagina"/>
      </w:pPr>
    </w:p>
  </w:footnote>
  <w:footnote w:id="75">
    <w:p w14:paraId="2260118B" w14:textId="77777777" w:rsidR="00240A1E" w:rsidRDefault="00240A1E" w:rsidP="0038105E">
      <w:pPr>
        <w:pStyle w:val="Testonotaapidipagina"/>
        <w:jc w:val="both"/>
      </w:pPr>
      <w:r>
        <w:rPr>
          <w:rStyle w:val="Rimandonotaapidipagina"/>
        </w:rPr>
        <w:footnoteRef/>
      </w:r>
      <w:r>
        <w:t xml:space="preserve"> </w:t>
      </w:r>
      <w:r w:rsidRPr="00872A7A">
        <w:t xml:space="preserve">4.04. (Nuova formulazione) Fogliani, </w:t>
      </w:r>
      <w:proofErr w:type="spellStart"/>
      <w:r w:rsidRPr="00872A7A">
        <w:t>Rixi</w:t>
      </w:r>
      <w:proofErr w:type="spellEnd"/>
      <w:r w:rsidRPr="00872A7A">
        <w:t xml:space="preserve">, Maccanti, Capitanio, Donina, </w:t>
      </w:r>
      <w:proofErr w:type="spellStart"/>
      <w:r w:rsidRPr="00872A7A">
        <w:t>Furgiuele</w:t>
      </w:r>
      <w:proofErr w:type="spellEnd"/>
      <w:r w:rsidRPr="00872A7A">
        <w:t xml:space="preserve">, Giacometti, Tombolato, Zanella, Zordan, Lucchini, </w:t>
      </w:r>
      <w:proofErr w:type="spellStart"/>
      <w:r w:rsidRPr="00872A7A">
        <w:t>Badole</w:t>
      </w:r>
      <w:proofErr w:type="spellEnd"/>
      <w:r w:rsidRPr="00872A7A">
        <w:t xml:space="preserve">, Benvenuto, D'Eramo, Dara, Eva Lorenzoni, </w:t>
      </w:r>
      <w:proofErr w:type="spellStart"/>
      <w:r w:rsidRPr="00872A7A">
        <w:t>Patassini</w:t>
      </w:r>
      <w:proofErr w:type="spellEnd"/>
      <w:r w:rsidRPr="00872A7A">
        <w:t xml:space="preserve">, Raffaelli, Valbusa, </w:t>
      </w:r>
      <w:proofErr w:type="spellStart"/>
      <w:r w:rsidRPr="00872A7A">
        <w:t>Vallotto</w:t>
      </w:r>
      <w:proofErr w:type="spellEnd"/>
      <w:r w:rsidRPr="00872A7A">
        <w:t>.</w:t>
      </w:r>
    </w:p>
  </w:footnote>
  <w:footnote w:id="76">
    <w:p w14:paraId="6A9D4E0C" w14:textId="49F59E9B" w:rsidR="00107EE3" w:rsidRDefault="00107EE3" w:rsidP="00107EE3">
      <w:pPr>
        <w:pStyle w:val="Testonotaapidipagina"/>
      </w:pPr>
      <w:r>
        <w:rPr>
          <w:rStyle w:val="Rimandonotaapidipagina"/>
        </w:rPr>
        <w:footnoteRef/>
      </w:r>
      <w:r>
        <w:t xml:space="preserve"> 5.20. Le Relatrici.</w:t>
      </w:r>
    </w:p>
  </w:footnote>
  <w:footnote w:id="77">
    <w:p w14:paraId="0FB8767B" w14:textId="63D7AEC7" w:rsidR="00602F70" w:rsidRDefault="00602F70" w:rsidP="00602F70">
      <w:pPr>
        <w:pStyle w:val="Testonotaapidipagina"/>
        <w:jc w:val="both"/>
      </w:pPr>
      <w:r>
        <w:rPr>
          <w:rStyle w:val="Rimandonotaapidipagina"/>
        </w:rPr>
        <w:footnoteRef/>
      </w:r>
      <w:r>
        <w:t xml:space="preserve"> </w:t>
      </w:r>
      <w:r w:rsidRPr="00602F70">
        <w:t xml:space="preserve">*6.4. (Nuova formulazione) Zanella, </w:t>
      </w:r>
      <w:proofErr w:type="spellStart"/>
      <w:r w:rsidRPr="00602F70">
        <w:t>Rixi</w:t>
      </w:r>
      <w:proofErr w:type="spellEnd"/>
      <w:r w:rsidRPr="00602F70">
        <w:t xml:space="preserve">, Maccanti, Capitanio, Donina, Fogliani, </w:t>
      </w:r>
      <w:proofErr w:type="spellStart"/>
      <w:r w:rsidRPr="00602F70">
        <w:t>Furgiuele</w:t>
      </w:r>
      <w:proofErr w:type="spellEnd"/>
      <w:r w:rsidRPr="00602F70">
        <w:t xml:space="preserve">, Giacometti, Tombolato, Zordan, Lucchini, </w:t>
      </w:r>
      <w:proofErr w:type="spellStart"/>
      <w:r w:rsidRPr="00602F70">
        <w:t>Badole</w:t>
      </w:r>
      <w:proofErr w:type="spellEnd"/>
      <w:r w:rsidRPr="00602F70">
        <w:t xml:space="preserve">, Benvenuto, D'Eramo, Dara, Eva Lorenzoni, </w:t>
      </w:r>
      <w:proofErr w:type="spellStart"/>
      <w:r w:rsidRPr="00602F70">
        <w:t>Patassini</w:t>
      </w:r>
      <w:proofErr w:type="spellEnd"/>
      <w:r w:rsidRPr="00602F70">
        <w:t xml:space="preserve">, Raffaelli, Valbusa, </w:t>
      </w:r>
      <w:proofErr w:type="spellStart"/>
      <w:r w:rsidRPr="00602F70">
        <w:t>Vallotto</w:t>
      </w:r>
      <w:proofErr w:type="spellEnd"/>
      <w:r w:rsidRPr="00602F70">
        <w:t xml:space="preserve">; *6.6. (Nuova formulazione) </w:t>
      </w:r>
      <w:proofErr w:type="spellStart"/>
      <w:r w:rsidRPr="00602F70">
        <w:t>Serritella</w:t>
      </w:r>
      <w:proofErr w:type="spellEnd"/>
      <w:r w:rsidRPr="00602F70">
        <w:t xml:space="preserve">, </w:t>
      </w:r>
      <w:proofErr w:type="spellStart"/>
      <w:r w:rsidRPr="00602F70">
        <w:t>Scagliusi</w:t>
      </w:r>
      <w:proofErr w:type="spellEnd"/>
      <w:r w:rsidRPr="00602F70">
        <w:t>; *6.8. (Nuova formulazione) Gariglio, Morassut, Andrea Romano, Pizzetti, Cantini, Del Basso De Caro, Bruno Bossio; *6.5. (Nuova formulazione) Sozzani.</w:t>
      </w:r>
    </w:p>
  </w:footnote>
  <w:footnote w:id="78">
    <w:p w14:paraId="0414DE88" w14:textId="3B8033DB" w:rsidR="00602F70" w:rsidRDefault="00602F70">
      <w:pPr>
        <w:pStyle w:val="Testonotaapidipagina"/>
      </w:pPr>
      <w:r>
        <w:rPr>
          <w:rStyle w:val="Rimandonotaapidipagina"/>
        </w:rPr>
        <w:footnoteRef/>
      </w:r>
      <w:r>
        <w:t xml:space="preserve"> </w:t>
      </w:r>
      <w:r w:rsidRPr="00602F70">
        <w:t>6.9. Le Relatrici.</w:t>
      </w:r>
    </w:p>
  </w:footnote>
  <w:footnote w:id="79">
    <w:p w14:paraId="45029424" w14:textId="1B74D945" w:rsidR="00107EE3" w:rsidRDefault="00107EE3" w:rsidP="00107EE3">
      <w:pPr>
        <w:pStyle w:val="Testonotaapidipagina"/>
        <w:jc w:val="both"/>
      </w:pPr>
      <w:r>
        <w:rPr>
          <w:rStyle w:val="Rimandonotaapidipagina"/>
        </w:rPr>
        <w:footnoteRef/>
      </w:r>
      <w:r>
        <w:t xml:space="preserve"> </w:t>
      </w:r>
      <w:r w:rsidRPr="00107EE3">
        <w:t xml:space="preserve">*6.4. (Nuova formulazione) Zanella, </w:t>
      </w:r>
      <w:proofErr w:type="spellStart"/>
      <w:r w:rsidRPr="00107EE3">
        <w:t>Rixi</w:t>
      </w:r>
      <w:proofErr w:type="spellEnd"/>
      <w:r w:rsidRPr="00107EE3">
        <w:t xml:space="preserve">, Maccanti, Capitanio, Donina, Fogliani, </w:t>
      </w:r>
      <w:proofErr w:type="spellStart"/>
      <w:r w:rsidRPr="00107EE3">
        <w:t>Furgiuele</w:t>
      </w:r>
      <w:proofErr w:type="spellEnd"/>
      <w:r w:rsidRPr="00107EE3">
        <w:t xml:space="preserve">, Giacometti, Tombolato, Zordan, Lucchini, </w:t>
      </w:r>
      <w:proofErr w:type="spellStart"/>
      <w:r w:rsidRPr="00107EE3">
        <w:t>Badole</w:t>
      </w:r>
      <w:proofErr w:type="spellEnd"/>
      <w:r w:rsidRPr="00107EE3">
        <w:t xml:space="preserve">, Benvenuto, D'Eramo, Dara, Eva Lorenzoni, </w:t>
      </w:r>
      <w:proofErr w:type="spellStart"/>
      <w:r w:rsidRPr="00107EE3">
        <w:t>Patassini</w:t>
      </w:r>
      <w:proofErr w:type="spellEnd"/>
      <w:r w:rsidRPr="00107EE3">
        <w:t xml:space="preserve">, Raffaelli, Valbusa, </w:t>
      </w:r>
      <w:proofErr w:type="spellStart"/>
      <w:r w:rsidRPr="00107EE3">
        <w:t>Vallotto</w:t>
      </w:r>
      <w:proofErr w:type="spellEnd"/>
      <w:r w:rsidRPr="00107EE3">
        <w:t xml:space="preserve">; *6.6. (Nuova formulazione) </w:t>
      </w:r>
      <w:proofErr w:type="spellStart"/>
      <w:r w:rsidRPr="00107EE3">
        <w:t>Serritella</w:t>
      </w:r>
      <w:proofErr w:type="spellEnd"/>
      <w:r w:rsidRPr="00107EE3">
        <w:t xml:space="preserve">, </w:t>
      </w:r>
      <w:proofErr w:type="spellStart"/>
      <w:r w:rsidRPr="00107EE3">
        <w:t>Scagliusi</w:t>
      </w:r>
      <w:proofErr w:type="spellEnd"/>
      <w:r w:rsidRPr="00107EE3">
        <w:t>; *6.8. (Nuova formulazione) Gariglio, Morassut, Andrea Romano, Pizzetti, Cantini, Del Basso De Caro, Bruno Bossio; *6.5. (Nuova formulazione) Sozzani.</w:t>
      </w:r>
    </w:p>
  </w:footnote>
  <w:footnote w:id="80">
    <w:p w14:paraId="4808671D" w14:textId="1F1A14FD" w:rsidR="00602F70" w:rsidRDefault="00602F70">
      <w:pPr>
        <w:pStyle w:val="Testonotaapidipagina"/>
      </w:pPr>
      <w:r>
        <w:rPr>
          <w:rStyle w:val="Rimandonotaapidipagina"/>
        </w:rPr>
        <w:footnoteRef/>
      </w:r>
      <w:r>
        <w:t xml:space="preserve"> </w:t>
      </w:r>
      <w:r w:rsidRPr="00602F70">
        <w:t xml:space="preserve">7.10. (Nuova formulazione) </w:t>
      </w:r>
      <w:proofErr w:type="spellStart"/>
      <w:r w:rsidRPr="00602F70">
        <w:t>Silvestroni</w:t>
      </w:r>
      <w:proofErr w:type="spellEnd"/>
      <w:r w:rsidRPr="00602F70">
        <w:t>.</w:t>
      </w:r>
    </w:p>
    <w:p w14:paraId="46A3E55B" w14:textId="77777777" w:rsidR="00602F70" w:rsidRDefault="00602F70">
      <w:pPr>
        <w:pStyle w:val="Testonotaapidipagina"/>
      </w:pPr>
    </w:p>
  </w:footnote>
  <w:footnote w:id="81">
    <w:p w14:paraId="71179CED" w14:textId="065B6873" w:rsidR="00602F70" w:rsidRDefault="00602F70">
      <w:pPr>
        <w:pStyle w:val="Testonotaapidipagina"/>
      </w:pPr>
      <w:r>
        <w:rPr>
          <w:rStyle w:val="Rimandonotaapidipagina"/>
        </w:rPr>
        <w:footnoteRef/>
      </w:r>
      <w:r>
        <w:t xml:space="preserve"> </w:t>
      </w:r>
      <w:r w:rsidRPr="00602F70">
        <w:t>7.06. Le Relatrici.</w:t>
      </w:r>
    </w:p>
  </w:footnote>
  <w:footnote w:id="82">
    <w:p w14:paraId="5A8DCF0C" w14:textId="77777777" w:rsidR="00240A1E" w:rsidRDefault="00240A1E" w:rsidP="00660EE5">
      <w:pPr>
        <w:pStyle w:val="Testonotaapidipagina"/>
      </w:pPr>
      <w:r>
        <w:rPr>
          <w:rStyle w:val="Rimandonotaapidipagina"/>
        </w:rPr>
        <w:footnoteRef/>
      </w:r>
      <w:r>
        <w:t xml:space="preserve"> </w:t>
      </w:r>
      <w:r w:rsidRPr="00872A7A">
        <w:t xml:space="preserve">8.11. (Nuova formulazione) Luciano Cantone, </w:t>
      </w:r>
      <w:proofErr w:type="spellStart"/>
      <w:r w:rsidRPr="00872A7A">
        <w:t>Sut</w:t>
      </w:r>
      <w:proofErr w:type="spellEnd"/>
      <w:r w:rsidRPr="00872A7A">
        <w:t xml:space="preserve">, </w:t>
      </w:r>
      <w:proofErr w:type="spellStart"/>
      <w:r w:rsidRPr="00872A7A">
        <w:t>Chiazzese</w:t>
      </w:r>
      <w:proofErr w:type="spellEnd"/>
      <w:r w:rsidRPr="00872A7A">
        <w:t>, Scerra.</w:t>
      </w:r>
    </w:p>
  </w:footnote>
  <w:footnote w:id="83">
    <w:p w14:paraId="0D4CD920" w14:textId="77777777" w:rsidR="00240A1E" w:rsidRDefault="00240A1E" w:rsidP="00660EE5">
      <w:pPr>
        <w:pStyle w:val="Testonotaapidipagina"/>
      </w:pPr>
      <w:r>
        <w:rPr>
          <w:rStyle w:val="Rimandonotaapidipagina"/>
        </w:rPr>
        <w:footnoteRef/>
      </w:r>
      <w:r>
        <w:t xml:space="preserve"> </w:t>
      </w:r>
      <w:r w:rsidRPr="00872A7A">
        <w:t xml:space="preserve">*8.1. (Nuova formulazione) </w:t>
      </w:r>
      <w:proofErr w:type="spellStart"/>
      <w:r w:rsidRPr="00872A7A">
        <w:t>Fragomeli</w:t>
      </w:r>
      <w:proofErr w:type="spellEnd"/>
      <w:r w:rsidRPr="00872A7A">
        <w:t xml:space="preserve">; *8.15. (Nuova formulazione) </w:t>
      </w:r>
      <w:proofErr w:type="spellStart"/>
      <w:r w:rsidRPr="00872A7A">
        <w:t>Chiazzese</w:t>
      </w:r>
      <w:proofErr w:type="spellEnd"/>
      <w:r w:rsidRPr="00872A7A">
        <w:t xml:space="preserve">, </w:t>
      </w:r>
      <w:proofErr w:type="spellStart"/>
      <w:r w:rsidRPr="00872A7A">
        <w:t>Sut</w:t>
      </w:r>
      <w:proofErr w:type="spellEnd"/>
      <w:r w:rsidRPr="00872A7A">
        <w:t>.</w:t>
      </w:r>
    </w:p>
  </w:footnote>
  <w:footnote w:id="84">
    <w:p w14:paraId="39B04C27" w14:textId="3CD57B45" w:rsidR="00240A1E" w:rsidRDefault="00240A1E">
      <w:pPr>
        <w:pStyle w:val="Testonotaapidipagina"/>
      </w:pPr>
      <w:r>
        <w:rPr>
          <w:rStyle w:val="Rimandonotaapidipagina"/>
        </w:rPr>
        <w:footnoteRef/>
      </w:r>
      <w:r>
        <w:t xml:space="preserve"> </w:t>
      </w:r>
      <w:r w:rsidRPr="00A128D4">
        <w:t xml:space="preserve">*1.019. (Nuova formulazione) Maccanti; *8.03. (Nuova formulazione) </w:t>
      </w:r>
      <w:proofErr w:type="spellStart"/>
      <w:r w:rsidRPr="00A128D4">
        <w:t>Silvestroni</w:t>
      </w:r>
      <w:proofErr w:type="spellEnd"/>
      <w:r w:rsidRPr="00A128D4">
        <w:t xml:space="preserve">; *8.04. (Nuova formulazione) Bruno Bossio; *8.05. (Nuova formulazione) Novelli; *8.013. (Nuova formulazione) </w:t>
      </w:r>
      <w:proofErr w:type="spellStart"/>
      <w:r w:rsidRPr="00A128D4">
        <w:t>Fregolent</w:t>
      </w:r>
      <w:proofErr w:type="spellEnd"/>
      <w:r w:rsidRPr="00A128D4">
        <w:t>.</w:t>
      </w:r>
    </w:p>
  </w:footnote>
  <w:footnote w:id="85">
    <w:p w14:paraId="58326B54" w14:textId="77777777" w:rsidR="00240A1E" w:rsidRDefault="00240A1E" w:rsidP="00660EE5">
      <w:pPr>
        <w:pStyle w:val="Testonotaapidipagina"/>
      </w:pPr>
      <w:r>
        <w:rPr>
          <w:rStyle w:val="Rimandonotaapidipagina"/>
        </w:rPr>
        <w:footnoteRef/>
      </w:r>
      <w:r>
        <w:t xml:space="preserve"> </w:t>
      </w:r>
      <w:r w:rsidRPr="00872A7A">
        <w:t>10.10. (Nuova formulazione) Paolo Russo, Pentangelo, Cortelazzo, Rosso, Mazzetti.</w:t>
      </w:r>
    </w:p>
  </w:footnote>
  <w:footnote w:id="86">
    <w:p w14:paraId="214C5307" w14:textId="77777777" w:rsidR="00240A1E" w:rsidRDefault="00240A1E" w:rsidP="00660EE5">
      <w:pPr>
        <w:pStyle w:val="Testonotaapidipagina"/>
      </w:pPr>
      <w:r>
        <w:rPr>
          <w:rStyle w:val="Rimandonotaapidipagina"/>
        </w:rPr>
        <w:footnoteRef/>
      </w:r>
      <w:r>
        <w:t xml:space="preserve"> </w:t>
      </w:r>
      <w:r w:rsidRPr="00872A7A">
        <w:t xml:space="preserve">*10.16. (Nuova formulazione) Gariglio, Andrea Romano, Pizzetti, Cantini, Del Basso De Caro, Bruno Bossio, Morassut; *10.17. (Nuova formulazione) Nobili, </w:t>
      </w:r>
      <w:proofErr w:type="spellStart"/>
      <w:r w:rsidRPr="00872A7A">
        <w:t>Fregolent</w:t>
      </w:r>
      <w:proofErr w:type="spellEnd"/>
      <w:r w:rsidRPr="00872A7A">
        <w:t>.</w:t>
      </w:r>
    </w:p>
  </w:footnote>
  <w:footnote w:id="87">
    <w:p w14:paraId="729BC9FF" w14:textId="56361975" w:rsidR="00602F70" w:rsidRDefault="00602F70">
      <w:pPr>
        <w:pStyle w:val="Testonotaapidipagina"/>
      </w:pPr>
      <w:r>
        <w:rPr>
          <w:rStyle w:val="Rimandonotaapidipagina"/>
        </w:rPr>
        <w:footnoteRef/>
      </w:r>
      <w:r>
        <w:t xml:space="preserve"> </w:t>
      </w:r>
      <w:r w:rsidRPr="00602F70">
        <w:t>10.8. (Nuova formulazione) Giacomoni, Cortelazzo, Pentangelo, Siracusano, Mazzetti.</w:t>
      </w:r>
    </w:p>
    <w:p w14:paraId="747B6FFF" w14:textId="77777777" w:rsidR="00602F70" w:rsidRDefault="00602F70">
      <w:pPr>
        <w:pStyle w:val="Testonotaapidipagina"/>
      </w:pPr>
    </w:p>
  </w:footnote>
  <w:footnote w:id="88">
    <w:p w14:paraId="1F47E3F7" w14:textId="6EB419DD" w:rsidR="00602F70" w:rsidRDefault="00602F70">
      <w:pPr>
        <w:pStyle w:val="Testonotaapidipagina"/>
      </w:pPr>
      <w:r>
        <w:rPr>
          <w:rStyle w:val="Rimandonotaapidipagina"/>
        </w:rPr>
        <w:footnoteRef/>
      </w:r>
      <w:r>
        <w:t xml:space="preserve">  </w:t>
      </w:r>
      <w:r w:rsidRPr="00602F70">
        <w:t>10.4. Buratti.</w:t>
      </w:r>
    </w:p>
  </w:footnote>
  <w:footnote w:id="89">
    <w:p w14:paraId="081A0166" w14:textId="77777777" w:rsidR="00240A1E" w:rsidRDefault="00240A1E" w:rsidP="00660EE5">
      <w:pPr>
        <w:pStyle w:val="Testonotaapidipagina"/>
      </w:pPr>
      <w:r>
        <w:rPr>
          <w:rStyle w:val="Rimandonotaapidipagina"/>
        </w:rPr>
        <w:footnoteRef/>
      </w:r>
      <w:r>
        <w:t xml:space="preserve"> </w:t>
      </w:r>
      <w:r w:rsidRPr="00872A7A">
        <w:t xml:space="preserve">*12.1. (Nuova formulazione) Timbro; *12.4. (Nuova formulazione) Pezzopane, Braga, Buratti, </w:t>
      </w:r>
      <w:proofErr w:type="spellStart"/>
      <w:r w:rsidRPr="00872A7A">
        <w:t>Morgoni</w:t>
      </w:r>
      <w:proofErr w:type="spellEnd"/>
      <w:r w:rsidRPr="00872A7A">
        <w:t xml:space="preserve">, Morassut, Pellicani; *12.5. (Nuova formulazione) D'Eramo, Lucchini, </w:t>
      </w:r>
      <w:proofErr w:type="spellStart"/>
      <w:r w:rsidRPr="00872A7A">
        <w:t>Patassini</w:t>
      </w:r>
      <w:proofErr w:type="spellEnd"/>
      <w:r w:rsidRPr="00872A7A">
        <w:t xml:space="preserve">, </w:t>
      </w:r>
      <w:proofErr w:type="spellStart"/>
      <w:r w:rsidRPr="00872A7A">
        <w:t>Badole</w:t>
      </w:r>
      <w:proofErr w:type="spellEnd"/>
      <w:r w:rsidRPr="00872A7A">
        <w:t xml:space="preserve">, Benvenuto, Dara, Eva Lorenzoni, Raffaelli, Valbusa, </w:t>
      </w:r>
      <w:proofErr w:type="spellStart"/>
      <w:r w:rsidRPr="00872A7A">
        <w:t>Vallotto</w:t>
      </w:r>
      <w:proofErr w:type="spellEnd"/>
      <w:r w:rsidRPr="00872A7A">
        <w:t xml:space="preserve">, </w:t>
      </w:r>
      <w:proofErr w:type="spellStart"/>
      <w:r w:rsidRPr="00872A7A">
        <w:t>Rixi</w:t>
      </w:r>
      <w:proofErr w:type="spellEnd"/>
      <w:r w:rsidRPr="00872A7A">
        <w:t xml:space="preserve">, Maccanti, Capitanio, Donina, Fogliani, </w:t>
      </w:r>
      <w:proofErr w:type="spellStart"/>
      <w:r w:rsidRPr="00872A7A">
        <w:t>Furgiuele</w:t>
      </w:r>
      <w:proofErr w:type="spellEnd"/>
      <w:r w:rsidRPr="00872A7A">
        <w:t>, Giacometti, Tombolato, Zanella, Zordan; *12.10. (Nuova formulazione) Paolo Russo, Cortelazzo, Pentangelo; *12.14. (Nuova formulazione) Terzoni.</w:t>
      </w:r>
    </w:p>
  </w:footnote>
  <w:footnote w:id="90">
    <w:p w14:paraId="68B44EF7" w14:textId="77777777" w:rsidR="00240A1E" w:rsidRDefault="00240A1E" w:rsidP="00660EE5">
      <w:pPr>
        <w:pStyle w:val="Testonotaapidipagina"/>
      </w:pPr>
    </w:p>
    <w:p w14:paraId="68463A50" w14:textId="77777777" w:rsidR="00240A1E" w:rsidRDefault="00240A1E" w:rsidP="00660EE5">
      <w:pPr>
        <w:pStyle w:val="Testonotaapidipagina"/>
      </w:pPr>
      <w:r>
        <w:rPr>
          <w:rStyle w:val="Rimandonotaapidipagina"/>
        </w:rPr>
        <w:footnoteRef/>
      </w:r>
      <w:r>
        <w:t xml:space="preserve"> </w:t>
      </w:r>
      <w:r w:rsidRPr="00872A7A">
        <w:t xml:space="preserve">*12.1. (Nuova formulazione) Timbro; *12.4. (Nuova formulazione) Pezzopane, Braga, Buratti, </w:t>
      </w:r>
      <w:proofErr w:type="spellStart"/>
      <w:r w:rsidRPr="00872A7A">
        <w:t>Morgoni</w:t>
      </w:r>
      <w:proofErr w:type="spellEnd"/>
      <w:r w:rsidRPr="00872A7A">
        <w:t xml:space="preserve">, Morassut, Pellicani; *12.5. (Nuova formulazione) D'Eramo, Lucchini, </w:t>
      </w:r>
      <w:proofErr w:type="spellStart"/>
      <w:r w:rsidRPr="00872A7A">
        <w:t>Patassini</w:t>
      </w:r>
      <w:proofErr w:type="spellEnd"/>
      <w:r w:rsidRPr="00872A7A">
        <w:t xml:space="preserve">, </w:t>
      </w:r>
      <w:proofErr w:type="spellStart"/>
      <w:r w:rsidRPr="00872A7A">
        <w:t>Badole</w:t>
      </w:r>
      <w:proofErr w:type="spellEnd"/>
      <w:r w:rsidRPr="00872A7A">
        <w:t xml:space="preserve">, Benvenuto, Dara, Eva Lorenzoni, Raffaelli, Valbusa, </w:t>
      </w:r>
      <w:proofErr w:type="spellStart"/>
      <w:r w:rsidRPr="00872A7A">
        <w:t>Vallotto</w:t>
      </w:r>
      <w:proofErr w:type="spellEnd"/>
      <w:r w:rsidRPr="00872A7A">
        <w:t xml:space="preserve">, </w:t>
      </w:r>
      <w:proofErr w:type="spellStart"/>
      <w:r w:rsidRPr="00872A7A">
        <w:t>Rixi</w:t>
      </w:r>
      <w:proofErr w:type="spellEnd"/>
      <w:r w:rsidRPr="00872A7A">
        <w:t xml:space="preserve">, Maccanti, Capitanio, Donina, Fogliani, </w:t>
      </w:r>
      <w:proofErr w:type="spellStart"/>
      <w:r w:rsidRPr="00872A7A">
        <w:t>Furgiuele</w:t>
      </w:r>
      <w:proofErr w:type="spellEnd"/>
      <w:r w:rsidRPr="00872A7A">
        <w:t>, Giacometti, Tombolato, Zanella, Zordan; *12.10. (Nuova formulazione) Paolo Russo, Cortelazzo, Pentangelo; *12.14. (Nuova formulazione) Terzoni.</w:t>
      </w:r>
    </w:p>
  </w:footnote>
  <w:footnote w:id="91">
    <w:p w14:paraId="6937EE12" w14:textId="77777777" w:rsidR="00240A1E" w:rsidRDefault="00240A1E" w:rsidP="00660EE5">
      <w:pPr>
        <w:pStyle w:val="Testonotaapidipagina"/>
      </w:pPr>
    </w:p>
    <w:p w14:paraId="21B50EAB" w14:textId="77777777" w:rsidR="00240A1E" w:rsidRDefault="00240A1E" w:rsidP="00660EE5">
      <w:pPr>
        <w:pStyle w:val="Testonotaapidipagina"/>
      </w:pPr>
      <w:r>
        <w:rPr>
          <w:rStyle w:val="Rimandonotaapidipagina"/>
        </w:rPr>
        <w:footnoteRef/>
      </w:r>
      <w:r>
        <w:t xml:space="preserve"> </w:t>
      </w:r>
      <w:r w:rsidRPr="00872A7A">
        <w:t xml:space="preserve">*12.1. (Nuova formulazione) Timbro; *12.4. (Nuova formulazione) Pezzopane, Braga, Buratti, </w:t>
      </w:r>
      <w:proofErr w:type="spellStart"/>
      <w:r w:rsidRPr="00872A7A">
        <w:t>Morgoni</w:t>
      </w:r>
      <w:proofErr w:type="spellEnd"/>
      <w:r w:rsidRPr="00872A7A">
        <w:t xml:space="preserve">, Morassut, Pellicani; *12.5. (Nuova formulazione) D'Eramo, Lucchini, </w:t>
      </w:r>
      <w:proofErr w:type="spellStart"/>
      <w:r w:rsidRPr="00872A7A">
        <w:t>Patassini</w:t>
      </w:r>
      <w:proofErr w:type="spellEnd"/>
      <w:r w:rsidRPr="00872A7A">
        <w:t xml:space="preserve">, </w:t>
      </w:r>
      <w:proofErr w:type="spellStart"/>
      <w:r w:rsidRPr="00872A7A">
        <w:t>Badole</w:t>
      </w:r>
      <w:proofErr w:type="spellEnd"/>
      <w:r w:rsidRPr="00872A7A">
        <w:t xml:space="preserve">, Benvenuto, Dara, Eva Lorenzoni, Raffaelli, Valbusa, </w:t>
      </w:r>
      <w:proofErr w:type="spellStart"/>
      <w:r w:rsidRPr="00872A7A">
        <w:t>Vallotto</w:t>
      </w:r>
      <w:proofErr w:type="spellEnd"/>
      <w:r w:rsidRPr="00872A7A">
        <w:t xml:space="preserve">, </w:t>
      </w:r>
      <w:proofErr w:type="spellStart"/>
      <w:r w:rsidRPr="00872A7A">
        <w:t>Rixi</w:t>
      </w:r>
      <w:proofErr w:type="spellEnd"/>
      <w:r w:rsidRPr="00872A7A">
        <w:t xml:space="preserve">, Maccanti, Capitanio, Donina, Fogliani, </w:t>
      </w:r>
      <w:proofErr w:type="spellStart"/>
      <w:r w:rsidRPr="00872A7A">
        <w:t>Furgiuele</w:t>
      </w:r>
      <w:proofErr w:type="spellEnd"/>
      <w:r w:rsidRPr="00872A7A">
        <w:t>, Giacometti, Tombolato, Zanella, Zordan; *12.10. (Nuova formulazione) Paolo Russo, Cortelazzo, Pentangelo; *12.14. (Nuova formulazione) Terzoni.</w:t>
      </w:r>
    </w:p>
  </w:footnote>
  <w:footnote w:id="92">
    <w:p w14:paraId="3A007FB4" w14:textId="77777777" w:rsidR="00240A1E" w:rsidRDefault="00240A1E" w:rsidP="00660EE5">
      <w:pPr>
        <w:pStyle w:val="Testonotaapidipagina"/>
      </w:pPr>
    </w:p>
    <w:p w14:paraId="402FDE1A" w14:textId="77777777" w:rsidR="00240A1E" w:rsidRDefault="00240A1E" w:rsidP="00660EE5">
      <w:pPr>
        <w:pStyle w:val="Testonotaapidipagina"/>
      </w:pPr>
      <w:r>
        <w:rPr>
          <w:rStyle w:val="Rimandonotaapidipagina"/>
        </w:rPr>
        <w:footnoteRef/>
      </w:r>
      <w:r>
        <w:t xml:space="preserve"> </w:t>
      </w:r>
      <w:r w:rsidRPr="004C6FD4">
        <w:t>12.13. Paolo Russo, Cortelazzo, Pentangelo, Mazzetti, Rosso.</w:t>
      </w:r>
    </w:p>
    <w:p w14:paraId="076870C1" w14:textId="77777777" w:rsidR="00240A1E" w:rsidRDefault="00240A1E" w:rsidP="00660EE5">
      <w:pPr>
        <w:pStyle w:val="Testonotaapidipagina"/>
      </w:pPr>
    </w:p>
  </w:footnote>
  <w:footnote w:id="93">
    <w:p w14:paraId="4CBA3F67" w14:textId="77777777" w:rsidR="00240A1E" w:rsidRDefault="00240A1E" w:rsidP="00660EE5">
      <w:pPr>
        <w:pStyle w:val="Testonotaapidipagina"/>
      </w:pPr>
      <w:r>
        <w:rPr>
          <w:rStyle w:val="Rimandonotaapidipagina"/>
        </w:rPr>
        <w:footnoteRef/>
      </w:r>
      <w:r>
        <w:t xml:space="preserve"> </w:t>
      </w:r>
      <w:r w:rsidRPr="00125FBE">
        <w:t>12.17. Galizia.</w:t>
      </w:r>
    </w:p>
  </w:footnote>
  <w:footnote w:id="94">
    <w:p w14:paraId="201F4177" w14:textId="77777777" w:rsidR="00240A1E" w:rsidRDefault="00240A1E" w:rsidP="00660EE5">
      <w:pPr>
        <w:pStyle w:val="Testonotaapidipagina"/>
      </w:pPr>
      <w:r>
        <w:rPr>
          <w:rStyle w:val="Rimandonotaapidipagina"/>
        </w:rPr>
        <w:footnoteRef/>
      </w:r>
      <w:r>
        <w:t xml:space="preserve"> </w:t>
      </w:r>
      <w:r w:rsidRPr="00872A7A">
        <w:t xml:space="preserve">*12.1. (Nuova formulazione) Timbro; *12.4. (Nuova formulazione) Pezzopane, Braga, Buratti, </w:t>
      </w:r>
      <w:proofErr w:type="spellStart"/>
      <w:r w:rsidRPr="00872A7A">
        <w:t>Morgoni</w:t>
      </w:r>
      <w:proofErr w:type="spellEnd"/>
      <w:r w:rsidRPr="00872A7A">
        <w:t xml:space="preserve">, Morassut, Pellicani; *12.5. (Nuova formulazione) D'Eramo, Lucchini, </w:t>
      </w:r>
      <w:proofErr w:type="spellStart"/>
      <w:r w:rsidRPr="00872A7A">
        <w:t>Patassini</w:t>
      </w:r>
      <w:proofErr w:type="spellEnd"/>
      <w:r w:rsidRPr="00872A7A">
        <w:t xml:space="preserve">, </w:t>
      </w:r>
      <w:proofErr w:type="spellStart"/>
      <w:r w:rsidRPr="00872A7A">
        <w:t>Badole</w:t>
      </w:r>
      <w:proofErr w:type="spellEnd"/>
      <w:r w:rsidRPr="00872A7A">
        <w:t xml:space="preserve">, Benvenuto, Dara, Eva Lorenzoni, Raffaelli, Valbusa, </w:t>
      </w:r>
      <w:proofErr w:type="spellStart"/>
      <w:r w:rsidRPr="00872A7A">
        <w:t>Vallotto</w:t>
      </w:r>
      <w:proofErr w:type="spellEnd"/>
      <w:r w:rsidRPr="00872A7A">
        <w:t xml:space="preserve">, </w:t>
      </w:r>
      <w:proofErr w:type="spellStart"/>
      <w:r w:rsidRPr="00872A7A">
        <w:t>Rixi</w:t>
      </w:r>
      <w:proofErr w:type="spellEnd"/>
      <w:r w:rsidRPr="00872A7A">
        <w:t xml:space="preserve">, Maccanti, Capitanio, Donina, Fogliani, </w:t>
      </w:r>
      <w:proofErr w:type="spellStart"/>
      <w:r w:rsidRPr="00872A7A">
        <w:t>Furgiuele</w:t>
      </w:r>
      <w:proofErr w:type="spellEnd"/>
      <w:r w:rsidRPr="00872A7A">
        <w:t>, Giacometti, Tombolato, Zanella, Zordan; *12.10. (Nuova formulazione) Paolo Russo, Cortelazzo, Pentangelo; *12.14. (Nuova formulazione) Terzoni.</w:t>
      </w:r>
    </w:p>
    <w:p w14:paraId="6A1F2D0C" w14:textId="77777777" w:rsidR="00240A1E" w:rsidRDefault="00240A1E" w:rsidP="00660EE5">
      <w:pPr>
        <w:pStyle w:val="Testonotaapidipagina"/>
      </w:pPr>
    </w:p>
  </w:footnote>
  <w:footnote w:id="95">
    <w:p w14:paraId="491015C0" w14:textId="77777777" w:rsidR="00240A1E" w:rsidRDefault="00240A1E" w:rsidP="00660EE5">
      <w:pPr>
        <w:pStyle w:val="Testonotaapidipagina"/>
      </w:pPr>
      <w:r>
        <w:rPr>
          <w:rStyle w:val="Rimandonotaapidipagina"/>
        </w:rPr>
        <w:footnoteRef/>
      </w:r>
      <w:r>
        <w:t xml:space="preserve"> </w:t>
      </w:r>
      <w:r w:rsidRPr="00125FBE">
        <w:t xml:space="preserve">*12.2. Timbro; *12.3. Pezzopane, Braga, Buratti, </w:t>
      </w:r>
      <w:proofErr w:type="spellStart"/>
      <w:r w:rsidRPr="00125FBE">
        <w:t>Morgoni</w:t>
      </w:r>
      <w:proofErr w:type="spellEnd"/>
      <w:r w:rsidRPr="00125FBE">
        <w:t xml:space="preserve">, Morassut, Pellicani; *12.11. Cortelazzo, Paolo Russo, Pentangelo, Labriola; *12.6. D'Eramo, Lucchini, </w:t>
      </w:r>
      <w:proofErr w:type="spellStart"/>
      <w:r w:rsidRPr="00125FBE">
        <w:t>Patassini</w:t>
      </w:r>
      <w:proofErr w:type="spellEnd"/>
      <w:r w:rsidRPr="00125FBE">
        <w:t xml:space="preserve">, </w:t>
      </w:r>
      <w:proofErr w:type="spellStart"/>
      <w:r w:rsidRPr="00125FBE">
        <w:t>Badole</w:t>
      </w:r>
      <w:proofErr w:type="spellEnd"/>
      <w:r w:rsidRPr="00125FBE">
        <w:t xml:space="preserve">, Benvenuto, Dara, Eva Lorenzoni, Raffaelli, Valbusa, </w:t>
      </w:r>
      <w:proofErr w:type="spellStart"/>
      <w:r w:rsidRPr="00125FBE">
        <w:t>Vallotto</w:t>
      </w:r>
      <w:proofErr w:type="spellEnd"/>
      <w:r w:rsidRPr="00125FBE">
        <w:t xml:space="preserve">, </w:t>
      </w:r>
      <w:proofErr w:type="spellStart"/>
      <w:r w:rsidRPr="00125FBE">
        <w:t>Rixi</w:t>
      </w:r>
      <w:proofErr w:type="spellEnd"/>
      <w:r w:rsidRPr="00125FBE">
        <w:t xml:space="preserve">, Maccanti, Capitanio, Donina, Fogliani, </w:t>
      </w:r>
      <w:proofErr w:type="spellStart"/>
      <w:r w:rsidRPr="00125FBE">
        <w:t>Furgiuele</w:t>
      </w:r>
      <w:proofErr w:type="spellEnd"/>
      <w:r w:rsidRPr="00125FBE">
        <w:t>, Giacometti, Tombolato, Zanella, Zordan.</w:t>
      </w:r>
    </w:p>
    <w:p w14:paraId="091F5247" w14:textId="77777777" w:rsidR="00240A1E" w:rsidRDefault="00240A1E" w:rsidP="00660EE5">
      <w:pPr>
        <w:pStyle w:val="Testonotaapidipagina"/>
      </w:pPr>
    </w:p>
  </w:footnote>
  <w:footnote w:id="96">
    <w:p w14:paraId="11A41402" w14:textId="77777777" w:rsidR="00240A1E" w:rsidRDefault="00240A1E" w:rsidP="00660EE5">
      <w:pPr>
        <w:pStyle w:val="Testonotaapidipagina"/>
      </w:pPr>
      <w:r>
        <w:rPr>
          <w:rStyle w:val="Rimandonotaapidipagina"/>
        </w:rPr>
        <w:footnoteRef/>
      </w:r>
      <w:r>
        <w:t xml:space="preserve"> </w:t>
      </w:r>
      <w:r w:rsidRPr="00051055">
        <w:t xml:space="preserve">12.03. (Nuova formulazione) Pezzopane, Braga, Buratti, </w:t>
      </w:r>
      <w:proofErr w:type="spellStart"/>
      <w:r w:rsidRPr="00051055">
        <w:t>Morgoni</w:t>
      </w:r>
      <w:proofErr w:type="spellEnd"/>
      <w:r w:rsidRPr="00051055">
        <w:t>, Morassut, Pellicani.</w:t>
      </w:r>
    </w:p>
  </w:footnote>
  <w:footnote w:id="97">
    <w:p w14:paraId="5EA05CA1" w14:textId="77777777" w:rsidR="00240A1E" w:rsidRDefault="00240A1E" w:rsidP="00660EE5">
      <w:pPr>
        <w:pStyle w:val="Testonotaapidipagina"/>
      </w:pPr>
    </w:p>
    <w:p w14:paraId="490E6667" w14:textId="6FEBEA2E" w:rsidR="00240A1E" w:rsidRDefault="00240A1E" w:rsidP="00660EE5">
      <w:pPr>
        <w:pStyle w:val="Testonotaapidipagina"/>
        <w:jc w:val="both"/>
      </w:pPr>
      <w:r>
        <w:rPr>
          <w:rStyle w:val="Rimandonotaapidipagina"/>
        </w:rPr>
        <w:footnoteRef/>
      </w:r>
      <w:r>
        <w:t xml:space="preserve"> </w:t>
      </w:r>
      <w:r w:rsidRPr="004C6FD4">
        <w:t xml:space="preserve">*12.1. (Nuova formulazione) Timbro; *12.4. (Nuova formulazione) Pezzopane, Braga, Buratti, </w:t>
      </w:r>
      <w:proofErr w:type="spellStart"/>
      <w:r w:rsidRPr="004C6FD4">
        <w:t>Morgoni</w:t>
      </w:r>
      <w:proofErr w:type="spellEnd"/>
      <w:r w:rsidRPr="004C6FD4">
        <w:t xml:space="preserve">, Morassut, Pellicani; *12.5. (Nuova formulazione) D'Eramo, Lucchini, </w:t>
      </w:r>
      <w:proofErr w:type="spellStart"/>
      <w:r w:rsidRPr="004C6FD4">
        <w:t>Patassini</w:t>
      </w:r>
      <w:proofErr w:type="spellEnd"/>
      <w:r w:rsidRPr="004C6FD4">
        <w:t xml:space="preserve">, </w:t>
      </w:r>
      <w:proofErr w:type="spellStart"/>
      <w:r w:rsidRPr="004C6FD4">
        <w:t>Badole</w:t>
      </w:r>
      <w:proofErr w:type="spellEnd"/>
      <w:r w:rsidRPr="004C6FD4">
        <w:t xml:space="preserve">, Benvenuto, Dara, Eva Lorenzoni, Raffaelli, Valbusa, </w:t>
      </w:r>
      <w:proofErr w:type="spellStart"/>
      <w:r w:rsidRPr="004C6FD4">
        <w:t>Vallotto</w:t>
      </w:r>
      <w:proofErr w:type="spellEnd"/>
      <w:r w:rsidRPr="004C6FD4">
        <w:t xml:space="preserve">, </w:t>
      </w:r>
      <w:proofErr w:type="spellStart"/>
      <w:r w:rsidRPr="004C6FD4">
        <w:t>Rixi</w:t>
      </w:r>
      <w:proofErr w:type="spellEnd"/>
      <w:r w:rsidRPr="004C6FD4">
        <w:t xml:space="preserve">, Maccanti, Capitanio, Donina, Fogliani, </w:t>
      </w:r>
      <w:proofErr w:type="spellStart"/>
      <w:r w:rsidRPr="004C6FD4">
        <w:t>Furgiuele</w:t>
      </w:r>
      <w:proofErr w:type="spellEnd"/>
      <w:r w:rsidRPr="004C6FD4">
        <w:t>, Giacometti, Tombolato, Zanella, Zordan; *12.10. (Nuova formulazione) Paolo Russo, Cortelazzo, Pentangelo; *12.14. (Nuova formulazione) Terzoni.</w:t>
      </w:r>
    </w:p>
    <w:p w14:paraId="4883D874" w14:textId="77777777" w:rsidR="00602F70" w:rsidRDefault="00602F70" w:rsidP="00660EE5">
      <w:pPr>
        <w:pStyle w:val="Testonotaapidipagina"/>
        <w:jc w:val="both"/>
      </w:pPr>
    </w:p>
  </w:footnote>
  <w:footnote w:id="98">
    <w:p w14:paraId="058A3CE6" w14:textId="29448875" w:rsidR="00602F70" w:rsidRDefault="00602F70">
      <w:pPr>
        <w:pStyle w:val="Testonotaapidipagina"/>
      </w:pPr>
      <w:r>
        <w:rPr>
          <w:rStyle w:val="Rimandonotaapidipagina"/>
        </w:rPr>
        <w:footnoteRef/>
      </w:r>
      <w:r>
        <w:t xml:space="preserve"> </w:t>
      </w:r>
      <w:r w:rsidRPr="00602F70">
        <w:t>12.21. Le Relatrici.</w:t>
      </w:r>
    </w:p>
  </w:footnote>
  <w:footnote w:id="99">
    <w:p w14:paraId="682A5975" w14:textId="375E561D" w:rsidR="00602F70" w:rsidRDefault="00602F70">
      <w:pPr>
        <w:pStyle w:val="Testonotaapidipagina"/>
      </w:pPr>
      <w:r>
        <w:rPr>
          <w:rStyle w:val="Rimandonotaapidipagina"/>
        </w:rPr>
        <w:footnoteRef/>
      </w:r>
      <w:r>
        <w:t xml:space="preserve"> </w:t>
      </w:r>
      <w:r w:rsidRPr="00602F70">
        <w:t>13.8. (Nuova formulazione) Belotti.</w:t>
      </w:r>
    </w:p>
    <w:p w14:paraId="391A6822" w14:textId="77777777" w:rsidR="00602F70" w:rsidRDefault="00602F70">
      <w:pPr>
        <w:pStyle w:val="Testonotaapidipagina"/>
      </w:pPr>
    </w:p>
  </w:footnote>
  <w:footnote w:id="100">
    <w:p w14:paraId="3AA06C0F" w14:textId="566E5741" w:rsidR="00602F70" w:rsidRDefault="00602F70">
      <w:pPr>
        <w:pStyle w:val="Testonotaapidipagina"/>
      </w:pPr>
      <w:r>
        <w:rPr>
          <w:rStyle w:val="Rimandonotaapidipagina"/>
        </w:rPr>
        <w:footnoteRef/>
      </w:r>
      <w:r>
        <w:t xml:space="preserve"> </w:t>
      </w:r>
      <w:r w:rsidRPr="00602F70">
        <w:t xml:space="preserve">*13.12. Labriola, Siracusano, Casino; *13.18. </w:t>
      </w:r>
      <w:proofErr w:type="spellStart"/>
      <w:r w:rsidRPr="00602F70">
        <w:t>Fregolent</w:t>
      </w:r>
      <w:proofErr w:type="spellEnd"/>
      <w:r w:rsidRPr="00602F70">
        <w:t>, Nobili.</w:t>
      </w:r>
    </w:p>
  </w:footnote>
  <w:footnote w:id="101">
    <w:p w14:paraId="487B560F" w14:textId="77777777" w:rsidR="00240A1E" w:rsidRDefault="00240A1E" w:rsidP="00660EE5">
      <w:pPr>
        <w:pStyle w:val="Testonotaapidipagina"/>
      </w:pPr>
    </w:p>
    <w:p w14:paraId="3EA152B8" w14:textId="77777777" w:rsidR="00240A1E" w:rsidRDefault="00240A1E" w:rsidP="00660EE5">
      <w:pPr>
        <w:pStyle w:val="Testonotaapidipagina"/>
        <w:jc w:val="both"/>
      </w:pPr>
      <w:r>
        <w:rPr>
          <w:rStyle w:val="Rimandonotaapidipagina"/>
        </w:rPr>
        <w:footnoteRef/>
      </w:r>
      <w:r>
        <w:t xml:space="preserve"> </w:t>
      </w:r>
      <w:r w:rsidRPr="00051055">
        <w:t xml:space="preserve">*13.6. Belotti, Bordonali, </w:t>
      </w:r>
      <w:proofErr w:type="spellStart"/>
      <w:r w:rsidRPr="00051055">
        <w:t>Colmellere</w:t>
      </w:r>
      <w:proofErr w:type="spellEnd"/>
      <w:r w:rsidRPr="00051055">
        <w:t xml:space="preserve">, Lucchini, </w:t>
      </w:r>
      <w:proofErr w:type="spellStart"/>
      <w:r w:rsidRPr="00051055">
        <w:t>Badole</w:t>
      </w:r>
      <w:proofErr w:type="spellEnd"/>
      <w:r w:rsidRPr="00051055">
        <w:t xml:space="preserve">, Benvenuto, D'Eramo, Dara, Eva Lorenzoni, </w:t>
      </w:r>
      <w:proofErr w:type="spellStart"/>
      <w:r w:rsidRPr="00051055">
        <w:t>Patassini</w:t>
      </w:r>
      <w:proofErr w:type="spellEnd"/>
      <w:r w:rsidRPr="00051055">
        <w:t xml:space="preserve">, Raffaelli, Valbusa, </w:t>
      </w:r>
      <w:proofErr w:type="spellStart"/>
      <w:r w:rsidRPr="00051055">
        <w:t>Vallotto</w:t>
      </w:r>
      <w:proofErr w:type="spellEnd"/>
      <w:r w:rsidRPr="00051055">
        <w:t xml:space="preserve">, </w:t>
      </w:r>
      <w:proofErr w:type="spellStart"/>
      <w:r w:rsidRPr="00051055">
        <w:t>Rixi</w:t>
      </w:r>
      <w:proofErr w:type="spellEnd"/>
      <w:r w:rsidRPr="00051055">
        <w:t xml:space="preserve">, Maccanti, Capitanio, Donina, Fogliani, </w:t>
      </w:r>
      <w:proofErr w:type="spellStart"/>
      <w:r w:rsidRPr="00051055">
        <w:t>Furgiuele</w:t>
      </w:r>
      <w:proofErr w:type="spellEnd"/>
      <w:r w:rsidRPr="00051055">
        <w:t>, Giacometti, Tombolato, Zanella, Zordan; *13.17. (Nuova formulazione) Varrica, Ficara.</w:t>
      </w:r>
    </w:p>
  </w:footnote>
  <w:footnote w:id="102">
    <w:p w14:paraId="4DEF2B71" w14:textId="77777777" w:rsidR="00240A1E" w:rsidRDefault="00240A1E" w:rsidP="00660EE5">
      <w:pPr>
        <w:pStyle w:val="Testonotaapidipagina"/>
      </w:pPr>
    </w:p>
    <w:p w14:paraId="6B627CA5" w14:textId="77777777" w:rsidR="00240A1E" w:rsidRDefault="00240A1E" w:rsidP="00660EE5">
      <w:pPr>
        <w:pStyle w:val="Testonotaapidipagina"/>
        <w:jc w:val="both"/>
      </w:pPr>
      <w:r>
        <w:rPr>
          <w:rStyle w:val="Rimandonotaapidipagina"/>
        </w:rPr>
        <w:footnoteRef/>
      </w:r>
      <w:r>
        <w:t xml:space="preserve"> </w:t>
      </w:r>
      <w:r w:rsidRPr="00051055">
        <w:t xml:space="preserve">*13.6. Belotti, Bordonali, </w:t>
      </w:r>
      <w:proofErr w:type="spellStart"/>
      <w:r w:rsidRPr="00051055">
        <w:t>Colmellere</w:t>
      </w:r>
      <w:proofErr w:type="spellEnd"/>
      <w:r w:rsidRPr="00051055">
        <w:t xml:space="preserve">, Lucchini, </w:t>
      </w:r>
      <w:proofErr w:type="spellStart"/>
      <w:r w:rsidRPr="00051055">
        <w:t>Badole</w:t>
      </w:r>
      <w:proofErr w:type="spellEnd"/>
      <w:r w:rsidRPr="00051055">
        <w:t xml:space="preserve">, Benvenuto, D'Eramo, Dara, Eva Lorenzoni, </w:t>
      </w:r>
      <w:proofErr w:type="spellStart"/>
      <w:r w:rsidRPr="00051055">
        <w:t>Patassini</w:t>
      </w:r>
      <w:proofErr w:type="spellEnd"/>
      <w:r w:rsidRPr="00051055">
        <w:t xml:space="preserve">, Raffaelli, Valbusa, </w:t>
      </w:r>
      <w:proofErr w:type="spellStart"/>
      <w:r w:rsidRPr="00051055">
        <w:t>Vallotto</w:t>
      </w:r>
      <w:proofErr w:type="spellEnd"/>
      <w:r w:rsidRPr="00051055">
        <w:t xml:space="preserve">, </w:t>
      </w:r>
      <w:proofErr w:type="spellStart"/>
      <w:r w:rsidRPr="00051055">
        <w:t>Rixi</w:t>
      </w:r>
      <w:proofErr w:type="spellEnd"/>
      <w:r w:rsidRPr="00051055">
        <w:t xml:space="preserve">, Maccanti, Capitanio, Donina, Fogliani, </w:t>
      </w:r>
      <w:proofErr w:type="spellStart"/>
      <w:r w:rsidRPr="00051055">
        <w:t>Furgiuele</w:t>
      </w:r>
      <w:proofErr w:type="spellEnd"/>
      <w:r w:rsidRPr="00051055">
        <w:t>, Giacometti, Tombolato, Zanella, Zordan; *13.17. (Nuova formulazione) Varrica, Ficara.</w:t>
      </w:r>
    </w:p>
  </w:footnote>
  <w:footnote w:id="103">
    <w:p w14:paraId="3C54A3AD" w14:textId="77777777" w:rsidR="00240A1E" w:rsidRDefault="00240A1E" w:rsidP="00660EE5">
      <w:pPr>
        <w:pStyle w:val="Testonotaapidipagina"/>
      </w:pPr>
    </w:p>
    <w:p w14:paraId="161806AE" w14:textId="77777777" w:rsidR="00240A1E" w:rsidRDefault="00240A1E" w:rsidP="00660EE5">
      <w:pPr>
        <w:pStyle w:val="Testonotaapidipagina"/>
      </w:pPr>
      <w:r>
        <w:rPr>
          <w:rStyle w:val="Rimandonotaapidipagina"/>
        </w:rPr>
        <w:footnoteRef/>
      </w:r>
      <w:r>
        <w:t xml:space="preserve"> </w:t>
      </w:r>
      <w:r w:rsidRPr="00051055">
        <w:t>13.15. (Nuova formulazione) Varrica, Ficara.</w:t>
      </w:r>
    </w:p>
  </w:footnote>
  <w:footnote w:id="104">
    <w:p w14:paraId="32C50B17" w14:textId="77777777" w:rsidR="00240A1E" w:rsidRDefault="00240A1E" w:rsidP="00660EE5">
      <w:pPr>
        <w:pStyle w:val="Testonotaapidipagina"/>
      </w:pPr>
    </w:p>
    <w:p w14:paraId="4C474EF1" w14:textId="77777777" w:rsidR="00240A1E" w:rsidRDefault="00240A1E" w:rsidP="00660EE5">
      <w:pPr>
        <w:pStyle w:val="Testonotaapidipagina"/>
      </w:pPr>
      <w:r>
        <w:rPr>
          <w:rStyle w:val="Rimandonotaapidipagina"/>
        </w:rPr>
        <w:footnoteRef/>
      </w:r>
      <w:r>
        <w:t xml:space="preserve"> </w:t>
      </w:r>
      <w:r w:rsidRPr="00051055">
        <w:t>13.1. Cenni, Boccia.</w:t>
      </w:r>
    </w:p>
  </w:footnote>
  <w:footnote w:id="105">
    <w:p w14:paraId="66AC485E" w14:textId="77777777" w:rsidR="00240A1E" w:rsidRDefault="00240A1E" w:rsidP="00660EE5">
      <w:pPr>
        <w:pStyle w:val="Testonotaapidipagina"/>
        <w:jc w:val="both"/>
      </w:pPr>
    </w:p>
    <w:p w14:paraId="7A612FA9" w14:textId="77777777" w:rsidR="00240A1E" w:rsidRDefault="00240A1E" w:rsidP="00660EE5">
      <w:pPr>
        <w:pStyle w:val="Testonotaapidipagina"/>
        <w:jc w:val="both"/>
      </w:pPr>
      <w:r>
        <w:rPr>
          <w:rStyle w:val="Rimandonotaapidipagina"/>
        </w:rPr>
        <w:footnoteRef/>
      </w:r>
      <w:r>
        <w:t xml:space="preserve"> </w:t>
      </w:r>
      <w:r w:rsidRPr="00051055">
        <w:t xml:space="preserve">*12.06. (Nuova formulazione). Adelizzi, Torto, </w:t>
      </w:r>
      <w:proofErr w:type="spellStart"/>
      <w:r w:rsidRPr="00051055">
        <w:t>Buompane</w:t>
      </w:r>
      <w:proofErr w:type="spellEnd"/>
      <w:r w:rsidRPr="00051055">
        <w:t xml:space="preserve">, Donno, Faro, Flati, Gallo, </w:t>
      </w:r>
      <w:proofErr w:type="spellStart"/>
      <w:r w:rsidRPr="00051055">
        <w:t>Gubitosa</w:t>
      </w:r>
      <w:proofErr w:type="spellEnd"/>
      <w:r w:rsidRPr="00051055">
        <w:t xml:space="preserve">, Lovecchio, Manzo, Misiti; *13.2. (Nuova formulazione). Pezzopane, Braga, Buratti, Morassut, </w:t>
      </w:r>
      <w:proofErr w:type="spellStart"/>
      <w:r w:rsidRPr="00051055">
        <w:t>Morgoni</w:t>
      </w:r>
      <w:proofErr w:type="spellEnd"/>
      <w:r w:rsidRPr="00051055">
        <w:t xml:space="preserve">, Pellicani; *13.7. (Nuova formulazione). Belotti, Bordonali, </w:t>
      </w:r>
      <w:proofErr w:type="spellStart"/>
      <w:r w:rsidRPr="00051055">
        <w:t>Colmellere</w:t>
      </w:r>
      <w:proofErr w:type="spellEnd"/>
      <w:r w:rsidRPr="00051055">
        <w:t xml:space="preserve">, Lucchini, </w:t>
      </w:r>
      <w:proofErr w:type="spellStart"/>
      <w:r w:rsidRPr="00051055">
        <w:t>Badole</w:t>
      </w:r>
      <w:proofErr w:type="spellEnd"/>
      <w:r w:rsidRPr="00051055">
        <w:t xml:space="preserve">, Benvenuto, D'Eramo, Dara, Eva Lorenzoni, </w:t>
      </w:r>
      <w:proofErr w:type="spellStart"/>
      <w:r w:rsidRPr="00051055">
        <w:t>Patassini</w:t>
      </w:r>
      <w:proofErr w:type="spellEnd"/>
      <w:r w:rsidRPr="00051055">
        <w:t xml:space="preserve">, Raffaelli, Valbusa, </w:t>
      </w:r>
      <w:proofErr w:type="spellStart"/>
      <w:r w:rsidRPr="00051055">
        <w:t>Vallotto</w:t>
      </w:r>
      <w:proofErr w:type="spellEnd"/>
      <w:r w:rsidRPr="00051055">
        <w:t xml:space="preserve">, </w:t>
      </w:r>
      <w:proofErr w:type="spellStart"/>
      <w:r w:rsidRPr="00051055">
        <w:t>Rixi</w:t>
      </w:r>
      <w:proofErr w:type="spellEnd"/>
      <w:r w:rsidRPr="00051055">
        <w:t xml:space="preserve">, Maccanti, Capitanio, Donina, Fogliani, </w:t>
      </w:r>
      <w:proofErr w:type="spellStart"/>
      <w:r w:rsidRPr="00051055">
        <w:t>Furgiuele</w:t>
      </w:r>
      <w:proofErr w:type="spellEnd"/>
      <w:r w:rsidRPr="00051055">
        <w:t>, Giacometti, Tombolato, Zanella, Zordan.</w:t>
      </w:r>
    </w:p>
  </w:footnote>
  <w:footnote w:id="106">
    <w:p w14:paraId="7D6E6DB6" w14:textId="77777777" w:rsidR="00240A1E" w:rsidRDefault="00240A1E" w:rsidP="00660EE5">
      <w:pPr>
        <w:pStyle w:val="Testonotaapidipagina"/>
      </w:pPr>
    </w:p>
    <w:p w14:paraId="1073E11F" w14:textId="77777777" w:rsidR="00240A1E" w:rsidRDefault="00240A1E" w:rsidP="00660EE5">
      <w:pPr>
        <w:pStyle w:val="Testonotaapidipagina"/>
      </w:pPr>
      <w:r>
        <w:rPr>
          <w:rStyle w:val="Rimandonotaapidipagina"/>
        </w:rPr>
        <w:footnoteRef/>
      </w:r>
      <w:r>
        <w:t xml:space="preserve"> </w:t>
      </w:r>
      <w:r w:rsidRPr="008B7F08">
        <w:t xml:space="preserve">*13.01. Ruffino; *13.03. Pezzopane, Braga, Buratti, Morassut, </w:t>
      </w:r>
      <w:proofErr w:type="spellStart"/>
      <w:r w:rsidRPr="008B7F08">
        <w:t>Morgoni</w:t>
      </w:r>
      <w:proofErr w:type="spellEnd"/>
      <w:r w:rsidRPr="008B7F08">
        <w:t>, Pellicani; *13.05. De Girolamo.</w:t>
      </w:r>
    </w:p>
  </w:footnote>
  <w:footnote w:id="107">
    <w:p w14:paraId="780BC473" w14:textId="0864EB6B" w:rsidR="007837F5" w:rsidRDefault="007837F5">
      <w:pPr>
        <w:pStyle w:val="Testonotaapidipagina"/>
      </w:pPr>
      <w:r>
        <w:rPr>
          <w:rStyle w:val="Rimandonotaapidipagina"/>
        </w:rPr>
        <w:footnoteRef/>
      </w:r>
      <w:r>
        <w:t xml:space="preserve"> </w:t>
      </w:r>
      <w:r w:rsidRPr="007837F5">
        <w:t>13.08. (Nuova formulazione) Le Relatrici.</w:t>
      </w:r>
    </w:p>
  </w:footnote>
  <w:footnote w:id="108">
    <w:p w14:paraId="48901B6F" w14:textId="77777777" w:rsidR="00240A1E" w:rsidRDefault="00240A1E" w:rsidP="00660EE5">
      <w:pPr>
        <w:pStyle w:val="Testonotaapidipagina"/>
      </w:pPr>
    </w:p>
    <w:p w14:paraId="5B793B80" w14:textId="77777777" w:rsidR="00240A1E" w:rsidRDefault="00240A1E" w:rsidP="00660EE5">
      <w:pPr>
        <w:pStyle w:val="Testonotaapidipagina"/>
      </w:pPr>
      <w:r>
        <w:rPr>
          <w:rStyle w:val="Rimandonotaapidipagina"/>
        </w:rPr>
        <w:footnoteRef/>
      </w:r>
      <w:r>
        <w:t xml:space="preserve"> </w:t>
      </w:r>
      <w:r w:rsidRPr="008B7F08">
        <w:t xml:space="preserve">*15.1. (Nuova formulazione). Timbro; *15.5. (Nuova formulazione). Pezzopane, Braga, Buratti, </w:t>
      </w:r>
      <w:proofErr w:type="spellStart"/>
      <w:r w:rsidRPr="008B7F08">
        <w:t>Morgoni</w:t>
      </w:r>
      <w:proofErr w:type="spellEnd"/>
      <w:r w:rsidRPr="008B7F08">
        <w:t xml:space="preserve">, Morassut, Pellicani; *15.6. (Nuova formulazione). Giacometti, </w:t>
      </w:r>
      <w:proofErr w:type="spellStart"/>
      <w:r w:rsidRPr="008B7F08">
        <w:t>Rixi</w:t>
      </w:r>
      <w:proofErr w:type="spellEnd"/>
      <w:r w:rsidRPr="008B7F08">
        <w:t xml:space="preserve">, Maccanti, Capitanio, Donina, Fogliani, </w:t>
      </w:r>
      <w:proofErr w:type="spellStart"/>
      <w:r w:rsidRPr="008B7F08">
        <w:t>Furgiuele</w:t>
      </w:r>
      <w:proofErr w:type="spellEnd"/>
      <w:r w:rsidRPr="008B7F08">
        <w:t xml:space="preserve">, Tombolato, Zanella, Zordan, Lucchini, </w:t>
      </w:r>
      <w:proofErr w:type="spellStart"/>
      <w:r w:rsidRPr="008B7F08">
        <w:t>Badole</w:t>
      </w:r>
      <w:proofErr w:type="spellEnd"/>
      <w:r w:rsidRPr="008B7F08">
        <w:t xml:space="preserve">, Benvenuto, D'Eramo, Dara, Eva Lorenzoni, </w:t>
      </w:r>
      <w:proofErr w:type="spellStart"/>
      <w:r w:rsidRPr="008B7F08">
        <w:t>Patassini</w:t>
      </w:r>
      <w:proofErr w:type="spellEnd"/>
      <w:r w:rsidRPr="008B7F08">
        <w:t xml:space="preserve">, Raffaelli, Valbusa, </w:t>
      </w:r>
      <w:proofErr w:type="spellStart"/>
      <w:r w:rsidRPr="008B7F08">
        <w:t>Vallotto</w:t>
      </w:r>
      <w:proofErr w:type="spellEnd"/>
      <w:r w:rsidRPr="008B7F08">
        <w:t>; *15.7. (Nuova formulazione). Pentangelo, Paolo Russo, Sarro; *15.9. (Nuova formulazione). Ficara.</w:t>
      </w:r>
    </w:p>
  </w:footnote>
  <w:footnote w:id="109">
    <w:p w14:paraId="228BC3D1" w14:textId="63502600" w:rsidR="007837F5" w:rsidRDefault="007837F5">
      <w:pPr>
        <w:pStyle w:val="Testonotaapidipagina"/>
      </w:pPr>
      <w:r>
        <w:rPr>
          <w:rStyle w:val="Rimandonotaapidipagina"/>
        </w:rPr>
        <w:footnoteRef/>
      </w:r>
      <w:r>
        <w:t xml:space="preserve"> </w:t>
      </w:r>
      <w:r w:rsidRPr="007837F5">
        <w:t>15.20. Le Relatrici.</w:t>
      </w:r>
    </w:p>
  </w:footnote>
  <w:footnote w:id="110">
    <w:p w14:paraId="0ABE80D4" w14:textId="77777777" w:rsidR="00240A1E" w:rsidRDefault="00240A1E">
      <w:pPr>
        <w:pStyle w:val="Testonotaapidipagina"/>
      </w:pPr>
    </w:p>
    <w:p w14:paraId="4A58254D" w14:textId="7E206CD0" w:rsidR="00240A1E" w:rsidRDefault="00240A1E">
      <w:pPr>
        <w:pStyle w:val="Testonotaapidipagina"/>
      </w:pPr>
      <w:r>
        <w:rPr>
          <w:rStyle w:val="Rimandonotaapidipagina"/>
        </w:rPr>
        <w:footnoteRef/>
      </w:r>
      <w:r>
        <w:t xml:space="preserve"> </w:t>
      </w:r>
      <w:r w:rsidRPr="0097079E">
        <w:t>16.37. Le Relatrici.</w:t>
      </w:r>
    </w:p>
  </w:footnote>
  <w:footnote w:id="111">
    <w:p w14:paraId="2805E20C" w14:textId="05BCEC98" w:rsidR="007837F5" w:rsidRDefault="007837F5">
      <w:pPr>
        <w:pStyle w:val="Testonotaapidipagina"/>
      </w:pPr>
      <w:r>
        <w:rPr>
          <w:rStyle w:val="Rimandonotaapidipagina"/>
        </w:rPr>
        <w:footnoteRef/>
      </w:r>
      <w:r>
        <w:t xml:space="preserve"> </w:t>
      </w:r>
      <w:r w:rsidRPr="007837F5">
        <w:t xml:space="preserve">16.6. (Nuova formulazione) </w:t>
      </w:r>
      <w:proofErr w:type="spellStart"/>
      <w:r w:rsidRPr="007837F5">
        <w:t>Fregolent</w:t>
      </w:r>
      <w:proofErr w:type="spellEnd"/>
      <w:r w:rsidRPr="007837F5">
        <w:t>, Nobili.</w:t>
      </w:r>
    </w:p>
  </w:footnote>
  <w:footnote w:id="112">
    <w:p w14:paraId="10A19CBA" w14:textId="45A80766" w:rsidR="007837F5" w:rsidRDefault="007837F5">
      <w:pPr>
        <w:pStyle w:val="Testonotaapidipagina"/>
      </w:pPr>
      <w:r>
        <w:rPr>
          <w:rStyle w:val="Rimandonotaapidipagina"/>
        </w:rPr>
        <w:footnoteRef/>
      </w:r>
      <w:r>
        <w:t xml:space="preserve"> </w:t>
      </w:r>
      <w:r w:rsidRPr="007837F5">
        <w:t xml:space="preserve">16.22. (Nuova formulazione) </w:t>
      </w:r>
      <w:proofErr w:type="spellStart"/>
      <w:r w:rsidRPr="007837F5">
        <w:t>Badole</w:t>
      </w:r>
      <w:proofErr w:type="spellEnd"/>
      <w:r w:rsidRPr="007837F5">
        <w:t xml:space="preserve">, Valbusa, </w:t>
      </w:r>
      <w:proofErr w:type="spellStart"/>
      <w:r w:rsidRPr="007837F5">
        <w:t>Vallotto</w:t>
      </w:r>
      <w:proofErr w:type="spellEnd"/>
      <w:r w:rsidRPr="007837F5">
        <w:t xml:space="preserve">, Fogliani, Giacometti, Zordan, </w:t>
      </w:r>
      <w:proofErr w:type="spellStart"/>
      <w:r w:rsidRPr="007837F5">
        <w:t>Rixi</w:t>
      </w:r>
      <w:proofErr w:type="spellEnd"/>
      <w:r w:rsidRPr="007837F5">
        <w:t xml:space="preserve">, Lucchini, </w:t>
      </w:r>
      <w:proofErr w:type="spellStart"/>
      <w:r w:rsidRPr="007837F5">
        <w:t>Colmellere</w:t>
      </w:r>
      <w:proofErr w:type="spellEnd"/>
      <w:r w:rsidRPr="007837F5">
        <w:t>.</w:t>
      </w:r>
    </w:p>
  </w:footnote>
  <w:footnote w:id="113">
    <w:p w14:paraId="5D6C1B33" w14:textId="4E87E6ED" w:rsidR="007837F5" w:rsidRDefault="007837F5" w:rsidP="007837F5">
      <w:pPr>
        <w:pStyle w:val="Testonotaapidipagina"/>
        <w:jc w:val="both"/>
      </w:pPr>
      <w:r>
        <w:rPr>
          <w:rStyle w:val="Rimandonotaapidipagina"/>
        </w:rPr>
        <w:footnoteRef/>
      </w:r>
      <w:r>
        <w:t xml:space="preserve"> </w:t>
      </w:r>
      <w:r w:rsidRPr="007837F5">
        <w:t xml:space="preserve">*16.23. </w:t>
      </w:r>
      <w:proofErr w:type="spellStart"/>
      <w:r w:rsidRPr="007837F5">
        <w:t>Rixi</w:t>
      </w:r>
      <w:proofErr w:type="spellEnd"/>
      <w:r w:rsidRPr="007837F5">
        <w:t xml:space="preserve">, Foscolo, Lucchini, </w:t>
      </w:r>
      <w:proofErr w:type="spellStart"/>
      <w:r w:rsidRPr="007837F5">
        <w:t>Badole</w:t>
      </w:r>
      <w:proofErr w:type="spellEnd"/>
      <w:r w:rsidRPr="007837F5">
        <w:t xml:space="preserve">, Valbusa, </w:t>
      </w:r>
      <w:proofErr w:type="spellStart"/>
      <w:r w:rsidRPr="007837F5">
        <w:t>Vallotto</w:t>
      </w:r>
      <w:proofErr w:type="spellEnd"/>
      <w:r w:rsidRPr="007837F5">
        <w:t xml:space="preserve">, Maccanti, Donina, Fogliani, </w:t>
      </w:r>
      <w:proofErr w:type="spellStart"/>
      <w:r w:rsidRPr="007837F5">
        <w:t>Furgiuele</w:t>
      </w:r>
      <w:proofErr w:type="spellEnd"/>
      <w:r w:rsidRPr="007837F5">
        <w:t xml:space="preserve">, Giacometti, Tombolato, Zanella, Zordan, Benvenuto, D'Eramo, Dara, Eva Lorenzoni, </w:t>
      </w:r>
      <w:proofErr w:type="spellStart"/>
      <w:r w:rsidRPr="007837F5">
        <w:t>Patassini</w:t>
      </w:r>
      <w:proofErr w:type="spellEnd"/>
      <w:r w:rsidRPr="007837F5">
        <w:t>, Raffaelli; *16.36. Le Relatrici.</w:t>
      </w:r>
    </w:p>
    <w:p w14:paraId="4EB30184" w14:textId="77777777" w:rsidR="007837F5" w:rsidRDefault="007837F5" w:rsidP="007837F5">
      <w:pPr>
        <w:pStyle w:val="Testonotaapidipagina"/>
        <w:jc w:val="both"/>
      </w:pPr>
    </w:p>
  </w:footnote>
  <w:footnote w:id="114">
    <w:p w14:paraId="469EE26D" w14:textId="62962C22" w:rsidR="007837F5" w:rsidRDefault="007837F5">
      <w:pPr>
        <w:pStyle w:val="Testonotaapidipagina"/>
      </w:pPr>
      <w:r>
        <w:rPr>
          <w:rStyle w:val="Rimandonotaapidipagina"/>
        </w:rPr>
        <w:footnoteRef/>
      </w:r>
      <w:r>
        <w:t xml:space="preserve"> </w:t>
      </w:r>
      <w:r w:rsidRPr="007837F5">
        <w:t xml:space="preserve">16.21. (Nuova formulazione) Iezzi, </w:t>
      </w:r>
      <w:proofErr w:type="spellStart"/>
      <w:r w:rsidRPr="007837F5">
        <w:t>Rixi</w:t>
      </w:r>
      <w:proofErr w:type="spellEnd"/>
      <w:r w:rsidRPr="007837F5">
        <w:t xml:space="preserve">, Lucchini, </w:t>
      </w:r>
      <w:proofErr w:type="spellStart"/>
      <w:r w:rsidRPr="007837F5">
        <w:t>Badole</w:t>
      </w:r>
      <w:proofErr w:type="spellEnd"/>
      <w:r w:rsidRPr="007837F5">
        <w:t xml:space="preserve">, Valbusa, </w:t>
      </w:r>
      <w:proofErr w:type="spellStart"/>
      <w:r w:rsidRPr="007837F5">
        <w:t>Vallotto</w:t>
      </w:r>
      <w:proofErr w:type="spellEnd"/>
      <w:r w:rsidRPr="007837F5">
        <w:t xml:space="preserve">, Maccanti, Donina, Fogliani, </w:t>
      </w:r>
      <w:proofErr w:type="spellStart"/>
      <w:r w:rsidRPr="007837F5">
        <w:t>Furgiuele</w:t>
      </w:r>
      <w:proofErr w:type="spellEnd"/>
      <w:r w:rsidRPr="007837F5">
        <w:t xml:space="preserve">, Giacometti, Tombolato, Zanella, Zordan, Benvenuto, D'Eramo, Dara, Eva Lorenzoni, </w:t>
      </w:r>
      <w:proofErr w:type="spellStart"/>
      <w:r w:rsidRPr="007837F5">
        <w:t>Patassini</w:t>
      </w:r>
      <w:proofErr w:type="spellEnd"/>
      <w:r w:rsidRPr="007837F5">
        <w:t>, Raffaelli.</w:t>
      </w:r>
    </w:p>
  </w:footnote>
  <w:footnote w:id="115">
    <w:p w14:paraId="2F80E841" w14:textId="2874120D" w:rsidR="007837F5" w:rsidRDefault="007837F5" w:rsidP="007837F5">
      <w:pPr>
        <w:pStyle w:val="Testonotaapidipagina"/>
      </w:pPr>
      <w:r>
        <w:rPr>
          <w:rStyle w:val="Rimandonotaapidipagina"/>
        </w:rPr>
        <w:footnoteRef/>
      </w:r>
      <w:r>
        <w:t xml:space="preserve"> *16.4. (Nuova formulazione) Lupi; *16.16. (Nuova formulazione) Bruno Bossio, Morassut, Del Basso De Caro; *16.18. (Nuova formulazione) </w:t>
      </w:r>
      <w:proofErr w:type="spellStart"/>
      <w:r>
        <w:t>Rixi</w:t>
      </w:r>
      <w:proofErr w:type="spellEnd"/>
      <w:r>
        <w:t xml:space="preserve">, Lucchini, </w:t>
      </w:r>
      <w:proofErr w:type="spellStart"/>
      <w:r>
        <w:t>Badole</w:t>
      </w:r>
      <w:proofErr w:type="spellEnd"/>
      <w:r>
        <w:t xml:space="preserve">, Benvenuto, D'Eramo, Dara, Eva Lorenzoni, </w:t>
      </w:r>
      <w:proofErr w:type="spellStart"/>
      <w:r>
        <w:t>Patassini</w:t>
      </w:r>
      <w:proofErr w:type="spellEnd"/>
      <w:r>
        <w:t xml:space="preserve">, Raffaelli, Valbusa, </w:t>
      </w:r>
      <w:proofErr w:type="spellStart"/>
      <w:r>
        <w:t>Vallotto</w:t>
      </w:r>
      <w:proofErr w:type="spellEnd"/>
      <w:r>
        <w:t xml:space="preserve">, Maccanti, Capitanio, Donina, Fogliani, </w:t>
      </w:r>
      <w:proofErr w:type="spellStart"/>
      <w:r>
        <w:t>Furgiuele</w:t>
      </w:r>
      <w:proofErr w:type="spellEnd"/>
      <w:r>
        <w:t>, Giacometti, Tombolato, Zanella, Zordan; *16.30. (Nuova formulazione) Mazzetti, Cortelazzo, Labriola, Sozzani, Rosso, Casino, Pentangelo, Ferraioli.</w:t>
      </w:r>
    </w:p>
  </w:footnote>
  <w:footnote w:id="116">
    <w:p w14:paraId="651FF88E" w14:textId="77777777" w:rsidR="00240A1E" w:rsidRDefault="00240A1E">
      <w:pPr>
        <w:pStyle w:val="Testonotaapidipagina"/>
      </w:pPr>
    </w:p>
    <w:p w14:paraId="3DBD44C2" w14:textId="6297570A" w:rsidR="00240A1E" w:rsidRDefault="00240A1E">
      <w:pPr>
        <w:pStyle w:val="Testonotaapidipagina"/>
      </w:pPr>
      <w:r>
        <w:rPr>
          <w:rStyle w:val="Rimandonotaapidipagina"/>
        </w:rPr>
        <w:footnoteRef/>
      </w:r>
      <w:r>
        <w:t xml:space="preserve"> </w:t>
      </w:r>
      <w:r w:rsidRPr="001F6C49">
        <w:t>16.054. Deiana.</w:t>
      </w:r>
    </w:p>
    <w:p w14:paraId="62F311D8" w14:textId="77777777" w:rsidR="007837F5" w:rsidRDefault="007837F5">
      <w:pPr>
        <w:pStyle w:val="Testonotaapidipagina"/>
      </w:pPr>
    </w:p>
  </w:footnote>
  <w:footnote w:id="117">
    <w:p w14:paraId="3C0645D5" w14:textId="77777777" w:rsidR="007837F5" w:rsidRDefault="007837F5" w:rsidP="007837F5">
      <w:pPr>
        <w:pStyle w:val="Testonotaapidipagina"/>
      </w:pPr>
      <w:r>
        <w:rPr>
          <w:rStyle w:val="Rimandonotaapidipagina"/>
        </w:rPr>
        <w:footnoteRef/>
      </w:r>
      <w:r>
        <w:t xml:space="preserve">  **16.09. (Nuova formulazione) Foti, Butti, Rachele Silvestri, </w:t>
      </w:r>
      <w:proofErr w:type="spellStart"/>
      <w:r>
        <w:t>Silvestroni</w:t>
      </w:r>
      <w:proofErr w:type="spellEnd"/>
      <w:r>
        <w:t xml:space="preserve">, Rotelli; **16.013. (Nuova formulazione) Pezzopane, Braga, Buratti, </w:t>
      </w:r>
      <w:proofErr w:type="spellStart"/>
      <w:r>
        <w:t>Morgoni</w:t>
      </w:r>
      <w:proofErr w:type="spellEnd"/>
      <w:r>
        <w:t>, Morassut, Pellicani.</w:t>
      </w:r>
    </w:p>
    <w:p w14:paraId="34EC39A0" w14:textId="57B1CC40" w:rsidR="007837F5" w:rsidRDefault="007837F5" w:rsidP="007837F5">
      <w:pPr>
        <w:pStyle w:val="Testonotaapidipagina"/>
      </w:pPr>
      <w:r>
        <w:t xml:space="preserve">**16.021. (Nuova formulazione) Cortelazzo, Mazzetti, Sozzani, Labriola, Rosso, Casino, Ferraioli, Valentini; **16.048. (Nuova formulazione) Gagliardi, Ruffino; **16.059. (Nuova formulazione) Terzoni, </w:t>
      </w:r>
      <w:proofErr w:type="spellStart"/>
      <w:r>
        <w:t>Sut</w:t>
      </w:r>
      <w:proofErr w:type="spellEnd"/>
      <w:r>
        <w:t xml:space="preserve">, Maraia; **16.062. (Nuova formulazione) </w:t>
      </w:r>
      <w:proofErr w:type="spellStart"/>
      <w:r>
        <w:t>Fregolent</w:t>
      </w:r>
      <w:proofErr w:type="spellEnd"/>
      <w:r>
        <w:t>, Nobili.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022D" w14:textId="7B69B8A7" w:rsidR="00240A1E" w:rsidRDefault="00240A1E"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202E" w14:textId="4BEB9DAC" w:rsidR="00240A1E" w:rsidRPr="00A82891" w:rsidRDefault="00240A1E" w:rsidP="007C573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0B17" w14:textId="4B078AEE" w:rsidR="00240A1E" w:rsidRDefault="00240A1E" w:rsidP="00E257C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 w15:restartNumberingAfterBreak="0">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15:restartNumberingAfterBreak="0">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4" w15:restartNumberingAfterBreak="0">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9" w15:restartNumberingAfterBreak="0">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1" w15:restartNumberingAfterBreak="0">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2"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4" w15:restartNumberingAfterBreak="0">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7" w15:restartNumberingAfterBreak="0">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2" w15:restartNumberingAfterBreak="0">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3" w15:restartNumberingAfterBreak="0">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4" w15:restartNumberingAfterBreak="0">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5" w15:restartNumberingAfterBreak="0">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6" w15:restartNumberingAfterBreak="0">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abstractNumId w:val="2"/>
  </w:num>
  <w:num w:numId="2">
    <w:abstractNumId w:val="12"/>
  </w:num>
  <w:num w:numId="3">
    <w:abstractNumId w:val="10"/>
  </w:num>
  <w:num w:numId="4">
    <w:abstractNumId w:val="7"/>
  </w:num>
  <w:num w:numId="5">
    <w:abstractNumId w:val="18"/>
  </w:num>
  <w:num w:numId="6">
    <w:abstractNumId w:val="4"/>
  </w:num>
  <w:num w:numId="7">
    <w:abstractNumId w:val="20"/>
  </w:num>
  <w:num w:numId="8">
    <w:abstractNumId w:val="17"/>
  </w:num>
  <w:num w:numId="9">
    <w:abstractNumId w:val="9"/>
  </w:num>
  <w:num w:numId="10">
    <w:abstractNumId w:val="6"/>
  </w:num>
  <w:num w:numId="11">
    <w:abstractNumId w:val="5"/>
  </w:num>
  <w:num w:numId="1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9"/>
  </w:num>
  <w:num w:numId="14">
    <w:abstractNumId w:val="26"/>
  </w:num>
  <w:num w:numId="15">
    <w:abstractNumId w:val="24"/>
  </w:num>
  <w:num w:numId="16">
    <w:abstractNumId w:val="22"/>
  </w:num>
  <w:num w:numId="17">
    <w:abstractNumId w:val="21"/>
  </w:num>
  <w:num w:numId="18">
    <w:abstractNumId w:val="3"/>
  </w:num>
  <w:num w:numId="19">
    <w:abstractNumId w:val="23"/>
  </w:num>
  <w:num w:numId="20">
    <w:abstractNumId w:val="13"/>
  </w:num>
  <w:num w:numId="21">
    <w:abstractNumId w:val="0"/>
  </w:num>
  <w:num w:numId="22">
    <w:abstractNumId w:val="1"/>
  </w:num>
  <w:num w:numId="23">
    <w:abstractNumId w:val="8"/>
  </w:num>
  <w:num w:numId="24">
    <w:abstractNumId w:val="11"/>
  </w:num>
  <w:num w:numId="25">
    <w:abstractNumId w:val="16"/>
  </w:num>
  <w:num w:numId="26">
    <w:abstractNumId w:val="25"/>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4F"/>
    <w:rsid w:val="0000283B"/>
    <w:rsid w:val="0000392B"/>
    <w:rsid w:val="00011639"/>
    <w:rsid w:val="00012608"/>
    <w:rsid w:val="0001354D"/>
    <w:rsid w:val="00013B07"/>
    <w:rsid w:val="0001412B"/>
    <w:rsid w:val="00014F29"/>
    <w:rsid w:val="00015276"/>
    <w:rsid w:val="00020E62"/>
    <w:rsid w:val="00025CB0"/>
    <w:rsid w:val="000267C1"/>
    <w:rsid w:val="000312C3"/>
    <w:rsid w:val="000331CC"/>
    <w:rsid w:val="000334E1"/>
    <w:rsid w:val="00033C4F"/>
    <w:rsid w:val="00040E4A"/>
    <w:rsid w:val="00042E03"/>
    <w:rsid w:val="00043185"/>
    <w:rsid w:val="0004407E"/>
    <w:rsid w:val="00051A57"/>
    <w:rsid w:val="000525CC"/>
    <w:rsid w:val="0005286F"/>
    <w:rsid w:val="000548FD"/>
    <w:rsid w:val="00055E6C"/>
    <w:rsid w:val="00056A4A"/>
    <w:rsid w:val="00062B9B"/>
    <w:rsid w:val="00065D85"/>
    <w:rsid w:val="00073239"/>
    <w:rsid w:val="00082471"/>
    <w:rsid w:val="000859DC"/>
    <w:rsid w:val="0009180C"/>
    <w:rsid w:val="00093EF1"/>
    <w:rsid w:val="00095FE5"/>
    <w:rsid w:val="000A078D"/>
    <w:rsid w:val="000A0A41"/>
    <w:rsid w:val="000B30C0"/>
    <w:rsid w:val="000B4E72"/>
    <w:rsid w:val="000B5768"/>
    <w:rsid w:val="000B5D07"/>
    <w:rsid w:val="000C2735"/>
    <w:rsid w:val="000C32B0"/>
    <w:rsid w:val="000C3A15"/>
    <w:rsid w:val="000C45FD"/>
    <w:rsid w:val="000C50F1"/>
    <w:rsid w:val="000C7656"/>
    <w:rsid w:val="000D6B51"/>
    <w:rsid w:val="000D7841"/>
    <w:rsid w:val="000D78D2"/>
    <w:rsid w:val="000E2A19"/>
    <w:rsid w:val="000E58CB"/>
    <w:rsid w:val="000E653E"/>
    <w:rsid w:val="000F53CD"/>
    <w:rsid w:val="000F7413"/>
    <w:rsid w:val="000F7F93"/>
    <w:rsid w:val="00105332"/>
    <w:rsid w:val="00107EE3"/>
    <w:rsid w:val="0011107C"/>
    <w:rsid w:val="00112F2F"/>
    <w:rsid w:val="00113CFE"/>
    <w:rsid w:val="00113F64"/>
    <w:rsid w:val="001157EA"/>
    <w:rsid w:val="00115AA5"/>
    <w:rsid w:val="0012190D"/>
    <w:rsid w:val="00125203"/>
    <w:rsid w:val="00125CBA"/>
    <w:rsid w:val="00126E8F"/>
    <w:rsid w:val="0013117C"/>
    <w:rsid w:val="0013198C"/>
    <w:rsid w:val="00133E8D"/>
    <w:rsid w:val="00134C90"/>
    <w:rsid w:val="00134CFD"/>
    <w:rsid w:val="00134DD7"/>
    <w:rsid w:val="00135CEE"/>
    <w:rsid w:val="00136AAD"/>
    <w:rsid w:val="00137B3F"/>
    <w:rsid w:val="001406E9"/>
    <w:rsid w:val="001413DF"/>
    <w:rsid w:val="00141485"/>
    <w:rsid w:val="001434D9"/>
    <w:rsid w:val="00150DE0"/>
    <w:rsid w:val="0015538C"/>
    <w:rsid w:val="00156165"/>
    <w:rsid w:val="001636BB"/>
    <w:rsid w:val="00165484"/>
    <w:rsid w:val="00166CB1"/>
    <w:rsid w:val="0017004E"/>
    <w:rsid w:val="001718BB"/>
    <w:rsid w:val="00171C64"/>
    <w:rsid w:val="0017636E"/>
    <w:rsid w:val="0017723D"/>
    <w:rsid w:val="00182895"/>
    <w:rsid w:val="00187D36"/>
    <w:rsid w:val="0019195A"/>
    <w:rsid w:val="001927D7"/>
    <w:rsid w:val="00195034"/>
    <w:rsid w:val="001956A3"/>
    <w:rsid w:val="001A1A70"/>
    <w:rsid w:val="001A22CF"/>
    <w:rsid w:val="001A275C"/>
    <w:rsid w:val="001A669C"/>
    <w:rsid w:val="001A749A"/>
    <w:rsid w:val="001B3F84"/>
    <w:rsid w:val="001B687E"/>
    <w:rsid w:val="001C05CB"/>
    <w:rsid w:val="001C0AB0"/>
    <w:rsid w:val="001C56A3"/>
    <w:rsid w:val="001D04E2"/>
    <w:rsid w:val="001D1E46"/>
    <w:rsid w:val="001F378B"/>
    <w:rsid w:val="001F5EA4"/>
    <w:rsid w:val="001F6C49"/>
    <w:rsid w:val="001F6D3A"/>
    <w:rsid w:val="001F75AD"/>
    <w:rsid w:val="0020198A"/>
    <w:rsid w:val="00201A99"/>
    <w:rsid w:val="00201AFD"/>
    <w:rsid w:val="00205D32"/>
    <w:rsid w:val="0020695E"/>
    <w:rsid w:val="0020737D"/>
    <w:rsid w:val="0021022B"/>
    <w:rsid w:val="00211BFD"/>
    <w:rsid w:val="00213445"/>
    <w:rsid w:val="0021358A"/>
    <w:rsid w:val="00214034"/>
    <w:rsid w:val="00215E69"/>
    <w:rsid w:val="00220748"/>
    <w:rsid w:val="0022078B"/>
    <w:rsid w:val="00226A4C"/>
    <w:rsid w:val="002273FB"/>
    <w:rsid w:val="00227FEC"/>
    <w:rsid w:val="00234096"/>
    <w:rsid w:val="00235445"/>
    <w:rsid w:val="00236326"/>
    <w:rsid w:val="00240A1E"/>
    <w:rsid w:val="0024213A"/>
    <w:rsid w:val="00245F0E"/>
    <w:rsid w:val="002513B9"/>
    <w:rsid w:val="00251FEF"/>
    <w:rsid w:val="00252A4F"/>
    <w:rsid w:val="002565F2"/>
    <w:rsid w:val="00262713"/>
    <w:rsid w:val="00262F41"/>
    <w:rsid w:val="00264750"/>
    <w:rsid w:val="002739D4"/>
    <w:rsid w:val="0027465D"/>
    <w:rsid w:val="00276E23"/>
    <w:rsid w:val="00283401"/>
    <w:rsid w:val="00283714"/>
    <w:rsid w:val="002846E6"/>
    <w:rsid w:val="002857B8"/>
    <w:rsid w:val="00285A07"/>
    <w:rsid w:val="002870B4"/>
    <w:rsid w:val="00291278"/>
    <w:rsid w:val="00294ADF"/>
    <w:rsid w:val="0029625E"/>
    <w:rsid w:val="002971FC"/>
    <w:rsid w:val="002A02BE"/>
    <w:rsid w:val="002A0A24"/>
    <w:rsid w:val="002B44C9"/>
    <w:rsid w:val="002C7E0D"/>
    <w:rsid w:val="002D4D31"/>
    <w:rsid w:val="002D6ED1"/>
    <w:rsid w:val="002D7720"/>
    <w:rsid w:val="002E1C7C"/>
    <w:rsid w:val="002E413C"/>
    <w:rsid w:val="002E5F88"/>
    <w:rsid w:val="002F18B4"/>
    <w:rsid w:val="002F2BAA"/>
    <w:rsid w:val="002F7AEC"/>
    <w:rsid w:val="00304A7A"/>
    <w:rsid w:val="003063A8"/>
    <w:rsid w:val="00306E25"/>
    <w:rsid w:val="003078B7"/>
    <w:rsid w:val="0031282F"/>
    <w:rsid w:val="00312DBA"/>
    <w:rsid w:val="003151B6"/>
    <w:rsid w:val="00315935"/>
    <w:rsid w:val="00315F40"/>
    <w:rsid w:val="003169C1"/>
    <w:rsid w:val="00316C2C"/>
    <w:rsid w:val="0031763F"/>
    <w:rsid w:val="003178E9"/>
    <w:rsid w:val="00322A69"/>
    <w:rsid w:val="00322DE9"/>
    <w:rsid w:val="00323F0B"/>
    <w:rsid w:val="0032471E"/>
    <w:rsid w:val="003252E2"/>
    <w:rsid w:val="00325718"/>
    <w:rsid w:val="00327588"/>
    <w:rsid w:val="00327D1A"/>
    <w:rsid w:val="003315DB"/>
    <w:rsid w:val="0033196F"/>
    <w:rsid w:val="003319A5"/>
    <w:rsid w:val="0033250F"/>
    <w:rsid w:val="00341212"/>
    <w:rsid w:val="0034367D"/>
    <w:rsid w:val="00346C59"/>
    <w:rsid w:val="00351552"/>
    <w:rsid w:val="00354FAF"/>
    <w:rsid w:val="0035669D"/>
    <w:rsid w:val="003607B7"/>
    <w:rsid w:val="0036194E"/>
    <w:rsid w:val="00363304"/>
    <w:rsid w:val="00364A97"/>
    <w:rsid w:val="00366E11"/>
    <w:rsid w:val="00372076"/>
    <w:rsid w:val="00375658"/>
    <w:rsid w:val="00377D10"/>
    <w:rsid w:val="003801C6"/>
    <w:rsid w:val="0038105E"/>
    <w:rsid w:val="003905DB"/>
    <w:rsid w:val="00397931"/>
    <w:rsid w:val="003A0287"/>
    <w:rsid w:val="003B1448"/>
    <w:rsid w:val="003B5530"/>
    <w:rsid w:val="003B55CF"/>
    <w:rsid w:val="003B618F"/>
    <w:rsid w:val="003C0333"/>
    <w:rsid w:val="003C13CE"/>
    <w:rsid w:val="003C2822"/>
    <w:rsid w:val="003C382C"/>
    <w:rsid w:val="003C3FF0"/>
    <w:rsid w:val="003D1E5D"/>
    <w:rsid w:val="003D24F9"/>
    <w:rsid w:val="003D2A0B"/>
    <w:rsid w:val="003D492A"/>
    <w:rsid w:val="003D602D"/>
    <w:rsid w:val="003D6F56"/>
    <w:rsid w:val="003E19B6"/>
    <w:rsid w:val="003E35CA"/>
    <w:rsid w:val="003E6C3F"/>
    <w:rsid w:val="003E7840"/>
    <w:rsid w:val="003F032E"/>
    <w:rsid w:val="003F2553"/>
    <w:rsid w:val="003F3306"/>
    <w:rsid w:val="003F51F8"/>
    <w:rsid w:val="004033D2"/>
    <w:rsid w:val="004035C7"/>
    <w:rsid w:val="004041F4"/>
    <w:rsid w:val="00410563"/>
    <w:rsid w:val="00410BE0"/>
    <w:rsid w:val="00410C42"/>
    <w:rsid w:val="0041357C"/>
    <w:rsid w:val="00420460"/>
    <w:rsid w:val="004226BC"/>
    <w:rsid w:val="00422E52"/>
    <w:rsid w:val="00424DB6"/>
    <w:rsid w:val="00434AA2"/>
    <w:rsid w:val="00440F4A"/>
    <w:rsid w:val="00441A04"/>
    <w:rsid w:val="00450D5B"/>
    <w:rsid w:val="004519D7"/>
    <w:rsid w:val="004532C6"/>
    <w:rsid w:val="004545F6"/>
    <w:rsid w:val="00454637"/>
    <w:rsid w:val="00456787"/>
    <w:rsid w:val="0045727A"/>
    <w:rsid w:val="00465F1C"/>
    <w:rsid w:val="00470EC5"/>
    <w:rsid w:val="00473B76"/>
    <w:rsid w:val="004764A8"/>
    <w:rsid w:val="00476F77"/>
    <w:rsid w:val="0048054C"/>
    <w:rsid w:val="00481C8C"/>
    <w:rsid w:val="004832BA"/>
    <w:rsid w:val="0048371F"/>
    <w:rsid w:val="004850A2"/>
    <w:rsid w:val="00487615"/>
    <w:rsid w:val="004A76FE"/>
    <w:rsid w:val="004B288A"/>
    <w:rsid w:val="004B2C45"/>
    <w:rsid w:val="004B4327"/>
    <w:rsid w:val="004B7F8A"/>
    <w:rsid w:val="004C00AE"/>
    <w:rsid w:val="004C04A1"/>
    <w:rsid w:val="004C0C9F"/>
    <w:rsid w:val="004C16CF"/>
    <w:rsid w:val="004C4EA8"/>
    <w:rsid w:val="004C7ECF"/>
    <w:rsid w:val="004D04A9"/>
    <w:rsid w:val="004D0F93"/>
    <w:rsid w:val="004D4424"/>
    <w:rsid w:val="004D533E"/>
    <w:rsid w:val="004D588C"/>
    <w:rsid w:val="004D72A3"/>
    <w:rsid w:val="004D7FDD"/>
    <w:rsid w:val="004E4696"/>
    <w:rsid w:val="004E56A0"/>
    <w:rsid w:val="004E6060"/>
    <w:rsid w:val="004F0EE3"/>
    <w:rsid w:val="004F10BE"/>
    <w:rsid w:val="004F227F"/>
    <w:rsid w:val="004F5448"/>
    <w:rsid w:val="0050205B"/>
    <w:rsid w:val="005028B7"/>
    <w:rsid w:val="00505A7D"/>
    <w:rsid w:val="00507E3D"/>
    <w:rsid w:val="00510FB9"/>
    <w:rsid w:val="005127BF"/>
    <w:rsid w:val="005155CB"/>
    <w:rsid w:val="00516E7D"/>
    <w:rsid w:val="005171AF"/>
    <w:rsid w:val="00522697"/>
    <w:rsid w:val="00523A2C"/>
    <w:rsid w:val="00525326"/>
    <w:rsid w:val="00533418"/>
    <w:rsid w:val="005334F4"/>
    <w:rsid w:val="005345AF"/>
    <w:rsid w:val="00535DE3"/>
    <w:rsid w:val="0053600A"/>
    <w:rsid w:val="00536959"/>
    <w:rsid w:val="00537EE1"/>
    <w:rsid w:val="00541E41"/>
    <w:rsid w:val="0054500D"/>
    <w:rsid w:val="005455B5"/>
    <w:rsid w:val="00553F54"/>
    <w:rsid w:val="00562CBE"/>
    <w:rsid w:val="005705AA"/>
    <w:rsid w:val="0057099F"/>
    <w:rsid w:val="00571386"/>
    <w:rsid w:val="00572BE9"/>
    <w:rsid w:val="0057525D"/>
    <w:rsid w:val="005753C8"/>
    <w:rsid w:val="0058489B"/>
    <w:rsid w:val="00590380"/>
    <w:rsid w:val="00592362"/>
    <w:rsid w:val="005926F7"/>
    <w:rsid w:val="005934CD"/>
    <w:rsid w:val="005A0F9A"/>
    <w:rsid w:val="005B1E86"/>
    <w:rsid w:val="005B3648"/>
    <w:rsid w:val="005B48F7"/>
    <w:rsid w:val="005B4FD5"/>
    <w:rsid w:val="005B74C3"/>
    <w:rsid w:val="005C16F5"/>
    <w:rsid w:val="005C4A39"/>
    <w:rsid w:val="005C7C10"/>
    <w:rsid w:val="005D50F5"/>
    <w:rsid w:val="005D520C"/>
    <w:rsid w:val="005D53A6"/>
    <w:rsid w:val="005E0892"/>
    <w:rsid w:val="005E472D"/>
    <w:rsid w:val="005E72C2"/>
    <w:rsid w:val="005F1255"/>
    <w:rsid w:val="005F1A2D"/>
    <w:rsid w:val="005F27F8"/>
    <w:rsid w:val="005F4267"/>
    <w:rsid w:val="005F5987"/>
    <w:rsid w:val="00602F70"/>
    <w:rsid w:val="006054DE"/>
    <w:rsid w:val="00605EB9"/>
    <w:rsid w:val="00606053"/>
    <w:rsid w:val="0061002C"/>
    <w:rsid w:val="00616C6F"/>
    <w:rsid w:val="006173DE"/>
    <w:rsid w:val="0062159B"/>
    <w:rsid w:val="006225CD"/>
    <w:rsid w:val="00623045"/>
    <w:rsid w:val="00623577"/>
    <w:rsid w:val="0062461F"/>
    <w:rsid w:val="006361BB"/>
    <w:rsid w:val="00644AD8"/>
    <w:rsid w:val="006508D0"/>
    <w:rsid w:val="006517AA"/>
    <w:rsid w:val="00652AF5"/>
    <w:rsid w:val="00652CF5"/>
    <w:rsid w:val="00652DC6"/>
    <w:rsid w:val="00653758"/>
    <w:rsid w:val="0065552E"/>
    <w:rsid w:val="0065699F"/>
    <w:rsid w:val="00656B6D"/>
    <w:rsid w:val="006603A2"/>
    <w:rsid w:val="00660EE5"/>
    <w:rsid w:val="00666366"/>
    <w:rsid w:val="00670FEE"/>
    <w:rsid w:val="00671FC2"/>
    <w:rsid w:val="00677493"/>
    <w:rsid w:val="00677E92"/>
    <w:rsid w:val="00682580"/>
    <w:rsid w:val="006839D6"/>
    <w:rsid w:val="0069179E"/>
    <w:rsid w:val="006973EE"/>
    <w:rsid w:val="006A144C"/>
    <w:rsid w:val="006A1DE0"/>
    <w:rsid w:val="006A579B"/>
    <w:rsid w:val="006B30B2"/>
    <w:rsid w:val="006B56BC"/>
    <w:rsid w:val="006C4C74"/>
    <w:rsid w:val="006D0E25"/>
    <w:rsid w:val="006D1C75"/>
    <w:rsid w:val="006D2F23"/>
    <w:rsid w:val="006E2B63"/>
    <w:rsid w:val="006E302B"/>
    <w:rsid w:val="006E522F"/>
    <w:rsid w:val="006E7E70"/>
    <w:rsid w:val="006F0114"/>
    <w:rsid w:val="006F455D"/>
    <w:rsid w:val="006F56B0"/>
    <w:rsid w:val="006F5E11"/>
    <w:rsid w:val="006F6F3C"/>
    <w:rsid w:val="00704B03"/>
    <w:rsid w:val="007053B8"/>
    <w:rsid w:val="0070663F"/>
    <w:rsid w:val="007156B5"/>
    <w:rsid w:val="007207DA"/>
    <w:rsid w:val="0072446D"/>
    <w:rsid w:val="0072734B"/>
    <w:rsid w:val="007329D0"/>
    <w:rsid w:val="00734D39"/>
    <w:rsid w:val="007364A2"/>
    <w:rsid w:val="00740F55"/>
    <w:rsid w:val="00744976"/>
    <w:rsid w:val="0074650F"/>
    <w:rsid w:val="00747720"/>
    <w:rsid w:val="00747EC8"/>
    <w:rsid w:val="00750EB1"/>
    <w:rsid w:val="00751D46"/>
    <w:rsid w:val="00753E34"/>
    <w:rsid w:val="00754B81"/>
    <w:rsid w:val="0076318E"/>
    <w:rsid w:val="0077029C"/>
    <w:rsid w:val="0077462B"/>
    <w:rsid w:val="007754B1"/>
    <w:rsid w:val="007811E7"/>
    <w:rsid w:val="007831F4"/>
    <w:rsid w:val="007837F5"/>
    <w:rsid w:val="00783AF0"/>
    <w:rsid w:val="00792ADB"/>
    <w:rsid w:val="00793B10"/>
    <w:rsid w:val="00793CC1"/>
    <w:rsid w:val="007A1606"/>
    <w:rsid w:val="007A303D"/>
    <w:rsid w:val="007A35B6"/>
    <w:rsid w:val="007A66FC"/>
    <w:rsid w:val="007B16C8"/>
    <w:rsid w:val="007B3A12"/>
    <w:rsid w:val="007B4730"/>
    <w:rsid w:val="007B5023"/>
    <w:rsid w:val="007B5275"/>
    <w:rsid w:val="007C3B1E"/>
    <w:rsid w:val="007C436B"/>
    <w:rsid w:val="007C573D"/>
    <w:rsid w:val="007C70BC"/>
    <w:rsid w:val="007D14FF"/>
    <w:rsid w:val="007D36E1"/>
    <w:rsid w:val="007D51FE"/>
    <w:rsid w:val="007D7409"/>
    <w:rsid w:val="007D74F4"/>
    <w:rsid w:val="007E1F1F"/>
    <w:rsid w:val="007E4D43"/>
    <w:rsid w:val="007E4F90"/>
    <w:rsid w:val="007E5FDD"/>
    <w:rsid w:val="007F0465"/>
    <w:rsid w:val="007F2DFA"/>
    <w:rsid w:val="007F34E5"/>
    <w:rsid w:val="007F4B1D"/>
    <w:rsid w:val="007F50A8"/>
    <w:rsid w:val="00800796"/>
    <w:rsid w:val="00800D74"/>
    <w:rsid w:val="0080396B"/>
    <w:rsid w:val="008039B2"/>
    <w:rsid w:val="00804187"/>
    <w:rsid w:val="00816A2D"/>
    <w:rsid w:val="00820CB4"/>
    <w:rsid w:val="008246C0"/>
    <w:rsid w:val="00830635"/>
    <w:rsid w:val="008413E2"/>
    <w:rsid w:val="0084772D"/>
    <w:rsid w:val="00850907"/>
    <w:rsid w:val="008533A9"/>
    <w:rsid w:val="00854469"/>
    <w:rsid w:val="008555E4"/>
    <w:rsid w:val="0086411D"/>
    <w:rsid w:val="00873812"/>
    <w:rsid w:val="0088040D"/>
    <w:rsid w:val="00880CE0"/>
    <w:rsid w:val="008857CB"/>
    <w:rsid w:val="00885EE4"/>
    <w:rsid w:val="00891EE5"/>
    <w:rsid w:val="00892983"/>
    <w:rsid w:val="0089371A"/>
    <w:rsid w:val="008978CE"/>
    <w:rsid w:val="008A1436"/>
    <w:rsid w:val="008A15BB"/>
    <w:rsid w:val="008A2963"/>
    <w:rsid w:val="008A2975"/>
    <w:rsid w:val="008A5034"/>
    <w:rsid w:val="008A5AAC"/>
    <w:rsid w:val="008A7373"/>
    <w:rsid w:val="008B2177"/>
    <w:rsid w:val="008C1950"/>
    <w:rsid w:val="008C6A11"/>
    <w:rsid w:val="008D0E7A"/>
    <w:rsid w:val="008D3ABD"/>
    <w:rsid w:val="008D403E"/>
    <w:rsid w:val="008D50F8"/>
    <w:rsid w:val="008D5A12"/>
    <w:rsid w:val="008E1D49"/>
    <w:rsid w:val="008E3353"/>
    <w:rsid w:val="008E3C4F"/>
    <w:rsid w:val="008F0165"/>
    <w:rsid w:val="008F1B4E"/>
    <w:rsid w:val="008F456C"/>
    <w:rsid w:val="008F7901"/>
    <w:rsid w:val="00902675"/>
    <w:rsid w:val="00903114"/>
    <w:rsid w:val="00906464"/>
    <w:rsid w:val="00906668"/>
    <w:rsid w:val="00906D72"/>
    <w:rsid w:val="0090746A"/>
    <w:rsid w:val="00911352"/>
    <w:rsid w:val="009154FE"/>
    <w:rsid w:val="00916000"/>
    <w:rsid w:val="00917B1C"/>
    <w:rsid w:val="0092229A"/>
    <w:rsid w:val="00924250"/>
    <w:rsid w:val="00924849"/>
    <w:rsid w:val="00930666"/>
    <w:rsid w:val="00930989"/>
    <w:rsid w:val="00936B62"/>
    <w:rsid w:val="00936FBB"/>
    <w:rsid w:val="00937028"/>
    <w:rsid w:val="009407F9"/>
    <w:rsid w:val="009413E8"/>
    <w:rsid w:val="00950203"/>
    <w:rsid w:val="00950DD3"/>
    <w:rsid w:val="009511AE"/>
    <w:rsid w:val="00952A50"/>
    <w:rsid w:val="00954A51"/>
    <w:rsid w:val="00954CF6"/>
    <w:rsid w:val="00954E5F"/>
    <w:rsid w:val="00954FA6"/>
    <w:rsid w:val="009553AE"/>
    <w:rsid w:val="00955763"/>
    <w:rsid w:val="00956698"/>
    <w:rsid w:val="0096056C"/>
    <w:rsid w:val="009624C1"/>
    <w:rsid w:val="009636B3"/>
    <w:rsid w:val="00966AE2"/>
    <w:rsid w:val="0097079E"/>
    <w:rsid w:val="00971381"/>
    <w:rsid w:val="00972961"/>
    <w:rsid w:val="00972AC9"/>
    <w:rsid w:val="00974127"/>
    <w:rsid w:val="00977105"/>
    <w:rsid w:val="0099337D"/>
    <w:rsid w:val="00993538"/>
    <w:rsid w:val="00994F45"/>
    <w:rsid w:val="009962ED"/>
    <w:rsid w:val="009963F7"/>
    <w:rsid w:val="009A74B2"/>
    <w:rsid w:val="009B23A9"/>
    <w:rsid w:val="009B2899"/>
    <w:rsid w:val="009B53F9"/>
    <w:rsid w:val="009C53EF"/>
    <w:rsid w:val="009C570D"/>
    <w:rsid w:val="009D4C28"/>
    <w:rsid w:val="009E014F"/>
    <w:rsid w:val="009F11A4"/>
    <w:rsid w:val="009F26AF"/>
    <w:rsid w:val="009F3802"/>
    <w:rsid w:val="009F3C67"/>
    <w:rsid w:val="009F5D98"/>
    <w:rsid w:val="00A00765"/>
    <w:rsid w:val="00A03B51"/>
    <w:rsid w:val="00A03D7B"/>
    <w:rsid w:val="00A06B48"/>
    <w:rsid w:val="00A07323"/>
    <w:rsid w:val="00A07672"/>
    <w:rsid w:val="00A128D4"/>
    <w:rsid w:val="00A16EC0"/>
    <w:rsid w:val="00A16FC1"/>
    <w:rsid w:val="00A20BEE"/>
    <w:rsid w:val="00A21E66"/>
    <w:rsid w:val="00A24F3A"/>
    <w:rsid w:val="00A30BD7"/>
    <w:rsid w:val="00A313F5"/>
    <w:rsid w:val="00A33CDD"/>
    <w:rsid w:val="00A34AE9"/>
    <w:rsid w:val="00A37720"/>
    <w:rsid w:val="00A43B43"/>
    <w:rsid w:val="00A5014D"/>
    <w:rsid w:val="00A51DA0"/>
    <w:rsid w:val="00A5211E"/>
    <w:rsid w:val="00A54685"/>
    <w:rsid w:val="00A55A78"/>
    <w:rsid w:val="00A61AF7"/>
    <w:rsid w:val="00A6378C"/>
    <w:rsid w:val="00A67759"/>
    <w:rsid w:val="00A705D9"/>
    <w:rsid w:val="00A723E4"/>
    <w:rsid w:val="00A75719"/>
    <w:rsid w:val="00A808EB"/>
    <w:rsid w:val="00A82891"/>
    <w:rsid w:val="00A854AD"/>
    <w:rsid w:val="00A918F9"/>
    <w:rsid w:val="00A92EF0"/>
    <w:rsid w:val="00AA11AD"/>
    <w:rsid w:val="00AA120E"/>
    <w:rsid w:val="00AA127C"/>
    <w:rsid w:val="00AA5107"/>
    <w:rsid w:val="00AA706F"/>
    <w:rsid w:val="00AB6F71"/>
    <w:rsid w:val="00AC04E6"/>
    <w:rsid w:val="00AC111B"/>
    <w:rsid w:val="00AC18FC"/>
    <w:rsid w:val="00AC2E79"/>
    <w:rsid w:val="00AC3A3B"/>
    <w:rsid w:val="00AD1B0C"/>
    <w:rsid w:val="00AD3DA4"/>
    <w:rsid w:val="00AD5AFD"/>
    <w:rsid w:val="00AE708D"/>
    <w:rsid w:val="00AF590A"/>
    <w:rsid w:val="00B0286F"/>
    <w:rsid w:val="00B02D0C"/>
    <w:rsid w:val="00B07423"/>
    <w:rsid w:val="00B10817"/>
    <w:rsid w:val="00B10821"/>
    <w:rsid w:val="00B13F9F"/>
    <w:rsid w:val="00B159D2"/>
    <w:rsid w:val="00B16393"/>
    <w:rsid w:val="00B2344F"/>
    <w:rsid w:val="00B23C5F"/>
    <w:rsid w:val="00B2603D"/>
    <w:rsid w:val="00B26435"/>
    <w:rsid w:val="00B32CFF"/>
    <w:rsid w:val="00B32F3D"/>
    <w:rsid w:val="00B32FC9"/>
    <w:rsid w:val="00B34C24"/>
    <w:rsid w:val="00B379AF"/>
    <w:rsid w:val="00B42702"/>
    <w:rsid w:val="00B42FCB"/>
    <w:rsid w:val="00B4529F"/>
    <w:rsid w:val="00B45315"/>
    <w:rsid w:val="00B467E0"/>
    <w:rsid w:val="00B5044F"/>
    <w:rsid w:val="00B51638"/>
    <w:rsid w:val="00B520D6"/>
    <w:rsid w:val="00B522DE"/>
    <w:rsid w:val="00B5230B"/>
    <w:rsid w:val="00B52F6C"/>
    <w:rsid w:val="00B56801"/>
    <w:rsid w:val="00B61054"/>
    <w:rsid w:val="00B62016"/>
    <w:rsid w:val="00B6290E"/>
    <w:rsid w:val="00B645F5"/>
    <w:rsid w:val="00B67116"/>
    <w:rsid w:val="00B67C39"/>
    <w:rsid w:val="00B7653B"/>
    <w:rsid w:val="00B76C9A"/>
    <w:rsid w:val="00B778D4"/>
    <w:rsid w:val="00B82448"/>
    <w:rsid w:val="00B82DA5"/>
    <w:rsid w:val="00B93B12"/>
    <w:rsid w:val="00B95499"/>
    <w:rsid w:val="00BA3423"/>
    <w:rsid w:val="00BA3516"/>
    <w:rsid w:val="00BB2691"/>
    <w:rsid w:val="00BB608C"/>
    <w:rsid w:val="00BB62AF"/>
    <w:rsid w:val="00BC14B9"/>
    <w:rsid w:val="00BC2C29"/>
    <w:rsid w:val="00BC2F2E"/>
    <w:rsid w:val="00BC2F98"/>
    <w:rsid w:val="00BC49F4"/>
    <w:rsid w:val="00BC4B89"/>
    <w:rsid w:val="00BD155F"/>
    <w:rsid w:val="00BD415D"/>
    <w:rsid w:val="00BD4A22"/>
    <w:rsid w:val="00BD52BC"/>
    <w:rsid w:val="00BD6B17"/>
    <w:rsid w:val="00BE1D3A"/>
    <w:rsid w:val="00BE31DC"/>
    <w:rsid w:val="00BE3369"/>
    <w:rsid w:val="00BE3672"/>
    <w:rsid w:val="00BE3C18"/>
    <w:rsid w:val="00BE42ED"/>
    <w:rsid w:val="00BE485A"/>
    <w:rsid w:val="00BE50CB"/>
    <w:rsid w:val="00BE5171"/>
    <w:rsid w:val="00BE5A1B"/>
    <w:rsid w:val="00BE5EE1"/>
    <w:rsid w:val="00BE6A6C"/>
    <w:rsid w:val="00BF1F82"/>
    <w:rsid w:val="00C02901"/>
    <w:rsid w:val="00C051A0"/>
    <w:rsid w:val="00C0623F"/>
    <w:rsid w:val="00C06C02"/>
    <w:rsid w:val="00C12C2F"/>
    <w:rsid w:val="00C13B2F"/>
    <w:rsid w:val="00C14E8D"/>
    <w:rsid w:val="00C2005D"/>
    <w:rsid w:val="00C20DE6"/>
    <w:rsid w:val="00C2564D"/>
    <w:rsid w:val="00C27BE4"/>
    <w:rsid w:val="00C32577"/>
    <w:rsid w:val="00C4624D"/>
    <w:rsid w:val="00C466AF"/>
    <w:rsid w:val="00C50F7C"/>
    <w:rsid w:val="00C51C68"/>
    <w:rsid w:val="00C5243A"/>
    <w:rsid w:val="00C553DF"/>
    <w:rsid w:val="00C65A6F"/>
    <w:rsid w:val="00C76E5E"/>
    <w:rsid w:val="00C77FEA"/>
    <w:rsid w:val="00C86438"/>
    <w:rsid w:val="00C86901"/>
    <w:rsid w:val="00C8754B"/>
    <w:rsid w:val="00C908BC"/>
    <w:rsid w:val="00C91B38"/>
    <w:rsid w:val="00C9381B"/>
    <w:rsid w:val="00C93C0E"/>
    <w:rsid w:val="00C973FC"/>
    <w:rsid w:val="00CA6FB6"/>
    <w:rsid w:val="00CA7386"/>
    <w:rsid w:val="00CB0296"/>
    <w:rsid w:val="00CB2D1D"/>
    <w:rsid w:val="00CB3CA1"/>
    <w:rsid w:val="00CB5E62"/>
    <w:rsid w:val="00CB5F02"/>
    <w:rsid w:val="00CC165B"/>
    <w:rsid w:val="00CC3DC5"/>
    <w:rsid w:val="00CC46ED"/>
    <w:rsid w:val="00CD386D"/>
    <w:rsid w:val="00CE0751"/>
    <w:rsid w:val="00CE5181"/>
    <w:rsid w:val="00CE59FE"/>
    <w:rsid w:val="00CE64F8"/>
    <w:rsid w:val="00CE692C"/>
    <w:rsid w:val="00CE7AE2"/>
    <w:rsid w:val="00CF5ED7"/>
    <w:rsid w:val="00D015AC"/>
    <w:rsid w:val="00D025C8"/>
    <w:rsid w:val="00D03F5F"/>
    <w:rsid w:val="00D13684"/>
    <w:rsid w:val="00D13A58"/>
    <w:rsid w:val="00D16843"/>
    <w:rsid w:val="00D22E40"/>
    <w:rsid w:val="00D25782"/>
    <w:rsid w:val="00D257BE"/>
    <w:rsid w:val="00D26D33"/>
    <w:rsid w:val="00D27808"/>
    <w:rsid w:val="00D3239E"/>
    <w:rsid w:val="00D32F72"/>
    <w:rsid w:val="00D33922"/>
    <w:rsid w:val="00D34A99"/>
    <w:rsid w:val="00D35B55"/>
    <w:rsid w:val="00D43152"/>
    <w:rsid w:val="00D455DA"/>
    <w:rsid w:val="00D50B6A"/>
    <w:rsid w:val="00D52D9C"/>
    <w:rsid w:val="00D542E0"/>
    <w:rsid w:val="00D55161"/>
    <w:rsid w:val="00D6709B"/>
    <w:rsid w:val="00D727AF"/>
    <w:rsid w:val="00D76A6D"/>
    <w:rsid w:val="00D80B36"/>
    <w:rsid w:val="00D854D2"/>
    <w:rsid w:val="00D90935"/>
    <w:rsid w:val="00D90D1C"/>
    <w:rsid w:val="00D920B0"/>
    <w:rsid w:val="00D946FA"/>
    <w:rsid w:val="00DA1D50"/>
    <w:rsid w:val="00DB715D"/>
    <w:rsid w:val="00DC3B6D"/>
    <w:rsid w:val="00DC3FF7"/>
    <w:rsid w:val="00DC77AE"/>
    <w:rsid w:val="00DD1A90"/>
    <w:rsid w:val="00DD243B"/>
    <w:rsid w:val="00DD5954"/>
    <w:rsid w:val="00DD5B05"/>
    <w:rsid w:val="00DD7918"/>
    <w:rsid w:val="00DD7D0F"/>
    <w:rsid w:val="00DE0168"/>
    <w:rsid w:val="00DE23E5"/>
    <w:rsid w:val="00DE294B"/>
    <w:rsid w:val="00DE41E7"/>
    <w:rsid w:val="00DE464B"/>
    <w:rsid w:val="00DE54E2"/>
    <w:rsid w:val="00DE709C"/>
    <w:rsid w:val="00DF1B53"/>
    <w:rsid w:val="00DF1D3E"/>
    <w:rsid w:val="00DF3B3B"/>
    <w:rsid w:val="00DF4C64"/>
    <w:rsid w:val="00DF61F7"/>
    <w:rsid w:val="00DF6578"/>
    <w:rsid w:val="00DF7694"/>
    <w:rsid w:val="00E03A3A"/>
    <w:rsid w:val="00E10939"/>
    <w:rsid w:val="00E10B48"/>
    <w:rsid w:val="00E10C47"/>
    <w:rsid w:val="00E10F35"/>
    <w:rsid w:val="00E11665"/>
    <w:rsid w:val="00E119AB"/>
    <w:rsid w:val="00E12266"/>
    <w:rsid w:val="00E124C9"/>
    <w:rsid w:val="00E129C6"/>
    <w:rsid w:val="00E12D33"/>
    <w:rsid w:val="00E12DC7"/>
    <w:rsid w:val="00E149B5"/>
    <w:rsid w:val="00E20887"/>
    <w:rsid w:val="00E24809"/>
    <w:rsid w:val="00E257C8"/>
    <w:rsid w:val="00E34094"/>
    <w:rsid w:val="00E36BE7"/>
    <w:rsid w:val="00E37BEC"/>
    <w:rsid w:val="00E444DA"/>
    <w:rsid w:val="00E447A6"/>
    <w:rsid w:val="00E44F44"/>
    <w:rsid w:val="00E4730A"/>
    <w:rsid w:val="00E477A5"/>
    <w:rsid w:val="00E52027"/>
    <w:rsid w:val="00E5236F"/>
    <w:rsid w:val="00E52913"/>
    <w:rsid w:val="00E55C7F"/>
    <w:rsid w:val="00E600A5"/>
    <w:rsid w:val="00E714BF"/>
    <w:rsid w:val="00E74D4F"/>
    <w:rsid w:val="00E76304"/>
    <w:rsid w:val="00E7709B"/>
    <w:rsid w:val="00E80AF6"/>
    <w:rsid w:val="00E810E2"/>
    <w:rsid w:val="00E831A3"/>
    <w:rsid w:val="00E8364C"/>
    <w:rsid w:val="00E87237"/>
    <w:rsid w:val="00E94B93"/>
    <w:rsid w:val="00EA41FC"/>
    <w:rsid w:val="00EA6B07"/>
    <w:rsid w:val="00EB108E"/>
    <w:rsid w:val="00EB3B2C"/>
    <w:rsid w:val="00EB45F6"/>
    <w:rsid w:val="00EB6C23"/>
    <w:rsid w:val="00EC1DCD"/>
    <w:rsid w:val="00EC58C7"/>
    <w:rsid w:val="00ED0087"/>
    <w:rsid w:val="00ED3475"/>
    <w:rsid w:val="00EE1DD8"/>
    <w:rsid w:val="00EE4D49"/>
    <w:rsid w:val="00EE5B75"/>
    <w:rsid w:val="00EE5D4B"/>
    <w:rsid w:val="00EE7D35"/>
    <w:rsid w:val="00EF0D42"/>
    <w:rsid w:val="00EF3D6D"/>
    <w:rsid w:val="00EF5680"/>
    <w:rsid w:val="00EF6A37"/>
    <w:rsid w:val="00EF7DC4"/>
    <w:rsid w:val="00EF7E38"/>
    <w:rsid w:val="00F00276"/>
    <w:rsid w:val="00F009FD"/>
    <w:rsid w:val="00F00B1C"/>
    <w:rsid w:val="00F05A11"/>
    <w:rsid w:val="00F11632"/>
    <w:rsid w:val="00F13D70"/>
    <w:rsid w:val="00F1515B"/>
    <w:rsid w:val="00F15206"/>
    <w:rsid w:val="00F164A0"/>
    <w:rsid w:val="00F17175"/>
    <w:rsid w:val="00F25B8E"/>
    <w:rsid w:val="00F25BDF"/>
    <w:rsid w:val="00F305F6"/>
    <w:rsid w:val="00F347CD"/>
    <w:rsid w:val="00F41ECE"/>
    <w:rsid w:val="00F41FA0"/>
    <w:rsid w:val="00F42C0E"/>
    <w:rsid w:val="00F43227"/>
    <w:rsid w:val="00F46BB9"/>
    <w:rsid w:val="00F51528"/>
    <w:rsid w:val="00F516A4"/>
    <w:rsid w:val="00F5379F"/>
    <w:rsid w:val="00F55D5C"/>
    <w:rsid w:val="00F61292"/>
    <w:rsid w:val="00F627C9"/>
    <w:rsid w:val="00F64885"/>
    <w:rsid w:val="00F64921"/>
    <w:rsid w:val="00F65524"/>
    <w:rsid w:val="00F65A63"/>
    <w:rsid w:val="00F6661B"/>
    <w:rsid w:val="00F679DD"/>
    <w:rsid w:val="00F70338"/>
    <w:rsid w:val="00F74A55"/>
    <w:rsid w:val="00F77BB8"/>
    <w:rsid w:val="00F80181"/>
    <w:rsid w:val="00F8139A"/>
    <w:rsid w:val="00F8188D"/>
    <w:rsid w:val="00F83CF7"/>
    <w:rsid w:val="00F86181"/>
    <w:rsid w:val="00F863AD"/>
    <w:rsid w:val="00F86472"/>
    <w:rsid w:val="00F916C7"/>
    <w:rsid w:val="00F96968"/>
    <w:rsid w:val="00FA0928"/>
    <w:rsid w:val="00FA0BE3"/>
    <w:rsid w:val="00FB097F"/>
    <w:rsid w:val="00FB0FF9"/>
    <w:rsid w:val="00FB1830"/>
    <w:rsid w:val="00FB6FCB"/>
    <w:rsid w:val="00FC1832"/>
    <w:rsid w:val="00FC1D7E"/>
    <w:rsid w:val="00FC3D6D"/>
    <w:rsid w:val="00FC5C2F"/>
    <w:rsid w:val="00FC6D35"/>
    <w:rsid w:val="00FD1CFE"/>
    <w:rsid w:val="00FD279C"/>
    <w:rsid w:val="00FD4993"/>
    <w:rsid w:val="00FF21C7"/>
    <w:rsid w:val="00FF2486"/>
    <w:rsid w:val="00FF3505"/>
    <w:rsid w:val="00FF60DE"/>
    <w:rsid w:val="00FF6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D8768"/>
  <w15:docId w15:val="{0DA4E931-978F-4FB7-A6F9-582FFA60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1"/>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paragraph" w:customStyle="1" w:styleId="right">
    <w:name w:val="right"/>
    <w:basedOn w:val="Normale"/>
    <w:rsid w:val="00EA6B0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1986461">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58988316">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49902403">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B8A44-1ADF-47AF-B88E-141BA05C1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86</Pages>
  <Words>35866</Words>
  <Characters>204440</Characters>
  <Application>Microsoft Office Word</Application>
  <DocSecurity>0</DocSecurity>
  <Lines>1703</Lines>
  <Paragraphs>479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Paolo Alessandrini</cp:lastModifiedBy>
  <cp:revision>2</cp:revision>
  <cp:lastPrinted>2019-01-08T11:23:00Z</cp:lastPrinted>
  <dcterms:created xsi:type="dcterms:W3CDTF">2021-10-26T11:10:00Z</dcterms:created>
  <dcterms:modified xsi:type="dcterms:W3CDTF">2021-10-26T11:10:00Z</dcterms:modified>
</cp:coreProperties>
</file>