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48E0FB" w14:textId="77777777" w:rsidR="00F46BB9" w:rsidRPr="00793CC1" w:rsidRDefault="00F46BB9" w:rsidP="00793CC1">
      <w:pPr>
        <w:tabs>
          <w:tab w:val="left" w:pos="993"/>
        </w:tabs>
        <w:spacing w:after="140"/>
        <w:rPr>
          <w:rFonts w:asciiTheme="minorHAnsi" w:hAnsiTheme="minorHAnsi"/>
          <w:sz w:val="24"/>
          <w:szCs w:val="24"/>
        </w:rPr>
      </w:pPr>
    </w:p>
    <w:p w14:paraId="7EEBEBC6" w14:textId="77777777" w:rsidR="00F6661B" w:rsidRPr="00793CC1" w:rsidRDefault="007A3ECE"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w:t>
      </w:r>
      <w:r w:rsidR="002C1B13">
        <w:rPr>
          <w:rFonts w:asciiTheme="minorHAnsi" w:hAnsiTheme="minorHAnsi"/>
          <w:b/>
          <w:color w:val="1D4387"/>
          <w:sz w:val="24"/>
          <w:szCs w:val="24"/>
        </w:rPr>
        <w:t xml:space="preserve">. </w:t>
      </w:r>
      <w:r w:rsidR="000F2249">
        <w:rPr>
          <w:rFonts w:asciiTheme="minorHAnsi" w:hAnsiTheme="minorHAnsi"/>
          <w:b/>
          <w:color w:val="1D4387"/>
          <w:sz w:val="24"/>
          <w:szCs w:val="24"/>
        </w:rPr>
        <w:t>31</w:t>
      </w:r>
      <w:r w:rsidR="00906B80">
        <w:rPr>
          <w:rFonts w:asciiTheme="minorHAnsi" w:hAnsiTheme="minorHAnsi"/>
          <w:b/>
          <w:color w:val="1D4387"/>
          <w:sz w:val="24"/>
          <w:szCs w:val="24"/>
        </w:rPr>
        <w:t>46</w:t>
      </w:r>
    </w:p>
    <w:p w14:paraId="3BC10F07"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244CC6C2"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71B7DA" w14:textId="086C713A" w:rsidR="00EC6F13" w:rsidRDefault="007A3ECE"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roofErr w:type="gramStart"/>
      <w:r>
        <w:rPr>
          <w:rFonts w:asciiTheme="minorHAnsi" w:eastAsia="Times New Roman" w:hAnsiTheme="minorHAnsi" w:cs="Times New Roman"/>
          <w:b/>
          <w:bCs/>
          <w:color w:val="000000" w:themeColor="text1"/>
          <w:sz w:val="24"/>
          <w:szCs w:val="24"/>
          <w:u w:val="single"/>
        </w:rPr>
        <w:t>C.</w:t>
      </w:r>
      <w:r w:rsidR="00EC6F13">
        <w:rPr>
          <w:rFonts w:asciiTheme="minorHAnsi" w:eastAsia="Times New Roman" w:hAnsiTheme="minorHAnsi" w:cs="Times New Roman"/>
          <w:b/>
          <w:bCs/>
          <w:color w:val="000000" w:themeColor="text1"/>
          <w:sz w:val="24"/>
          <w:szCs w:val="24"/>
          <w:u w:val="single"/>
        </w:rPr>
        <w:t>31</w:t>
      </w:r>
      <w:r w:rsidR="004610BB">
        <w:rPr>
          <w:rFonts w:asciiTheme="minorHAnsi" w:eastAsia="Times New Roman" w:hAnsiTheme="minorHAnsi" w:cs="Times New Roman"/>
          <w:b/>
          <w:bCs/>
          <w:color w:val="000000" w:themeColor="text1"/>
          <w:sz w:val="24"/>
          <w:szCs w:val="24"/>
          <w:u w:val="single"/>
        </w:rPr>
        <w:t>46</w:t>
      </w:r>
      <w:r w:rsidR="00D41117">
        <w:rPr>
          <w:rFonts w:asciiTheme="minorHAnsi" w:eastAsia="Times New Roman" w:hAnsiTheme="minorHAnsi" w:cs="Times New Roman"/>
          <w:b/>
          <w:bCs/>
          <w:color w:val="000000" w:themeColor="text1"/>
          <w:sz w:val="24"/>
          <w:szCs w:val="24"/>
          <w:u w:val="single"/>
        </w:rPr>
        <w:t xml:space="preserve">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proofErr w:type="gramEnd"/>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EB5988">
        <w:rPr>
          <w:rFonts w:asciiTheme="minorHAnsi" w:eastAsia="Times New Roman" w:hAnsiTheme="minorHAnsi" w:cs="Times New Roman"/>
          <w:bCs/>
          <w:i/>
          <w:color w:val="000000" w:themeColor="text1"/>
          <w:sz w:val="24"/>
          <w:szCs w:val="24"/>
        </w:rPr>
        <w:t>seduta del</w:t>
      </w:r>
      <w:r w:rsidR="00906B80">
        <w:rPr>
          <w:rFonts w:asciiTheme="minorHAnsi" w:eastAsia="Times New Roman" w:hAnsiTheme="minorHAnsi" w:cs="Times New Roman"/>
          <w:bCs/>
          <w:i/>
          <w:color w:val="000000" w:themeColor="text1"/>
          <w:sz w:val="24"/>
          <w:szCs w:val="24"/>
        </w:rPr>
        <w:t xml:space="preserve"> </w:t>
      </w:r>
      <w:r w:rsidR="00E12229">
        <w:rPr>
          <w:rFonts w:asciiTheme="minorHAnsi" w:eastAsia="Times New Roman" w:hAnsiTheme="minorHAnsi" w:cs="Times New Roman"/>
          <w:bCs/>
          <w:i/>
          <w:color w:val="000000" w:themeColor="text1"/>
          <w:sz w:val="24"/>
          <w:szCs w:val="24"/>
        </w:rPr>
        <w:t>1</w:t>
      </w:r>
      <w:r w:rsidR="007F57C7">
        <w:rPr>
          <w:rFonts w:asciiTheme="minorHAnsi" w:eastAsia="Times New Roman" w:hAnsiTheme="minorHAnsi" w:cs="Times New Roman"/>
          <w:bCs/>
          <w:i/>
          <w:color w:val="000000" w:themeColor="text1"/>
          <w:sz w:val="24"/>
          <w:szCs w:val="24"/>
        </w:rPr>
        <w:t>3</w:t>
      </w:r>
      <w:r w:rsidR="00906B80">
        <w:rPr>
          <w:rFonts w:asciiTheme="minorHAnsi" w:eastAsia="Times New Roman" w:hAnsiTheme="minorHAnsi" w:cs="Times New Roman"/>
          <w:bCs/>
          <w:i/>
          <w:color w:val="000000" w:themeColor="text1"/>
          <w:sz w:val="24"/>
          <w:szCs w:val="24"/>
        </w:rPr>
        <w:t xml:space="preserve"> luglio 2021, le C</w:t>
      </w:r>
      <w:r w:rsidR="00906B80" w:rsidRPr="00906B80">
        <w:rPr>
          <w:rFonts w:asciiTheme="minorHAnsi" w:eastAsia="Times New Roman" w:hAnsiTheme="minorHAnsi" w:cs="Times New Roman"/>
          <w:bCs/>
          <w:i/>
          <w:color w:val="000000" w:themeColor="text1"/>
          <w:sz w:val="24"/>
          <w:szCs w:val="24"/>
        </w:rPr>
        <w:t xml:space="preserve">ommissioni riunite 1ª (Affari costituzionali) e 8ª (Ambiente, territorio e lavori pubblici) </w:t>
      </w:r>
      <w:r w:rsidR="00906B80">
        <w:rPr>
          <w:rFonts w:asciiTheme="minorHAnsi" w:eastAsia="Times New Roman" w:hAnsiTheme="minorHAnsi" w:cs="Times New Roman"/>
          <w:bCs/>
          <w:i/>
          <w:color w:val="000000" w:themeColor="text1"/>
          <w:sz w:val="24"/>
          <w:szCs w:val="24"/>
        </w:rPr>
        <w:t xml:space="preserve">riunite </w:t>
      </w:r>
      <w:r w:rsidR="00906B80" w:rsidRPr="00906B80">
        <w:rPr>
          <w:rFonts w:asciiTheme="minorHAnsi" w:eastAsia="Times New Roman" w:hAnsiTheme="minorHAnsi" w:cs="Times New Roman"/>
          <w:bCs/>
          <w:i/>
          <w:color w:val="000000" w:themeColor="text1"/>
          <w:sz w:val="24"/>
          <w:szCs w:val="24"/>
        </w:rPr>
        <w:t>in sede referente</w:t>
      </w:r>
      <w:r w:rsidR="004162E1">
        <w:rPr>
          <w:rFonts w:asciiTheme="minorHAnsi" w:eastAsia="Times New Roman" w:hAnsiTheme="minorHAnsi" w:cs="Times New Roman"/>
          <w:bCs/>
          <w:i/>
          <w:color w:val="000000" w:themeColor="text1"/>
          <w:sz w:val="24"/>
          <w:szCs w:val="24"/>
        </w:rPr>
        <w:t>,</w:t>
      </w:r>
      <w:r w:rsidR="00906B80">
        <w:rPr>
          <w:rFonts w:asciiTheme="minorHAnsi" w:eastAsia="Times New Roman" w:hAnsiTheme="minorHAnsi" w:cs="Times New Roman"/>
          <w:bCs/>
          <w:i/>
          <w:color w:val="000000" w:themeColor="text1"/>
          <w:sz w:val="24"/>
          <w:szCs w:val="24"/>
        </w:rPr>
        <w:t xml:space="preserve"> hanno approvato alcuni emendamenti al testo del decreto-legge.</w:t>
      </w:r>
    </w:p>
    <w:p w14:paraId="15A6E297" w14:textId="400D5A0D" w:rsidR="00EC6F13" w:rsidRPr="000D3441" w:rsidRDefault="00EB5988"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6A2914" w:rsidRPr="000D3441">
        <w:rPr>
          <w:rFonts w:asciiTheme="minorHAnsi" w:eastAsia="Times New Roman" w:hAnsiTheme="minorHAnsi" w:cs="Times New Roman"/>
          <w:bCs/>
          <w:i/>
          <w:color w:val="000000" w:themeColor="text1"/>
          <w:sz w:val="24"/>
          <w:szCs w:val="24"/>
        </w:rPr>
        <w:t xml:space="preserve"> l’articolato del </w:t>
      </w:r>
      <w:proofErr w:type="spellStart"/>
      <w:r w:rsidR="00415E3A">
        <w:rPr>
          <w:rFonts w:asciiTheme="minorHAnsi" w:eastAsia="Times New Roman" w:hAnsiTheme="minorHAnsi" w:cs="Times New Roman"/>
          <w:bCs/>
          <w:i/>
          <w:color w:val="000000" w:themeColor="text1"/>
          <w:sz w:val="24"/>
          <w:szCs w:val="24"/>
        </w:rPr>
        <w:t>ddl</w:t>
      </w:r>
      <w:proofErr w:type="spellEnd"/>
      <w:r w:rsidR="00415E3A">
        <w:rPr>
          <w:rFonts w:asciiTheme="minorHAnsi" w:eastAsia="Times New Roman" w:hAnsiTheme="minorHAnsi" w:cs="Times New Roman"/>
          <w:bCs/>
          <w:i/>
          <w:color w:val="000000" w:themeColor="text1"/>
          <w:sz w:val="24"/>
          <w:szCs w:val="24"/>
        </w:rPr>
        <w:t xml:space="preserve"> e del </w:t>
      </w:r>
      <w:r w:rsidR="00906B80">
        <w:rPr>
          <w:rFonts w:asciiTheme="minorHAnsi" w:eastAsia="Times New Roman" w:hAnsiTheme="minorHAnsi" w:cs="Times New Roman"/>
          <w:bCs/>
          <w:i/>
          <w:color w:val="000000" w:themeColor="text1"/>
          <w:sz w:val="24"/>
          <w:szCs w:val="24"/>
        </w:rPr>
        <w:t>decreto-legge</w:t>
      </w:r>
      <w:r w:rsidR="00CF781C" w:rsidRPr="000D3441">
        <w:rPr>
          <w:rFonts w:asciiTheme="minorHAnsi" w:eastAsia="Times New Roman" w:hAnsiTheme="minorHAnsi" w:cs="Times New Roman"/>
          <w:bCs/>
          <w:i/>
          <w:color w:val="000000" w:themeColor="text1"/>
          <w:sz w:val="24"/>
          <w:szCs w:val="24"/>
        </w:rPr>
        <w:t xml:space="preserve"> con in evidenza</w:t>
      </w:r>
      <w:r w:rsidR="007F57C7">
        <w:rPr>
          <w:rFonts w:asciiTheme="minorHAnsi" w:eastAsia="Times New Roman" w:hAnsiTheme="minorHAnsi" w:cs="Times New Roman"/>
          <w:bCs/>
          <w:i/>
          <w:color w:val="000000" w:themeColor="text1"/>
          <w:sz w:val="24"/>
          <w:szCs w:val="24"/>
        </w:rPr>
        <w:t xml:space="preserve"> tutte</w:t>
      </w:r>
      <w:r w:rsidR="00CF781C" w:rsidRPr="000D3441">
        <w:rPr>
          <w:rFonts w:asciiTheme="minorHAnsi" w:eastAsia="Times New Roman" w:hAnsiTheme="minorHAnsi" w:cs="Times New Roman"/>
          <w:bCs/>
          <w:i/>
          <w:color w:val="000000" w:themeColor="text1"/>
          <w:sz w:val="24"/>
          <w:szCs w:val="24"/>
        </w:rPr>
        <w:t xml:space="preserve"> le modifiche apportate</w:t>
      </w:r>
      <w:r w:rsidR="00EC6F13" w:rsidRPr="000D3441">
        <w:rPr>
          <w:rFonts w:asciiTheme="minorHAnsi" w:eastAsia="Times New Roman" w:hAnsiTheme="minorHAnsi" w:cs="Times New Roman"/>
          <w:bCs/>
          <w:i/>
          <w:color w:val="000000" w:themeColor="text1"/>
          <w:sz w:val="24"/>
          <w:szCs w:val="24"/>
        </w:rPr>
        <w:t xml:space="preserve"> dall</w:t>
      </w:r>
      <w:r w:rsidR="00415E3A">
        <w:rPr>
          <w:rFonts w:asciiTheme="minorHAnsi" w:eastAsia="Times New Roman" w:hAnsiTheme="minorHAnsi" w:cs="Times New Roman"/>
          <w:bCs/>
          <w:i/>
          <w:color w:val="000000" w:themeColor="text1"/>
          <w:sz w:val="24"/>
          <w:szCs w:val="24"/>
        </w:rPr>
        <w:t>e</w:t>
      </w:r>
      <w:r w:rsidR="00EC6F13" w:rsidRPr="000D3441">
        <w:rPr>
          <w:rFonts w:asciiTheme="minorHAnsi" w:eastAsia="Times New Roman" w:hAnsiTheme="minorHAnsi" w:cs="Times New Roman"/>
          <w:bCs/>
          <w:i/>
          <w:color w:val="000000" w:themeColor="text1"/>
          <w:sz w:val="24"/>
          <w:szCs w:val="24"/>
        </w:rPr>
        <w:t xml:space="preserve"> Commission</w:t>
      </w:r>
      <w:r w:rsidR="00415E3A">
        <w:rPr>
          <w:rFonts w:asciiTheme="minorHAnsi" w:eastAsia="Times New Roman" w:hAnsiTheme="minorHAnsi" w:cs="Times New Roman"/>
          <w:bCs/>
          <w:i/>
          <w:color w:val="000000" w:themeColor="text1"/>
          <w:sz w:val="24"/>
          <w:szCs w:val="24"/>
        </w:rPr>
        <w:t>i riunite</w:t>
      </w:r>
      <w:r>
        <w:rPr>
          <w:rFonts w:asciiTheme="minorHAnsi" w:eastAsia="Times New Roman" w:hAnsiTheme="minorHAnsi" w:cs="Times New Roman"/>
          <w:bCs/>
          <w:i/>
          <w:color w:val="000000" w:themeColor="text1"/>
          <w:sz w:val="24"/>
          <w:szCs w:val="24"/>
        </w:rPr>
        <w:t>.</w:t>
      </w:r>
      <w:r w:rsidR="00906B80">
        <w:rPr>
          <w:rFonts w:asciiTheme="minorHAnsi" w:eastAsia="Times New Roman" w:hAnsiTheme="minorHAnsi" w:cs="Times New Roman"/>
          <w:bCs/>
          <w:i/>
          <w:color w:val="000000" w:themeColor="text1"/>
          <w:sz w:val="24"/>
          <w:szCs w:val="24"/>
        </w:rPr>
        <w:t xml:space="preserve"> </w:t>
      </w:r>
    </w:p>
    <w:p w14:paraId="561E7941" w14:textId="500D41B7" w:rsidR="00EB5988" w:rsidRPr="00EB5988" w:rsidRDefault="00EB5988" w:rsidP="00EB5988">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bookmarkStart w:id="0" w:name="_Hlk77151780"/>
      <w:r w:rsidRPr="00EB5988">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EB5988">
        <w:rPr>
          <w:rFonts w:asciiTheme="minorHAnsi" w:eastAsia="Times New Roman" w:hAnsiTheme="minorHAnsi" w:cs="Times New Roman"/>
          <w:b/>
          <w:bCs/>
          <w:color w:val="000000" w:themeColor="text1"/>
          <w:sz w:val="24"/>
          <w:szCs w:val="24"/>
        </w:rPr>
        <w:t>grassetto</w:t>
      </w:r>
      <w:r w:rsidRPr="00EB5988">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EB5988">
        <w:rPr>
          <w:rFonts w:asciiTheme="minorHAnsi" w:eastAsia="Times New Roman" w:hAnsiTheme="minorHAnsi" w:cs="Times New Roman"/>
          <w:color w:val="000000" w:themeColor="text1"/>
          <w:sz w:val="24"/>
          <w:szCs w:val="24"/>
        </w:rPr>
        <w:t>Eventuali</w:t>
      </w:r>
      <w:r w:rsidRPr="00EB5988">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EB5988">
        <w:rPr>
          <w:rFonts w:asciiTheme="minorHAnsi" w:eastAsia="Times New Roman" w:hAnsiTheme="minorHAnsi" w:cs="Times New Roman"/>
          <w:color w:val="000000" w:themeColor="text1"/>
          <w:sz w:val="24"/>
          <w:szCs w:val="24"/>
        </w:rPr>
        <w:t>A piè di pagina si riportano i riferimenti della proposta di modifica approvata.</w:t>
      </w:r>
    </w:p>
    <w:bookmarkEnd w:id="0"/>
    <w:p w14:paraId="3E4F7DC4" w14:textId="77777777" w:rsidR="00EC6F13" w:rsidRPr="000D3441" w:rsidRDefault="00EC6F13"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A98A9EA"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DISEGNO DI LEGGE</w:t>
      </w:r>
    </w:p>
    <w:p w14:paraId="1DBB2417"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F645508"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w:t>
      </w:r>
    </w:p>
    <w:p w14:paraId="371EE31B"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6FB5C6C"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convertito in legge il decreto-legge 31 maggio 2021, n. 77, recante governance del Piano nazionale di ripresa e resilienza e prime misure di rafforzamento delle strutture amministrative e di accelerazione e snellimento delle procedure.</w:t>
      </w:r>
    </w:p>
    <w:p w14:paraId="64157E5D" w14:textId="77777777" w:rsidR="008E13AB"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9D9B8A"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1-bis. Al fine di monitorare l'efficace attuazione dei progetti previsti dal Piano nazionale di ripresa e resilienza (PNRR) e il rispetto dei termini entro i quali i progetti medesimi devono essere completati sulla base del calendario concordato con le istituzioni europee, il Governo fornisce alle Commissioni parlamentari competenti le informazioni e i documenti utili per esercitare il controllo sull'attuazione del PNRR e del Piano nazionale per gli investimenti complementari al PNRR di cui al decreto-legge 6 maggio 2021, n. 59, convertito, con modificazioni, dalla legge 1° luglio 2021, n. 101.</w:t>
      </w:r>
    </w:p>
    <w:p w14:paraId="6464CA3B"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  1-ter. Il Governo fornisce altresì alle Commissioni parlamentari competenti i dati, gli atti, le informazioni e i documenti necessari allo svolgimento dei loro compiti, anche al fine di prevenire, di rilevare e di correggere eventuali criticità relative all'attuazione del PNRR.</w:t>
      </w:r>
    </w:p>
    <w:p w14:paraId="09AF361E"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lastRenderedPageBreak/>
        <w:t>  1-quater. Il Governo trasmette, inoltre, alle Commissioni parlamentari competenti i documenti, riguardanti le materie di competenza delle medesime, inviati agli organi dell'Unione europea relativamente all'attuazione del PNRR.</w:t>
      </w:r>
    </w:p>
    <w:p w14:paraId="21BBD9F8"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  1-quinquies. Sulla base delle informazioni ricevute e dell'attività istruttoria svolta, anche in forma congiunta, con le modalità definite dalle intese di cui al comma 1-septies, le Commissioni parlamentari competenti:</w:t>
      </w:r>
    </w:p>
    <w:p w14:paraId="3EA5B3FE" w14:textId="77777777" w:rsidR="008E13AB" w:rsidRPr="00FF4353" w:rsidRDefault="008E13AB" w:rsidP="008E13AB">
      <w:pPr>
        <w:jc w:val="both"/>
        <w:rPr>
          <w:rFonts w:asciiTheme="minorHAnsi" w:hAnsiTheme="minorHAnsi"/>
          <w:b/>
          <w:bCs/>
          <w:color w:val="000000" w:themeColor="text1"/>
          <w:sz w:val="24"/>
          <w:szCs w:val="24"/>
        </w:rPr>
      </w:pPr>
    </w:p>
    <w:p w14:paraId="75F6FA40"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   a) monitorano lo stato di realizzazione del PNRR e i progressi compiuti nella sua attuazione, anche con riferimento alle singole misure, con particolare attenzione al rispetto e al raggiungimento degli obiettivi inerenti alle priorità trasversali del medesimo Piano, quali il clima, il digitale, la riduzione dei divari territoriali, la parità di genere e i giovani;</w:t>
      </w:r>
    </w:p>
    <w:p w14:paraId="1EEB676E" w14:textId="77777777" w:rsidR="008E13AB" w:rsidRPr="00FF4353" w:rsidRDefault="008E13AB" w:rsidP="008E13AB">
      <w:pPr>
        <w:jc w:val="both"/>
        <w:rPr>
          <w:rFonts w:asciiTheme="minorHAnsi" w:hAnsiTheme="minorHAnsi"/>
          <w:b/>
          <w:bCs/>
          <w:color w:val="000000" w:themeColor="text1"/>
          <w:sz w:val="24"/>
          <w:szCs w:val="24"/>
        </w:rPr>
      </w:pPr>
    </w:p>
    <w:p w14:paraId="47EBBC4E"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   b) formulano osservazioni ed esprimono valutazioni utili ai fini della migliore attuazione del PNRR nei tempi previsti.</w:t>
      </w:r>
    </w:p>
    <w:p w14:paraId="39A3D1E8" w14:textId="77777777" w:rsidR="008E13AB" w:rsidRPr="00FF4353" w:rsidRDefault="008E13AB" w:rsidP="008E13AB">
      <w:pPr>
        <w:jc w:val="both"/>
        <w:rPr>
          <w:rFonts w:asciiTheme="minorHAnsi" w:hAnsiTheme="minorHAnsi"/>
          <w:b/>
          <w:bCs/>
          <w:color w:val="000000" w:themeColor="text1"/>
          <w:sz w:val="24"/>
          <w:szCs w:val="24"/>
        </w:rPr>
      </w:pPr>
    </w:p>
    <w:p w14:paraId="5CB87564"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  1-sexies. Le Camere possono stipulare con il Ministero dell'economia e delle finanze una convenzione per disciplinare le modalità di fruizione dei dati di monitoraggio rilevati dal Sistema informativo unitario «</w:t>
      </w:r>
      <w:proofErr w:type="spellStart"/>
      <w:r w:rsidRPr="00FF4353">
        <w:rPr>
          <w:rFonts w:asciiTheme="minorHAnsi" w:hAnsiTheme="minorHAnsi"/>
          <w:b/>
          <w:bCs/>
          <w:color w:val="000000" w:themeColor="text1"/>
          <w:sz w:val="24"/>
          <w:szCs w:val="24"/>
        </w:rPr>
        <w:t>ReGiS</w:t>
      </w:r>
      <w:proofErr w:type="spellEnd"/>
      <w:r w:rsidRPr="00FF4353">
        <w:rPr>
          <w:rFonts w:asciiTheme="minorHAnsi" w:hAnsiTheme="minorHAnsi"/>
          <w:b/>
          <w:bCs/>
          <w:color w:val="000000" w:themeColor="text1"/>
          <w:sz w:val="24"/>
          <w:szCs w:val="24"/>
        </w:rPr>
        <w:t>».</w:t>
      </w:r>
    </w:p>
    <w:p w14:paraId="2B7C5B71"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  1-septies. I Presidenti della Camera dei deputati e del Senato della Repubblica, al fine di favorire lo svolgimento congiunto dell'attività istruttoria utile al controllo parlamentare e di potenziare la capacità di approfondimento dei profili tecnici della contabilità e della finanza pubblica da parte delle Commissioni parlamentari competenti, adottano intese volte a promuovere le attività delle Camere, anche in forma congiunta, nonché l'integrazione delle attività svolte dalle rispettive strutture di supporto tecnico.</w:t>
      </w:r>
      <w:r>
        <w:rPr>
          <w:rStyle w:val="Rimandonotaapidipagina"/>
          <w:rFonts w:asciiTheme="minorHAnsi" w:hAnsiTheme="minorHAnsi"/>
          <w:b/>
          <w:bCs/>
          <w:color w:val="000000" w:themeColor="text1"/>
          <w:sz w:val="24"/>
          <w:szCs w:val="24"/>
        </w:rPr>
        <w:footnoteReference w:id="1"/>
      </w:r>
    </w:p>
    <w:p w14:paraId="5CCCB6EC" w14:textId="77777777" w:rsidR="008E13AB" w:rsidRPr="00EF5B01"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925068"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La presente legge entra in vigore il giorno successivo a quello della sua pubblicazione nella Gazzetta Ufficiale.</w:t>
      </w:r>
    </w:p>
    <w:p w14:paraId="6C2362FF" w14:textId="77777777" w:rsidR="008E13AB" w:rsidRPr="00EF5B01"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99B9D7"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87B217B" w14:textId="77777777" w:rsidR="000F2249"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Decreto-legge 31 maggio 2021, n. 77, pubblicato nella Gazzetta Ufficiale n. 129 del 31 maggio </w:t>
      </w:r>
      <w:proofErr w:type="gramStart"/>
      <w:r w:rsidRPr="00EF5B01">
        <w:rPr>
          <w:rFonts w:asciiTheme="minorHAnsi" w:eastAsia="Times New Roman" w:hAnsiTheme="minorHAnsi" w:cs="Times New Roman"/>
          <w:bCs/>
          <w:iCs/>
          <w:color w:val="000000" w:themeColor="text1"/>
          <w:sz w:val="24"/>
          <w:szCs w:val="24"/>
        </w:rPr>
        <w:t>2021.(</w:t>
      </w:r>
      <w:proofErr w:type="gramEnd"/>
      <w:r w:rsidRPr="00EF5B01">
        <w:rPr>
          <w:rFonts w:asciiTheme="minorHAnsi" w:eastAsia="Times New Roman" w:hAnsiTheme="minorHAnsi" w:cs="Times New Roman"/>
          <w:bCs/>
          <w:iCs/>
          <w:color w:val="000000" w:themeColor="text1"/>
          <w:sz w:val="24"/>
          <w:szCs w:val="24"/>
        </w:rPr>
        <w:t>*)</w:t>
      </w:r>
    </w:p>
    <w:p w14:paraId="66C0443F"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907198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Si veda anche l'Avviso di rettifica pubblicato nella Gazzetta Ufficiale n. 130 del 1° giugno 2021.</w:t>
      </w:r>
    </w:p>
    <w:p w14:paraId="206C08F2"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9FF3C5"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257ADD2"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8B448C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w:t>
      </w:r>
    </w:p>
    <w:p w14:paraId="2759AF8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GOVERNANCE PER IL PNRR</w:t>
      </w:r>
    </w:p>
    <w:p w14:paraId="36AF735C"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3E9556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297F41F7"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COORDINAMENTO, GESTIONE, ATTUAZIONE, MONITORAGGIO E CONTROLLO DEL PNRR</w:t>
      </w:r>
    </w:p>
    <w:p w14:paraId="121274E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91A8E8A"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w:t>
      </w:r>
    </w:p>
    <w:p w14:paraId="3ADB23D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(Princìpi, finalità e definizioni)</w:t>
      </w:r>
    </w:p>
    <w:p w14:paraId="03F9E1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3B2D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definisce il quadro normativo nazionale finalizzato a semplificare e agevolare la realizzazione dei traguardi e degli obiettivi stabiliti dal Piano Nazionale di Ripresa e Resilienza, di cui al regolamento (UE) 2021/241 del Parlamento europeo e del Consiglio del 12 febbraio 2021, dal Piano nazionale per gli investimenti complementari di cui al decreto-legge 6 maggio 2021, n. 59, nonché dal Piano Nazionale Integrato per l'Energia e il Clima 2030 di cui al Regolamento (UE) 2018/1999 del Parlamento europeo e del Consiglio dell'11 dicembre 2018.</w:t>
      </w:r>
    </w:p>
    <w:p w14:paraId="0D5AC9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 presente decreto e della sua attuazione assume preminente valore l'interesse nazionale alla sollecita e puntuale realizzazione degli interventi inclusi nei Piani indicati al comma 1, nel pieno rispetto degli standard e delle priorità dell'Unione europea in materia di clima e di ambiente.</w:t>
      </w:r>
    </w:p>
    <w:p w14:paraId="6EE894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Le disposizioni contenute nel presente decreto, in quanto direttamente attuative degli obblighi assunti in esecuzione del Regolamento (UE) 2021/241, sono adottate nell'esercizio della competenza legislativa esclusiva in materia di rapporti dello Stato con l'Unione europea di cui all'articolo 117, secondo comma, lettera a), della Costituzione e definiscono, ai sensi dell'art. 117, secondo comma, lettera m) della </w:t>
      </w:r>
      <w:r w:rsidRPr="00EF5B01">
        <w:rPr>
          <w:rFonts w:asciiTheme="minorHAnsi" w:eastAsia="Times New Roman" w:hAnsiTheme="minorHAnsi" w:cs="Times New Roman"/>
          <w:bCs/>
          <w:iCs/>
          <w:color w:val="000000" w:themeColor="text1"/>
          <w:sz w:val="24"/>
          <w:szCs w:val="24"/>
        </w:rPr>
        <w:lastRenderedPageBreak/>
        <w:t>Costituzione, livelli essenziali delle prestazioni concernenti i diritti civili e sociali che devono essere garantiti su tutto il territorio nazionale.</w:t>
      </w:r>
    </w:p>
    <w:p w14:paraId="6B9FF3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Ai fini del presente decreto si intende per:</w:t>
      </w:r>
    </w:p>
    <w:p w14:paraId="7242D1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7029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«Cabina di regia», organo con poteri di indirizzo politico, impulso e coordinamento generale sull'attuazione degli interventi del PNRR;</w:t>
      </w:r>
    </w:p>
    <w:p w14:paraId="52049A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9C66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«Fondo di Rotazione del Next Generation EU-Italia», il fondo di cui all'articolo 1, comma 1037 e seguenti della legge 30 dicembre 2020, n. 178;</w:t>
      </w:r>
    </w:p>
    <w:p w14:paraId="2C05C9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1181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«PNC», Piano nazionale per gli investimenti complementari al PNRR, di cui all'articolo 1 del decreto-legge 6 maggio 2021, n. 59, finalizzato ad integrare con risorse nazionali gli interventi del PNRR;</w:t>
      </w:r>
    </w:p>
    <w:p w14:paraId="3BA7F1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EE9B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«PNRR», il Piano nazionale di ripresa e resilienza presentato alla Commissione europea ai sensi dell'articolo 18 e seguenti del Regolamento (UE) 2021/241;</w:t>
      </w:r>
    </w:p>
    <w:p w14:paraId="40E215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67F6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«interventi del PNRR», gli investimenti e le riforme previste dal Piano Nazionale di Ripresa e Resilienza;</w:t>
      </w:r>
    </w:p>
    <w:p w14:paraId="7B5B2C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D49C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«Regolamento (UE) 2021/241», regolamento del Parlamento europeo e del Consiglio del 12 febbraio 2021 che istituisce il dispositivo per la ripresa e la resilienza;</w:t>
      </w:r>
    </w:p>
    <w:p w14:paraId="3E88D8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E399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«Segreteria tecnica», struttura costituita presso la Presidenza del Consiglio dei ministri per il supporto alle attività della Cabina di regia e del Tavolo permanente;</w:t>
      </w:r>
    </w:p>
    <w:p w14:paraId="108A5D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2497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«Semestre europeo», il processo definito all'articolo 2 bis del Regolamento (CE) n. 1466/97;</w:t>
      </w:r>
    </w:p>
    <w:p w14:paraId="41E55B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F345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«Servizio centrale per il PNRR», struttura dirigenziale di livello generale istituita presso il Ministero dell'Economia e delle Finanze – Dipartimento della Ragioneria Generale dello Stato;</w:t>
      </w:r>
    </w:p>
    <w:p w14:paraId="0DB420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5F45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   l) «amministrazioni centrali titolari di interventi previsti nel PNRR», Ministeri e strutture della Presidenza del Consiglio dei ministri responsabili dell'attuazione delle riforme e degli investimenti previsti nel PNRR;</w:t>
      </w:r>
    </w:p>
    <w:p w14:paraId="2C042F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A867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«Sistema Nazionale di e-Procurement», il sistema di cui all'articolo 1, comma 1 del decreto legge 6 luglio 2012, n. 95, convertito con modificazioni dalla 7 agosto 2012, n. 135.</w:t>
      </w:r>
    </w:p>
    <w:p w14:paraId="52869E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8A4E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   n) «Sogei S.p.A.», la Società Generale d'Informatica S.p.A. di cui all' articolo 83, comma 15, del decreto-legge 25 giugno 2008, n. 112, convertito, con modificazioni, dalla legge 6 agosto 2008, n. 133, società in house del Ministero dell'Economia e delle Finanze;</w:t>
      </w:r>
    </w:p>
    <w:p w14:paraId="01F7E4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F8D9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   o) «soggetti attuatori», soggetti pubblici o privati che provvedono alla realizzazione degli interventi previsti dal PNRR;</w:t>
      </w:r>
    </w:p>
    <w:p w14:paraId="6EAABD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25A4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   p) «Tavolo permanente» il Tavolo permanente per il partenariato economico, sociale e territoriale, organo con funzioni consultive nelle materie e per le questioni connesse all'attuazione del PNRR;</w:t>
      </w:r>
    </w:p>
    <w:p w14:paraId="6A1D02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F9A5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   q) «Unità di audit», struttura che svolge attività di controllo sull'attuazione del PNRR ai sensi del Regolamento (UE) 2021/241;</w:t>
      </w:r>
    </w:p>
    <w:p w14:paraId="05533F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B5AF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   r) «Unità di missione», l'Unità di missione di cui all'articolo 1, comma 1050 della Legge 30 dicembre 2020, n. 178, struttura che svolge funzioni di valutazione e monitoraggio degli interventi del PNRR;</w:t>
      </w:r>
    </w:p>
    <w:p w14:paraId="062B54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562C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   s) «PNIEC», Piano nazionale integrato per l'energia e clima, predisposto in attuazione del Regolamento (UE) 2018/1999 del Parlamento europeo e del Consiglio, dell'11 dicembre 2018.</w:t>
      </w:r>
    </w:p>
    <w:p w14:paraId="5008A2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3BCDC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w:t>
      </w:r>
    </w:p>
    <w:p w14:paraId="6F51A407"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(Cabina di regia)</w:t>
      </w:r>
    </w:p>
    <w:p w14:paraId="2A0E99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311D09" w14:textId="77777777" w:rsidR="003C2650" w:rsidRPr="00141F00" w:rsidRDefault="00EF5B01" w:rsidP="003C2650">
      <w:pPr>
        <w:jc w:val="both"/>
        <w:rPr>
          <w:rFonts w:asciiTheme="minorHAnsi" w:hAnsiTheme="minorHAnsi"/>
          <w:b/>
          <w:b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È istituita presso la Presidenza del Consiglio dei ministri la Cabina di regia per il Piano nazionale di ripresa e resilienza, presieduta dal Presidente del Consiglio dei ministri, alla quale partecipano i Ministri e i Sottosegretari di Stato alla Presidenza del Consiglio dei ministri competenti in ragione delle tematiche </w:t>
      </w:r>
      <w:r w:rsidRPr="00EF5B01">
        <w:rPr>
          <w:rFonts w:asciiTheme="minorHAnsi" w:eastAsia="Times New Roman" w:hAnsiTheme="minorHAnsi" w:cs="Times New Roman"/>
          <w:bCs/>
          <w:iCs/>
          <w:color w:val="000000" w:themeColor="text1"/>
          <w:sz w:val="24"/>
          <w:szCs w:val="24"/>
        </w:rPr>
        <w:lastRenderedPageBreak/>
        <w:t>affrontate in ciascuna seduta.</w:t>
      </w:r>
      <w:r w:rsidR="003C2650" w:rsidRPr="003C2650">
        <w:rPr>
          <w:rFonts w:asciiTheme="minorHAnsi" w:hAnsiTheme="minorHAnsi"/>
          <w:b/>
          <w:bCs/>
          <w:color w:val="000000" w:themeColor="text1"/>
          <w:sz w:val="24"/>
          <w:szCs w:val="24"/>
        </w:rPr>
        <w:t xml:space="preserve"> </w:t>
      </w:r>
      <w:r w:rsidR="003C2650" w:rsidRPr="00141F00">
        <w:rPr>
          <w:rFonts w:asciiTheme="minorHAnsi" w:hAnsiTheme="minorHAnsi"/>
          <w:b/>
          <w:bCs/>
          <w:color w:val="000000" w:themeColor="text1"/>
          <w:sz w:val="24"/>
          <w:szCs w:val="24"/>
        </w:rPr>
        <w:t>In relazione alle specifiche esigenze connesse alla necessità di assicurare la continuità dell'azione amministrativa, garantendo l'apporto delle professionalità adeguate al raggiungimento degli obiettivi riferiti al Piano di cui al presente comma, per il medesimo periodo in cui resta operativa la Cabina di regia di cui al primo periodo e comunque non oltre il 31 dicembre 2026, è sospesa l'applicazione di disposizioni che, con riguardo al personale che a qualunque titolo presta la propria attività lavorativa presso le amministrazioni di cui all'articolo 1, comma 2, del decreto legislativo 30 marzo 2001, n. 165, con esclusione del personale che ha raggiunto il limite di età per il collocamento a riposo dei dipendenti pubblici, titolari di interventi previsti nel PNRR, ovvero nel Piano nazionale per gli investimenti complementari di cui all'articolo 1 del decreto-legge 6 maggio 2021, n. 59, convertito, con modificazioni dalla legge 1° luglio 2021, n., 101, determinano il rientro del medesimo personale presso l'amministrazione statale di provenienza. Resta ferma la possibilità di revoca dell'incarico, o di non rinnovo dello stesso, ai sensi della vigente disciplina.</w:t>
      </w:r>
      <w:r w:rsidR="003C2650">
        <w:rPr>
          <w:rStyle w:val="Rimandonotaapidipagina"/>
          <w:rFonts w:asciiTheme="minorHAnsi" w:hAnsiTheme="minorHAnsi"/>
          <w:b/>
          <w:bCs/>
          <w:color w:val="000000" w:themeColor="text1"/>
          <w:sz w:val="24"/>
          <w:szCs w:val="24"/>
        </w:rPr>
        <w:footnoteReference w:id="2"/>
      </w:r>
    </w:p>
    <w:p w14:paraId="303397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22E91" w14:textId="77777777" w:rsidR="00EF5B01" w:rsidRPr="00EF5B01" w:rsidRDefault="00EF5B01" w:rsidP="003C2650">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La Cabina di regia esercita poteri di indirizzo, impulso e coordinamento generale sull'attuazione degli interventi del PNRR. </w:t>
      </w:r>
      <w:r w:rsidR="003C2650" w:rsidRPr="00141F00">
        <w:rPr>
          <w:rFonts w:asciiTheme="minorHAnsi" w:hAnsiTheme="minorHAnsi"/>
          <w:b/>
          <w:bCs/>
          <w:color w:val="000000" w:themeColor="text1"/>
          <w:sz w:val="24"/>
          <w:szCs w:val="24"/>
        </w:rPr>
        <w:t>Fermo restando quanto previsto dall'articolo 2 della legge 23 agosto 1988, n. 400,</w:t>
      </w:r>
      <w:r w:rsidR="003C2650">
        <w:rPr>
          <w:rStyle w:val="Rimandonotaapidipagina"/>
          <w:rFonts w:asciiTheme="minorHAnsi" w:hAnsiTheme="minorHAnsi"/>
          <w:b/>
          <w:bCs/>
          <w:color w:val="000000" w:themeColor="text1"/>
          <w:sz w:val="24"/>
          <w:szCs w:val="24"/>
        </w:rPr>
        <w:footnoteReference w:id="3"/>
      </w:r>
      <w:r w:rsidR="003C2650">
        <w:rPr>
          <w:rFonts w:asciiTheme="minorHAnsi" w:hAnsiTheme="minorHAnsi"/>
          <w:b/>
          <w:bCs/>
          <w:color w:val="000000" w:themeColor="text1"/>
          <w:sz w:val="24"/>
          <w:szCs w:val="24"/>
        </w:rPr>
        <w:t xml:space="preserve"> </w:t>
      </w:r>
      <w:r w:rsidR="003C2650">
        <w:rPr>
          <w:rFonts w:asciiTheme="minorHAnsi" w:hAnsiTheme="minorHAnsi"/>
          <w:color w:val="000000" w:themeColor="text1"/>
          <w:sz w:val="24"/>
          <w:szCs w:val="24"/>
        </w:rPr>
        <w:t>i</w:t>
      </w:r>
      <w:r w:rsidRPr="00EF5B01">
        <w:rPr>
          <w:rFonts w:asciiTheme="minorHAnsi" w:eastAsia="Times New Roman" w:hAnsiTheme="minorHAnsi" w:cs="Times New Roman"/>
          <w:bCs/>
          <w:iCs/>
          <w:color w:val="000000" w:themeColor="text1"/>
          <w:sz w:val="24"/>
          <w:szCs w:val="24"/>
        </w:rPr>
        <w:t>l Presidente del Consiglio dei ministri può delegare a un Ministro o a un Sottosegretario di Stato alla Presidenza del Consiglio dei ministri lo svolgimento di specifiche attività. La Cabina di regia in particolare:</w:t>
      </w:r>
    </w:p>
    <w:p w14:paraId="59D14D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A5D5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elabora indirizzi e linee guida per l'attuazione degli interventi del PNRR, anche con riferimento ai rapporti con i diversi livelli territoriali;</w:t>
      </w:r>
    </w:p>
    <w:p w14:paraId="6E081F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B0E9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effettua la ricognizione periodica e puntuale sullo stato di attuazione degli interventi, anche mediante la formulazione di indirizzi specifici sull'attività di monitoraggio e controllo svolta dal Servizio centrale per il PNRR, di cui all'articolo 6;</w:t>
      </w:r>
    </w:p>
    <w:p w14:paraId="45F31C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8B83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esamina, previa istruttoria della Segreteria tecnica di cui all'articolo 4, le tematiche e gli specifici profili di criticità segnalati dai Ministri competenti per materia e, con riferimento alle questioni di competenza regionale o locale dal Ministro per gli affari regionali e le autonomie e dalla Conferenza delle regioni e delle province autonome;</w:t>
      </w:r>
    </w:p>
    <w:p w14:paraId="754EBF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27BB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effettua, anche avvalendosi dell'Ufficio per il programma di governo, il monitoraggio degli interventi che richiedono adempimenti normativi e segnala all'Unità per la razionalizzazione e il miglioramento della regolazione di cui all'articolo 5 l'eventuale necessità di interventi normativi idonei a garantire il rispetto dei tempi di attuazione;</w:t>
      </w:r>
    </w:p>
    <w:p w14:paraId="34633D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490B2B" w14:textId="77777777" w:rsidR="00EF5B01" w:rsidRPr="00EF5B01" w:rsidRDefault="00EF5B01" w:rsidP="00577838">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trasmette alle Camere con cadenza semestrale, per il tramite del Ministro per i rapporti con il Parlamento, una relazione sullo stato di attuazione del PNRR, recante le informazioni di cui all'articolo 1, comma 1045, della legge 30 dicembre 2020, n. 178, nonché, anche su richiesta delle Commissioni parlamentari, ogni elemento utile a valutare lo stato di avanzamento degli interventi, il loro impatto e l'efficacia rispetto agli obiettivi perseguiti</w:t>
      </w:r>
      <w:r w:rsidR="00577838" w:rsidRPr="00294063">
        <w:rPr>
          <w:rFonts w:asciiTheme="minorHAnsi" w:hAnsiTheme="minorHAnsi"/>
          <w:b/>
          <w:bCs/>
          <w:color w:val="000000" w:themeColor="text1"/>
          <w:sz w:val="24"/>
          <w:szCs w:val="24"/>
        </w:rPr>
        <w:t>, con specifico riguardo alle politiche di sostegno per l'occupazione e per l'integrazione socio-economica dei giovani, alla parità di genere e alla partecipazione delle donne al mercato del lavoro</w:t>
      </w:r>
      <w:r w:rsidR="00577838">
        <w:rPr>
          <w:rStyle w:val="Rimandonotaapidipagina"/>
          <w:rFonts w:asciiTheme="minorHAnsi" w:hAnsiTheme="minorHAnsi"/>
          <w:b/>
          <w:bCs/>
          <w:color w:val="000000" w:themeColor="text1"/>
          <w:sz w:val="24"/>
          <w:szCs w:val="24"/>
        </w:rPr>
        <w:footnoteReference w:id="4"/>
      </w:r>
      <w:r w:rsidRPr="00EF5B01">
        <w:rPr>
          <w:rFonts w:asciiTheme="minorHAnsi" w:eastAsia="Times New Roman" w:hAnsiTheme="minorHAnsi" w:cs="Times New Roman"/>
          <w:bCs/>
          <w:iCs/>
          <w:color w:val="000000" w:themeColor="text1"/>
          <w:sz w:val="24"/>
          <w:szCs w:val="24"/>
        </w:rPr>
        <w:t>;</w:t>
      </w:r>
    </w:p>
    <w:p w14:paraId="333E60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FCFD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aggiorna periodicamente il Consiglio dei ministri sullo stato di avanzamento degli interventi del PNRR;</w:t>
      </w:r>
    </w:p>
    <w:p w14:paraId="568415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45BAC9" w14:textId="77777777" w:rsidR="00EF5B01" w:rsidRPr="00422F9D"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F5B01">
        <w:rPr>
          <w:rFonts w:asciiTheme="minorHAnsi" w:eastAsia="Times New Roman" w:hAnsiTheme="minorHAnsi" w:cs="Times New Roman"/>
          <w:bCs/>
          <w:iCs/>
          <w:color w:val="000000" w:themeColor="text1"/>
          <w:sz w:val="24"/>
          <w:szCs w:val="24"/>
        </w:rPr>
        <w:t>   </w:t>
      </w:r>
      <w:r w:rsidRPr="00422F9D">
        <w:rPr>
          <w:rFonts w:asciiTheme="minorHAnsi" w:eastAsia="Times New Roman" w:hAnsiTheme="minorHAnsi" w:cs="Times New Roman"/>
          <w:bCs/>
          <w:iCs/>
          <w:strike/>
          <w:color w:val="000000" w:themeColor="text1"/>
          <w:sz w:val="24"/>
          <w:szCs w:val="24"/>
          <w:highlight w:val="yellow"/>
        </w:rPr>
        <w:t>g) trasmette, per il tramite del Ministro per gli affari regionali e le autonomie, la relazione periodica di cui alla lettera precedente alla Conferenza unificata, la quale è costantemente aggiornata dal Ministro per gli affari regionali e le autonomie circa lo stato di avanzamento degli interventi e le eventuali criticità attuative;</w:t>
      </w:r>
    </w:p>
    <w:p w14:paraId="221B6BEA" w14:textId="77777777" w:rsidR="00422F9D" w:rsidRPr="00294063" w:rsidRDefault="00422F9D" w:rsidP="00422F9D">
      <w:pPr>
        <w:jc w:val="both"/>
        <w:rPr>
          <w:rFonts w:asciiTheme="minorHAnsi" w:hAnsiTheme="minorHAnsi"/>
          <w:b/>
          <w:bCs/>
          <w:color w:val="000000" w:themeColor="text1"/>
          <w:sz w:val="24"/>
          <w:szCs w:val="24"/>
        </w:rPr>
      </w:pPr>
      <w:r w:rsidRPr="00294063">
        <w:rPr>
          <w:rFonts w:asciiTheme="minorHAnsi" w:hAnsiTheme="minorHAnsi"/>
          <w:b/>
          <w:bCs/>
          <w:color w:val="000000" w:themeColor="text1"/>
          <w:sz w:val="24"/>
          <w:szCs w:val="24"/>
        </w:rPr>
        <w:t xml:space="preserve">   g) trasmette, per il tramite, rispettivamente, del Ministro per gli affari regionali e le autonomie e della Segreteria tecnica di cui all'articolo 4 del presente decreto, la relazione periodica di cui alla lettera e) del presente comma alla Conferenza unificata di cui all'articolo 8 del decreto legislativo 28 agosto 1997, n. 281, e al Tavolo permanente di cui all'articolo 3 del presente decreto, i quali sono </w:t>
      </w:r>
      <w:r w:rsidRPr="00294063">
        <w:rPr>
          <w:rFonts w:asciiTheme="minorHAnsi" w:hAnsiTheme="minorHAnsi"/>
          <w:b/>
          <w:bCs/>
          <w:color w:val="000000" w:themeColor="text1"/>
          <w:sz w:val="24"/>
          <w:szCs w:val="24"/>
        </w:rPr>
        <w:lastRenderedPageBreak/>
        <w:t>costantemente aggiornati dagli stessi circa lo stato di avanzamento degli interventi e le eventuali criticità attuative;</w:t>
      </w:r>
      <w:r>
        <w:rPr>
          <w:rStyle w:val="Rimandonotaapidipagina"/>
          <w:rFonts w:asciiTheme="minorHAnsi" w:hAnsiTheme="minorHAnsi"/>
          <w:b/>
          <w:bCs/>
          <w:color w:val="000000" w:themeColor="text1"/>
          <w:sz w:val="24"/>
          <w:szCs w:val="24"/>
        </w:rPr>
        <w:footnoteReference w:id="5"/>
      </w:r>
    </w:p>
    <w:p w14:paraId="1107C1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promuove il coordinamento tra i diversi livelli di governo e propone, ove ne ricorrano le condizioni, l'attivazione dei poteri sostitutivi di cui all'articolo 12;</w:t>
      </w:r>
    </w:p>
    <w:p w14:paraId="71842A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696E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assicura la cooperazione con il partenariato economico, sociale e territoriale mediante il Tavolo permanente di cui all'articolo 3;</w:t>
      </w:r>
    </w:p>
    <w:p w14:paraId="45B3BC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602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promuove attività di informazione e comunicazione coerente con l'articolo 34 del Regolamento (UE) 2021/241.</w:t>
      </w:r>
    </w:p>
    <w:p w14:paraId="3371A1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55364E" w14:textId="77777777" w:rsidR="00EF5B01" w:rsidRPr="00EF5B01" w:rsidRDefault="00EF5B01" w:rsidP="00422F9D">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Alle sedute della Cabina di regia partecipano i Presidenti di Regioni e delle Province autonome di Trento e di Bolzano quando sono esaminate questioni di competenza di una singola regione o provincia autonoma, ovvero il Presidente della Conferenza delle regioni e delle province autonome, quando sono esaminate questioni che riguardano più regioni o province autonome</w:t>
      </w:r>
      <w:r w:rsidR="00422F9D" w:rsidRPr="00294063">
        <w:rPr>
          <w:rFonts w:asciiTheme="minorHAnsi" w:hAnsiTheme="minorHAnsi"/>
          <w:b/>
          <w:bCs/>
          <w:color w:val="000000" w:themeColor="text1"/>
          <w:sz w:val="24"/>
          <w:szCs w:val="24"/>
        </w:rPr>
        <w:t>, ovvero il Presidente dell'ANCI e il Presidente dell'UPI quando sono esaminate questioni di interesse locale</w:t>
      </w:r>
      <w:r w:rsidR="00422F9D">
        <w:rPr>
          <w:rStyle w:val="Rimandonotaapidipagina"/>
          <w:rFonts w:asciiTheme="minorHAnsi" w:hAnsiTheme="minorHAnsi"/>
          <w:b/>
          <w:bCs/>
          <w:color w:val="000000" w:themeColor="text1"/>
          <w:sz w:val="24"/>
          <w:szCs w:val="24"/>
        </w:rPr>
        <w:footnoteReference w:id="6"/>
      </w:r>
      <w:r w:rsidRPr="00EF5B01">
        <w:rPr>
          <w:rFonts w:asciiTheme="minorHAnsi" w:eastAsia="Times New Roman" w:hAnsiTheme="minorHAnsi" w:cs="Times New Roman"/>
          <w:bCs/>
          <w:iCs/>
          <w:color w:val="000000" w:themeColor="text1"/>
          <w:sz w:val="24"/>
          <w:szCs w:val="24"/>
        </w:rPr>
        <w:t>; in tali casi alla seduta partecipa sempre il Ministro per gli affari regionali e le autonomie, che può presiederla su delega del Presidente del Consiglio dei ministri. Alle sedute della Cabina di regia possono essere inoltre invitati, in dipendenza della tematica affrontata, i rappresentanti dei soggetti attuatori e dei rispettivi organismi associativi e i referenti o rappresentanti del partenariato economico e sociale.</w:t>
      </w:r>
    </w:p>
    <w:p w14:paraId="451125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Comitato interministeriale per la transizione digitale di cui all'articolo 8 del decreto 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e il Comitato interministeriale per la transizione ecologica di cui all'articolo 57-bis del decreto legislativo 3 aprile 2006, n. 152, svolgono, sull'attuazione degli interventi del PNRR, nelle materie di rispettiva competenza, le funzioni di indirizzo, impulso e coordinamento tecnico, tenendo informata la Cabina di regia che ha la facoltà di partecipare </w:t>
      </w:r>
      <w:r w:rsidRPr="00EF5B01">
        <w:rPr>
          <w:rFonts w:asciiTheme="minorHAnsi" w:eastAsia="Times New Roman" w:hAnsiTheme="minorHAnsi" w:cs="Times New Roman"/>
          <w:bCs/>
          <w:iCs/>
          <w:color w:val="000000" w:themeColor="text1"/>
          <w:sz w:val="24"/>
          <w:szCs w:val="24"/>
        </w:rPr>
        <w:lastRenderedPageBreak/>
        <w:t>attraverso un delegato. Le amministrazioni centrali titolari di interventi previsti nel PNRR possono sottoporre alla Cabina di regia l'esame delle questioni che non hanno trovato soluzione all'interno del Comitato interministeriale.</w:t>
      </w:r>
    </w:p>
    <w:p w14:paraId="3DE5FC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Negli ambiti in cui le funzioni statali di programmazione e attuazione degli investimenti previsti nel PNRR e nel Piano nazionale complementare al PNRR richiedano il coordinamento con l'esercizio delle competenze costituzionalmente attribuite alle regioni, alle province autonome di Trento e di Bolzano e agli enti locali, e al fine di assicurarne l'armonizzazione con gli indirizzi della Cabina di regia di cui al comma 2, del Comitato sulla transizione ecologica di cui all'art. 57-bis del decreto legislativo 3 aprile 2006, n. 152 e del Comitato interministeriale per transizione digitale di cui all'articolo 8, comma 2,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il Ministro per gli affari regionali e le autonomie partecipa alle sedute della Cabina di regia e dei Comitati predetti e, su impulso di questi, promuove le conseguenti iniziative anche in sede di Conferenza permanente per i rapporti tra lo Stato, le regioni e le province autonome di Trento e Bolzano nonché di Conferenza unificata. Nei casi di cui al primo periodo, quando si tratta di materie nelle quali le regioni e le province autonome vantano uno specifico interesse, ai predetti Comitati partecipa anche il Presidente della Conferenza delle regioni e delle province autonome.</w:t>
      </w:r>
    </w:p>
    <w:p w14:paraId="3B027E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All'articolo 57-bis, comma 7, del decreto legislativo 3 aprile 2006, n. 152 le parole «composto da un rappresentante della Presidenza del Consiglio dei ministri» sono sostituite dalle seguenti: «composto da due rappresentanti della Presidenza del Consiglio dei ministri, di cui uno nominato dal Ministro per gli affari regionali e le autonomie,».</w:t>
      </w:r>
    </w:p>
    <w:p w14:paraId="69BF76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2621F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w:t>
      </w:r>
    </w:p>
    <w:p w14:paraId="5EF3189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(Tavolo permanente per il partenariato economico, sociale e territoriale)</w:t>
      </w:r>
    </w:p>
    <w:p w14:paraId="2F023F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5B4B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è istituito il Tavolo permanente per il partenariato economico, sociale e territoriale, composto da rappresentanti delle parti sociali, del Governo, delle Regioni, delle Province autonome di Trento e di Bolzano, degli Enti locali e dei rispettivi organismi associativi, delle categorie produttive e sociali, del sistema dell'università e della ricerca e della società civile. I componenti sono individuati secondo un criterio di maggiore rappresentatività e agli stessi non spettano compensi, gettoni di presenza, rimborsi di spese o altri emolumenti comunque denominati.</w:t>
      </w:r>
    </w:p>
    <w:p w14:paraId="3D6696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Tavolo permanente svolge funzioni consultive nelle materie e per le questioni connesse all'attuazione del PNRR. Il Tavolo permanente può segnalare collaborativamente alla Cabina di regia di cui all'articolo 2 e al Servizio centrale per il PNRR di cui all'articolo 6 ogni profilo ritenuto rilevante per la realizzazione del PNRR anche al fine di favorire il superamento di circostanze ostative e agevolare l'efficace e celere attuazione degli interventi.</w:t>
      </w:r>
    </w:p>
    <w:p w14:paraId="23B738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F08C7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4.</w:t>
      </w:r>
    </w:p>
    <w:p w14:paraId="1549D2EE"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(Segreteria tecnica presso la Presidenza del Consiglio dei ministri)</w:t>
      </w:r>
    </w:p>
    <w:p w14:paraId="4C2DA7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73B5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ai sensi dell'articolo 7, comma 4, del decreto legislativo 30 luglio 1999, n. 303 è costituita una struttura con funzioni di segreteria tecnica per il supporto alle attività della Cabina di regia e del Tavolo permanente, la cui durata temporanea è superiore a quella del Governo che la istituisce e si protrae fino al completamento del PNRR e comunque non oltre il 31 dicembre 2026. La Segreteria tecnica opera in raccordo con il Dipartimento per il coordinamento amministrativo, il Dipartimento per la programmazione e il coordinamento della politica economica e l'Ufficio per il programma di governo.</w:t>
      </w:r>
    </w:p>
    <w:p w14:paraId="07F975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Segreteria tecnica di cui al presente articolo:</w:t>
      </w:r>
    </w:p>
    <w:p w14:paraId="0819E1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E38F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supporta la Cabina di regia e il Tavolo permanente nell'esercizio delle rispettive funzioni;</w:t>
      </w:r>
    </w:p>
    <w:p w14:paraId="2C1611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9BED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elabora periodici rapporti informativi alla Cabina di regia sulla base dell'analisi e degli esiti del monitoraggio sull'attuazione del PNRR comunicati dal Ministero dell'economia e delle finanze – Dipartimento della Ragioneria Generale dello Stato;</w:t>
      </w:r>
    </w:p>
    <w:p w14:paraId="29E542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42E8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individua e segnala al Presidente del Consiglio dei ministri le azioni utili al superamento delle criticità segnalate dai Ministri competenti per materia;</w:t>
      </w:r>
    </w:p>
    <w:p w14:paraId="30D9D8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4482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acquisisce dal Servizio centrale per il PNRR di cui all'articolo 6, le informazioni e i dati di attuazione del PNRR a livello di ciascun progetto, ivi compresi quelli relativi al rispetto della tempistica programmata ed a eventuali criticità rilevate nella fase di attuazione degli interventi;</w:t>
      </w:r>
    </w:p>
    <w:p w14:paraId="4F443B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B97C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ove ne ricorrano le condizioni all'esito dell'istruttoria svolta, segnala al Presidente del Consiglio dei ministri i casi da valutare ai fini dell'eventuale esercizio dei poteri sostitutivi di cui all'articolo 12;</w:t>
      </w:r>
    </w:p>
    <w:p w14:paraId="71F7A2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D19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istruisce i procedimenti relativi all'adozione di decisioni finalizzate al superamento del dissenso di cui all'articolo 13 e all'articolo 44.</w:t>
      </w:r>
    </w:p>
    <w:p w14:paraId="11301A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6638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Per le finalità di cui al presente articolo è autorizzata la spesa di euro 200.000 per l'anno 2021 e di euro 400.000 per ciascuno degli anni dal 2022 al 2026, aggiuntivi rispetto agli eventuali ulteriori </w:t>
      </w:r>
      <w:r w:rsidRPr="00EF5B01">
        <w:rPr>
          <w:rFonts w:asciiTheme="minorHAnsi" w:eastAsia="Times New Roman" w:hAnsiTheme="minorHAnsi" w:cs="Times New Roman"/>
          <w:bCs/>
          <w:iCs/>
          <w:color w:val="000000" w:themeColor="text1"/>
          <w:sz w:val="24"/>
          <w:szCs w:val="24"/>
        </w:rPr>
        <w:lastRenderedPageBreak/>
        <w:t>stanziamenti che verranno definiti a valere sul bilancio autonomo della Presidenza del Consiglio dei Ministri, ai sensi dell'art. 7, comma 4, del decreto legislativo. 30 luglio 1999, n. 303. Ai relativi oneri si provvede ai sensi dell'articolo 16.</w:t>
      </w:r>
    </w:p>
    <w:p w14:paraId="559A22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26177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w:t>
      </w:r>
    </w:p>
    <w:p w14:paraId="715E1DF8"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(Unità per la razionalizzazione e il miglioramento della regolazione e Ufficio per la semplificazione)</w:t>
      </w:r>
    </w:p>
    <w:p w14:paraId="42B09D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9F61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la Presidenza del Consiglio dei ministri è istituita una struttura di missione denominata Unità per la razionalizzazione e il miglioramento della regolazione.</w:t>
      </w:r>
    </w:p>
    <w:p w14:paraId="59702E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L'Unità, costituita nell'ambito del Dipartimento per gli affari giuridici e legislativi, ha durata temporanea superiore a quella del Governo che la istituisce e si protrae fino al completamento del PNRR e comunque non oltre il 31 dicembre 2026. All'Unità è assegnato un contingente di personale, nei limiti delle risorse di cui al comma 4. L'Unità opera in raccordo con il gruppo di lavoro sull'analisi d'impatto della regolamentazione (AIR) del Nucleo, istituito presso la Presidenza del Consiglio dei ministri, ai sensi dell'articolo 1 della legge 17 maggio 1999, n. 144.</w:t>
      </w:r>
    </w:p>
    <w:p w14:paraId="3FC44B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svolge i seguenti compiti:</w:t>
      </w:r>
    </w:p>
    <w:p w14:paraId="689449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DB54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individua, sulla base delle segnalazioni trasmesse dalla Cabina di regia di cui all'articolo 2, gli ostacoli all'attuazione corretta e tempestiva delle riforme e degli investimenti previsti nel PNRR derivanti dalle disposizioni normative e dalle rispettive misure attuative e propone rimedi;</w:t>
      </w:r>
    </w:p>
    <w:p w14:paraId="484C61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358C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coordina, anche sulla base delle verifiche d'impatto della regolamentazione di cui all'articolo 14 della legge 28 novembre 2005, n. 246, curate dalle amministrazioni, l'elaborazione di proposte per superare le disfunzioni derivanti dalla normativa vigente e dalle relative misure attuative, al fine garantire maggiore coerenza ed efficacia della normazione;</w:t>
      </w:r>
    </w:p>
    <w:p w14:paraId="626CCE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35DD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cura l'elaborazione di un programma di azioni prioritarie ai fini della razionalizzazione e revisione normativa;</w:t>
      </w:r>
    </w:p>
    <w:p w14:paraId="4485A3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E67E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promuove e potenzia iniziative di sperimentazione normativa, anche tramite relazioni istituzionali con analoghe strutture istituite in Paesi stranieri, europei ed extraeuropei, e tiene in adeguata considerazione le migliori pratiche di razionalizzazione e sperimentazione normativa a livello internazionale;</w:t>
      </w:r>
    </w:p>
    <w:p w14:paraId="06A1D8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000E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riceve e considera ipotesi e proposte di razionalizzazione e sperimentazione normativa formulate da soggetti pubblici e privati.</w:t>
      </w:r>
    </w:p>
    <w:p w14:paraId="3F2B9F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834D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le finalità di cui al presente articolo è autorizzata la spesa di euro 200.000 per l'anno 2021 e di euro 400.000 per ciascuno degli anni dal 2022 al 2026, aggiuntivi rispetto agli eventuali ulteriori stanziamenti che verranno definiti a valere sul bilancio autonomo della Presidenza del Consiglio dei ministri, ai sensi dell'art. 7, comma 4, del decreto legislativo 30 luglio 1999, n. 303. Ai relativi oneri si provvede ai sensi dell'articolo 16.</w:t>
      </w:r>
    </w:p>
    <w:p w14:paraId="532E38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L'Ufficio per la semplificazione del Dipartimento della funzione pubblica opera in raccordo con l'Unità di cui all'articolo 1, comma 22-bis, del decreto-legge 18 maggio 2006, n. 181, convertito, con modificazioni, dalla legge 17 luglio 2006, n. 233, nello svolgimento dei seguenti compiti:</w:t>
      </w:r>
    </w:p>
    <w:p w14:paraId="2F2CA4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C00E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promozione e coordinamento delle attività di rafforzamento della capacità amministrativa nella gestione delle procedure complesse rilevanti ai fini del PNRR anche attraverso le task force di esperti multidisciplinari da allocare nel territorio previste dal PNRR;</w:t>
      </w:r>
    </w:p>
    <w:p w14:paraId="0906E3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635C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promozione e coordinamento degli interventi di semplificazione e reingegnerizzazione delle procedure e della predisposizione del catalogo dei procedimenti semplificati e standardizzati previsti nel PNRR;</w:t>
      </w:r>
    </w:p>
    <w:p w14:paraId="46D163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E520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misurazione e riduzione dei tempi e degli oneri a carico di cittadini e imprese;</w:t>
      </w:r>
    </w:p>
    <w:p w14:paraId="160C12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1E64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promozione di interventi normativi, organizzativi e tecnologici di semplificazione anche attraverso una Agenda per la semplificazione condivisa con le regioni, le Province autonome di Trento e Bolzano e gli enti locali;</w:t>
      </w:r>
    </w:p>
    <w:p w14:paraId="70FAD2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66EA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pianificazione e verifica su base annuale degli interventi di semplificazione.</w:t>
      </w:r>
    </w:p>
    <w:p w14:paraId="443846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F36A8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w:t>
      </w:r>
    </w:p>
    <w:p w14:paraId="3E4A216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e rendicontazione del PNRR)</w:t>
      </w:r>
    </w:p>
    <w:p w14:paraId="3CEFF8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1F49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Presso il Ministero dell'economia e delle finanze – Dipartimento della Ragioneria generale dello Stato è istituito un ufficio centrale di livello dirigenziale generale, denominato Servizio centrale per il PNRR, con compiti di coordinamento operativo, monitoraggio, rendicontazione e controllo del PNRR, che rappresenta il punto di contatto nazionale per l'attuazione del PNRR ai sensi dell'articolo 22 del Regolamento (UE) 2021/241, conformandosi ai relativi obblighi di informazione, comunicazione e di pubblicità. Il Servizio centrale per il PNRR è inoltre responsabile della gestione del Fondo di Rotazione del Next Generation EU-Italia e dei connessi flussi finanziari, nonché della gestione del sistema di monitoraggio sull'attuazione delle riforme e degli investimenti del PNRR, assicurando il necessario supporto tecnico alle amministrazioni centrali titolari di interventi previsti nel PNRR di cui all'articolo 8. Il Servizio centrale per il PNRR si articola in sei uffici di livello dirigenziale non generale e, per l'esercizio dei propri compiti, può avvalersi del supporto di Società partecipate dallo Stato, come previsto all'articolo 9.</w:t>
      </w:r>
    </w:p>
    <w:p w14:paraId="145D80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Nello svolgimento delle funzioni ad esso assegnate, il Servizio centrale per il PNRR si raccorda con l'Unità di missione e con gli Ispettorati competenti della Ragioneria generale dello Stato. Questi ultimi concorrono al presidio dei processi amministrativi e al monitoraggio anche finanziario degli interventi del PNRR per gli aspetti di relativa competenza. A tal fine, sono istituiti presso il Dipartimento della Ragioneria Generale dello Stato cinque posizioni di funzione dirigenziale di livello non generale di consulenza, studio e ricerca per le esigenze degli Ispettorati competenti.</w:t>
      </w:r>
    </w:p>
    <w:p w14:paraId="620748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l'attuazione delle disposizioni di cui al presente articolo è autorizzata la spesa di euro 930.000 per l'anno 2021 e di euro 1.859.000 a decorrere dall'anno 2022. Ai relativi oneri si provvede ai sensi dell'articolo 16.</w:t>
      </w:r>
    </w:p>
    <w:p w14:paraId="4C79CE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04722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7.</w:t>
      </w:r>
    </w:p>
    <w:p w14:paraId="5D9B2484"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(Controllo, audit, anticorruzione e trasparenza)</w:t>
      </w:r>
    </w:p>
    <w:p w14:paraId="23D4D5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11C7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il Dipartimento della Ragioneria generale dello Stato – Ispettorato generale per i Rapporti finanziari con l'Unione europea (IGRUE) è istituito un ufficio dirigenziale di livello non generale avente funzioni di audit del PNRR ai sensi dell'articolo 22 paragrafo 2, lettera c), punto ii), del Regolamento (UE) 2021/241. L'ufficio di cui al primo periodo opera in posizione di indipendenza funzionale rispetto alle strutture coinvolte nella gestione del PNRR e si avvale, nello svolgimento delle funzioni di controllo relative a linee di intervento realizzate a livello territoriale, dell'ausilio delle Ragionerie territoriali dello Stato.</w:t>
      </w:r>
    </w:p>
    <w:p w14:paraId="402289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L'Unità di missione di cui all'articolo 1, comma 1050, della legge 30 dicembre 2020, n. 178 provvede, anche in collaborazione con le amministrazioni di cui all'articolo 8, alla predisposizione e attuazione del programma di valutazione in itinere ed ex post del PNRR, assicurando il rispetto degli articoli 19 e 20 del Regolamento (UE) 2021/241, nonché la coerenza dei relativi target e milestone. Concorre inoltre alla verifica della qualità e completezza dei dati di monitoraggio rilevati dal sistema di cui all'articolo 1, comma </w:t>
      </w:r>
      <w:r w:rsidRPr="00EF5B01">
        <w:rPr>
          <w:rFonts w:asciiTheme="minorHAnsi" w:eastAsia="Times New Roman" w:hAnsiTheme="minorHAnsi" w:cs="Times New Roman"/>
          <w:bCs/>
          <w:iCs/>
          <w:color w:val="000000" w:themeColor="text1"/>
          <w:sz w:val="24"/>
          <w:szCs w:val="24"/>
        </w:rPr>
        <w:lastRenderedPageBreak/>
        <w:t>1043, della legge 31 dicembre 2020, n. 178 e svolge attività di supporto ai fini della predisposizione dei rapporti e delle relazioni di attuazione e avanzamento del Piano.</w:t>
      </w:r>
    </w:p>
    <w:p w14:paraId="081136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di missione si articola in due uffici dirigenziali di livello non generale. Essa provvede altresì a supportare le attività di valutazione delle politiche di spesa settoriali di competenza del Dipartimento della Ragioneria generale dello Stato e a valorizzare il patrimonio informativo relativo alle riforme e agli investimenti del PNRR anche attraverso lo sviluppo di iniziative di trasparenza e partecipazione indirizzate alle istituzioni e ai cittadini. Conseguentemente all'articolo 1, comma 1050, della Legge 30 dicembre 2020, n. 178, le parole «di durata triennale rinnovabile una sola volta» sono soppresse.</w:t>
      </w:r>
    </w:p>
    <w:p w14:paraId="17661A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Per le finalità dell'articolo 6 e del presente articolo, il Ministero dell'economia e delle finanze – Dipartimento della Ragioneria generale dello Stato è autorizzato a conferire n. 7 incarichi di livello dirigenziale non generale ai sensi dell'articolo 19, comma 6, del decreto legislativo 30 marzo 2001, n. 165, anche in deroga ai limiti ivi previsti, e a bandire apposite procedure concorsuali pubbliche e ad assumere, in deroga ai vigenti limiti </w:t>
      </w:r>
      <w:proofErr w:type="spellStart"/>
      <w:r w:rsidRPr="00EF5B01">
        <w:rPr>
          <w:rFonts w:asciiTheme="minorHAnsi" w:eastAsia="Times New Roman" w:hAnsiTheme="minorHAnsi" w:cs="Times New Roman"/>
          <w:bCs/>
          <w:iCs/>
          <w:color w:val="000000" w:themeColor="text1"/>
          <w:sz w:val="24"/>
          <w:szCs w:val="24"/>
        </w:rPr>
        <w:t>assunzionali</w:t>
      </w:r>
      <w:proofErr w:type="spellEnd"/>
      <w:r w:rsidRPr="00EF5B01">
        <w:rPr>
          <w:rFonts w:asciiTheme="minorHAnsi" w:eastAsia="Times New Roman" w:hAnsiTheme="minorHAnsi" w:cs="Times New Roman"/>
          <w:bCs/>
          <w:iCs/>
          <w:color w:val="000000" w:themeColor="text1"/>
          <w:sz w:val="24"/>
          <w:szCs w:val="24"/>
        </w:rPr>
        <w:t>, le restanti unità di livello dirigenziale non generale.</w:t>
      </w:r>
    </w:p>
    <w:p w14:paraId="432226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Entro trenta giorni dalla data di entrata in vigore della legge di conversione del presente decreto, con le modalità di cui all'articolo 17, comma 4-bis, lettera e), della legge 23 agosto 1988, n. 400, si provvede alla ridefinizione, in coerenza con l'articolo 6 e con il presente articolo, dei compiti degli uffici dirigenziali non generali del Ministero dell'economia e delle finanze, nelle more del perfezionamento del regolamento di organizzazione del predetto Ministero, ivi incluso quello degli uffici di diretta collaborazione, da adottarsi entro il 31 gennaio 2022 con le modalità di cui all'articolo 10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In sede di prima applicazione, gli incarichi dirigenziali di cui all'articolo 6 e quelli di cui al presente articolo possono essere conferiti anche nel caso in cui le procedure di nomina siano state avviate prima dell'adozione del predetto regolamento di organizzazione, ma siano comunque conformi ai compiti e all'organizzazione del Ministero e coerenti rispettivamente con le disposizioni dell'articolo 6 e del presente articolo.</w:t>
      </w:r>
    </w:p>
    <w:p w14:paraId="1022FA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Sogei S.p.A. assicura il supporto di competenze tecniche e funzionali all'amministrazione economica finanziaria per l'attuazione del PNRR. Per tale attività può avvalersi di Studiare Sviluppo s.r.l., secondo le modalità che saranno definite in specifica Convenzione, per la selezione di esperti cui affidare le attività di supporto. Alla stessa Società non si applicano le disposizioni relative ai vincoli in materia di contratti di collaborazione coordinata e continuativa e la stessa determina i processi di selezione e assunzione di personale in base a criteri di massima celerità ed efficacia, prediligendo modalità di selezione basate su requisiti curriculari e su colloqui di natura tecnica, anche in deroga a quanto previsto dall'articolo 19 del decreto legislativo 19 agosto 2016, n. 175. Al presente comma si provvede nell'ambito delle risorse disponibili a legislazione vigente e senza nuovi o maggiori oneri per la finanza pubblica.</w:t>
      </w:r>
    </w:p>
    <w:p w14:paraId="28F32375" w14:textId="77777777" w:rsidR="00EF5B01" w:rsidRPr="00EF5B01" w:rsidRDefault="00EF5B01" w:rsidP="00F7321E">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 La Corte dei conti esercita il controllo sulla gestione di cui all'articolo 3, comma 4, della legge 14 gennaio 1994 n. 20, svolgendo in particolare valutazioni di economicità, efficienza ed efficacia circa l'acquisizione e l'impiego delle risorse finanziarie provenienti dai fondi di cui al PNRR. Tale controllo si informa a criteri di cooperazione e di coordinamento con la Corte dei conti europea, secondo quanto </w:t>
      </w:r>
      <w:r w:rsidRPr="00EF5B01">
        <w:rPr>
          <w:rFonts w:asciiTheme="minorHAnsi" w:eastAsia="Times New Roman" w:hAnsiTheme="minorHAnsi" w:cs="Times New Roman"/>
          <w:bCs/>
          <w:iCs/>
          <w:color w:val="000000" w:themeColor="text1"/>
          <w:sz w:val="24"/>
          <w:szCs w:val="24"/>
        </w:rPr>
        <w:lastRenderedPageBreak/>
        <w:t xml:space="preserve">previsto dall'articolo 287, paragrafo 3 del Trattato sul funzionamento dell'Unione europea. </w:t>
      </w:r>
      <w:r w:rsidRPr="00F7321E">
        <w:rPr>
          <w:rFonts w:asciiTheme="minorHAnsi" w:eastAsia="Times New Roman" w:hAnsiTheme="minorHAnsi" w:cs="Times New Roman"/>
          <w:bCs/>
          <w:iCs/>
          <w:strike/>
          <w:color w:val="000000" w:themeColor="text1"/>
          <w:sz w:val="24"/>
          <w:szCs w:val="24"/>
          <w:highlight w:val="yellow"/>
        </w:rPr>
        <w:t>La Corte dei conti, ai sensi dell'articolo 3, comma 6 della legge 14 gennaio 1994 n. 20, riferisce, almeno annualmente, al Parlamento sullo stato di attuazione del PNRR.</w:t>
      </w:r>
      <w:r w:rsidR="00F7321E">
        <w:rPr>
          <w:rFonts w:asciiTheme="minorHAnsi" w:eastAsia="Times New Roman" w:hAnsiTheme="minorHAnsi" w:cs="Times New Roman"/>
          <w:bCs/>
          <w:iCs/>
          <w:color w:val="000000" w:themeColor="text1"/>
          <w:sz w:val="24"/>
          <w:szCs w:val="24"/>
        </w:rPr>
        <w:t xml:space="preserve"> </w:t>
      </w:r>
      <w:r w:rsidR="00F7321E" w:rsidRPr="00294063">
        <w:rPr>
          <w:rFonts w:asciiTheme="minorHAnsi" w:hAnsiTheme="minorHAnsi"/>
          <w:b/>
          <w:bCs/>
          <w:color w:val="000000" w:themeColor="text1"/>
          <w:sz w:val="24"/>
          <w:szCs w:val="24"/>
        </w:rPr>
        <w:t>La Corte dei conti riferisce, almeno semestralmente, al Parlamento sullo stato di attuazione del PNRR, in deroga a quanto previsto dall'articolo 3, comma 6, della legge 14 gennaio 1994, n. 20.</w:t>
      </w:r>
      <w:r w:rsidR="00F7321E">
        <w:rPr>
          <w:rStyle w:val="Rimandonotaapidipagina"/>
          <w:rFonts w:asciiTheme="minorHAnsi" w:hAnsiTheme="minorHAnsi"/>
          <w:b/>
          <w:bCs/>
          <w:color w:val="000000" w:themeColor="text1"/>
          <w:sz w:val="24"/>
          <w:szCs w:val="24"/>
        </w:rPr>
        <w:footnoteReference w:id="7"/>
      </w:r>
    </w:p>
    <w:p w14:paraId="12A3FB60" w14:textId="77777777" w:rsidR="00EF5B01" w:rsidRPr="00EF5B01" w:rsidRDefault="00EF5B01" w:rsidP="00FC334C">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Ai fini del rafforzamento delle attività di controllo, anche finalizzate alla prevenzione ed al contrasto della corruzione, delle frodi, nonché ad evitare i conflitti di interesse ed il rischio di doppio finanziamento pubblico degli interventi</w:t>
      </w:r>
      <w:r w:rsidR="00FC334C" w:rsidRPr="00177953">
        <w:rPr>
          <w:rFonts w:asciiTheme="minorHAnsi" w:hAnsiTheme="minorHAnsi"/>
          <w:b/>
          <w:bCs/>
          <w:color w:val="000000" w:themeColor="text1"/>
          <w:sz w:val="24"/>
          <w:szCs w:val="24"/>
        </w:rPr>
        <w:t>, ferme restando le competenze in materia dell'Autorità nazionale anticorruzione,</w:t>
      </w:r>
      <w:r w:rsidR="00FC334C">
        <w:rPr>
          <w:rStyle w:val="Rimandonotaapidipagina"/>
          <w:rFonts w:asciiTheme="minorHAnsi" w:hAnsiTheme="minorHAnsi"/>
          <w:b/>
          <w:bCs/>
          <w:color w:val="000000" w:themeColor="text1"/>
          <w:sz w:val="24"/>
          <w:szCs w:val="24"/>
        </w:rPr>
        <w:footnoteReference w:id="8"/>
      </w:r>
      <w:r w:rsidR="00FC334C">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le amministrazioni centrali titolari di interventi previsti dal PNRR possono stipulare specifici protocolli d'intesa con la Guardia di Finanza senza nuovi o maggiori oneri per la finanza pubblica.</w:t>
      </w:r>
    </w:p>
    <w:p w14:paraId="37EF4A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Per l'attuazione delle disposizioni di cui al presente articolo è autorizzata la spesa di euro 218.000 per l'anno 2021 e di euro 436.000 a decorrere dall'anno 2022. Ai relativi oneri si provvede ai sensi dell'articolo 16.</w:t>
      </w:r>
    </w:p>
    <w:p w14:paraId="7204F6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79293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8.</w:t>
      </w:r>
    </w:p>
    <w:p w14:paraId="1A2EE3F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(Coordinamento della fase attuativa)</w:t>
      </w:r>
    </w:p>
    <w:p w14:paraId="13EB80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BCC4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Ciascuna amministrazione centrale titolare di interventi previsti nel PNRR provvede al coordinamento delle relative attività di gestione, nonché al loro monitoraggio, rendicontazione e controllo. A tal fine, nell'ambito della propria autonomia organizzativa, individua, tra quelle esistenti, la struttura di livello dirigenziale generale di riferimento ovvero istituisce una apposita unità di missione di livello dirigenziale generale fino al completamento del PNRR, e comunque fino al 31 dicembre 2026, articolata fino ad un massimo di tre uffici dirigenziali di livello non generale, adottando, entro 30 giorni dalla data di entrata in vigore della legge di conversione del presente decreto, il relativo provvedimento di organizzazione interna, con decreto del Ministro di riferimento, di concerto con il Ministro dell'economia e delle finanze.</w:t>
      </w:r>
    </w:p>
    <w:p w14:paraId="00BA38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La struttura di cui al comma 1 rappresenta il punto di contatto con il Servizio centrale per il PNRR per l'espletamento degli adempimenti previsti dal Regolamento (UE) 2021/241 e, in particolare, per la </w:t>
      </w:r>
      <w:r w:rsidRPr="00EF5B01">
        <w:rPr>
          <w:rFonts w:asciiTheme="minorHAnsi" w:eastAsia="Times New Roman" w:hAnsiTheme="minorHAnsi" w:cs="Times New Roman"/>
          <w:bCs/>
          <w:iCs/>
          <w:color w:val="000000" w:themeColor="text1"/>
          <w:sz w:val="24"/>
          <w:szCs w:val="24"/>
        </w:rPr>
        <w:lastRenderedPageBreak/>
        <w:t>presentazione alla Commissione europea delle richieste di pagamento ai sensi dell'articolo 24, paragrafo 2 del medesimo regolamento. La stessa provvede a trasmettere al predetto Servizio centrale per il PNRR i dati finanziari e di realizzazione fisica e procedurale degli investimenti e delle riforme, nonché l'avanzamento dei relativi milestone e target, attraverso le specifiche funzionalità del sistema informatico di cui all'articolo 1, comma 1043, della legge 30 dicembre 2020, n. 178.</w:t>
      </w:r>
    </w:p>
    <w:p w14:paraId="0311E5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medesima struttura vigila affinché siano adottati criteri di selezione delle azioni coerenti con le regole e gli obiettivi del PNRR ed emana linee guida per assicurare la correttezza delle procedure di attuazione e rendicontazione, la regolarità della spesa ed il conseguimento dei milestone e target e di ogni altro adempimento previsto dalla normativa europea e nazionale applicabile al PNRR. Essa svolge attività di supporto nella definizione, attuazione, monitoraggio e valutazione di programmi e progetti cofinanziati ovvero finanziati da fondi nazionali, europei e internazionali, nonché attività di supporto all'attuazione di politiche pubbliche per lo sviluppo, anche in relazione alle esigenze di programmazione e attuazione del PNRR.</w:t>
      </w:r>
    </w:p>
    <w:p w14:paraId="60A376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struttura di cui al comma 1 vigila sulla regolarità delle procedure e delle spese e adotta tutte le iniziative necessarie a prevenire, correggere e sanzionare le irregolarità e gli indebiti utilizzi delle risorse. Adotta le iniziative necessarie a prevenire le frodi, i conflitti di interesse ed evitare il rischio di doppio finanziamento pubblico degli interventi, anche attraverso i protocolli d'intesa di cui al comma 13 dell'articolo 7. Essa è inoltre responsabile dell'avvio delle procedure di recupero e restituzione delle risorse indebitamente utilizzate, ovvero oggetto di frode o doppio finanziamento pubblico.</w:t>
      </w:r>
    </w:p>
    <w:p w14:paraId="7A0530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fine di salvaguardare il raggiungimento, anche in sede prospettica, degli obiettivi e dei traguardi, intermedi e finali del PNRR, i bandi, gli avvisi e gli altri strumenti previsti per la selezione dei singoli progetti e l'assegnazione delle risorse prevedono clausole di riduzione o revoca dei contributi, in caso di mancato raggiungimento, nei tempi assegnati, degli obiettivi previsti, e di riassegnazione delle somme, fino alla concorrenza delle risorse economiche previste per i singoli bandi, per lo scorrimento della graduatorie formatesi in seguito alla presentazione delle relative domande ammesse al contributo, compatibilmente con i vincoli assunti con l'Unione europea.</w:t>
      </w:r>
    </w:p>
    <w:p w14:paraId="34349B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Per l'attuazione del presente articolo è autorizzata la spesa di euro 8.789.000 per l'anno 2021 e di euro 17.577.000 per ciascuno degli anni dal 2022 al 2026. Ai relativi oneri si provvede ai sensi dell'articolo 16.</w:t>
      </w:r>
    </w:p>
    <w:p w14:paraId="613865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9C78E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9.</w:t>
      </w:r>
    </w:p>
    <w:p w14:paraId="4CD66BD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(Attuazione degli interventi del PNRR)</w:t>
      </w:r>
    </w:p>
    <w:p w14:paraId="58F2F21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B3F1D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Alla realizzazione operativa degli interventi previsti dal PNRR provvedono le Amministrazioni centrali, le Regioni, le Province autonome di Trento e di Bolzano e gli enti locali, sulla base delle specifiche competenze istituzionali, ovvero della diversa titolarità degli interventi definita nel PNRR, attraverso le </w:t>
      </w:r>
      <w:r w:rsidRPr="00EF5B01">
        <w:rPr>
          <w:rFonts w:asciiTheme="minorHAnsi" w:eastAsia="Times New Roman" w:hAnsiTheme="minorHAnsi" w:cs="Times New Roman"/>
          <w:bCs/>
          <w:iCs/>
          <w:color w:val="000000" w:themeColor="text1"/>
          <w:sz w:val="24"/>
          <w:szCs w:val="24"/>
        </w:rPr>
        <w:lastRenderedPageBreak/>
        <w:t>proprie strutture, ovvero avvalendosi di soggetti attuatori esterni individuati nel PNRR, ovvero con le modalità previste dalla normativa nazionale ed europea vigente.</w:t>
      </w:r>
    </w:p>
    <w:p w14:paraId="3F589E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assicurare l'efficace e tempestiva attuazione degli interventi del PNRR, le amministrazioni di cui al comma 1 possono avvalersi del supporto tecnico-operativo assicurato per il PNRR da società a prevalente partecipazione pubblica, rispettivamente, statale, regionale e locale e da enti vigilati.</w:t>
      </w:r>
    </w:p>
    <w:p w14:paraId="45CE7E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atti, i contratti ed i provvedimenti di spesa adottati dalle amministrazioni per l'attuazione degli interventi del PNRR sono sottoposti ai controlli ordinari di legalità e ai controlli amministrativo-contabili previsti dalla legislazione nazionale applicabile.</w:t>
      </w:r>
    </w:p>
    <w:p w14:paraId="1DE02C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amministrazioni di cui al comma 1 assicurano la completa tracciabilità delle operazioni e la tenuta di una apposita codificazione contabile per l'utilizzo delle risorse del PNRR secondo le indicazioni fornite dal Ministero dell'economia e delle finanze. Conservano tutti gli atti e la relativa documentazione giustificativa su supporti informatici adeguati e li rendono disponibili per le attività di controllo e di audit.</w:t>
      </w:r>
    </w:p>
    <w:p w14:paraId="3C10E03D"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E77629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10.</w:t>
      </w:r>
    </w:p>
    <w:p w14:paraId="750D4FC8"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accelerare la realizzazione degli investimenti pubblici)</w:t>
      </w:r>
    </w:p>
    <w:p w14:paraId="1ABA96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240D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sostenere la definizione e l'avvio delle procedure di affidamento ed accelerare l'attuazione degli investimenti pubblici, in particolare di quelli previsti dal PNRR e dai cicli di programmazione nazionale e comunitaria 2014-2020 e 2021-2027, le amministrazioni interessate, mediante apposite convenzioni, possono avvalersi del supporto tecnico-operativo di società in house qualificate ai sensi dell'articolo 38 del decreto legislativo 18 aprile 2016, n. 50.</w:t>
      </w:r>
    </w:p>
    <w:p w14:paraId="1936A7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L'attività di supporto di cui al comma 1 copre anche le fasi di definizione, attuazione, monitoraggio e valutazione degli interventi e comprende azioni di rafforzamento della capacità amministrativa, anche attraverso la messa a disposizione di esperti particolarmente qualificati.</w:t>
      </w:r>
    </w:p>
    <w:p w14:paraId="60D6A6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Ai fini dell'articolo 192, comma 2, del decreto legislativo n. 50 del 2016, la valutazione della congruità economica dell'offerta ha riguardo all'oggetto e al valore della prestazione e la motivazione del provvedimento di affidamento dà conto dei vantaggi, rispetto al ricorso al mercato, derivanti dal risparmio di tempo e di risorse economiche, mediante comparazione degli standard di riferimento di Consip </w:t>
      </w:r>
      <w:proofErr w:type="spellStart"/>
      <w:r w:rsidRPr="00EF5B01">
        <w:rPr>
          <w:rFonts w:asciiTheme="minorHAnsi" w:eastAsia="Times New Roman" w:hAnsiTheme="minorHAnsi" w:cs="Times New Roman"/>
          <w:bCs/>
          <w:iCs/>
          <w:color w:val="000000" w:themeColor="text1"/>
          <w:sz w:val="24"/>
          <w:szCs w:val="24"/>
        </w:rPr>
        <w:t>S.p.A</w:t>
      </w:r>
      <w:proofErr w:type="spellEnd"/>
      <w:r w:rsidRPr="00EF5B01">
        <w:rPr>
          <w:rFonts w:asciiTheme="minorHAnsi" w:eastAsia="Times New Roman" w:hAnsiTheme="minorHAnsi" w:cs="Times New Roman"/>
          <w:bCs/>
          <w:iCs/>
          <w:color w:val="000000" w:themeColor="text1"/>
          <w:sz w:val="24"/>
          <w:szCs w:val="24"/>
        </w:rPr>
        <w:t xml:space="preserve"> e delle centrali di committenza regionali.</w:t>
      </w:r>
    </w:p>
    <w:p w14:paraId="25BA3E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Fermo restando quanto previsto dall'articolo 9, comma 2, le Regioni, le Province autonome di Trento e di Bolzano e gli enti locali, per il tramite delle amministrazioni centrali dello Stato, possono avvalersi del supporto tecnico-operativo delle società di cui al comma 1 per la promozione e la realizzazione di progetti di sviluppo territoriale finanziati da fondi europei e nazionali.</w:t>
      </w:r>
    </w:p>
    <w:p w14:paraId="74F2AA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Il Ministero dell'economia e delle finanze definisce, per le società in house statali, i contenuti minimi delle convenzioni per l'attuazione di quanto previsto dal comma 4. Ai relativi oneri le Amministrazioni </w:t>
      </w:r>
      <w:r w:rsidRPr="00EF5B01">
        <w:rPr>
          <w:rFonts w:asciiTheme="minorHAnsi" w:eastAsia="Times New Roman" w:hAnsiTheme="minorHAnsi" w:cs="Times New Roman"/>
          <w:bCs/>
          <w:iCs/>
          <w:color w:val="000000" w:themeColor="text1"/>
          <w:sz w:val="24"/>
          <w:szCs w:val="24"/>
        </w:rPr>
        <w:lastRenderedPageBreak/>
        <w:t>provvedono nell'ambito delle risorse disponibili a legislazione vigente. Laddove ammissibili, tali oneri possono essere posti a carico delle risorse previste per l'attuazione degli interventi PNRR, ovvero delle risorse per l'assistenza tecnica previste nei programmi UE 2021/2027 per gli interventi di supporto agli stessi riferiti.</w:t>
      </w:r>
    </w:p>
    <w:p w14:paraId="1C7BA397"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Ai fini dell'espletamento delle attività di supporto di cui al presente articolo, le società interessate possono provvedere con le risorse interne, con personale esterno, nonché con il ricorso a competenze – di persone fisiche o giuridiche – disponibili sul mercato, nel rispetto di quanto stabilito dal decreto legislativo 18 aprile 2016, n. 50 e dal decreto legislativo 19 agosto 2016, n. 175.</w:t>
      </w:r>
    </w:p>
    <w:p w14:paraId="4E3F8F14" w14:textId="77777777" w:rsidR="00725940" w:rsidRPr="00177953" w:rsidRDefault="00725940" w:rsidP="00725940">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  6-bis. In considerazione degli effetti dell'emergenza epidemiologica da COVID-19, l'esercizio 2020 non si computa nel calcolo del triennio ai fini dell'applicazione dell'articolo 14, comma 5, né ai fini dell'applicazione dell'articolo 21 del testo unico in materia di società a partecipazione pubblica. di cui al decreto legislativo 19 agosto 2016, n. 175.</w:t>
      </w:r>
      <w:r>
        <w:rPr>
          <w:rStyle w:val="Rimandonotaapidipagina"/>
          <w:rFonts w:asciiTheme="minorHAnsi" w:hAnsiTheme="minorHAnsi"/>
          <w:b/>
          <w:bCs/>
          <w:color w:val="000000" w:themeColor="text1"/>
          <w:sz w:val="24"/>
          <w:szCs w:val="24"/>
        </w:rPr>
        <w:footnoteReference w:id="9"/>
      </w:r>
    </w:p>
    <w:p w14:paraId="7760C715" w14:textId="77777777" w:rsidR="00725940" w:rsidRPr="00EF5B01" w:rsidRDefault="0072594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C262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3C0678"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11.</w:t>
      </w:r>
    </w:p>
    <w:p w14:paraId="6BD13269"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della capacità amministrativa delle stazioni appaltanti)</w:t>
      </w:r>
    </w:p>
    <w:p w14:paraId="5387DA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C54B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aumentare l'efficacia e l'efficienza dell'attività di approvvigionamento e garantire una rapida attuazione delle progettualità del PNRR e degli altri interventi ad esso collegati, ivi compresi i programmi cofinanziati dall'Unione europea per il periodo 2021/2027, Consip S.p.A. mette a disposizione delle pubbliche amministrazioni specifici contratti, accordi quadro e servizi di supporto tecnico. Per le medesime finalità, Consip S.p.A. realizza un programma di informazione, formazione e tutoraggio nella gestione delle specifiche procedure di acquisto e di progettualità per l'evoluzione del Sistema Nazionale di e-Procurement e il rafforzamento della capacità amministrativa e tecnica delle pubbliche amministrazioni. Consip S.p.A. si coordina con le centrali di committenza regionali per le attività degli enti territoriali di competenza.</w:t>
      </w:r>
    </w:p>
    <w:p w14:paraId="34E627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Le disposizioni al presente articolo trovano applicazione anche per le acquisizioni di beni e servizi informatici e di connettività effettuati dalla Sogei S.p.A., per la realizzazione e implementazione dei servizi delle pubbliche amministrazioni affidatarie in ottemperanza a specifiche disposizioni normative o regolamentari, nonché per la realizzazione delle attività di cui all'articolo 33-septies del decreto-legge 18 ottobre 2012, n. 179, convertito, con modificazioni, dalla legge 17 dicembre 2012, n. 221, le cui procedure </w:t>
      </w:r>
      <w:r w:rsidRPr="00EF5B01">
        <w:rPr>
          <w:rFonts w:asciiTheme="minorHAnsi" w:eastAsia="Times New Roman" w:hAnsiTheme="minorHAnsi" w:cs="Times New Roman"/>
          <w:bCs/>
          <w:iCs/>
          <w:color w:val="000000" w:themeColor="text1"/>
          <w:sz w:val="24"/>
          <w:szCs w:val="24"/>
        </w:rPr>
        <w:lastRenderedPageBreak/>
        <w:t>di affidamento sono poste in essere da Consip S.p.A. ai sensi dell'articolo 4, comma 3-ter, del decreto-legge 6 luglio 2012, n. 95, convertito, con modificazioni, dalla legge 7 agosto 2012, n. 135.</w:t>
      </w:r>
    </w:p>
    <w:p w14:paraId="7C884B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realizzare le finalità di cui al presente articolo, il Ministero dell'economia e delle finanze stipula con Consip S.p.A. un apposito disciplinare, nel limite complessivo di spesa di 40 milioni di euro per gli anni dal 2021 al 2026. A tal fine è autorizzata la spesa di 8 milioni per ciascuno degli anni dal 2022 al 2026. Ai relativi oneri si provvede ai sensi dell'articolo 16.</w:t>
      </w:r>
    </w:p>
    <w:p w14:paraId="13D784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F18C1D"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46990083"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 SUPERAMENTO DEL DISSENSO E PROCEDURE FINANZIARIE</w:t>
      </w:r>
    </w:p>
    <w:p w14:paraId="76B58278"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C5B307A"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12.</w:t>
      </w:r>
    </w:p>
    <w:p w14:paraId="415F8DF7"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w:t>
      </w:r>
    </w:p>
    <w:p w14:paraId="09D607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F66A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In caso di mancato rispetto da parte delle regioni, delle province autonome di Trento e di Bolzano, delle città metropolitane, delle province e dei comuni degli obblighi e impegni finalizzati all'attuazione del PNNR e assunti in qualità di soggetti attuatori, consistenti anche nella mancata adozione di atti e provvedimenti necessari all'avvio dei progetti del Piano, ovvero nel ritardo, inerzia o difformità nell'esecuzione dei progetti, il Presidente del Consiglio dei ministri, ove sia messo a rischio il conseguimento degli obiettivi intermedi e finali del PNRR e su proposta della Cabina di regia o del Ministro competente, assegna al soggetto attuatore interessato un termine per provvedere non superiore a trenta giorni. In caso di perdurante inerzia, su proposta del Presidente del Consiglio dei ministri o del Ministro competente, sentito il soggetto attuatore, il Consiglio dei ministri individua l'amministrazione, l'ente, l'organo o l'ufficio, ovvero in alternativa nomina uno o più commissari ad acta, ai quali attribuisce, in via sostitutiva, il potere di adottare gli atti o provvedimenti necessari ovvero di provvedere all'esecuzione ai progetti, anche avvalendosi di società di cui all'articolo 2 del decreto legislativo 19 agosto 2016, n. 175 o di altre amministrazioni specificamente indicate.</w:t>
      </w:r>
    </w:p>
    <w:p w14:paraId="725493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Fermo restando l'esercizio dei poteri sostitutivi di cui al comma 1, e nei casi ivi previsti, il Ministro per gli affari regionali e le autonomie può promuovere le opportune iniziative di impulso e coordinamento di regioni, province autonome di Trento e di Bolzano, città metropolitane, province e comuni, anche in sede di Conferenza permanente per i rapporti tra lo Stato, le Regioni e le Province autonome di Trento e Bolzano nonché di Conferenza Unificata.</w:t>
      </w:r>
    </w:p>
    <w:p w14:paraId="319A04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Nel caso in cui l'inadempimento, il ritardo, l'inerzia o la difformità di cui al comma 1 sia ascrivibile a un soggetto attuatore diverso dalle regioni, dalle province autonome di Trento e di Bolzano, dalle città metropolitane, dalle province o dai comuni, all'assegnazione del termine non superiore a trenta giorni e al successivo esercizio del potere sostitutivo con le stesse modalità previste dal secondo periodo del comma 1 provvede direttamente il Ministro competente. Lo stesso Ministro provvede analogamente nel </w:t>
      </w:r>
      <w:r w:rsidRPr="00EF5B01">
        <w:rPr>
          <w:rFonts w:asciiTheme="minorHAnsi" w:eastAsia="Times New Roman" w:hAnsiTheme="minorHAnsi" w:cs="Times New Roman"/>
          <w:bCs/>
          <w:iCs/>
          <w:color w:val="000000" w:themeColor="text1"/>
          <w:sz w:val="24"/>
          <w:szCs w:val="24"/>
        </w:rPr>
        <w:lastRenderedPageBreak/>
        <w:t>caso in cui la richiesta di esercizio dei poteri sostitutivi provenga, per qualunque ragione, direttamente da un soggetto attuatore, ivi incluse le regioni, le province autonome di Trento e di Bolzano, le città metropolitane, le province e i comuni.</w:t>
      </w:r>
    </w:p>
    <w:p w14:paraId="7CABBE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Ove il Ministro competente non adotti i provvedimenti di cui al comma 3 e in tutti i casi in cui situazioni o eventi ostativi alla realizzazione dei progetti rientranti nel piano non risultino altrimenti superabili con celerità, su proposta del Presidente del Consiglio dei ministri o della Cabina di regia, il Consiglio dei ministri esercita i poteri sostitutivi con le modalità previste dal comma 1.</w:t>
      </w:r>
    </w:p>
    <w:p w14:paraId="63AF75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L'amministrazione, l'ente, l'organo, l'ufficio individuati o i commissari ad acta nominati ai sensi dei commi precedenti, ove strettamente indispensabile per garantire il rispetto del cronoprogramma del progetto, provvedono all'adozione dei relativi atti mediante ordinanza motivata, contestualmente comunicata all'Unità per la per la razionalizzazione e il miglioramento d della regolazione di cui all'articolo 5, in deroga ad ogni disposizione di legge diversa da quella penale, fatto salvo il rispetto dei princìpi generali dell'ordinamento,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con la Conferenza permanente per i rapporti tra lo Stato, le Regioni e le province autonome di Trento e Bolzano, da adottarsi ai sensi dell'articolo 3 del decreto legislativo, 28 agosto 1997, n. 281. Nel caso in cui la deroga riguardi la legislazione in materia di tutela della salute, della sicurezza e della incolumità pubblica, dell'ambiente e del patrimonio culturale, l'ordinanza è adottata previa autorizzazione della Cabina di regia PNRR. Tali ordinanze sono immediatamente efficaci e sono pubblicate nella Gazzetta Ufficiale.</w:t>
      </w:r>
    </w:p>
    <w:p w14:paraId="5D3A681D"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Presidenza del Consiglio dei ministri e le amministrazioni centrali titolari di interventi previsti dal PNRR restano estranee ad ogni rapporto contrattuale e obbligatorio discendente dall'adozione di atti, provvedimenti e comportamenti da parte dei soggetti individuati o nominati per l'esercizio dei poteri sostitutivi ai sensi del presente articolo. Di tutte le obbligazioni nei confronti dei terzi rispondono, con le risorse del piano o con risorse proprie, esclusivamente i soggetti attuatori sostituiti. Per la nomina dei Commissari di cui al comma 1, secondo periodo, per la definizione dei relativi compensi, si applicano le procedure e le modalità applicative previste dall'articolo 15, commi da 1 a 3, del decreto legge 6 luglio 2011, n. 98, convertito, con modificazioni, dalla legge 15 luglio 2011, n. 111. Gli eventuali oneri derivanti dalla nomina di Commissari sono a carico dei soggetti attuatori inadempienti sostituiti.</w:t>
      </w:r>
    </w:p>
    <w:p w14:paraId="24B9137A"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  6-bis. All'articolo 15 del decreto-legge 6 luglio 2011, n. 98, convertito, con modificazioni, dalla legge 15 luglio 2011, n. 111, è aggiunto, in fine, il seguente comma:</w:t>
      </w:r>
    </w:p>
    <w:p w14:paraId="6B2CFB38" w14:textId="77777777" w:rsidR="00151A07" w:rsidRPr="00177953" w:rsidRDefault="00151A07" w:rsidP="00151A07">
      <w:pPr>
        <w:jc w:val="both"/>
        <w:rPr>
          <w:rFonts w:asciiTheme="minorHAnsi" w:hAnsiTheme="minorHAnsi"/>
          <w:b/>
          <w:bCs/>
          <w:color w:val="000000" w:themeColor="text1"/>
          <w:sz w:val="24"/>
          <w:szCs w:val="24"/>
        </w:rPr>
      </w:pPr>
    </w:p>
    <w:p w14:paraId="37AE939F"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xml:space="preserve">   «5-bis. Le disposizioni di cui al comma 1 possono essere applicate anche agli enti sottoposti alla vigilanza delle regioni e delle province autonome di Trento e di Bolzano. La liquidazione coatta </w:t>
      </w:r>
      <w:r w:rsidRPr="00177953">
        <w:rPr>
          <w:rFonts w:asciiTheme="minorHAnsi" w:hAnsiTheme="minorHAnsi"/>
          <w:b/>
          <w:bCs/>
          <w:color w:val="000000" w:themeColor="text1"/>
          <w:sz w:val="24"/>
          <w:szCs w:val="24"/>
        </w:rPr>
        <w:lastRenderedPageBreak/>
        <w:t>amministrativa è disposta con deliberazione della rispettiva giunta che provvede, altresì, alla nomina del commissario e agli ulteriori adempimenti previsti dal comma 1».</w:t>
      </w:r>
      <w:r>
        <w:rPr>
          <w:rStyle w:val="Rimandonotaapidipagina"/>
          <w:rFonts w:asciiTheme="minorHAnsi" w:hAnsiTheme="minorHAnsi"/>
          <w:b/>
          <w:bCs/>
          <w:color w:val="000000" w:themeColor="text1"/>
          <w:sz w:val="24"/>
          <w:szCs w:val="24"/>
        </w:rPr>
        <w:footnoteReference w:id="10"/>
      </w:r>
    </w:p>
    <w:p w14:paraId="3F621367" w14:textId="77777777" w:rsidR="00151A07" w:rsidRPr="00EF5B01" w:rsidRDefault="00151A07"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8F2B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8BCD89"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13.</w:t>
      </w:r>
    </w:p>
    <w:p w14:paraId="3158EF5D"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(Superamento del dissenso)</w:t>
      </w:r>
    </w:p>
    <w:p w14:paraId="3BE3A085"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691F1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In caso di dissenso, diniego, opposizione o altro atto equivalente proveniente da un organo statale che, secondo la legislazione vigente, sia idoneo a precludere, in tutto o in parte, la realizzazione di un intervento rientrante nel PNRR, la Segreteria tecnica di cui all'articolo 4, anche su impulso del Servizio centrale per il PNRR, ove un meccanismo di superamento del dissenso non sia già previsto dalle vigenti disposizioni, propone al Presidente del Consiglio dei ministri, entro i successivi cinque giorni, di sottoporre la questione all'esame del Consiglio dei ministri per le conseguenti determinazioni.</w:t>
      </w:r>
    </w:p>
    <w:p w14:paraId="47DA28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Ove il dissenso, diniego, opposizione o altro atto equivalente provenga da un organo della regione, o della provincia autonoma di Trento o di Bolzano o di un ente locale, la Segreteria tecnica di cui all'articolo 4, anche su impulso del Servizio centrale per il PNRR, qualora un meccanismo di superamento del dissenso non sia già previsto dalle vigenti disposizioni, propone al Presidente del Consiglio dei ministri o al Ministro per gli affari regionali e le autonomie, entro i successivi cinque giorni, di sottoporre la questione alla Conferenza permanente per i rapporti tra lo Stato, le regioni e le province autonome di Trento e di Bolzano per concordare le iniziative da assumere, che devono essere definite entro il termine di quindici giorni dalla data di convocazione della Conferenza. Decorso tale termine, in mancanza di soluzioni condivise che consentano la sollecita realizzazione dell'intervento,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w:t>
      </w:r>
    </w:p>
    <w:p w14:paraId="175C95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D74C82"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14.</w:t>
      </w:r>
    </w:p>
    <w:p w14:paraId="3F9F0C44"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 disciplina del PNRR al Piano complementare)</w:t>
      </w:r>
    </w:p>
    <w:p w14:paraId="53A65B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2086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Le misure e le procedure di accelerazione e semplificazione per l'efficace e tempestiva attuazione degli interventi di cui al presente decreto, incluse quelle relative al rafforzamento della capacità </w:t>
      </w:r>
      <w:r w:rsidRPr="00EF5B01">
        <w:rPr>
          <w:rFonts w:asciiTheme="minorHAnsi" w:eastAsia="Times New Roman" w:hAnsiTheme="minorHAnsi" w:cs="Times New Roman"/>
          <w:bCs/>
          <w:iCs/>
          <w:color w:val="000000" w:themeColor="text1"/>
          <w:sz w:val="24"/>
          <w:szCs w:val="24"/>
        </w:rPr>
        <w:lastRenderedPageBreak/>
        <w:t>amministrativa delle amministrazioni e delle stazioni appaltanti nonché il meccanismo di superamento del dissenso e i poteri sostitutivi, trovano applicazione anche agli investimenti contenuti nel Piano nazionale complementare di cui all'articolo 1 del decreto legge 6 maggio 2021, n. 59. Resta ferma l'applicazione delle disposizioni del presente decreto agli interventi di cui al citato articolo 1 del decreto-legge 59 del 2021, cofinanziati dal PNRR.</w:t>
      </w:r>
    </w:p>
    <w:p w14:paraId="6AD5F2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gestione delle risorse del Fondo per lo sviluppo e la coesione, periodo di programmazione 2021-2027, di cui all'articolo 1, comma 177, della legge 30 dicembre 2020, n. 178, che concorrono al finanziamento degli interventi previsti dal PNRR, si provvede in deroga alla specifica normativa di settore, con le procedure finanziarie del PNRR stabilite con le modalità di cui all'articolo 1, commi da 1038 a 1049 della citata legge 30 dicembre 2020, n. 178.</w:t>
      </w:r>
    </w:p>
    <w:p w14:paraId="2CC657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187CEE"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15.</w:t>
      </w:r>
    </w:p>
    <w:p w14:paraId="567D9AB7"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(Procedure finanziarie e contabili)</w:t>
      </w:r>
    </w:p>
    <w:p w14:paraId="2BA539AB"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CA231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comma 1039, della legge 30 dicembre 2020, n. 178, le parole «su un conto corrente della Tesoreria centrale appositamente istituito» sono sostituite dalle seguenti: «su un conto aperto presso la Tesoreria statale».</w:t>
      </w:r>
    </w:p>
    <w:p w14:paraId="7543C1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procedure relative alla gestione finanziaria delle risorse previste nell'ambito del PNRR sono stabilite in sede di emanazione dei decreti del Ministro dell'economia e delle finanze di cui all'articolo 1, comma 1042, della legge 30 dicembre 2020, n. 178, sentita la Conferenza permanente per i rapporti tra lo Stato, le Regioni e le Province autonome di Trento e Bolzano, ai sensi dell'articolo 3 del decreto legislativo 28 agosto 1997, n. 281.</w:t>
      </w:r>
    </w:p>
    <w:p w14:paraId="435B08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enti di cui all'articolo 2 del decreto legislativo 23 giugno 2011, n. 118 utilizzano le risorse ricevute per l'attuazione del PNRR e del PNC che a fine esercizio confluiscono nel risultato di amministrazione, in deroga ai limiti previsti dall'articolo 1, commi 897 e 898, della legge 30 dicembre 2018, n. 145.</w:t>
      </w:r>
    </w:p>
    <w:p w14:paraId="16724C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di cui al comma 3 possono accertare le entrate derivanti dal trasferimento delle risorse del PNRR e del PNC sulla base della formale deliberazione di riparto o assegnazione del contributo a proprio favore, senza dover attendere l'impegno dell'amministrazione erogante, con imputazione agli esercizi di esigibilità ivi previsti.</w:t>
      </w:r>
    </w:p>
    <w:p w14:paraId="39E34E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4-quater, comma 1, del decreto-legge 18 aprile 2019, n. 32, convertito, con modificazioni, dalla legge 14 giugno 2019, n. 55, le parole «2020 e 2021» sono sostituite dalle seguenti: «2020, 2021 e 2022».</w:t>
      </w:r>
    </w:p>
    <w:p w14:paraId="605A65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Il piano dei conti integrato per le amministrazioni centrali dello Stato di cui al decreto del Presidente della Repubblica del 12 novembre 2018, n. 140, ai sensi dell'articolo 38-ter della legge 31 dicembre 2009, n. 196, può essere aggiornato con decreto del Ministro dell'economia e delle finanze, anche rivedendo il </w:t>
      </w:r>
      <w:r w:rsidRPr="00EF5B01">
        <w:rPr>
          <w:rFonts w:asciiTheme="minorHAnsi" w:eastAsia="Times New Roman" w:hAnsiTheme="minorHAnsi" w:cs="Times New Roman"/>
          <w:bCs/>
          <w:iCs/>
          <w:color w:val="000000" w:themeColor="text1"/>
          <w:sz w:val="24"/>
          <w:szCs w:val="24"/>
        </w:rPr>
        <w:lastRenderedPageBreak/>
        <w:t>livello minimo di articolazione e la sua composizione in moduli distinti. Il termine della sperimentazione di cui all'articolo 38-sexies della legge 31 dicembre 2009, n. 196, è prorogato di un anno.</w:t>
      </w:r>
    </w:p>
    <w:p w14:paraId="06E66A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89A2A1"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16.</w:t>
      </w:r>
    </w:p>
    <w:p w14:paraId="4B30E85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(Norma finanziaria)</w:t>
      </w:r>
    </w:p>
    <w:p w14:paraId="2E4DE9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09B7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Agli oneri derivanti dagli articoli 4, 5, 6, 7, 8 e 11, pari a 10.337.000 euro per l'anno 2021, 28.672.000 euro per ciascuno degli anni dal 2022 al 2026 e 2.295.000 euro annui a decorrere dal 2027, si provvede:</w:t>
      </w:r>
    </w:p>
    <w:p w14:paraId="55D6A7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E012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quanto a 8 milioni di euro per ciascuno degli anni dal 2022 al 2026, mediante corrispondente riduzione del Fondo per interventi strutturali di politica economica, di cui all'articolo 10, comma 5, del decreto-legge 29 novembre 2004, n. 282, convertito, con modificazioni, dalla legge 27 dicembre 2004, n. 307;</w:t>
      </w:r>
    </w:p>
    <w:p w14:paraId="7D40DE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AAD7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quanto a 4.316.000 euro per l'anno 2021 e 8.632.000 euro per ciascuno degli anni dal 2022 al 2026, mediante corrispondente riduzione dell'autorizzazione di spesa di cui all'articolo 1, comma 200, della legge 23 dicembre 2014, n. 190;</w:t>
      </w:r>
    </w:p>
    <w:p w14:paraId="011D2F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A290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quanto a 6.021.000 euro per l'anno 2021 e 12.040.000 euro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w:t>
      </w:r>
    </w:p>
    <w:p w14:paraId="128ED1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050D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l'accantonamento relativo al Ministero dell'economia e delle finanze per 2.541.000 euro per l'anno 2021, 4.384.000 euro per l'anno 2022 e 5.080.000 a decorrere dall'anno 2023;</w:t>
      </w:r>
    </w:p>
    <w:p w14:paraId="38ED5F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7D7E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l'accantonamento relativo al Ministero dello sviluppo economico per 348.000 euro per l'anno 2021 e a 696.000 a decorrere dall'anno 2022;</w:t>
      </w:r>
    </w:p>
    <w:p w14:paraId="3A60E2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CCB1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l'accantonamento relativo al Ministero del lavoro e delle politiche sociali per 696.000 a decorrere dall'anno 2022;</w:t>
      </w:r>
    </w:p>
    <w:p w14:paraId="14CE4F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AB0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l'accantonamento relativo al Ministero della giustizia per 348.000 euro per l'anno 2021 e a 696.000 per 2022;</w:t>
      </w:r>
    </w:p>
    <w:p w14:paraId="1A21AD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1036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l'accantonamento relativo al Ministero dell'interno per 348.000 euro per l'anno 2021 e a 696.000 a decorrere dall'anno 2022;</w:t>
      </w:r>
    </w:p>
    <w:p w14:paraId="1E072A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EA1F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l'accantonamento relativo al Ministero dell'istruzione per 348.000 euro per l'anno 2021 e a 696.000 a decorrere dall'anno 2022;</w:t>
      </w:r>
    </w:p>
    <w:p w14:paraId="17C9FD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0953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l'accantonamento relativo al Ministero dell'ambiente e della tutela del territorio e del mare per 348.000 euro per l'anno 2021 e a 696.000 a decorrere dall'anno 2022;</w:t>
      </w:r>
    </w:p>
    <w:p w14:paraId="6FCE1A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D3C7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l'accantonamento relativo al Ministero delle infrastrutture e dei trasporti per 348.000 euro per l'anno 2021 e a 696.000 a decorrere dall'anno 2022;</w:t>
      </w:r>
    </w:p>
    <w:p w14:paraId="679C36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F245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l'accantonamento relativo al Ministero dell'università e della ricerca per 348.000 euro per l'anno 2021 e a 696.000 a decorrere dall'anno 2022;</w:t>
      </w:r>
    </w:p>
    <w:p w14:paraId="5F6DCC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3905A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l'accantonamento relativo al Ministero della difesa per 348.000 euro per l'anno 2021 e a 696.000 a decorrere dall'anno 2022;</w:t>
      </w:r>
    </w:p>
    <w:p w14:paraId="309BB5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91F9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l'accantonamento relativo al Ministero delle politiche agricole alimentari, forestali e del turismo per 348.000 euro per l'anno 2021 e a 696.000 a decorrere dall'anno 2022;</w:t>
      </w:r>
    </w:p>
    <w:p w14:paraId="5B0AA0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B9B2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l'accantonamento relativo al Ministero per i beni e le attività culturali per 348.000 euro per l'anno 2021 e a 696.000 a decorrere dall'anno 2022.</w:t>
      </w:r>
    </w:p>
    <w:p w14:paraId="0C12A1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CEEA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dell'immediata attuazione delle disposizioni recate dal presente decreto, il Ministro dell'economia e delle finanze è autorizzato ad apportare, con propri decreti, le occorrenti variazioni di bilancio.</w:t>
      </w:r>
    </w:p>
    <w:p w14:paraId="3A0B56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F1732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II</w:t>
      </w:r>
    </w:p>
    <w:p w14:paraId="4CDBD37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DISPOSIZIONI DI ACCELERAZIONE E SNELLIMENTO DELLE PROCEDURE E DI RAFFORZAMENTO DELLA CAPACITÀ AMMINISTRATIVA</w:t>
      </w:r>
    </w:p>
    <w:p w14:paraId="284B974E"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6F84B7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2E744D61"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TRANSIZIONE ECOLOGICA E VELOCIZZAZIONE DEL PROCEDIMENTO AMBIENTALE E PAESAGGISTICO</w:t>
      </w:r>
    </w:p>
    <w:p w14:paraId="3EC955C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CECC7CD"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w:t>
      </w:r>
    </w:p>
    <w:p w14:paraId="32B9DDC3"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STATALE</w:t>
      </w:r>
    </w:p>
    <w:p w14:paraId="1F7D56F6"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67DDC08"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17.</w:t>
      </w:r>
    </w:p>
    <w:p w14:paraId="456EEF61"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(Commissione tecnica VIA per i progetti PNRR-PNIEC)</w:t>
      </w:r>
    </w:p>
    <w:p w14:paraId="4BE239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BA29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8 sono apportate le seguenti modificazioni:</w:t>
      </w:r>
    </w:p>
    <w:p w14:paraId="40D725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D91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il comma 2-bis è sostituito dal seguente:</w:t>
      </w:r>
    </w:p>
    <w:p w14:paraId="5AA7D6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DDAF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   «2-bis. Per lo svolgimento delle procedure di valutazione ambientale di competenza statale dei progetti ricompresi nel PNRR, di quelli finanziati a valere sul fondo complementare nonché dei progetti attuativi del PNIEC individuati nell'Allegato I-bis del presente decreto, è istituita la Commissione Tecnica PNRR-PNIEC, posta alle dipendenze funzionali del Ministero della transizione ecologica, e formata da un numero massimo di quaranta unità, in possesso di diploma di laurea o laurea magistrale, con almeno cinque anni di esperienza professionale e con competenze adeguate alla valutazione tecnica, ambientale e paesaggistica dei predetti progetti, individuato tra il personale di ruolo delle amministrazioni statali e regionali, del CNR, del Sistema nazionale a rete per la protezione dell'ambiente di cui alla legge 28 giugno 2016, n. 132, dell'ENEA e dell'ISS, secondo le modalità di cui al comma 2, secondo periodo,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aspettativa o altra analoga posizione, secondo i rispettivi ordinamenti. I componenti nominati nella Commissione Tecnica PNRR-PNIEC svolgono tale attività a tempo pieno e non possono far parte della Commissione di cui al comma 1 del presente articolo. Nella nomina dei membri è garantito il rispetto dell'equilibrio di genere. I componenti della Commissione Tecnica PNRR-PNIEC sono nominati con decreto del Ministro della transizione ecologica entro sessanta giorni dalla data di entrata in vigore della presente disposizione. I componenti della Commissione Tecnica PNRR-PNIEC restano in carica cinque anni e sono rinnovabili per una sola </w:t>
      </w:r>
      <w:r w:rsidRPr="00EF5B01">
        <w:rPr>
          <w:rFonts w:asciiTheme="minorHAnsi" w:eastAsia="Times New Roman" w:hAnsiTheme="minorHAnsi" w:cs="Times New Roman"/>
          <w:bCs/>
          <w:iCs/>
          <w:color w:val="000000" w:themeColor="text1"/>
          <w:sz w:val="24"/>
          <w:szCs w:val="24"/>
        </w:rPr>
        <w:lastRenderedPageBreak/>
        <w:t>volta. Alle riunioni della commissione partecipa, con diritto di voto, anche un rappresentante del Ministero della cultura. Per lo svolgimento delle istruttorie tecniche la Commissione si avvale, tramite appositi protocolli d'intesa, del Sistema nazionale a rete per la protezione dell'ambiente a norma della legge 28 giugno 2016, n. 132, e degli altri enti pubblici di ricerca. Per i procedimenti per i quali sia riconosciuto da specifiche disposizioni o intese un concorrente interesse regionale, all'attività istruttoria partecipa con diritto di voto un esperto designato dalle Regioni e dalle Province autonome interessate, individuato tra i soggetti in possesso di adeguata professionalità ed esperienza nel settore della valutazione dell'impatto ambientale e del diritto ambientale. La Commissione opera con le modalità previste dall'articolo 20, dall'articolo 21, dall'articolo 23, dall'articolo 24, dall'articolo 25, commi 1, 2-bis, 2-ter, 3, 4, 5, 6 e 7, e dall'articolo 27, del presente decreto.”;</w:t>
      </w:r>
    </w:p>
    <w:p w14:paraId="1AA616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C127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1 è aggiunto in fine il seguente periodo: «Nella trattazione dei procedimenti di sua competenza ai sensi della normativa vigente, la Commissione di cui al presente comma nonché la Commissione di cui al comma 2-bis, dà precedenza ai progetti aventi un comprovato valore economico superiore a 5 milioni di euro ovvero una ricaduta in termini di maggiore occupazione attesa superiore a quindici unità di personale, nonché ai progetti cui si correlano scadenze non superiori a dodici mesi, fissate con termine perentorio dalla legge o comunque da enti terzi, e ai progetti relativi ad impianti già autorizzati la cui autorizzazione scade entro dodici mesi dalla presentazione dell'istanza.»;</w:t>
      </w:r>
    </w:p>
    <w:p w14:paraId="3D243A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E092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5 le parole «Commissione tecnica PNIEC» ovunque ricorrono sono sostituite dalle seguenti: «Commissione tecnica PNRR-PNIEC» e le parole «e in ragione dei compiti istruttori effettivamente svolti,» sono sostituite dalle seguenti: «, esclusivamente in ragione dei compiti istruttori effettivamente svolti e solo a seguito dell'adozione del provvedimento finale,»</w:t>
      </w:r>
    </w:p>
    <w:p w14:paraId="0F5F1F3F"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3E62B7"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18.</w:t>
      </w:r>
    </w:p>
    <w:p w14:paraId="275DF47A"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(Opere e infrastrutture strategiche per la realizzazione del PNRR e del PNIEC)</w:t>
      </w:r>
    </w:p>
    <w:p w14:paraId="5A78B8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517B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2508F3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7BBD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7-bis</w:t>
      </w:r>
    </w:p>
    <w:p w14:paraId="1D3126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A879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il comma 2-bis è sostituito dal seguente: «2-bis. Le opere, gli impianti e le infrastrutture necessari alla realizzazione dei progetti strategici per la transizione energetica del Paese inclusi nel Piano nazionale di ripresa e resilienza (PNRR) e al raggiungimento degli obiettivi fissati dal Piano nazionale integrato per l'energia e il clima (PNIEC), predisposto in attuazione del Regolamento (UE) 2018/1999, </w:t>
      </w:r>
      <w:r w:rsidRPr="00EF5B01">
        <w:rPr>
          <w:rFonts w:asciiTheme="minorHAnsi" w:eastAsia="Times New Roman" w:hAnsiTheme="minorHAnsi" w:cs="Times New Roman"/>
          <w:bCs/>
          <w:iCs/>
          <w:color w:val="000000" w:themeColor="text1"/>
          <w:sz w:val="24"/>
          <w:szCs w:val="24"/>
        </w:rPr>
        <w:lastRenderedPageBreak/>
        <w:t>come individuati nell'Allegato I-bis, e le opere ad essi connesse costituiscono interventi di pubblica utilità, indifferibili e urgenti.»;</w:t>
      </w:r>
    </w:p>
    <w:p w14:paraId="375596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797F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2-ter è abrogato;</w:t>
      </w:r>
    </w:p>
    <w:p w14:paraId="752174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6E75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l'allegato I alla Parte seconda, è inserito l'allegato I-bis, di cui all'allegato I al presente decreto.</w:t>
      </w:r>
    </w:p>
    <w:p w14:paraId="6B9830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989410"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19.</w:t>
      </w:r>
    </w:p>
    <w:p w14:paraId="2074FFC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relative al procedimento di verifica di assoggettabilità a VIA e consultazione preventiva)</w:t>
      </w:r>
    </w:p>
    <w:p w14:paraId="43847611"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BB233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0E757B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08BB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19:</w:t>
      </w:r>
    </w:p>
    <w:p w14:paraId="061B63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C40B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4 la parola «quarantacinque» è sostituita dalla seguente: «trenta»;</w:t>
      </w:r>
    </w:p>
    <w:p w14:paraId="72FAE3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E74A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6 sono aggiunti in fine i seguenti periodi: «Nel medesimo termine l'autorità competente può richiedere chiarimenti e integrazioni al proponente finalizzati alla non assoggettabilità del progetto al procedimento di VIA. In tal caso, il proponente può richiedere, per una sola volta, la sospensione dei termini, per un periodo non superiore a sessanta giorni, per la presentazione delle integrazioni e dei chiarimenti richiesti. Qualora il proponente non trasmetta la documentazione richiesta entro il termine stabilito, la domanda si intende respinta ed è fatto obbligo all'autorità competente di procedere all'archiviazione.»;</w:t>
      </w:r>
    </w:p>
    <w:p w14:paraId="4D33BC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D61A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7 dopo il primo periodo è aggiunto il seguente: «Ai fini di cui al primo periodo l'autorità competente si pronuncia sulla richiesta di condizioni ambientali formulata dal proponente entro il termine di trenta giorni con determinazione positiva o negativa, esclusa ogni ulteriore interlocuzione o proposta di modifica.»;</w:t>
      </w:r>
    </w:p>
    <w:p w14:paraId="34D234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381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all'articolo 20 sono aggiunte in fine le seguenti parole «entro trenta giorni dalla presentazione della proposta. Le disposizioni di cui al presente articolo si applicano anche ai progetti di cui all'articolo 8, comma 2-bis.».</w:t>
      </w:r>
    </w:p>
    <w:p w14:paraId="5BC5CC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3512FC"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20.</w:t>
      </w:r>
    </w:p>
    <w:p w14:paraId="6526373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(Nuova disciplina della valutazione di impatto ambientale e disposizioni speciali per gli interventi PNRR-PNIEC)</w:t>
      </w:r>
    </w:p>
    <w:p w14:paraId="062057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C3D7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25, i commi 2 e 2-bis sono sostituiti dai seguenti:</w:t>
      </w:r>
    </w:p>
    <w:p w14:paraId="713073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C4CE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Nel caso di progetti di competenza statale, ad esclusione di quelli di cui all'articolo 8, comma 2-bis, l'autorità competente, entro il termine di sessanta giorni dalla conclusione della fase di consultazione di cui all'articolo 24, adotta il provvedimento di VIA previa acquisizione del concerto del competente direttore generale del Ministero della cultura entro il termine di trenta giorni. Nei casi di cui al precedente periodo, qualora sia necessario procedere ad accertamenti e indagini di particolare complessità, l'autorità competente, con atto motivato, dispone il prolungamento della fase di valutazione sino a un massimo di ulteriori trenta giorni, dando tempestivamente comunicazione per via telematica al proponente delle ragioni che giustificano la proroga e del termine entro cui sarà emanato il provvedimento. Nel caso di consultazioni transfrontaliere il provvedimento di VIA è proposto all'adozione del Ministro entro il termine di cui all'articolo 32, comma 5-bis.</w:t>
      </w:r>
    </w:p>
    <w:p w14:paraId="1B2E45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Per i progetti di cui all'articolo 8, comma 2-bis, la Commissione di cui al medesimo comma 2-bis, si esprime entro il termine di trenta giorni dalla conclusione della fase di consultazione di cui all'articolo 24 e comunque entro il termine di centotrenta giorni dalla data di pubblicazione della documentazione di cui all'articolo 23 predisponendo lo schema di provvedimento di VIA. Nei successivi trenta giorni, il direttore generale del Ministero della transizione ecologica adotta il provvedimento di VIA, previa acquisizione del concerto del competente direttore generale del Ministero della cultura entro il termine di venti giorni. Nel caso di consultazioni transfrontaliere il provvedimento di VIA è adottato entro il termine di cui all'articolo 32, comma 5-bis.</w:t>
      </w:r>
    </w:p>
    <w:p w14:paraId="591C71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   2-ter. Nei casi in cui i termini per la conclusione del procedimento di cui al comma 2-bis, primo e secondo periodo, non siano rispettati è automaticamente rimborsato al proponente il cinquanta per cento dei diritti di istruttoria di cui all'articolo 33, mediante utilizzazione delle risorse iscritte in apposito capitolo a tal fine istituito nello stato di previsione del Ministero della transizione ecologica con uno stanziamento di euro 840.000 per l'anno 2021, di euro 1.640.000 per l'anno 2022 ed euro 1.260.000 per l'anno 2023.</w:t>
      </w:r>
    </w:p>
    <w:p w14:paraId="33342F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   2-quater. In caso di inerzia nella conclusione del procedimento da parte delle Commissioni di cui all'articolo 8, commi 1 e 2-bis, il titolare del potere sostitutivo, nominato ai sensi dell'articolo 2 della legge 7 agosto 1990, n. 241, acquisito, qualora la competente commissione di cui all'articolo 8 non si sia pronunciata, il parere dell'ISPRA entro il termine di trenta giorni, provvede all'adozione dell'atto omesso entro i successivi trenta giorni. In caso di inerzia nella conclusione del procedimento da parte del direttore generale del ministero della transizione ecologica ovvero in caso di ritardo nel rilascio del concerto da parte del direttore generale competente del Ministero della cultura, il titolare del potere sostitutivo, nominato ai sensi dell'articolo 2 della legge n. 241 del 1990, provvede al rilascio degli atti di relativa competenza entro i successivi trenta giorni.».</w:t>
      </w:r>
    </w:p>
    <w:p w14:paraId="742083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   2-quinquies. Il concerto del competente direttore generale del Ministero della cultura comprende l'autorizzazione di cui all'articolo 146 del decreto legislativo 22 gennaio 2004, n. 42, ove gli elaborati progettuali siano sviluppati a un livello che consenta la compiuta redazione della relazione paesaggistica.».</w:t>
      </w:r>
    </w:p>
    <w:p w14:paraId="1E5ADF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3424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 comma 1, capoverso 2-ter, pari a 840.000 euro per l'anno 2021, 1.640.000 per l'anno 2022 e 1.260.000 per l'anno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dell'ambiente e della tutela del territorio e del mare. Il Ministero della transizione ecologica provvede al monitoraggio del rispetto del limite di spesa e comunica i risultati di tale attività al Ministero dell'economia e delle finanze. Qualora dal predetto monitoraggio emerga il verificarsi di scostamenti, anche in via prospettica, rispetto al predetto limite di spesa, si provvede ai sensi del comma 12-bis dell'articolo 17 della legge 31 dicembre 2009, n. 196.</w:t>
      </w:r>
    </w:p>
    <w:p w14:paraId="2E7936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38DBE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21.</w:t>
      </w:r>
    </w:p>
    <w:p w14:paraId="4F58D694"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(Avvio del procedimento di VIA e consultazione del pubblico)</w:t>
      </w:r>
    </w:p>
    <w:p w14:paraId="1E2CC5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9A1D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516A7B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DEE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23:</w:t>
      </w:r>
    </w:p>
    <w:p w14:paraId="34BFA1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ADAD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primo periodo le parole «dieci giorni» sono sostituite dalle seguenti «quindici giorni», al secondo periodo sono premesse le parole «Entro il medesimo termine», nonché dopo il terzo periodo è aggiunto il seguente: «I termini di cui al presente comma sono perentori.»;</w:t>
      </w:r>
    </w:p>
    <w:p w14:paraId="3FF723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1EEE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le parole «Per i progetti individuati dal decreto del Presidente del Consiglio dei Ministri di cui all'articolo 7-bis, comma 2-bis» sono sostituite dalle seguenti «Per i progetti di cui all'articolo 8, comma 2-bis»;</w:t>
      </w:r>
    </w:p>
    <w:p w14:paraId="48A98B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697E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w:t>
      </w:r>
    </w:p>
    <w:p w14:paraId="093357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A8AE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comma 3 è sostituito dal seguente: «3. Entro il termine di sessanta giorni, ovvero trenta giorni per i progetti di cui all'articolo 8, comma 2-bis, dalla pubblicazione dell'avviso al pubblico di cui al comma 2, chiunque abbia interesse può prendere visione, sul sito web, del progetto e della relativa documentazione e presentare le proprie osservazioni all'autorità competente, anche fornendo nuovi o ulteriori elementi conoscitivi e valutativi. Entro il medesimo termine sono acquisiti per via telematica i pareri delle Amministrazioni e degli enti pubblici che hanno ricevuto la comunicazione di cui all'articolo 23, comma 4. Entro i quindici giorni successivi alla scadenza del termine di cui ai periodi precedenti, il proponente ha facoltà di presentare all'autorità competente le proprie controdeduzioni alle osservazioni e ai pareri pervenuti.»;</w:t>
      </w:r>
    </w:p>
    <w:p w14:paraId="0F408D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8597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4 è sostituito dal seguente: «4. Qualora all'esito della consultazione ovvero della presentazione delle controdeduzioni da parte del proponente si renda necessaria la modifica o l'integrazione degli elaborati progettuali o della documentazione acquisita, l'autorità competente, entro i venti giorni successivi, ovvero entro i dieci giorni successivi per i progetti di cui all'articolo 8, comma 2-bis può, per una sola volta, stabilire un termine non superiore ad ulteriori venti giorni, per la trasmissione, in formato elettronico, degli elaborati progettuali o della documentazione modificati o integrati. Su richiesta motivata del proponente l'autorità competente può concedere, per una sola volta, la sospensione dei termini per la presentazione della documentazione integrativa per un periodo non superiore a sessanta giorni. Nel caso in cui il proponente non ottemperi alla richiesta entro il termine perentorio stabilito, l'istanza si intende respinta ed è fatto obbligo all'autorità competente di procedere all'archiviazione.»;</w:t>
      </w:r>
    </w:p>
    <w:p w14:paraId="32057C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8DD9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5, il primo periodo è sostituito dal seguente: «L'autorità competente, ricevuta la documentazione integrativa, la pubblica immediatamente sul proprio sito web e, tramite proprio apposito avviso, avvia una nuova consultazione del pubblico.», nonché al secondo periodo dopo le parole «si applica il termine di trenta giorni» sono inserite le seguenti «ovvero quindici giorni per i progetti di cui all'articolo 8, comma 2-bis».</w:t>
      </w:r>
    </w:p>
    <w:p w14:paraId="37E4F5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B1C54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22.</w:t>
      </w:r>
    </w:p>
    <w:p w14:paraId="6FEA80B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(Nuova disciplina in materia di provvedimento unico ambientale)</w:t>
      </w:r>
    </w:p>
    <w:p w14:paraId="125A09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2D9B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27, sono apportate le seguenti modificazioni:</w:t>
      </w:r>
    </w:p>
    <w:p w14:paraId="27B819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B51F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le parole «di ogni autorizzazione, intesa, parere, concerto, nulla osta, o atto di assenso in materia ambientale, richiesto» sono sostituite dalle seguenti: «delle autorizzazioni ambientali tra quelle elencate al comma 2 richieste» e le parole «di ogni autorizzazione, intesa, parere, concerto, nulla osta, o atti di assenso in materia ambientale richiesti» sono sostituite dalle seguenti: «delle autorizzazioni di cui al comma 2»;</w:t>
      </w:r>
    </w:p>
    <w:p w14:paraId="2B92D3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D018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2, prima del primo periodo, è inserito il seguente: «È facoltà del proponente richiedere l'esclusione dal presente procedimento dell'acquisizione di autorizzazioni, intese, concessioni, licenze, pareri, concerti, nulla osta e assensi comunque denominati, nel caso in cui le relative normative di settore richiedano, per consentire una compiuta istruttoria tecnico-amministrativa, un livello di progettazione esecutivo.»;</w:t>
      </w:r>
    </w:p>
    <w:p w14:paraId="5C4F63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A886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4, le parole «ed enti potenzialmente interessati e comunque competenti in materia ambientale» sono sostituite dalle seguenti: «competenti al rilascio delle autorizzazioni ambientali di cui al comma 2 richieste dal proponente»;</w:t>
      </w:r>
    </w:p>
    <w:p w14:paraId="183ECE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8E7B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6, la parola «cinque» è sostituita dalla seguente: «dieci» e le parole «, l'autorità competente indìce la conferenza di servizi decisoria di cui all'articolo 14-ter della legge 7 agosto 1990, n. 241 che opera secondo quanto disposto dal comma 8. Contestualmente» sono soppresse;</w:t>
      </w:r>
    </w:p>
    <w:p w14:paraId="4127E9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2972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7, dopo le parole «l'autorità competente» sono inserite le seguenti: «indìce la conferenza di servizi decisoria di cui all'articolo 14-ter della legge 7 agosto 1990, n. 241, che opera secondo quanto disposto dal comma 8. Contestualmente»;</w:t>
      </w:r>
    </w:p>
    <w:p w14:paraId="58218F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955D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8:</w:t>
      </w:r>
    </w:p>
    <w:p w14:paraId="6F309E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3640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terzo periodo, le parole «Per i progetti di cui all'articolo 7-bis, comma 2-bis», sono sostituite dalle seguenti: «Per i progetti di cui all'articolo 8, comma 2-bis»;</w:t>
      </w:r>
    </w:p>
    <w:p w14:paraId="374F75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63D0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al sesto periodo, le parole «per i progetti di cui all'articolo 7-bis, comma 2-bis», sono sostituite dalle seguenti: «per i progetti di cui all'articolo 8, comma 2-bis».</w:t>
      </w:r>
    </w:p>
    <w:p w14:paraId="5632B7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AFFB8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w:t>
      </w:r>
    </w:p>
    <w:p w14:paraId="6451B7C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REGIONALE</w:t>
      </w:r>
    </w:p>
    <w:p w14:paraId="2E04DED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BE657E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23.</w:t>
      </w:r>
    </w:p>
    <w:p w14:paraId="1EC79C7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6ACAC0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5C4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dopo l'articolo 26 è inserito il seguente:</w:t>
      </w:r>
    </w:p>
    <w:p w14:paraId="3285FE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73D5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«Art-26-bis.</w:t>
      </w:r>
    </w:p>
    <w:p w14:paraId="4BC872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63D9D3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8745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i progetti sottoposti a valutazione di impatto ambientale di competenza regionale, il proponente può richiedere, prima della presentazione dell'istanza di cui all'articolo 27-bis, l'avvio di una fase preliminare finalizzata alla definizione delle informazioni da inserire nello studio di impatto ambientale, del relativo livello di dettaglio e delle metodologie da adottare per la predisposizione dello stesso nonché alla definizione delle condizioni per ottenere le autorizzazioni, intese, concessioni, licenze, pareri, concerti, nulla osta e assensi comunque denominati, necessari alla realizzazione e all'esercizio del progetto. Il proponente trasmette all'autorità competente, in formato elettronico, i seguenti documenti:</w:t>
      </w:r>
    </w:p>
    <w:p w14:paraId="7E843B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DCC2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studio preliminare ambientale ovvero una relazione che, sulla base degli impatti ambientali attesi, illustra il piano di lavoro per l'elaborazione dello studio di impatto ambientale;</w:t>
      </w:r>
    </w:p>
    <w:p w14:paraId="7D1598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9876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progetto avente un livello di dettaglio equivalente al progetto di fattibilità tecnico economica di cui all'articolo 23 del decreto legislativo 18 aprile 2016, n. 50.</w:t>
      </w:r>
    </w:p>
    <w:p w14:paraId="3419BF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D161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Entro cinque giorni dalla trasmissione, la documentazione di cui al comma 1 è pubblicata e resa accessibile, con modalità tali da garantire la tutela della riservatezza di eventuali informazioni industriali o commerciali indicate dal proponente, nel sito web dell'autorità competente che comunica, per via telematica, a tutte le amministrazioni ed enti potenzialmente interessati e comunque competenti a </w:t>
      </w:r>
      <w:r w:rsidRPr="00EF5B01">
        <w:rPr>
          <w:rFonts w:asciiTheme="minorHAnsi" w:eastAsia="Times New Roman" w:hAnsiTheme="minorHAnsi" w:cs="Times New Roman"/>
          <w:bCs/>
          <w:iCs/>
          <w:color w:val="000000" w:themeColor="text1"/>
          <w:sz w:val="24"/>
          <w:szCs w:val="24"/>
        </w:rPr>
        <w:lastRenderedPageBreak/>
        <w:t>esprimersi sulla realizzazione e sull'esercizio del progetto, l'avvenuta pubblicazione. Contestualmente l'autorità competente indice una conferenza di servizi preliminare ai sensi della legge 7 agosto 1990, n. 241, con le medesime amministrazioni ed enti.</w:t>
      </w:r>
    </w:p>
    <w:p w14:paraId="2D8B19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conferenza di servizi preliminare di cui all'articolo 14, comma 3, della legge 7 agosto 1990, n. 241, si svolge con le modalità di cui all'articolo 14-bis della medesima legge e i termini sono ridotti alla metà. Le amministrazioni e gli enti coinvolti ai sensi del comma 2 si esprimono in sede di conferenza, sulla base della documentazione prodotta dal proponente, relativamente alla definizione delle informazioni da inserire nello studio preliminare ambientale, del relativo livello di dettaglio, del rispetto dei requisiti di legge ove sia richiesta anche la variante urbanistica e delle metodologie da adottare per la predisposizione dello studio nonché alla definizione delle condizioni per ottenere gli atti di assenso, comunque denominati, necessari alla realizzazione e all'esercizio del medesimo progetto. Entro cinque giorni dal termine dei lavori della conferenza preliminare, l'autorità competente trasmette al proponente le determinazioni acquisite.</w:t>
      </w:r>
    </w:p>
    <w:p w14:paraId="4C5774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L'autorità competente, in accordo con tutte le amministrazioni ed enti potenzialmente interessati e competenti a esprimersi sulla realizzazione e sull'esercizio del progetto, può stabilire una riduzione dei termini della conferenza di servizi di cui al comma 7 dell'articolo 27-bis. Le determinazioni espresse in sede di conferenza preliminare possono essere motivatamente modificate o integrate solo in presenza di elementi nuovi, tali da comportare notevoli ripercussioni negative sugli interessi coinvolti emersi nel successivo procedimento anche a seguito delle osservazioni degli interessati di cui al comma 4 dell'articolo 27-bis. Le amministrazioni e gli enti che non si esprimono nella conferenza di servizi preliminare non possono porre condizioni, formulare osservazioni o evidenziare motivi ostativi alla realizzazione dell'intervento nel corso del procedimento di cui all'articolo 27-bis, salvo che in presenza di elementi nuovi, tali da comportare notevoli ripercussioni negative sugli interessi coinvolti emersi nel corso di tale procedimento anche a seguito delle osservazioni degli interessati.».</w:t>
      </w:r>
    </w:p>
    <w:p w14:paraId="5222C2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8F32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Dall'attuazione delle disposizioni del presente articolo non devono derivare nuovi o maggiori oneri a carico della finanza pubblica. Le amministrazioni interessate provvedono alla realizzazione delle attività mediante utilizzo delle risorse umane, strumentali e finanziarie disponibili a legislazione vigente sui propri bilanci.</w:t>
      </w:r>
    </w:p>
    <w:p w14:paraId="029911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342FB4"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24.</w:t>
      </w:r>
    </w:p>
    <w:p w14:paraId="7E16F61D"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(Provvedimento autorizzatorio unico regionale)</w:t>
      </w:r>
    </w:p>
    <w:p w14:paraId="51ECB2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9009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27-bis del decreto legislativo 3 aprile 2006, n. 152, sono apportate le seguenti modificazioni:</w:t>
      </w:r>
    </w:p>
    <w:p w14:paraId="30C51A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84F4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 comma 3, le parole «l'adeguatezza e» sono soppresse, ed è aggiunto in fine il seguente periodo: «Nei casi in cui sia richiesta anche la variante urbanistica di cui all'articolo 8 del decreto del Presidente della Repubblica 7 settembre 2010, n. 160, nel termine di cui al primo periodo l'amministrazione competente effettua la verifica del rispetto dei requisiti per la procedibilità.»;</w:t>
      </w:r>
    </w:p>
    <w:p w14:paraId="4B9A77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F1E4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4, le parole «concernenti la valutazione di impatto ambientale e, ove necessarie, la valutazione di incidenza e l'autorizzazione integrata ambientale» sono soppresse, e dopo il terzo periodo è aggiunto il seguente: «Ove il progetto comporti la variazione dello strumento urbanistico, le osservazioni del pubblico interessato riguardano anche tale variazione e, ove necessario, la valutazione ambientale strategica.»;</w:t>
      </w:r>
    </w:p>
    <w:p w14:paraId="7DD9A9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494B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5 è sostituito dal seguente:</w:t>
      </w:r>
    </w:p>
    <w:p w14:paraId="70DF75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9984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web e, tramite proprio apposito avviso, avvia una nuova consultazione del pubblico la cui durata è ridotta della metà rispetto a quella di cui al comma 4.»;</w:t>
      </w:r>
    </w:p>
    <w:p w14:paraId="678F59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6335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 è sostituito dai seguenti:</w:t>
      </w:r>
    </w:p>
    <w:p w14:paraId="560364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2F12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14-ter della legge 7 agosto 1990, n. 241. Il termine di conclusione della conferenza di servizi è di novanta giorni decorrenti dalla data di convocazione dei lavori. La determinazione motivata di conclusione della conferenza di servizi costituisce il provvedimento autorizzatorio unico regionale e comprende, recandone l'indicazione </w:t>
      </w:r>
      <w:r w:rsidRPr="00EF5B01">
        <w:rPr>
          <w:rFonts w:asciiTheme="minorHAnsi" w:eastAsia="Times New Roman" w:hAnsiTheme="minorHAnsi" w:cs="Times New Roman"/>
          <w:bCs/>
          <w:iCs/>
          <w:color w:val="000000" w:themeColor="text1"/>
          <w:sz w:val="24"/>
          <w:szCs w:val="24"/>
        </w:rPr>
        <w:lastRenderedPageBreak/>
        <w:t>esplicita, il provvedimento di VIA e i titoli abilitativi rilasciati per la realizzazione e l'esercizio del progetto. Nel caso in cui il rilascio di titoli abilitativi settoriali sia compreso nell'ambito di un'autorizzazione unica, le amministrazioni competenti per i singoli atti di assenso partecipano alla conferenza e l'autorizzazione unica confluisce nel provvedimento autorizzatorio unico regionale.</w:t>
      </w:r>
    </w:p>
    <w:p w14:paraId="37F398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   7-bis. Qualora in base alla normativa di settore per il rilascio di uno o più titoli abilitativi sia richiesto un livello progettuale esecutivo, oppure laddove la messa in esercizio dell'impianto o l'avvio dell'attività necessiti di verifiche, riesami o nulla osta successivi alla realizzazione dell'opera stessa, la amministrazione competente indica in conferenza le condizioni da verificare, secondo un cronoprogramma stabilito nella conferenza stessa, per il rilascio del titolo definitivo. Le condizioni indicate dalla conferenza possono essere motivatamente modificate o integrate solo in presenza di significativi elementi emersi nel corso del successivo procedimento per il rilascio del titolo definitivo.</w:t>
      </w:r>
    </w:p>
    <w:p w14:paraId="17408F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   7-ter.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22DB80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E3541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III</w:t>
      </w:r>
    </w:p>
    <w:p w14:paraId="011D025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COMPETENZA IN MATERIA DI VIA, MONITORAGGIO E INTERPELLO AMBIENTALE</w:t>
      </w:r>
    </w:p>
    <w:p w14:paraId="50F0A318"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AADAC7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25.</w:t>
      </w:r>
    </w:p>
    <w:p w14:paraId="33BECB0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(Determinazione dell'autorità competente in materia di VIA e preavviso di rigetto)</w:t>
      </w:r>
    </w:p>
    <w:p w14:paraId="39802F1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59BC4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43D103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8DDB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7-bis, dopo il comma 4, sono inseriti i seguenti:</w:t>
      </w:r>
    </w:p>
    <w:p w14:paraId="111F09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CC66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Nel caso di opere o interventi caratterizzati da più elementi progettuali corrispondenti a diverse tipologie soggette a VIA ovvero a verifica di assoggettabilità a VIA rientranti in parte nella competenza statale e in parte in quella regionale, il proponente, con riferimento alle voci elencate negli allegati II, II-bis, III e IV alla parte seconda del presente decreto, invia in formato elettronico al Ministero della transizione ecologica e alla Regione o Provincia autonoma interessata una comunicazione contenente:</w:t>
      </w:r>
    </w:p>
    <w:p w14:paraId="328F6A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FD85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oggetto/titolo del progetto o intervento proposto;</w:t>
      </w:r>
    </w:p>
    <w:p w14:paraId="12EB37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B6C1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tipologia progettuale individuata come principale;</w:t>
      </w:r>
    </w:p>
    <w:p w14:paraId="521F7F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6C0D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altre tipologie progettuali coinvolte;</w:t>
      </w:r>
    </w:p>
    <w:p w14:paraId="553C74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57AD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autorità (stato o regione/provincia autonoma) che egli individua come competente allo svolgimento della procedura di VIA o verifica di assoggettabilità a VIA.</w:t>
      </w:r>
    </w:p>
    <w:p w14:paraId="3DB5AF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08A5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  4-ter. Entro e non oltre trenta giorni dal ricevimento della comunicazione, la Regione o la Provincia autonoma ha la facoltà di trasmettere valutazioni di competenza al Ministero, dandone contestualmente comunicazione al proponente. Entro e non oltre i successivi trenta giorni, in base ai criteri di cui agli allegati II, II-bis, III e IV alla parte seconda del presente decreto, il competente ufficio del Ministero comunica al proponente e alla Regione o Provincia autonoma la determinazione in merito all'autorità competente, alla quale il proponente stesso dovrà presentare l'istanza per l'avvio del procedimento. Decorso tale termine, si considera acquisito l'assenso del Ministero sulla posizione formulata dalla Regione o Provincia autonoma o, in assenza di questa, dal proponente.”;</w:t>
      </w:r>
    </w:p>
    <w:p w14:paraId="2CB42A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D8C5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w:t>
      </w:r>
    </w:p>
    <w:p w14:paraId="150EE0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CDF8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6 è inserito il seguente: «6-bis. Qualora nei procedimenti di VIA di competenza statale l'autorità competente coincida con l'autorità che autorizza il progetto, la valutazione di impatto ambientale viene rilasciata dall'autorità competente nell'ambito del procedimento autorizzatorio.»;</w:t>
      </w:r>
    </w:p>
    <w:p w14:paraId="56D58E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C88B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10, è inserito il seguente: «10-bis. Ai procedimenti di cui ai commi 6, 7 e 9 del presente articolo, nonché all'articolo 28, non si applica quanto previsto dall'articolo 10-bis della legge 7 agosto 1990, n. 241.».</w:t>
      </w:r>
    </w:p>
    <w:p w14:paraId="7DA661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F1854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26.</w:t>
      </w:r>
    </w:p>
    <w:p w14:paraId="3693991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delle condizioni ambientali contenute nel provvedimento di VIA)</w:t>
      </w:r>
    </w:p>
    <w:p w14:paraId="5764D1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B8E8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28 del decreto legislativo 3 aprile 2006, n. 152, sono apportate le seguenti modificazioni:</w:t>
      </w:r>
    </w:p>
    <w:p w14:paraId="3DBCC2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7FA6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terzo periodo, le parole «d'intesa con il proponente» sono sostituite dalle seguenti: «sentito il proponente»;</w:t>
      </w:r>
    </w:p>
    <w:p w14:paraId="75173D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A13A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2, la lettera b) è sostituita dalla seguente: «b) nomina del 50 per cento dei rappresentanti del Ministero della transizione ecologica tra soggetti estranei all'amministrazione del Ministero e dotati di significativa competenza e professionalità per l'esercizio delle funzioni;».</w:t>
      </w:r>
    </w:p>
    <w:p w14:paraId="1F4705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9A86F8"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27.</w:t>
      </w:r>
    </w:p>
    <w:p w14:paraId="7D387C2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ambientale)</w:t>
      </w:r>
    </w:p>
    <w:p w14:paraId="7AFF0C5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589CE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l'articolo 3-sexies del decreto legislativo 3 aprile 2006 n. 152, è inserito il seguente:</w:t>
      </w:r>
    </w:p>
    <w:p w14:paraId="32B4D3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32F7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3-septies.</w:t>
      </w:r>
    </w:p>
    <w:p w14:paraId="643D74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in materia ambientale)</w:t>
      </w:r>
    </w:p>
    <w:p w14:paraId="24B617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B1DE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regioni, le Province autonome di Trento e Bolzano, le province, le città metropolitane, i comuni, le associazioni di categoria rappresentate nel Consiglio nazionale dell'economia e del lavoro, le associazioni di protezione ambientale a carattere nazionale e quelle presenti in almeno cinque regioni o province autonome di Trento e Bolzano, possono inoltrare al Ministero della transizione ecologica, con le modalità di cui al comma 3, istanze di ordine generale sull'applicazione della normativa statale in materia ambientale. Le indicazioni fornite nelle risposte alle istanze di cui al presente comma costituiscono criteri interpretativi per l'esercizio delle attività di competenza delle pubbliche amministrazioni in materia ambientale, salvo rettifica della soluzione interpretativa da parte dell'amministrazione con valenza limitata ai comportamenti futuri dell'istante. Resta salvo l'obbligo di ottenere gli atti di consenso, comunque denominati, prescritti dalla vigente normativa. Nel caso in cui l'istanza sia formulata da più soggetti e riguardi la stessa questione o questioni analoghe tra loro, il Ministero della transizione ecologica può fornire un'unica risposta.</w:t>
      </w:r>
    </w:p>
    <w:p w14:paraId="5ABC43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in conformità all'articolo 3-sexies del presente decreto e al decreto legislativo 19 agosto 2005, n. 195, pubblica senza indugio le risposte fornite alle istanze di cui al presente articolo nell'ambito della sezione “Informazioni ambientali” del proprio sito istituzionale di cui all'articolo 40 del decreto legislativo 14 marzo 2013, n. 33, previo oscuramento dei dati comunque coperti da riservatezza, nel rispetto del decreto legislativo 30 giugno 2003, n. 196.</w:t>
      </w:r>
    </w:p>
    <w:p w14:paraId="03716D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La presentazione delle istanze di cui al comma 1 non ha effetto sulle scadenze previste dalle norme ambientali, né sulla decorrenza dei termini di decadenza e non comporta interruzione o sospensione dei termini di prescrizione».</w:t>
      </w:r>
    </w:p>
    <w:p w14:paraId="318866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DE821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IV</w:t>
      </w:r>
    </w:p>
    <w:p w14:paraId="6B31EF2B"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AMBIENTALE STRATEGICA</w:t>
      </w:r>
    </w:p>
    <w:p w14:paraId="75B128A6"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871550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28.</w:t>
      </w:r>
    </w:p>
    <w:p w14:paraId="1ED7B69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(Modifica della disciplina concernente la valutazione ambientale strategica)</w:t>
      </w:r>
    </w:p>
    <w:p w14:paraId="5484E9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F4CB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0F2883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3A11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12:</w:t>
      </w:r>
    </w:p>
    <w:p w14:paraId="6EACF7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A6FE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«ovvero, nei casi di particolare difficoltà di ordine tecnico, anche su supporto cartaceo» sono soppresse e dopo la parola «preliminare» sono inserite le seguenti: «di assoggettabilità a VAS»;</w:t>
      </w:r>
    </w:p>
    <w:p w14:paraId="2D7377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C5A6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«documento preliminare» sono sostituite dalle seguenti: «rapporto preliminare di assoggettabilità a VAS»;</w:t>
      </w:r>
    </w:p>
    <w:p w14:paraId="56893E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3AF0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 le parole «e, se del caso, definendo le necessarie prescrizioni» sono soppresse;</w:t>
      </w:r>
    </w:p>
    <w:p w14:paraId="7232CB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A34D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13:</w:t>
      </w:r>
    </w:p>
    <w:p w14:paraId="10DDCA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205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il primo periodo, è aggiunto il seguente: «L'autorità competente in collaborazione con l'autorità procedente, individua i soggetti competenti in materia ambientale da consultare e trasmette loro il rapporto preliminare per acquisire i contributi. I contributi sono inviati all'autorità competente ed all'autorità procedente entro trenta giorni dall'avvio della consultazione.»;</w:t>
      </w:r>
    </w:p>
    <w:p w14:paraId="0DA8A2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6966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il comma 5 è sostituito dal seguente: «5. L'autorità procedente trasmette all'autorità competente in formato elettronico:</w:t>
      </w:r>
    </w:p>
    <w:p w14:paraId="7B960B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4DC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proposta di piano o di programma;</w:t>
      </w:r>
    </w:p>
    <w:p w14:paraId="4097B8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9C4D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rapporto ambientale;</w:t>
      </w:r>
    </w:p>
    <w:p w14:paraId="624F75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4FC5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la sintesi non tecnica;</w:t>
      </w:r>
    </w:p>
    <w:p w14:paraId="1850CF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23E2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le informazioni sugli eventuali impatti transfrontalieri del piano/programma ai sensi dell'articolo 32;</w:t>
      </w:r>
    </w:p>
    <w:p w14:paraId="4EB1DB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369D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l'avviso al pubblico, con i contenuti indicati all'articolo 14 comma 1;</w:t>
      </w:r>
    </w:p>
    <w:p w14:paraId="0246BA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6A0A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copia della ricevuta di avvenuto pagamento del contributo di cui all'articolo 33.»;</w:t>
      </w:r>
    </w:p>
    <w:p w14:paraId="7525F2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E4EF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5 è inserito il seguente: «5-bis. La documentazione di cui al comma 5 è immediatamente pubblicata e resa accessibile nel sito web dell'autorità competente e dell'autorità procedente. La proposta di piano o programma e il rapporto ambientale sono altresì messi a disposizione dei soggetti competenti in materia ambientale e del pubblico interessato affinché questi abbiano l'opportunità di esprimersi.»;</w:t>
      </w:r>
    </w:p>
    <w:p w14:paraId="28CB6C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05D4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l'articolo 14 è sostituito dal seguente:</w:t>
      </w:r>
    </w:p>
    <w:p w14:paraId="3DC87E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A2E1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14.</w:t>
      </w:r>
    </w:p>
    <w:p w14:paraId="36A4C5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(Consultazione)</w:t>
      </w:r>
    </w:p>
    <w:p w14:paraId="6A441B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E52C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L'avviso al pubblico di cui all'articolo 13, comma 5, lettera e), contiene almeno:</w:t>
      </w:r>
    </w:p>
    <w:p w14:paraId="5FF5C1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0AF2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denominazione del piano o del programma proposto, il proponente, l'autorità procedente;</w:t>
      </w:r>
    </w:p>
    <w:p w14:paraId="290AD7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FAB2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la data dell'avvenuta presentazione dell'istanza di VAS e l'eventuale applicazione delle disposizioni di cui all'articolo 32;</w:t>
      </w:r>
    </w:p>
    <w:p w14:paraId="6F971B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07BE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una breve descrizione del piano e del programma e dei suoi possibili effetti ambientali;</w:t>
      </w:r>
    </w:p>
    <w:p w14:paraId="2B26A7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EB35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l'indirizzo web e le modalità per la consultazione della documentazione e degli atti predisposti dal proponente o dall'autorità procedente nella loro interezza;</w:t>
      </w:r>
    </w:p>
    <w:p w14:paraId="4E75A3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1EA2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 termini e le specifiche modalità per la partecipazione del pubblico;</w:t>
      </w:r>
    </w:p>
    <w:p w14:paraId="3C5295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325F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l'eventuale necessità della valutazione di incidenza a norma dell'articolo 10, comma 3.</w:t>
      </w:r>
    </w:p>
    <w:p w14:paraId="727EF9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326B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Entro il termine di sessanta giorni dalla pubblicazione dell'avviso di cui al comma 1, chiunque può prendere visione della proposta di piano o programma e del relativo rapporto ambientale e presentare proprie osservazioni in forma scritta, in formato elettronico, anche fornendo nuovi o ulteriori elementi conoscitivi e valutativi.</w:t>
      </w:r>
    </w:p>
    <w:p w14:paraId="0545EB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attuazione dei princìpi di economicità e di semplificazione, le procedure di deposito, pubblicità e partecipazione, eventualmente previste dalle vigenti disposizioni anche regionali per specifici piani e programmi, si coordinano con quelle di cui al presente articolo, in modo da evitare duplicazioni ed assicurare il rispetto dei termini previsti dal comma 3 del presente articolo e dal comma 1 dell'articolo 15. Tali forme di pubblicità tengono luogo delle comunicazioni di cui all'articolo 7 e all'articolo 8 commi 3 e 4, della legge 7 agosto 1990, n. 241.»;</w:t>
      </w:r>
    </w:p>
    <w:p w14:paraId="665DAF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29E5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w:t>
      </w:r>
    </w:p>
    <w:p w14:paraId="6961D4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2C67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2 sono inseriti i seguenti:</w:t>
      </w:r>
    </w:p>
    <w:p w14:paraId="678F57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118B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L'autorità procedente trasmette all'autorità competente i risultati del monitoraggio ambientale e le eventuali misure correttive adottate secondo le indicazioni di cui alla lettera i), dell'Allegato VI alla parte seconda.</w:t>
      </w:r>
    </w:p>
    <w:p w14:paraId="191DF7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   2-ter. L'autorità competente si esprime entro trenta giorni sui risultati del monitoraggio ambientale e sulle eventuali misure correttive adottate da parte dell'autorità procedente.»;</w:t>
      </w:r>
    </w:p>
    <w:p w14:paraId="2DBF6B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830A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 le parole «e delle Agenzie interessate» sono soppresse;</w:t>
      </w:r>
    </w:p>
    <w:p w14:paraId="753882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E7BE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3 è inserito il seguente: «3-bis. L'autorità competente verifica lo stato di attuazione del piano o programma, gli effetti prodotti e il contributo del medesimo al raggiungimento degli obiettivi di sostenibilità ambientale definiti dalle strategie di sviluppo sostenibile nazionale e regionali di cui all'articolo 34.».</w:t>
      </w:r>
    </w:p>
    <w:p w14:paraId="3C9164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CFEC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Dall'attuazione delle disposizioni del presente articolo non devono derivare nuovi o maggiori oneri a carico della finanza pubblica.</w:t>
      </w:r>
    </w:p>
    <w:p w14:paraId="33A393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6E92F6"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w:t>
      </w:r>
    </w:p>
    <w:p w14:paraId="1E08B31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PAESAGGISTICA</w:t>
      </w:r>
    </w:p>
    <w:p w14:paraId="4ECC783D"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52D9D0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29.</w:t>
      </w:r>
    </w:p>
    <w:p w14:paraId="11EE838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(Soprintendenza speciale per il PNRR e ulteriori misure urgenti per l'attuazione del PNRR)</w:t>
      </w:r>
    </w:p>
    <w:p w14:paraId="063834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469C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 più efficace e tempestiva attuazione degli interventi del PNRR, presso il Ministero della cultura è istituita la Soprintendenza speciale per il PNRR, ufficio di livello dirigenziale generale straordinario operativo fino al 31 dicembre 2026.</w:t>
      </w:r>
    </w:p>
    <w:p w14:paraId="70F4D9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Soprintendenza speciale svolge le funzioni di tutela dei beni culturali e paesaggistici nei casi in cui tali beni siano interessati dagli interventi previsti dal PNRR sottoposti a VIA in sede statale oppure rientrino nella competenza territoriale di almeno due uffici periferici del Ministero. La Soprintendenza speciale opera anche avvalendosi, per l'attività istruttoria, delle Soprintendenze archeologia, belle arti e paesaggio. In caso di necessità e per assicurare la tempestiva attuazione del PNRR, la Soprintendenza speciale può esercitare, con riguardo a ulteriori interventi strategici del PNRR, i poteri di avocazione e sostituzione nei confronti delle Soprintendenze archeologia, belle arti e paesaggio.</w:t>
      </w:r>
    </w:p>
    <w:p w14:paraId="7C4464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funzioni di direttore della Soprintendenza speciale sono svolte dal direttore della Direzione generale archeologia, belle arti e paesaggio del Ministero, al quale spetta la retribuzione prevista dalla contrattazione collettiva nazionale per gli incarichi dirigenziali ad interim.</w:t>
      </w:r>
    </w:p>
    <w:p w14:paraId="66C53C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Presso la Soprintendenza speciale è costituita una segreteria tecnica composta, oltre che da personale di ruolo del Ministero, da un contingente di esperti di comprovata qualificazione professionale ai sensi dell'articolo 7, comma 6, del decreto legislativo 30 marzo 2001, n. 165, per la durata massima di trentasei mesi, per un importo massimo di 50.000 euro lordi annui per singolo incarico, entro il limite di spesa di 1.500.000 euro per ciascuno degli anni 2021, 2022 e 2023.</w:t>
      </w:r>
    </w:p>
    <w:p w14:paraId="37B8FA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Agli oneri derivanti dal presente articolo, pari a 1. 550.000 euro per ciascuno degli anni dal 2021 al 2023 e 50.000 euro per ciascuno degli anni dal 2024 al 2026, si provvede quanto a 1. 550.000 per l'anno 2021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per i beni e le attività culturali e, quanto a 1.550.000 euro per ciascuno degli anni 2022 e 2023 e 50.000 euro per ciascuno degli anni dal 2024 al 2026, mediante corrispondente riduzione dell'autorizzazione di spesa di cui all'articolo 1, comma 354, della legge 28 dicembre 2015, n. 208.</w:t>
      </w:r>
    </w:p>
    <w:p w14:paraId="4E655B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6C114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w:t>
      </w:r>
    </w:p>
    <w:p w14:paraId="49DECF9E"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DELLE PROCEDURE PER LE FONTI RINNOVABILI</w:t>
      </w:r>
    </w:p>
    <w:p w14:paraId="03CFB48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24E11A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30.</w:t>
      </w:r>
    </w:p>
    <w:p w14:paraId="1808601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(Interventi localizzati in aree contermini)</w:t>
      </w:r>
    </w:p>
    <w:p w14:paraId="145AB7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39F5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del raggiungimento degli obiettivi nazionali di efficienza energetica contenuti nel PNIEC e nel PNRR, con particolare riguardo all'incremento del ricorso alle fonti di produzione di energia elettrica da fonti rinnovabili, all'articolo 12 del decreto legislativo 29 dicembre 2003, n. 387, dopo il comma 3 è inserito il seguente:</w:t>
      </w:r>
    </w:p>
    <w:p w14:paraId="058A4E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F5BC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Il Ministero della cultura partecipa al procedimento unico ai sensi del presente articolo in relazione ai progetti aventi ad oggetto impianti alimentati da fonti rinnovabili localizzati in aree sottoposte a tutela, anche in itinere, ai sensi del decreto legislativo 22 gennaio 2004, n. 42, nonché nelle aree contermini ai beni sottoposti a tutela ai sensi del medesimo decreto legislativo.».</w:t>
      </w:r>
    </w:p>
    <w:p w14:paraId="5F51B0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FFF7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Nei procedimenti di autorizzazione di impianti di produzione di energia elettrica alimentati da fonti rinnovabili, localizzati in aree contermini a quelle sottoposte a tutela paesaggistica, il Ministero della cultura si esprime nell'ambito della conferenza di servizi con parere obbligatorio non vincolante. Decorso inutilmente il termine per l'espressione del parere da parte del Ministero della cultura, l'amministrazione </w:t>
      </w:r>
      <w:r w:rsidRPr="00EF5B01">
        <w:rPr>
          <w:rFonts w:asciiTheme="minorHAnsi" w:eastAsia="Times New Roman" w:hAnsiTheme="minorHAnsi" w:cs="Times New Roman"/>
          <w:bCs/>
          <w:iCs/>
          <w:color w:val="000000" w:themeColor="text1"/>
          <w:sz w:val="24"/>
          <w:szCs w:val="24"/>
        </w:rPr>
        <w:lastRenderedPageBreak/>
        <w:t>competente provvede comunque sulla domanda di autorizzazione. In tutti i casi di cui al presente comma, il rappresentante del Ministero della cultura non può attivare i rimedi per le amministrazioni dissenzienti di cui all'articolo 14-quinquies della legge 7 agosto 1990, n. 241.</w:t>
      </w:r>
    </w:p>
    <w:p w14:paraId="05D768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D9D721"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31.</w:t>
      </w:r>
    </w:p>
    <w:p w14:paraId="471ED6DE"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per gli impianti di accumulo e fotovoltaici e individuazione delle infrastrutture per il trasporto del GNL in Sardegna)</w:t>
      </w:r>
    </w:p>
    <w:p w14:paraId="0525E0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1832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del decreto-legge 7 febbraio 2002, n. 7, convertito, con modificazioni, dalla legge 9 aprile 2002, n. 55, sono apportate le seguenti modificazioni:</w:t>
      </w:r>
    </w:p>
    <w:p w14:paraId="505AA2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1ADC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2-quater è inserito il seguente: «2-quinquies. Gli impianti di accumulo elettrochimico di tipo “stand-alone” e le relative connessioni alla rete elettrica di cui al comma 2-quater lettere a), b) e d) non sono sottoposti alle procedure di valutazione di impatto ambientale e di verifica di assoggettabilità di cui al decreto legislativo 3 aprile 2006, n.152, salvo che le opere di connessione non rientrino nelle suddette procedure.»;</w:t>
      </w:r>
    </w:p>
    <w:p w14:paraId="617DAC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43F2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3-bis è inserito il seguente: «3-ter. In caso di mancata definizione dell'intesa con la regione o le regioni interessate per il rilascio dell'autorizzazione di cui al comma 1 entro i novanta giorni successivi al termine di cui al comma 2, si applicano le disposizioni di cui all'articolo 1-sexies, comma 4-bis, del decreto-legge 29 agosto 2003, n. 239, convertito, con modificazioni, dalla legge 27 ottobre 2003, n. 290.».</w:t>
      </w:r>
    </w:p>
    <w:p w14:paraId="22A9A8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A59C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6 del decreto legislativo 3 marzo 2011, n. 28, dopo il comma 9 è inserito il seguente:</w:t>
      </w:r>
    </w:p>
    <w:p w14:paraId="297DC8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9225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   «9-bis. Per l'attività di costruzione ed esercizio di impianti fotovoltaici di potenza sino a 10 MW connessi alla rete elettrica di media tensione e localizzati in area a destinazione industriale, produttiva o commerciale si applicano le disposizioni di cui al presente comma. Le soglie di cui all'Allegato IV, punto 2, lettera b), alla Parte seconda del decreto legislativo 3 aprile 2006, n. 152, per la procedura di verifica di assoggettabilità alla valutazione di impatto ambientale di cui all'articolo 19 del medesimo decreto, si intendono per questa tipologia di impianti elevate a 10 MW purché il proponente alleghi alla dichiarazione di cui al comma 2 una autodichiarazione che l'impianto non si trova all'interno di aree fra quelle specificamente elencate e individuate dall'Allegato 3, lettera f), al decreto del Ministro dello sviluppo economico 10 settembre 2010, pubblicato nella Gazzetta Ufficiale n. 219 del 18 settembre 2010. </w:t>
      </w:r>
      <w:r w:rsidRPr="00EF5B01">
        <w:rPr>
          <w:rFonts w:asciiTheme="minorHAnsi" w:eastAsia="Times New Roman" w:hAnsiTheme="minorHAnsi" w:cs="Times New Roman"/>
          <w:bCs/>
          <w:iCs/>
          <w:color w:val="000000" w:themeColor="text1"/>
          <w:sz w:val="24"/>
          <w:szCs w:val="24"/>
        </w:rPr>
        <w:lastRenderedPageBreak/>
        <w:t>Si potrà procedere a seguito della procedura di cui sopra con edificazione diretta degli impianti fotovoltaici anche qualora la pianificazione urbanistica richieda piani attuativi per l'edificazione.».</w:t>
      </w:r>
    </w:p>
    <w:p w14:paraId="56B4C3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B98A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Al fine di realizzare il rilancio delle attività produttive nella regione Sardegna anche in attuazione dell'articolo 60, comma 6, del decreto-legge 16 luglio 2020, n. 76, convertito, con modificazioni, dalla legge 11 settembre 2020, n. 120, entro trenta giorni dalla data di entrata in vigore della presente disposizione, con decreto del Presidente del Consiglio dei ministri, su proposta del Ministro della transizione ecologica, di concerto con il Ministro dello sviluppo economico e il Ministro delle infrastrutture e della mobilità sostenibili, sono individuate le opere e le infrastrutture necessarie al </w:t>
      </w:r>
      <w:proofErr w:type="spellStart"/>
      <w:r w:rsidRPr="00EF5B01">
        <w:rPr>
          <w:rFonts w:asciiTheme="minorHAnsi" w:eastAsia="Times New Roman" w:hAnsiTheme="minorHAnsi" w:cs="Times New Roman"/>
          <w:bCs/>
          <w:iCs/>
          <w:color w:val="000000" w:themeColor="text1"/>
          <w:sz w:val="24"/>
          <w:szCs w:val="24"/>
        </w:rPr>
        <w:t>phase</w:t>
      </w:r>
      <w:proofErr w:type="spellEnd"/>
      <w:r w:rsidRPr="00EF5B01">
        <w:rPr>
          <w:rFonts w:asciiTheme="minorHAnsi" w:eastAsia="Times New Roman" w:hAnsiTheme="minorHAnsi" w:cs="Times New Roman"/>
          <w:bCs/>
          <w:iCs/>
          <w:color w:val="000000" w:themeColor="text1"/>
          <w:sz w:val="24"/>
          <w:szCs w:val="24"/>
        </w:rPr>
        <w:t xml:space="preserve"> out dell'utilizzo del carbone nell'Isola.».</w:t>
      </w:r>
    </w:p>
    <w:p w14:paraId="3BFABE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60, comma 1, del decreto-legge 16 luglio 2020, n. 76, convertito, con modificazioni, dalla legge 11 settembre 2020, n. 120, le parole «individuate nei decreti del Presidente del Consiglio dei ministri di cui al comma 2-bis dell'articolo 7-bis del decreto legislativo 3 aprile 2006, n. 152, introdotto dall'articolo 50 del presente decreto,» sono sostituite dalle seguenti: «di cui all'articolo 8, comma 2-bis, del decreto legislativo 3 aprile 2006, n. 152,».</w:t>
      </w:r>
    </w:p>
    <w:p w14:paraId="1D70E6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65 del decreto-legge 24 gennaio 2012, n. 1, convertito, con modificazioni, dalla legge 24 marzo 2012, n. 27, dopo il comma 1-ter è inserito il seguente:</w:t>
      </w:r>
    </w:p>
    <w:p w14:paraId="0F369B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FF07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   «1-quater. Il comma 1 non si applica agli impianti </w:t>
      </w:r>
      <w:proofErr w:type="spellStart"/>
      <w:r w:rsidRPr="00EF5B01">
        <w:rPr>
          <w:rFonts w:asciiTheme="minorHAnsi" w:eastAsia="Times New Roman" w:hAnsiTheme="minorHAnsi" w:cs="Times New Roman"/>
          <w:bCs/>
          <w:iCs/>
          <w:color w:val="000000" w:themeColor="text1"/>
          <w:sz w:val="24"/>
          <w:szCs w:val="24"/>
        </w:rPr>
        <w:t>agrovoltaici</w:t>
      </w:r>
      <w:proofErr w:type="spellEnd"/>
      <w:r w:rsidRPr="00EF5B01">
        <w:rPr>
          <w:rFonts w:asciiTheme="minorHAnsi" w:eastAsia="Times New Roman" w:hAnsiTheme="minorHAnsi" w:cs="Times New Roman"/>
          <w:bCs/>
          <w:iCs/>
          <w:color w:val="000000" w:themeColor="text1"/>
          <w:sz w:val="24"/>
          <w:szCs w:val="24"/>
        </w:rPr>
        <w:t xml:space="preserve"> che adottino soluzioni integrative con montaggio verticale dei moduli, in modo da non compromettere la continuità delle attività di coltivazione agricola, da realizzarsi contestualmente a sistemi di monitoraggio che consentano di verificare l'impatto sulle colture.».</w:t>
      </w:r>
    </w:p>
    <w:p w14:paraId="1ED36A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B9C0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All'Allegato II alla Parte seconda del decreto legislativo 3 aprile 2006, n. 152, al paragrafo 2), è aggiunto, in fine, il seguente punto: «- impianti fotovoltaici per la produzione di energia elettrica con potenza complessiva superiore a 10 MW.».</w:t>
      </w:r>
    </w:p>
    <w:p w14:paraId="041F41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Tabella A allegata al decreto legislativo 29 dicembre 2003, n. 387 è sostituita dalla tabella di cui all'allegato II al presente decreto.</w:t>
      </w:r>
    </w:p>
    <w:p w14:paraId="3E30AA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F72687"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32.</w:t>
      </w:r>
    </w:p>
    <w:p w14:paraId="038E0966"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(Norme di semplificazione in materia di produzione di energia elettrica da fonti rinnovabili e semplificazione delle procedure di repowering)</w:t>
      </w:r>
    </w:p>
    <w:p w14:paraId="7B0B47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BE05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5 del decreto legislativo 3 marzo 2011, n. 28, sono apportate le seguenti modificazioni:</w:t>
      </w:r>
    </w:p>
    <w:p w14:paraId="66F8AC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F033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il terzo periodo, è sostituito dai seguenti: «Non sono considerati sostanziali e sono sottoposti alla disciplina di cui all'articolo 6, comma 11, gli interventi da realizzare sui progetti e sugli impianti fotovoltaici ed idroelettrici che, anche se consistenti nella modifica della soluzione tecnologica utilizzata, non comportano variazioni delle dimensioni fisiche degli apparecchi, della volumetria delle strutture e dell'area destinata ad ospitare gli impianti stessi, né delle opere connesse a prescindere dalla potenza elettrica risultante a seguito dell'intervento. Restano ferme, laddove previste, le procedure di verifica di assoggettabilità e valutazione di impatto ambientale di cui al decreto legislativo 3 aprile 2006, n. 152. Non sono considerati sostanziali e sono sottoposti alla disciplina di cui all'articolo 6, comma 11, gli interventi da realizzare sui progetti e sugli impianti eolici,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w:t>
      </w:r>
    </w:p>
    <w:p w14:paraId="55E705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C64C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3 sono inseriti i seguenti:</w:t>
      </w:r>
    </w:p>
    <w:p w14:paraId="44778A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09E0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Per “sito dell'impianto eolico” si intende:</w:t>
      </w:r>
    </w:p>
    <w:p w14:paraId="4AFEA2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ACD0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nel caso di impianti su una unica direttrice, il nuovo impianto è realizzato sulla stessa direttrice con una deviazione massima di un angolo di 10°, utilizzando la stessa lunghezza più una tolleranza pari al 15 per cento della lunghezza dell'impianto autorizzato, calcolata tra gli assi dei due aerogeneratori estremi;</w:t>
      </w:r>
    </w:p>
    <w:p w14:paraId="71B694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7890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di impianti dislocati su più direttrici, la superficie planimetrica complessiva del nuovo impianto è all'interno della superficie autorizzata, definita dal perimetro individuato, planimetricamente, dalla linea che unisce, formando sempre angoli convessi, i punti corrispondenti agli assi degli aerogeneratori autorizzati più esterni, con una tolleranza complessiva del 15 per cento.</w:t>
      </w:r>
    </w:p>
    <w:p w14:paraId="205A2D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9FB2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  3-ter. Per “riduzione minima del numero di aerogeneratori” si intende:</w:t>
      </w:r>
    </w:p>
    <w:p w14:paraId="0F9208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53FD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nel caso in cui gli aerogeneratori esistenti o autorizzati abbiano un diametro d1 inferiore o uguale a 70 metri, il numero dei nuovi aerogeneratori non deve superare il minore fra n1*2/3 e n1*d1/(d2-d1);</w:t>
      </w:r>
    </w:p>
    <w:p w14:paraId="61279D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D8C1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in cui gli aerogeneratori esistenti o autorizzati abbiano un diametro d1 superiore a 70 metri, il numero dei nuovi aerogeneratori non deve superare n1*d1/d2 arrotondato per eccesso dove:</w:t>
      </w:r>
    </w:p>
    <w:p w14:paraId="61823D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71F6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d1: diametro rotori già esistenti o autorizzati;</w:t>
      </w:r>
    </w:p>
    <w:p w14:paraId="1B1743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85D5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n1: numero aerogeneratori già esistenti o autorizzati;</w:t>
      </w:r>
    </w:p>
    <w:p w14:paraId="3753D2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7B3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d2: diametro nuovi rotori;</w:t>
      </w:r>
    </w:p>
    <w:p w14:paraId="792E2F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DF54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h1: altezza raggiungibile dalla estremità delle pale rispetto al suolo (TIP) dell'aerogeneratore già esistente o autorizzato.</w:t>
      </w:r>
    </w:p>
    <w:p w14:paraId="41BA7B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1B5A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  3.quater. Per “altezza massima dei nuovi aerogeneratori” h2 raggiungibile dalla estremità delle pale, si intende il doppio dell'altezza massima dal suolo h1 raggiungibile dalla estremità delle pale dell'aerogeneratore già esistente.».</w:t>
      </w:r>
    </w:p>
    <w:p w14:paraId="767757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5BC203"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w:t>
      </w:r>
    </w:p>
    <w:p w14:paraId="6A2EE61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EFFICIENTAMENTO ENERGETICO</w:t>
      </w:r>
    </w:p>
    <w:p w14:paraId="243E3456"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16A8643"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33.</w:t>
      </w:r>
    </w:p>
    <w:p w14:paraId="6EAD629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incentivi per l'efficienza energetica e rigenerazione urbana)</w:t>
      </w:r>
    </w:p>
    <w:p w14:paraId="0CAC7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B1AC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119 del decreto-legge 19 maggio 2020, n. 34, convertito, con modificazioni, dalla legge 17 luglio 2020, n. 77, sono apportate le seguenti modificazioni:</w:t>
      </w:r>
    </w:p>
    <w:p w14:paraId="1121A1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450D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dopo il primo periodo, è inserito il seguente:</w:t>
      </w:r>
    </w:p>
    <w:p w14:paraId="3E36AB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5B72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   «Tale aliquota si applica anche agli interventi previsti dall'articolo 16-bis, comma 1, lettera e), del testo unico di cui al decreto del Presidente della Repubblica 22 dicembre 1986, n. 917, anche ove effettuati in favore di persone di età superiore a sessantacinque anni ed a condizione che siano eseguiti congiuntamente ad almeno uno degli interventi indicati nel primo periodo e che non siano già richiesti ai sensi del comma 2 della presente disposizione.»;</w:t>
      </w:r>
    </w:p>
    <w:p w14:paraId="1951F1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AD9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10, è inserito il seguente:</w:t>
      </w:r>
    </w:p>
    <w:p w14:paraId="706D86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C745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   «10-bis. Il limite di spesa ammesso alle detrazioni di cui al presente articolo, previsto per le singole unità immobiliari, è moltiplicato per il rapporto tra la superficie complessiva dell'immobile oggetto degli interventi di efficientamento energetico, di miglioramento o di adeguamento antisismico previsti ai commi 1, 2, 3, 3-bis, 4, 4-bis, 5, 6, 7 e 8, e la superficie media di una unità abitativa immobiliare, come ricavabile dal Rapporto Immobiliare pubblicato dall'Osservatorio del Mercato Immobiliare dell'Agenzia delle Entrate ai sensi dell'articolo 120-sexiesdecies del decreto legislativo 1 settembre 1993, n. 385, per i soggetti di cui al comma 9, lettera d-bis), che siano in possesso dei seguenti requisiti:</w:t>
      </w:r>
    </w:p>
    <w:p w14:paraId="5BC697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9D2F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svolgano attività di prestazione di servizi socio-sanitari e assistenziali, e i cui membri del Consiglio di Amministrazione non percepiscano alcun compenso o indennità di carica;</w:t>
      </w:r>
    </w:p>
    <w:p w14:paraId="65437F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7FD9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siano in possesso di immobili rientranti nelle categorie catastali B/1, B/2 e D/4, a titolo di proprietà, nuda proprietà, usufrutto o comodato d'uso gratuito. Il titolo di comodato d'uso gratuito è idoneo all'accesso alle detrazioni di cui al presente articolo, a condizione che il contratto sia regolarmente registrato in data certa anteriore alla data di entrata in vigore della presente disposizione.»;</w:t>
      </w:r>
    </w:p>
    <w:p w14:paraId="68CC8D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5BEC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13-ter è sostituito dal seguente:</w:t>
      </w:r>
    </w:p>
    <w:p w14:paraId="039AC3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5B86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   «13-ter. Gli interventi di cui al presente articolo, con esclusione di quelli comportanti la demolizione e la ricostruzione degli edifici, costituiscono manutenzione straordinaria e sono realizzabili mediante comunicazione di inizio lavori asseverata (CILA). Nella CILA sono attestati gli estremi del titolo abilitativo che ha previsto la costruzione dell'immobile oggetto d'intervento o del provvedimento che ne ha consentito la legittimazione ovvero è attestato che la costruzione è stata completata in data antecedente al 1° settembre 1967. La presentazione della CILA non richiede l'attestazione dello stato legittimo di cui all' articolo 9-bis, comma 1-bis, del decreto del Presidente della Repubblica 6 giugno 2001, n. 380. Per gli interventi di cui al presente comma, la decadenza del beneficio fiscale previsto dall'articolo 49 del decreto del Presidente della Repubblica n. 380 del 2001 opera esclusivamente nei seguenti casi:</w:t>
      </w:r>
    </w:p>
    <w:p w14:paraId="4930E0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31DB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mancata presentazione della CILA;</w:t>
      </w:r>
    </w:p>
    <w:p w14:paraId="5AABBF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E55C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interventi realizzati in difformità dalla CILA;</w:t>
      </w:r>
    </w:p>
    <w:p w14:paraId="3F08BF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AF2E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assenza dell'attestazione dei dati di cui al secondo periodo;</w:t>
      </w:r>
    </w:p>
    <w:p w14:paraId="549B14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667F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non corrispondenza al vero delle attestazioni ai sensi del comma 14. Resta impregiudicata ogni valutazione circa la legittimità dell'immobile oggetto di intervento.».</w:t>
      </w:r>
    </w:p>
    <w:p w14:paraId="63306E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FB82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Restano in ogni caso fermi, ove dovuti, gli oneri di urbanizzazione.</w:t>
      </w:r>
    </w:p>
    <w:p w14:paraId="72BFD5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Fondo per interventi strutturali di politica economica, di cui all'articolo 10, comma 5, del decreto-legge 29 novembre 2004, n. 282, convertito, con modificazioni, dalla legge 27 dicembre 2004, n. 307, è incrementato di 3,9 milioni di euro per l'anno 2027, 0,3 milioni di euro per l'anno 2028, 0,4 milioni di euro per ciascuno degli anni 2029, 2030 e 2031 e 0,3 milioni di euro per l'anno 2032.</w:t>
      </w:r>
    </w:p>
    <w:p w14:paraId="4461B4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Agli oneri derivanti dal comma 1, lettere a) e b), valutati in 0,1 milioni di euro per l'anno 2021, 1,4 milioni di euro per l'anno 2022, 11,3 milioni di euro per l'anno 2023, 9,3 milioni di euro per l'anno 2024, 8,8 milioni di euro per ciascuno degli anni 2025 e 2026, 0,2 milioni di euro per l'anno 2033 e, dal comma 3, pari a di 3,9 milioni di euro per l'anno 2027, 0,3 milioni di euro per l'anno 2028, 0,4 milioni di euro per ciascuno degli anni 2029, 2030 e 2031 e 0,3 milioni di euro per l'anno 2032, si provvede quanto a 0,1 milioni di euro per l'anno 2021, 0,4 milioni di euro per l'anno 2022, 1,2 milioni di euro per l'anno 2023, 3,9 milioni di euro per l'anno 2027, 0,3 milioni di euro per l'anno 2028, 0,4 milioni di euro per ciascuno degli anni 2029, 2030 e 2031 e 0,3 milioni di euro per l'anno 2032, mediante le maggiori entrate derivanti dal medesimo comma 1, lettera a) e b), e, quanto a 1 milione di euro per l'anno 2022, 10,1 milioni di euro per l'anno 2023, 9,3 milioni di euro per l'anno 2024, 8,8 milioni di euro per ciascuno degli anni 2025 e 2026 e 0,2 milioni di euro per l'anno 2033, mediante corrispondente riduzione del Fondo per interventi strutturali di politica economica, di cui all'articolo 10, comma 5, del decreto-legge 29 novembre 2004, n. 282, convertito, con modificazioni, dalla legge 27 dicembre 2004, n. 307.</w:t>
      </w:r>
    </w:p>
    <w:p w14:paraId="734CEF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7FF805"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VIII</w:t>
      </w:r>
    </w:p>
    <w:p w14:paraId="6D5AC908"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PER LA PROMOZIONE DELL'ECONOMIA CIRCOLARE E IL CONTRASTO AL DISSESTO IDROGEOLOGICO</w:t>
      </w:r>
    </w:p>
    <w:p w14:paraId="4EDF235A"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15C1FD1"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34.</w:t>
      </w:r>
    </w:p>
    <w:p w14:paraId="263D72E3"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(Cessazione della qualifica di rifiuto)</w:t>
      </w:r>
    </w:p>
    <w:p w14:paraId="1E6D3F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33F8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184-ter del decreto legislativo 3 aprile 2006, n. 152, sono apportate le seguenti modificazioni:</w:t>
      </w:r>
    </w:p>
    <w:p w14:paraId="44DAC0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1ADE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primo periodo, dopo le parole «medesimi procedimenti autorizzatori» sono inserite le seguenti: «previo parere obbligatorio e vincolante dell'ISPRA o dell'Agenzia regionale per la protezione ambientale territorialmente competente»;</w:t>
      </w:r>
    </w:p>
    <w:p w14:paraId="7CC3D0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1B61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3-ter, il secondo e il terzo periodo sono soppressi;</w:t>
      </w:r>
    </w:p>
    <w:p w14:paraId="5886E6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3C2C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 commi 3-quater e 3-quinquies sono abrogati.</w:t>
      </w:r>
    </w:p>
    <w:p w14:paraId="018998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A84E75"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35.</w:t>
      </w:r>
    </w:p>
    <w:p w14:paraId="51D6AA55"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per la promozione dell'economia circolare)</w:t>
      </w:r>
    </w:p>
    <w:p w14:paraId="33515D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7624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consentire la corretta gestione dei rifiuti e la migliore attuazione degli interventi previsti dal Piano nazionale di ripresa e resilienza, anche al fine di promuovere l'attività di recupero nella gestione dei rifiuti in una visione di economia circolare come previsto dal nuovo piano d'azione europeo per l'economia circolare, al decreto legislativo 3 aprile 2006, n. 152, sono apportate le seguenti modificazioni:</w:t>
      </w:r>
    </w:p>
    <w:p w14:paraId="7666ED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B430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 parte IV, titolo I, le parole «e assimilati», ovunque ricorrano, sono soppresse e all'articolo 258, comma 7, le parole «e assimilati» sono soppresse;</w:t>
      </w:r>
    </w:p>
    <w:p w14:paraId="4CB9AA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C3B5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185:</w:t>
      </w:r>
    </w:p>
    <w:p w14:paraId="34217D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CBA7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c), sono aggiunte, in fine, le seguenti parole: «, le ceneri vulcaniche, laddove riutilizzate in sostituzione di materie prime all'interno di cicli produttivi, mediante processi o metodi che non danneggiano l'ambiente né mettono in pericolo la salute umana»;</w:t>
      </w:r>
    </w:p>
    <w:p w14:paraId="36DFDB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E7F8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al comma 1, lettera e), sono aggiunte, in fine, le seguenti parole: «, ad eccezione dei rifiuti da “articoli pirotecnici”, intendendosi i rifiuti prodotti dall'accensione di pirotecnici di qualsiasi specie e gli articoli pirotecnici che abbiano cessato il periodo della loro validità, che siano in disuso o che non siano più idonei ad essere impiegati per il loro fine originario»;</w:t>
      </w:r>
    </w:p>
    <w:p w14:paraId="123B1E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0AE3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4, sono aggiunti i seguenti:</w:t>
      </w:r>
    </w:p>
    <w:p w14:paraId="19C4F1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762C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I rifiuti provenienti da articoli pirotecnici in disuso sono gestiti ai sensi del decreto ministeriale di cui all'articolo 34, comma 2, del decreto legislativo del 29 luglio 2015, n. 123, e, in virtù della persistente capacità esplodente, nel rispetto delle disposizioni vigenti in materia di pubblica sicurezza per le attività di detenzione in depositi intermedi e movimentazione dal luogo di deposito preliminare ai depositi intermedi o all'impianto di trattamento, secondo le vigenti normative sul trasporto di materiali esplosivi; il trattamento e recupero o/e distruzione mediante incenerimento sono svolti in impianti all'uopo autorizzati secondo le disposizioni di pubblica sicurezza.</w:t>
      </w:r>
    </w:p>
    <w:p w14:paraId="579F3B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   4-ter. Al fine di garantire il perseguimento delle finalità di tutela ambientale secondo le migliori tecniche disponibili, ottimizzando il recupero dei rifiuti da articoli pirotecnici, è fatto obbligo ai produttori e importatori di articoli pirotecnici di provvedere, singolarmente o in forma collettiva, alla gestione dei rifiuti derivanti dai loro prodotti immessi sul mercato nazionale, secondo i criteri direttivi di cui all'articolo 237 del presente decreto.»;</w:t>
      </w:r>
    </w:p>
    <w:p w14:paraId="12A8F8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4539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188, comma 5, le parole «un'attestazione di avvenuto smaltimento» sono sostituite dalle seguenti: «un'attestazione di avvio al recupero o smaltimento»;</w:t>
      </w:r>
    </w:p>
    <w:p w14:paraId="35B320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ECE2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188-bis, comma 4, lettera h), le parole «dell'avvenuto recupero» sono sostituite dalle seguenti: «dell'avvio a recupero»;</w:t>
      </w:r>
    </w:p>
    <w:p w14:paraId="21ACDA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4BC1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193, comma 18, dopo le parole «da assistenza sanitaria» sono inserite le seguenti: «svolta al di fuori delle strutture sanitarie di riferimento e da assistenza»;</w:t>
      </w:r>
    </w:p>
    <w:p w14:paraId="183EDD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B5DF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258, comma 7, le parole «, comma 3,» sono sostituite dalle seguenti: «, comma 5,»;</w:t>
      </w:r>
    </w:p>
    <w:p w14:paraId="623FB7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6741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206-bis, comma 1:</w:t>
      </w:r>
    </w:p>
    <w:p w14:paraId="314CF2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023F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alla lettera a) sono aggiunte, in fine, le seguenti parole: «anche tramite audit nei confronti dei sistemi di gestione dei rifiuti di cui ai Titoli I, II e III della parte quarta del presente decreto»;</w:t>
      </w:r>
    </w:p>
    <w:p w14:paraId="214DCC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A1E2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lettera b) le parole da «permanente di criteri e specifici» a «quadro di riferimento» sono sostituite dalle seguenti: «periodico di misure» e le parole da «efficacia, efficienza e qualità» a «smaltimento dei rifiuti;» sono sostituite dalle seguenti: «la qualità e la riciclabilità, al fine di promuovere la diffusione delle buone pratiche e delle migliori tecniche disponibili per la prevenzione, la preparazione al riutilizzo, il riutilizzo, i sistemi di restituzione, le raccolte differenziate, il riciclo e lo smaltimento dei rifiuti;»;</w:t>
      </w:r>
    </w:p>
    <w:p w14:paraId="1D7B69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8EDA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lettere c), d), e), f), g), g-bis), g-ter), g-quater) e g-quinquies) sono sostituite dalle seguenti:</w:t>
      </w:r>
    </w:p>
    <w:p w14:paraId="5D591C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9BD0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analizza le relazioni annuali dei sistemi di gestione dei rifiuti di cui al Titolo II e al Titolo III della parte quarta del presente decreto, verificando le misure adottate e il raggiungimento degli obiettivi, rispetto ai target stabiliti dall'Unione europea e dalla normativa nazionale di settore, al fine di accertare il rispetto della responsabilità estesa del produttore da parte dei produttori e degli importatori di beni;</w:t>
      </w:r>
    </w:p>
    <w:p w14:paraId="7A8C68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72F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provvede al riconoscimento dei sistemi autonomi di cui al Titolo II e al Titolo III della parte quarta del presente decreto;</w:t>
      </w:r>
    </w:p>
    <w:p w14:paraId="7E08E5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6119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controlla il raggiungimento degli obiettivi previsti negli accordi di programma ai sensi dell'articolo 219-bis e ne monitora l'attuazione;</w:t>
      </w:r>
    </w:p>
    <w:p w14:paraId="4616B8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B8F3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verifica l'attuazione del Programma generale di prevenzione di cui all'articolo 225 e, qualora il Consorzio nazionale imballaggi non provveda nei termini previsti, predispone lo stesso;</w:t>
      </w:r>
    </w:p>
    <w:p w14:paraId="02582B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960E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effettua il monitoraggio dell'attuazione del Programma Nazionale di prevenzione dei rifiuti di cui all'articolo 180;</w:t>
      </w:r>
    </w:p>
    <w:p w14:paraId="16AB9E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EBD1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verifica il funzionamento dei sistemi istituiti ai sensi degli articoli 178-bis e 178-ter, in relazione agli obblighi derivanti dalla responsabilità estesa del produttore e al raggiungimento degli obiettivi stabiliti dall'Unione europea in materia di rifiuti.»;</w:t>
      </w:r>
    </w:p>
    <w:p w14:paraId="01CB64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D167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al comma 6, primo periodo, le parole «235,» sono soppresse e dopo le parole «degli articoli 227 e 228» sono aggiunte le seguenti: «, e i sistemi di cui agli articoli 178-bis e 178-ter»;</w:t>
      </w:r>
    </w:p>
    <w:p w14:paraId="668DD5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4F37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214-ter, comma 1, le parole «, mediante segnalazione certificata di inizio di attività ai sensi dell'articolo 19 della legge 7 agosto 1990, n. 241.» sono sostituite dalle seguenti: «, successivamente alla verifica e al controllo dei requisiti previsti dal decreto di cui al comma 2, effettuati dalle province ovvero dalle città metropolitane territorialmente competenti, secondo le modalità indicate all'articolo 216. Gli esiti delle procedure semplificate avviate per l'inizio delle operazioni di preparazione per il riutilizzo sono comunicati dalle autorità competenti al Ministero della transizione ecologica. Le modalità e la tenuta dei dati oggetto delle suddette comunicazioni sono definite nel decreto di cui al comma 2.»;</w:t>
      </w:r>
    </w:p>
    <w:p w14:paraId="7C1E19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BDBC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l'articolo 216-ter è sostituito dal seguente:</w:t>
      </w:r>
    </w:p>
    <w:p w14:paraId="6EEBA0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891D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216-ter.</w:t>
      </w:r>
    </w:p>
    <w:p w14:paraId="074378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(Comunicazioni alla Commissione europea)</w:t>
      </w:r>
    </w:p>
    <w:p w14:paraId="4266D8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8E70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 piani di gestione e i programmi di prevenzione di cui all'articolo 199, commi 1 e 3, lettera r), e le loro eventuali revisioni sostanziali, sono comunicati al Ministero della transizione ecologica, utilizzando il formato adottato in sede comunitaria, per la successiva trasmissione alla Commissione europea.</w:t>
      </w:r>
    </w:p>
    <w:p w14:paraId="397F42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comunica alla Commissione europea, per ogni anno civile, i dati relativi all'attuazione dell'articolo 181, comma 4. I dati sono raccolti e comunicati per via elettronica entro diciotto mesi dalla fine dell'anno a cui si riferiscono, secondo il formato di cui alla decisione di esecuzione (UE) 2019/1004 del 7 giugno 2019. Il primo periodo di comunicazione ha inizio il primo anno civile completo dopo l'adozione della suddetta decisione di esecuzione.</w:t>
      </w:r>
    </w:p>
    <w:p w14:paraId="6235A4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Ministero della transizione ecologica comunica alla Commissione europea, per ogni anno civile, i dati relativi all'attuazione dell'articolo 180, commi 5 e 6. I dati sono comunicati per via elettronica entro diciotto mesi dalla fine dell'anno per il quale sono raccolti e secondo il formato di cui alla decisione di esecuzione (UE) 2021/19 del 18 dicembre 2020 in materia di riutilizzo e alla decisione di esecuzione (UE) 2019/2000 del 28 novembre 2019 sui rifiuti alimentari. Il primo periodo di comunicazione ha inizio il primo anno civile completo dopo l'adozione delle suddette decisioni di esecuzione.</w:t>
      </w:r>
    </w:p>
    <w:p w14:paraId="3EE754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Il Ministero della transizione ecologica comunica alla Commissione europea, per ogni anno civile, i dati relativi agli olii industriali o lubrificanti, minerali o sintetici, immessi sul mercato nonché sulla raccolta e trattamento degli oli usati. I dati sono comunicati per via elettronica entro diciotto mesi dalla fine dell'anno per il quale sono raccolti e secondo il formato di cui all'allegato VI della decisione di </w:t>
      </w:r>
      <w:r w:rsidRPr="00EF5B01">
        <w:rPr>
          <w:rFonts w:asciiTheme="minorHAnsi" w:eastAsia="Times New Roman" w:hAnsiTheme="minorHAnsi" w:cs="Times New Roman"/>
          <w:bCs/>
          <w:iCs/>
          <w:color w:val="000000" w:themeColor="text1"/>
          <w:sz w:val="24"/>
          <w:szCs w:val="24"/>
        </w:rPr>
        <w:lastRenderedPageBreak/>
        <w:t>esecuzione 2019/1004 (UE) del 7 giugno 2019. Il primo periodo di comunicazione ha inizio il primo anno civile completo dopo l'adozione della suddetta decisione di esecuzione.</w:t>
      </w:r>
    </w:p>
    <w:p w14:paraId="4B8F14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 dati di cui ai commi 2, 3 e 4 sono corredati da una relazione di controllo della qualità secondo il formato per la comunicazione stabilito dagli allegati alle rispettive decisioni di esecuzione, nonché da una relazione sulle misure adottate per il raggiungimento degli obiettivi di cui agli articoli 205-bis e 182-ter, che comprende informazioni dettagliate sui tassi di scarto medio. Tali informazioni sono comunicate secondo il formato per la comunicazione stabilito dagli allegati alle rispettive decisioni di esecuzione.</w:t>
      </w:r>
    </w:p>
    <w:p w14:paraId="4B0757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La parte quarta del presente decreto nonché i provvedimenti inerenti </w:t>
      </w:r>
      <w:proofErr w:type="gramStart"/>
      <w:r w:rsidRPr="00EF5B01">
        <w:rPr>
          <w:rFonts w:asciiTheme="minorHAnsi" w:eastAsia="Times New Roman" w:hAnsiTheme="minorHAnsi" w:cs="Times New Roman"/>
          <w:bCs/>
          <w:iCs/>
          <w:color w:val="000000" w:themeColor="text1"/>
          <w:sz w:val="24"/>
          <w:szCs w:val="24"/>
        </w:rPr>
        <w:t>la</w:t>
      </w:r>
      <w:proofErr w:type="gramEnd"/>
      <w:r w:rsidRPr="00EF5B01">
        <w:rPr>
          <w:rFonts w:asciiTheme="minorHAnsi" w:eastAsia="Times New Roman" w:hAnsiTheme="minorHAnsi" w:cs="Times New Roman"/>
          <w:bCs/>
          <w:iCs/>
          <w:color w:val="000000" w:themeColor="text1"/>
          <w:sz w:val="24"/>
          <w:szCs w:val="24"/>
        </w:rPr>
        <w:t xml:space="preserve"> gestione dei rifiuti, sono comunicati alla Commissione europea.»;</w:t>
      </w:r>
    </w:p>
    <w:p w14:paraId="73C7BF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0C96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all'articolo 221, il comma 6 è sostituito dal seguente:</w:t>
      </w:r>
    </w:p>
    <w:p w14:paraId="6AF01C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829B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 produttori che hanno ottenuto il riconoscimento del sistema sono tenuti a presentare annualmente al Ministero della Transizione ecologica e al CONAI la documentazione di cui all'articolo 237, comma 6. Il programma pluriennale di prevenzione della produzione di rifiuti di imballaggio e il piano specifico di prevenzione e gestione relativo all'anno solare successivo, sono inseriti nel programma generale di prevenzione e gestione di cui all'articolo 225.»;</w:t>
      </w:r>
    </w:p>
    <w:p w14:paraId="6583AE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BBB8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l'allegato D – Elenco dei rifiuti. Classificazione dei rifiuti, della Parte quarta è sostituto dall'allegato III al presente decreto.</w:t>
      </w:r>
    </w:p>
    <w:p w14:paraId="478F93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0A12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interventi di sostituzione dei combustibili tradizionali con CSS-combustibile conforme ai requisiti di cui all'articolo 13 del decreto del Ministro dell'ambiente e della tutela del territorio e del mare 14 febbraio 2013, n. 22, in impianti o installazioni già autorizzati allo svolgimento delle operazioni R1, che non comportino un incremento della capacità produttiva autorizzata, nel rispetto dei limiti di emissione per coincenerimento dei rifiuti, non costituiscono una modifica sostanziale ai sensi dell'articolo 5, comma 1, lettera l-bis), del decreto legislativo 3 aprile 2006, n. 152, e dell'articolo 2, comma 1, lettera g), del decreto del Presidente della Repubblica del 13 marzo 2013, n. 59, o variante sostanziale ai sensi degli articoli 208, comma 19, e 214, 214-bis, 214-ter, 215 e 216 del decreto legislativo n. 152 del 2006, e richiedono la sola comunicazione dell'intervento di modifica da inoltrarsi, unitamente alla presentazione della documentazione tecnica descrittiva dell'intervento, all'autorità competente. Nel caso in cui quest'ultima non si esprima entro quarantacinque giorni 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1F624D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Gli interventi di sostituzione dei combustibili tradizionali con CSS-combustibile conforme ai requisiti di cui all'articolo 13 del decreto del Ministro dell'ambiente e della tutela del territorio e del mare n. 22 del 2013 in impianti o installazioni non autorizzati allo svolgimento delle operazioni R1, che non comportino un incremento della capacità produttiva autorizzata, non costituiscono una modifica sostanziale ai sensi dell'articolo 5, comma 1, lettera l-bis), del decreto legislativo n. 152 del 2006 e dell'articolo 2, comma 1, lettera g), del decreto del Presidente della Repubblica n. 59 del 2013, o variante sostanziale ai sensi degli articoli 208, comma 19, e 214, 214-bis, 214-ter, 215 e 216 del decreto legislativo n. 152 del 2006 e richiedono il solo aggiornamento del titolo autorizzatorio, nel rispetto dei limiti di emissione per coincenerimento dei rifiuti, da comunicare all'autorità competente quarantacinque giorni prima dell'avvio della modifica. Nel caso in cui quest'ultima non si esprima entro quarantacinque giorni 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19316E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Ministero della transizione ecologica provvede all'attuazione delle disposizioni del presente articolo con le risorse umane, strumentali e finanziarie disponibili a legislazione vigente, senza nuovi o maggiori oneri a carico della finanza pubblica.</w:t>
      </w:r>
    </w:p>
    <w:p w14:paraId="1861E7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F81DCE"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36.</w:t>
      </w:r>
    </w:p>
    <w:p w14:paraId="0F9C668B"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economia montana e forestale)</w:t>
      </w:r>
    </w:p>
    <w:p w14:paraId="7E169B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6A38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attività di manutenzione straordinaria e ripristino delle opere di sistemazione idraulica forestale in aree montane e collinari ad alto rischio idrogeologico e di frana, sono esenti dall'autorizzazione idraulica di cui al regio decreto 25 luglio 1904 n. 523, recante «Testo unico delle disposizioni di legge intorno alle opere idrauliche delle diverse categorie», e dall'autorizzazione per il vincolo idrogeologico di cui al regio decreto 30 dicembre 1923, n. 3267, recante «Riordinamento e riforma della legislazione in materia di boschi e di terreni montani», e successive norme regionali di recepimento.</w:t>
      </w:r>
    </w:p>
    <w:p w14:paraId="3A1139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Nei boschi e nelle foreste indicati dall'articolo 142, comma 1, lettera g), del decreto legislativo 22 gennaio 2004, n. 42, non è richiesta l'autorizzazione paesaggistica per gli interventi di manutenzione e ripristino delle opere di sistemazione idraulica forestale in aree montane e collinari ad alto rischio idrogeologico e di frana, che non alterino lo stato dei luoghi e siano condotti secondo i criteri e le metodologie dell'ingegneria naturalistica.</w:t>
      </w:r>
    </w:p>
    <w:p w14:paraId="41E281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Sono soggetti al procedimento di autorizzazione paesaggistica semplificata di cui al decreto del Presidente della Repubblica 13 febbraio 2017, n. 31, anche se interessano aree vincolate ai sensi dell'articolo 136 del decreto legislativo 22 gennaio 2004 n. 42, e nel rispetto di quanto previsto dal Piano </w:t>
      </w:r>
      <w:r w:rsidRPr="00EF5B01">
        <w:rPr>
          <w:rFonts w:asciiTheme="minorHAnsi" w:eastAsia="Times New Roman" w:hAnsiTheme="minorHAnsi" w:cs="Times New Roman"/>
          <w:bCs/>
          <w:iCs/>
          <w:color w:val="000000" w:themeColor="text1"/>
          <w:sz w:val="24"/>
          <w:szCs w:val="24"/>
        </w:rPr>
        <w:lastRenderedPageBreak/>
        <w:t>Forestale di Indirizzo territoriale e dai Piani di Gestione Forestale o strumenti equivalenti di cui all'articolo 6 del decreto legislativo 2018 n. 34, ove adottati, i seguenti interventi ed opere di lieve entità:</w:t>
      </w:r>
    </w:p>
    <w:p w14:paraId="298C0F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3331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interventi </w:t>
      </w:r>
      <w:proofErr w:type="spellStart"/>
      <w:r w:rsidRPr="00EF5B01">
        <w:rPr>
          <w:rFonts w:asciiTheme="minorHAnsi" w:eastAsia="Times New Roman" w:hAnsiTheme="minorHAnsi" w:cs="Times New Roman"/>
          <w:bCs/>
          <w:iCs/>
          <w:color w:val="000000" w:themeColor="text1"/>
          <w:sz w:val="24"/>
          <w:szCs w:val="24"/>
        </w:rPr>
        <w:t>selvicolturali</w:t>
      </w:r>
      <w:proofErr w:type="spellEnd"/>
      <w:r w:rsidRPr="00EF5B01">
        <w:rPr>
          <w:rFonts w:asciiTheme="minorHAnsi" w:eastAsia="Times New Roman" w:hAnsiTheme="minorHAnsi" w:cs="Times New Roman"/>
          <w:bCs/>
          <w:iCs/>
          <w:color w:val="000000" w:themeColor="text1"/>
          <w:sz w:val="24"/>
          <w:szCs w:val="24"/>
        </w:rPr>
        <w:t xml:space="preserve"> di prevenzione dei rischi secondo un piano di tagli dettagliato;</w:t>
      </w:r>
    </w:p>
    <w:p w14:paraId="2FFCB8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44E1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ricostituzione e restauro di aree forestali degradate o colpite da eventi climatici estremi attraverso interventi di riforestazione e sistemazione idraulica;</w:t>
      </w:r>
    </w:p>
    <w:p w14:paraId="268E5E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BA11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interventi di miglioramento delle caratteristiche di resistenza e resilienza ai cambiamenti climatici dei boschi.</w:t>
      </w:r>
    </w:p>
    <w:p w14:paraId="032C15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38450A"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37.</w:t>
      </w:r>
    </w:p>
    <w:p w14:paraId="02BD761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per la riconversione dei siti industriali)</w:t>
      </w:r>
    </w:p>
    <w:p w14:paraId="396818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8410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accelerare le procedure di bonifica dei siti contaminati e la riconversione di siti industriali da poter destinare alla realizzazione dei progetti individuati nel PNRR e finanziabili con gli ulteriori strumenti di finanziamento europei, al decreto legislativo 3 aprile 2006, n. 152, Parte quarta, Titolo V, sono apportate le seguenti modificazioni:</w:t>
      </w:r>
    </w:p>
    <w:p w14:paraId="0A6F7A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C7F7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241 dopo il comma 1 è aggiunto il seguente:</w:t>
      </w:r>
    </w:p>
    <w:p w14:paraId="1F6428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6880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In caso di aree con destinazione agricola secondo gli strumenti urbanistici ma non utilizzate, alla data di entrata in vigore della presente disposizione, da almeno dieci anni, per la produzione agricola e l'allevamento, si applicano le procedure del presente Titolo e le concentrazioni di soglia di contaminazione previste nella tabella 1, colonne A e B, dell'allegato 5, individuate tenuto conto delle attività effettivamente condotte all'interno delle aree. In assenza di attività commerciali e industriali si applica la colonna A. Le disposizioni del presente Titolo si applicano anche in tutti gli altri casi in cui non trova applicazione il regolamento di cui al comma 1.»;</w:t>
      </w:r>
    </w:p>
    <w:p w14:paraId="241A88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05FA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242:</w:t>
      </w:r>
    </w:p>
    <w:p w14:paraId="65714B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722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comma 7, ultimo periodo, dopo le parole «indicando altresì le eventuali prescrizioni necessarie per l'esecuzione dei lavori» sono inserite le seguenti: «, le verifiche intermedie per la valutazione dell'efficacia delle tecnologie di bonifica adottate e le attività di verifica in corso d'opera necessarie per la certificazione di cui all'articolo 248, comma 2, con oneri a carico del proponente,»;</w:t>
      </w:r>
    </w:p>
    <w:p w14:paraId="17C531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1213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7 è inserito il seguente:</w:t>
      </w:r>
    </w:p>
    <w:p w14:paraId="677488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B668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   «7-bis. Qualora gli obiettivi individuati per la bonifica del suolo, sottosuolo e materiali di riporto siano raggiunti anticipatamente rispetto a quelli previsti per la falda, è possibile procedere alla certificazione di avvenuta bonifica di cui all'articolo 248 limitatamente alle predette matrici ambientali, anche a stralcio in relazione alle singole aree catastalmente individuate, fermo restando l'obbligo di raggiungere tutti gli obiettivi di bonifica su tutte le matrici interessate da contaminazione. In tal caso è necessario dimostrare e garantire nel tempo che le contaminazioni ancora presenti nelle acque sotterranee fino alla loro completa rimozione non comportino un rischio per i fruitori dell'area, né una modifica del modello concettuale tale da comportare un peggioramento della qualità ambientale per le altre matrici secondo le specifiche destinazioni d'uso. Le garanzie finanziarie di cui al comma 7 sono comunque prestate per l'intero intervento e sono svincolate solo al raggiungimento di tutti gli obiettivi di bonifica.»;</w:t>
      </w:r>
    </w:p>
    <w:p w14:paraId="7CE657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5B0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13 il terzo e il quarto periodo sono soppressi;</w:t>
      </w:r>
    </w:p>
    <w:p w14:paraId="744B2E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5292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242-ter:</w:t>
      </w:r>
    </w:p>
    <w:p w14:paraId="11CE28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0710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«possono essere realizzati» sono aggiunte le seguenti: «i progetti del Piano nazionale di ripresa e resilienza,»;</w:t>
      </w:r>
    </w:p>
    <w:p w14:paraId="0315F3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29E3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 è inserito il seguente:</w:t>
      </w:r>
    </w:p>
    <w:p w14:paraId="6DFD82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8FE5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Le disposizioni del presente articolo si applicano anche per la realizzazione di opere che non prevedono scavi ma comportano occupazione permanente di suolo, a condizione che il sito oggetto di bonifica sia già caratterizzato ai sensi dell'articolo 242.»;</w:t>
      </w:r>
    </w:p>
    <w:p w14:paraId="78697F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3DB6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2, dopo le parole «di cui al comma 1» sono aggiunte le parole «e al comma 1-bis»;</w:t>
      </w:r>
    </w:p>
    <w:p w14:paraId="149307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96F6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3, dopo le parole «individuate al comma 1» sono aggiunte le parole «e al comma 1-bis»;</w:t>
      </w:r>
    </w:p>
    <w:p w14:paraId="258C1F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AD6B7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4 è aggiunto il seguente: «4-bis. Ai fini della definizione dei valori di fondo naturale si applica la procedura prevista dall'articolo 11 del decreto del Presidente della Repubblica 13 giugno 2017, n. 120.»;</w:t>
      </w:r>
    </w:p>
    <w:p w14:paraId="1700AC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E905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243:</w:t>
      </w:r>
    </w:p>
    <w:p w14:paraId="7987BC8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5794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dopo le parole «Il trattamento delle acque emunte» sono aggiunte le seguenti: «, da effettuarsi anche in caso di utilizzazione nei cicli produttivi in esercizio nel sito,»;</w:t>
      </w:r>
    </w:p>
    <w:p w14:paraId="25E7F0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07F2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6 è aggiunto in fine il seguente periodo: «Al fine di garantire la tempestività degli interventi di messa in sicurezza di emergenza e di prevenzione, i termini per il rilascio dell'autorizzazione allo scarico sono dimezzati.»;</w:t>
      </w:r>
    </w:p>
    <w:p w14:paraId="21ED70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0B9E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245, al comma 2, dopo il secondo periodo è inserito il seguente: «Il procedimento è interrotto qualora il soggetto non responsabile della contaminazione esegua volontariamente il piano di caratterizzazione nel termine perentorio di sei mesi dall'approvazione o comunicazione ai sensi dell'articolo 252, comma 4. In tal caso, il procedimento per l'identificazione del responsabile della contaminazione deve concludersi nel termine perentorio di sessanta giorni dal ricevimento delle risultanze della caratterizzazione validate dall'Agenzia regionale per la protezione dell'ambiente competente.».;</w:t>
      </w:r>
    </w:p>
    <w:p w14:paraId="31D77C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DCBB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248:</w:t>
      </w:r>
    </w:p>
    <w:p w14:paraId="591FE7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0F47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«sulla conformità degli interventi ai progetti approvati» sono aggiunte le seguenti: «e sul rispetto dei tempi di esecuzione di cui all'articolo 242, comma 7»;</w:t>
      </w:r>
    </w:p>
    <w:p w14:paraId="3D23C7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B8E1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è aggiunto il seguente periodo: «Qualora la Provincia non provveda a rilasciare tale certificazione entro trenta giorni dal ricevimento della relazione tecnica provvede, nei successivi sessanta giorni, la Regione, previa diffida ad adempiere nel termine di trenta giorni.»;</w:t>
      </w:r>
    </w:p>
    <w:p w14:paraId="6FA649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5F0A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2 è aggiunto il seguente:</w:t>
      </w:r>
    </w:p>
    <w:p w14:paraId="2E2A1B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7DC4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Nel caso gli obiettivi individuati per la bonifica del suolo, sottosuolo e materiali di riporto siano raggiunti anticipatamente rispetto a quelli previsti per la falda, è possibile procedere alla certificazione di avvenuta bonifica limitatamente alle predette matrici ambientali, ad esito delle verifiche di cui alla procedura definita dal comma 7-bis dell'articolo 242. In tal caso, la certificazione di avvenuta bonifica dovrà comprendere anche un piano di monitoraggio con l'obiettivo di verificare l'evoluzione nel tempo della contaminazione rilevata nella falda.»;</w:t>
      </w:r>
    </w:p>
    <w:p w14:paraId="13DF19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E32C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250, dopo il comma 1 è aggiunto il seguente: «1-bis. Per favorire l'accelerazione degli interventi per la messa in sicurezza, bonifica e ripristino ambientale, le regioni, le province autonome e gli enti locali individuati quali soggetti beneficiari e/o attuatori, previa stipula di appositi accordi sottoscritti con il Ministero della transizione ecologica ai sensi dell'articolo 15 della legge 7 agosto 1990, n. 241, possono avvalersi, con le risorse umane, strumentali e finanziarie disponibili a legislazione vigente sui propri bilanci e senza nuovi o maggiori oneri a carico della finanza pubblica, attraverso la stipula di apposte convenzioni, delle società in house del medesimo Ministero.»;</w:t>
      </w:r>
    </w:p>
    <w:p w14:paraId="561DF1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B448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252:</w:t>
      </w:r>
    </w:p>
    <w:p w14:paraId="004392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623D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è aggiunto il seguente periodo: «I valori d'intervento sito-specifici delle matrici ambientali in aree marine, che costituiscono i livelli di contaminazione al di sopra dei quali devono essere previste misure d'intervento funzionali all'uso legittimo delle aree e proporzionali all'entità della contaminazione, sono individuati con decreto di natura non regolamentare del Ministero della transizione ecologica su proposta dell'Istituto Superiore per la Protezione e la Ricerca Ambientale (ISPRA).»;</w:t>
      </w:r>
    </w:p>
    <w:p w14:paraId="42E997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6E69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primo periodo, le parole «, sentito il Ministero delle attività produttive» sono sostituite dalle seguenti: «sentito il Ministero dello sviluppo economico»;</w:t>
      </w:r>
    </w:p>
    <w:p w14:paraId="24D41B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3AFE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al comma 4, è aggiunto in fine il seguente periodo: «A condizione che siano rispettate le norme tecniche di cui al comma 9-quinquies, il piano di caratterizzazione può essere eseguito decorsi sessanta giorni dalla comunicazione di inizio attività al Sistema nazionale a rete per la protezione dell'ambiente. Qualora il Sistema nazionale a rete per la protezione dell'ambiente accerti il mancato rispetto delle norme tecniche di cui al precedente periodo, dispone, con provvedimento motivato, il divieto di inizio o di </w:t>
      </w:r>
      <w:r w:rsidRPr="00EF5B01">
        <w:rPr>
          <w:rFonts w:asciiTheme="minorHAnsi" w:eastAsia="Times New Roman" w:hAnsiTheme="minorHAnsi" w:cs="Times New Roman"/>
          <w:bCs/>
          <w:iCs/>
          <w:color w:val="000000" w:themeColor="text1"/>
          <w:sz w:val="24"/>
          <w:szCs w:val="24"/>
        </w:rPr>
        <w:lastRenderedPageBreak/>
        <w:t>prosecuzione delle operazioni, salvo che il proponente non provveda a conformarsi entro il termine e secondo le prescrizioni stabiliti dal medesimo Sistema nazionale.»;</w:t>
      </w:r>
    </w:p>
    <w:p w14:paraId="0A4FF5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9080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4-quater è abrogato;</w:t>
      </w:r>
    </w:p>
    <w:p w14:paraId="1A98F7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647E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5, dopo le parole «altri soggetti qualificati pubblici o privati» sono aggiunte le seguenti: «, anche coordinati fra loro»;</w:t>
      </w:r>
    </w:p>
    <w:p w14:paraId="1F4861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BE3E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6, primo periodo, la parola «sostituisce» è sostituita dalla seguente: «ricomprende»;</w:t>
      </w:r>
    </w:p>
    <w:p w14:paraId="3B6144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7AF5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al comma 6 è aggiunto in fine il seguente periodo: «A tal fine il proponente allega all'istanza la documentazione e gli elaborati progettuali previsti dalle normative di settore per consentire la compiuta istruttoria tecnico-amministrativa finalizzata al rilascio di tutti gli atti di assensi comunque denominati necessari alla realizzazione e all'esercizio del medesimo progetto e indicati puntualmente in apposito elenco con l'indicazione anche dell'Amministrazione ordinariamente competente.»;</w:t>
      </w:r>
    </w:p>
    <w:p w14:paraId="1124D0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4E4A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il comma 8 è abrogato;</w:t>
      </w:r>
    </w:p>
    <w:p w14:paraId="728FF1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1E44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dopo il comma 8 è aggiunto il seguente: «8-bis. Nei siti di interesse nazionale, l'applicazione a scala pilota, in campo, di tecnologie di bonifica innovative, anche finalizzata all'individuazione dei parametri di progetto necessari per l'applicazione a piena scala, non è soggetta a preventiva approvazione del Ministero della transizione ecologica e può essere eseguita a condizione che tale applicazione avvenga in condizioni di sicurezza con riguardo ai rischi sanitari e ambientali. Il rispetto delle suddette condizioni è valutato dal Sistema nazionale a rete per la protezione dell'ambiente e dall'Istituto superiore di sanità che si pronunciano entro sessanta giorni dalla presentazione dell'istanza corredata della necessaria documentazione tecnica.»;</w:t>
      </w:r>
    </w:p>
    <w:p w14:paraId="7F2A59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C4C7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dopo il comma 9-ter sono aggiunti i seguenti:</w:t>
      </w:r>
    </w:p>
    <w:p w14:paraId="162916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573D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   «9-quater. Con decreto di natura non regolamentare il Ministero della transizione ecologica adotta i modelli delle istanze per l'avvio dei procedimenti di cui al comma 4 e i contenuti minimi della documentazione tecnica da allegare.</w:t>
      </w:r>
    </w:p>
    <w:p w14:paraId="4ADCEF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   9-quinquies. Con decreto del Ministero della transizione ecologica sono adottate le norme tecniche in base alle quali l'esecuzione del piano di caratterizzazione è sottoposto a comunicazione di inizio attività di cui al comma 4.»;</w:t>
      </w:r>
    </w:p>
    <w:p w14:paraId="18CB4E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8C15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all'articolo 252-bis:</w:t>
      </w:r>
    </w:p>
    <w:p w14:paraId="7B102D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A88D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8, il secondo e il terzo periodo sono sostituiti dai seguenti: «Alla conferenza di servizi partecipano anche i soggetti pubblici firmatari dell'accordo di programma. Si applicano i commi 6 e 7 dell'articolo 252.»;</w:t>
      </w:r>
    </w:p>
    <w:p w14:paraId="7B5566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5241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9 è abrogato.</w:t>
      </w:r>
    </w:p>
    <w:p w14:paraId="6CA81F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DD78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provvede all'attuazione delle disposizioni del presente articolo con le risorse umane, strumentali e finanziarie disponibili a legislazione vigente, senza nuovi o maggiori oneri a carico della finanza pubblica.</w:t>
      </w:r>
    </w:p>
    <w:p w14:paraId="336C4E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0AB9C4"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7F85772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TRANSIZIONE DIGITALE</w:t>
      </w:r>
    </w:p>
    <w:p w14:paraId="3E3A1DE4"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699892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38.</w:t>
      </w:r>
    </w:p>
    <w:p w14:paraId="5B30328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la diffusione delle comunicazioni digitali delle pubbliche amministrazioni e divario digitale)</w:t>
      </w:r>
    </w:p>
    <w:p w14:paraId="631035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E8CB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26 del decreto-legge 16 luglio 2020, n. 76, convertito, con modificazioni, dalla legge 11 settembre 2020, n. 120, sono apportate le seguenti modificazioni:</w:t>
      </w:r>
    </w:p>
    <w:p w14:paraId="20DE4A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D002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5, è inserito il seguente «5-bis. Ai destinatari di cui al comma 5, ove abbiano comunicato un indirizzo email non certificato, un numero di telefono o altro analogo recapito digitale diverso da quelli di cui al comma 5, il gestore della piattaforma invia anche un avviso di cortesia in modalità informatica contenente le stesse informazioni dell'avviso di avvenuta ricezione. L'avviso di cortesia è reso disponibile altresì tramite il punto di accesso di cui all'articolo 64-bis del decreto legislativo 7 marzo 2005, n. 82.»;</w:t>
      </w:r>
    </w:p>
    <w:p w14:paraId="68E9A4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5A73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al comma 6 è aggiunto, in fine, il seguente periodo: «In tale ultimo caso, il gestore della piattaforma invia anche l'avviso di cortesia di cui al comma 5-bis, ove sussistano i presupposti ivi previsti.»;</w:t>
      </w:r>
    </w:p>
    <w:p w14:paraId="371E99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EBF4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7:</w:t>
      </w:r>
    </w:p>
    <w:p w14:paraId="15FD1D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61FF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primo periodo, le parole «e con applicazione degli articoli 7, 8 e 9 della stessa legge» sono sostituite dalle seguenti: «e con applicazione degli articoli 7, 8, 9 e 14 della stessa legge»;</w:t>
      </w:r>
    </w:p>
    <w:p w14:paraId="0C878A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E048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primo periodo sono aggiunti i seguenti: «In tutti i casi in cui la legge consente la notifica a mezzo posta con raccomandata con avviso di ricevimento, la notificazione dell'avviso di avvenuta ricezione avviene senza ritardo, in formato cartaceo e in busta chiusa, a mezzo posta direttamente dal gestore della piattaforma, mediante invio di raccomandata con avviso di ricevimento. Ove all'indirizzo indicato non sia possibile il recapito del plico contenente l'avviso di avvenuta ricezione per cause diverse dalla temporanea assenza o dal rifiuto del destinatario o delle altre persone alle quali può essere consegnato il plico, l'addetto al recapito postale svolge in loco ogni opportuna indagine per accertare l'indirizzo dell'abitazione, ufficio o sede del destinatario irreperibile. Gli accertamenti svolti e il relativo esito sono verbalizzati e comunicati al gestore della piattaforma. Ove dagli accertamenti svolti dall'addetto al recapito postale ovvero dalla consultazione del registro dell'anagrafe della popolazione residente o dal registro delle imprese sia possibile individuare un indirizzo del destinatario diverso da quello al quale è stato tentato il precedente recapito, il gestore della piattaforma invia a tale diverso indirizzo l'avviso di avvenuta ricezione; in caso contrario, deposita l'avviso di avvenuta ricezione sulla piattaforma e lo rende così disponibile al destinatario. Quest'ultimo può in ogni caso acquisire copia dell'avviso di avvenuta ricezione tramite il fornitore di cui al successivo comma 20, con le modalità fissate dal decreto di cui al comma 15. La notifica dell'avviso di avvenuta ricezione si perfeziona nel decimo giorno successivo a quello di deposito nella piattaforma. Il destinatario che incorra in decadenze e dimostri di non aver ricevuto la notifica per causa ad esso non imputabile può essere rimesso in termini.»;</w:t>
      </w:r>
    </w:p>
    <w:p w14:paraId="255953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E74A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12, le parole «ai sensi della legge 20 novembre 1982, n. 890», sono sostituite dalle seguenti: «effettuata con le modalità di cui al comma 7»;</w:t>
      </w:r>
    </w:p>
    <w:p w14:paraId="3A288B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784C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15:</w:t>
      </w:r>
    </w:p>
    <w:p w14:paraId="620F33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4387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lettera h), le parole «al comma 7» sono sostituite dalle seguenti: «ai commi 5-bis, 6 e 7»;</w:t>
      </w:r>
    </w:p>
    <w:p w14:paraId="45BBE5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512F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alla lettera i), dopo le parole «oggetto di notificazione» sono inserite le seguenti: «o, nei casi previsti dal comma 7, sesto periodo, dell'avviso di avvenuta ricezione»;</w:t>
      </w:r>
    </w:p>
    <w:p w14:paraId="499905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6336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la lettera l), è aggiunta la seguente: «l-bis) sono disciplinate le modalità con le quali gli addetti al recapito postale comunicano al gestore della piattaforma l'esito degli accertamenti di cui al comma 7, quarto periodo.»;</w:t>
      </w:r>
    </w:p>
    <w:p w14:paraId="0F3E60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FBE4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20, le parole «la spedizione dell'avviso di avvenuta ricezione e» sono soppresse.</w:t>
      </w:r>
    </w:p>
    <w:p w14:paraId="688299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4C51BC"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semplificare e favorire l'utilizzo del domicilio digitale e dell'identità digitale e l'effettivo esercizio del diritto all'uso delle nuove tecnologie, al decreto legislativo 7 marzo 2005, n. 82, sono apportate le seguenti modificazioni:</w:t>
      </w:r>
    </w:p>
    <w:p w14:paraId="0BE8857F" w14:textId="77777777" w:rsidR="00B3301A" w:rsidRDefault="00B3301A"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5617B3" w14:textId="77777777" w:rsidR="00B3301A" w:rsidRPr="00AA6695" w:rsidRDefault="00B3301A" w:rsidP="00B3301A">
      <w:pPr>
        <w:jc w:val="both"/>
        <w:rPr>
          <w:rFonts w:asciiTheme="minorHAnsi" w:hAnsiTheme="minorHAnsi"/>
          <w:b/>
          <w:bCs/>
          <w:color w:val="000000" w:themeColor="text1"/>
          <w:sz w:val="24"/>
          <w:szCs w:val="24"/>
        </w:rPr>
      </w:pPr>
      <w:r w:rsidRPr="00AA6695">
        <w:rPr>
          <w:rFonts w:asciiTheme="minorHAnsi" w:hAnsiTheme="minorHAnsi"/>
          <w:b/>
          <w:bCs/>
          <w:color w:val="000000" w:themeColor="text1"/>
          <w:sz w:val="24"/>
          <w:szCs w:val="24"/>
        </w:rPr>
        <w:t>    01) al comma 1-bis, dopo la parola: «eleggere» sono inserite le seguenti: «o modificare».</w:t>
      </w:r>
      <w:r>
        <w:rPr>
          <w:rStyle w:val="Rimandonotaapidipagina"/>
          <w:rFonts w:asciiTheme="minorHAnsi" w:hAnsiTheme="minorHAnsi"/>
          <w:b/>
          <w:bCs/>
          <w:color w:val="000000" w:themeColor="text1"/>
          <w:sz w:val="24"/>
          <w:szCs w:val="24"/>
        </w:rPr>
        <w:footnoteReference w:id="11"/>
      </w:r>
    </w:p>
    <w:p w14:paraId="6BD821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8C95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3-bis:</w:t>
      </w:r>
    </w:p>
    <w:p w14:paraId="754140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53FC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1-ter, le parole «1 e 1-bis» sono sostituite dalle seguenti: «1, 1-bis e 4-quinquies»;</w:t>
      </w:r>
    </w:p>
    <w:p w14:paraId="27FCA6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9DA9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secondo periodo, le parole «può essere reso disponibile» sono sostituite dalle seguenti: «è attribuito»;</w:t>
      </w:r>
    </w:p>
    <w:p w14:paraId="156DD2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3F68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4-bis, le parole «sottoscritti con firma autografa sostituita a mezzo stampa predisposta secondo le disposizioni di cui all'articolo 3 del decreto legislativo 12 febbraio 1993, n. 39» sono sostituite dalle seguenti: «su cui è apposto a stampa il contrassegno di cui all'articolo 23, comma 2-bis o l'indicazione a mezzo stampa del responsabile pro tempore in sostituzione della firma autografa ai sensi dell'articolo 3 del decreto legislativo 12 febbraio 1993, n. 39»;</w:t>
      </w:r>
    </w:p>
    <w:p w14:paraId="68A6B4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64F1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al comma 4-ter, dopo le parole «è stato predisposto» sono inserite le seguenti: «come documento nativo digitale» e le parole «in conformità alle Linee guida» sono soppresse;</w:t>
      </w:r>
    </w:p>
    <w:p w14:paraId="61907F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671C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4-quater, le parole «Le modalità di predisposizione della copia analogica di cui ai commi 4-bis e 4-ter soddisfano» sono sostituite dalle seguenti: «La copia analogica con l'indicazione a mezzo stampa del responsabile in sostituzione della firma autografa ai sensi dell'articolo 3 del decreto legislativo 12 febbraio 1993, n. 39, soddisfa»;</w:t>
      </w:r>
    </w:p>
    <w:p w14:paraId="31C0CB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428D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4-quinquies, il primo periodo è sostituito dal seguente: «È possibile eleggere anche un domicilio digitale speciale per determinati atti, procedimenti o affari.»;</w:t>
      </w:r>
    </w:p>
    <w:p w14:paraId="303393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A0D9EB"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6-quater, comma 3, dopo le parole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provvede» sono aggiunte le seguenti: «costantemente all'aggiornamento e»;</w:t>
      </w:r>
    </w:p>
    <w:p w14:paraId="46D4E04A" w14:textId="77777777" w:rsidR="000F292C" w:rsidRDefault="000F292C"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AD6181" w14:textId="77777777" w:rsidR="000F292C" w:rsidRPr="002E0F01" w:rsidRDefault="000F292C" w:rsidP="000F292C">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   b-bis) all'articolo 64-bis, comma 1-ter, dopo le parole: «servizi in rete» sono inserite le seguenti: «nel rispetto del principio di neutralità tecnologica, mediante esposizione di interfacce applicative, tramite interfaccia web e».</w:t>
      </w:r>
      <w:r>
        <w:rPr>
          <w:rStyle w:val="Rimandonotaapidipagina"/>
          <w:rFonts w:asciiTheme="minorHAnsi" w:hAnsiTheme="minorHAnsi"/>
          <w:b/>
          <w:bCs/>
          <w:color w:val="000000" w:themeColor="text1"/>
          <w:sz w:val="24"/>
          <w:szCs w:val="24"/>
        </w:rPr>
        <w:footnoteReference w:id="12"/>
      </w:r>
    </w:p>
    <w:p w14:paraId="69827D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252A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64-bis, è aggiunto il seguente:</w:t>
      </w:r>
    </w:p>
    <w:p w14:paraId="02E744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36EB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64-ter.</w:t>
      </w:r>
    </w:p>
    <w:p w14:paraId="3EE8B7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gestione deleghe)</w:t>
      </w:r>
    </w:p>
    <w:p w14:paraId="00DD22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8A10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istituito il Sistema di gestione deleghe (SGD), affidato alla responsabilità della struttura della Presidenza del Consiglio dei ministri competente per l'innovazione tecnologica e la transizione digitale.</w:t>
      </w:r>
    </w:p>
    <w:p w14:paraId="51A19A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Il SGD consente a chiunque di delegare l'accesso a uno o più servizi a un soggetto titolare dell'identità digitale di cui all'articolo 64, comma 2-quater, con livello di sicurezza almeno significativo. La presentazione della delega avviene mediante una delle modalità previste dall'articolo 65, comma 1, </w:t>
      </w:r>
      <w:r w:rsidRPr="00EF5B01">
        <w:rPr>
          <w:rFonts w:asciiTheme="minorHAnsi" w:eastAsia="Times New Roman" w:hAnsiTheme="minorHAnsi" w:cs="Times New Roman"/>
          <w:bCs/>
          <w:iCs/>
          <w:color w:val="000000" w:themeColor="text1"/>
          <w:sz w:val="24"/>
          <w:szCs w:val="24"/>
        </w:rPr>
        <w:lastRenderedPageBreak/>
        <w:t>ovvero presso gli sportelli di uno dei soggetti di cui all'articolo 2, comma 2, presenti sul territorio. Con il decreto di cui al comma 7 sono disciplinate le modalità di acquisizione della delega al SGD.</w:t>
      </w:r>
    </w:p>
    <w:p w14:paraId="3FA26543"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 seguito dell'acquisizione della delega al SGD, è generato un attributo qualificato associato all'identità digitale del delegato, secondo le modalità stabilite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Linee guida. Tale attributo può essere utilizzato anche per l'erogazione di servizi in modalità analogica.</w:t>
      </w:r>
    </w:p>
    <w:p w14:paraId="5413988D" w14:textId="77777777" w:rsidR="00FE6EBF" w:rsidRPr="00EF5B01"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D031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 soggetti di cui all'articolo 2, comma 2, sono tenuti ad accreditarsi al SGD.</w:t>
      </w:r>
    </w:p>
    <w:p w14:paraId="640A41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Per la realizzazione, gestione e manutenzione del SGD e per l'erogazione del servizio, la struttura della Presidenza del Consiglio dei ministri competente per l'innovazione tecnologica e la transizione digitale si avvale dell'Istituto Poligrafico e Zecca dello Stato S.p.A. I rapporti tra la struttura di cui al precedente periodo e l'Istituto Poligrafico e Zecca dello Stato S.p.A. sono regolati, anche ai sensi dell'articolo 28 del regolamento (UE) 2016/679 del Parlamento Europeo e del Consiglio del 27 aprile 2016, con apposita convenzione.</w:t>
      </w:r>
    </w:p>
    <w:p w14:paraId="786F2E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struttura della Presidenza del Consiglio dei ministri competente per l'innovazione tecnologica e la transizione digitale è il titolare del trattamento dei dati personali, ferme restando, ai sensi dell'articolo 28 del regolamento (UE) 2016/679, le specifiche responsabilità in capo all'Istituto Poligrafico e Zecca dello Stato S.p.A. e, nel caso previsto dal comma 2, ai soggetti di cui all'articolo 2, comma 2.</w:t>
      </w:r>
    </w:p>
    <w:p w14:paraId="5C5C76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Fermo restando quanto previsto dal decreto di cui all'articolo 64, comma 2-sexies, relativamente alle modalità di accreditamento dei gestori di attributi qualificati, con decreto del Presidente del Consiglio dei ministri, adottato di concerto con il Ministro dell'interno,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il Garante per la protezione dei dati personali e la Conferenza unificata di cui all'articolo 8 del decreto legislativo 28 agosto 1997, n. 281, sono definite le caratteristiche tecniche, l'architettura generale, i requisiti di sicurezza, le modalità di acquisizione della delega e di funzionamento del SGD. Con il medesimo decreto, inoltre, sono individuate le modalità di adesione al sistema nonché le tipologie di dati oggetto di trattamento, le categorie di interessati e, in generale, le modalità e procedure per assicurare il rispetto dell'articolo 5 del regolamento (UE) 2016/679.</w:t>
      </w:r>
    </w:p>
    <w:p w14:paraId="62489B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All'onere derivante dall'attuazione della presente disposizione si provvede con le risorse disponibili a legislazione vigente.»;</w:t>
      </w:r>
    </w:p>
    <w:p w14:paraId="167DC0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5601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65, comma 1, lettera c-bis), secondo periodo, le parole «di assenza» sono sostituite dalle seguenti: «in assenza» e le parole «ai sensi e per gli effetti dell'articolo 3-bis, comma 1-ter» sono sostituite dalle seguenti: «speciale, ai sensi dell'articolo 3-bis, comma 4-quinquies, per gli atti e le comunicazioni a cui è riferita l'istanza o la dichiarazione».</w:t>
      </w:r>
    </w:p>
    <w:p w14:paraId="0B8CCB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5E6D88"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L'efficacia delle disposizioni del comma 2, lettera c), i cui oneri sono a carico delle risorse previste per l'attuazione di progetti compresi nel PNRR, resta subordinata alla definitiva approvazione del PNRR da parte del Consiglio dell'Unione europea.</w:t>
      </w:r>
    </w:p>
    <w:p w14:paraId="489CC9FB" w14:textId="77777777" w:rsidR="00FE6EBF"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FD7847" w14:textId="77777777" w:rsidR="00FE6EBF" w:rsidRPr="002E0F01" w:rsidRDefault="00FE6EBF" w:rsidP="00FE6EB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  3-bis. Il comma 2-bis dell'articolo 24 del decreto-legge 28 ottobre 2020, n. 137, convertito, con modificazioni, dalla legge 18 dicembre 2020, n. 176, è sostituito dal seguente:</w:t>
      </w:r>
    </w:p>
    <w:p w14:paraId="33FC0A52" w14:textId="77777777" w:rsidR="00FE6EBF" w:rsidRPr="002E0F01" w:rsidRDefault="00FE6EBF" w:rsidP="00FE6EBF">
      <w:pPr>
        <w:jc w:val="both"/>
        <w:rPr>
          <w:rFonts w:asciiTheme="minorHAnsi" w:hAnsiTheme="minorHAnsi"/>
          <w:b/>
          <w:bCs/>
          <w:color w:val="000000" w:themeColor="text1"/>
          <w:sz w:val="24"/>
          <w:szCs w:val="24"/>
        </w:rPr>
      </w:pPr>
    </w:p>
    <w:p w14:paraId="6724AD0D" w14:textId="77777777" w:rsidR="00FE6EBF" w:rsidRDefault="00FE6EBF" w:rsidP="00FE6EB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   «2-bis. Il malfunzionamento del portale del processo penale è attestato dal Direttore generale per i servizi informativi automatizzati, con provvedimento pubblicato nel Portale dei servizi telematici del Ministero della giustizia con indicazione del relativo periodo. In tali ipotesi, il termine di scadenza per il deposito degli atti di cui ai commi 1 e 2 è prorogato di diritto fino al giorno successivo al ripristino della funzionalità del Portale».</w:t>
      </w:r>
      <w:r>
        <w:rPr>
          <w:rStyle w:val="Rimandonotaapidipagina"/>
          <w:rFonts w:asciiTheme="minorHAnsi" w:hAnsiTheme="minorHAnsi"/>
          <w:b/>
          <w:bCs/>
          <w:color w:val="000000" w:themeColor="text1"/>
          <w:sz w:val="24"/>
          <w:szCs w:val="24"/>
        </w:rPr>
        <w:footnoteReference w:id="13"/>
      </w:r>
    </w:p>
    <w:p w14:paraId="050FAD95" w14:textId="77777777" w:rsidR="00BA0CCD" w:rsidRPr="002E0F01" w:rsidRDefault="00BA0CCD" w:rsidP="00BA0CCD">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3-bis. Il comma 2-ter dell'articolo 24 del decreto-legge 28 ottobre 2020, n. 137, convertito, con modificazioni, dalla legge 18 dicembre 2020, n. 176, è sostituito dal seguente:</w:t>
      </w:r>
    </w:p>
    <w:p w14:paraId="4582E925" w14:textId="77777777" w:rsidR="00BA0CCD" w:rsidRPr="002E0F01" w:rsidRDefault="00BA0CCD" w:rsidP="00BA0CCD">
      <w:pPr>
        <w:jc w:val="both"/>
        <w:rPr>
          <w:rFonts w:asciiTheme="minorHAnsi" w:hAnsiTheme="minorHAnsi"/>
          <w:b/>
          <w:bCs/>
          <w:color w:val="000000" w:themeColor="text1"/>
          <w:sz w:val="24"/>
          <w:szCs w:val="24"/>
        </w:rPr>
      </w:pPr>
    </w:p>
    <w:p w14:paraId="4A371D3D" w14:textId="77777777" w:rsidR="00BA0CCD" w:rsidRPr="002E0F01" w:rsidRDefault="00BA0CCD" w:rsidP="00BA0CCD">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   «2-ter. L'autorità giudiziaria può autorizzare il deposito di singoli atti e documenti in formato analogico per ragioni specifiche».</w:t>
      </w:r>
      <w:r>
        <w:rPr>
          <w:rStyle w:val="Rimandonotaapidipagina"/>
          <w:rFonts w:asciiTheme="minorHAnsi" w:hAnsiTheme="minorHAnsi"/>
          <w:b/>
          <w:bCs/>
          <w:color w:val="000000" w:themeColor="text1"/>
          <w:sz w:val="24"/>
          <w:szCs w:val="24"/>
        </w:rPr>
        <w:footnoteReference w:id="14"/>
      </w:r>
    </w:p>
    <w:p w14:paraId="3F697D1C" w14:textId="77777777" w:rsidR="00256907" w:rsidRPr="002E0F01" w:rsidRDefault="00256907" w:rsidP="00256907">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Art. 38-bis.</w:t>
      </w:r>
    </w:p>
    <w:p w14:paraId="4CF16DBE" w14:textId="77777777" w:rsidR="00256907" w:rsidRPr="002E0F01" w:rsidRDefault="00256907" w:rsidP="00256907">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(Semplificazioni in materia di procedimenti elettorali attraverso la diffusione delle comunicazioni digitali con le pubbliche amministrazioni)</w:t>
      </w:r>
    </w:p>
    <w:p w14:paraId="650BF24E" w14:textId="77777777" w:rsidR="00256907" w:rsidRPr="002E0F01" w:rsidRDefault="00256907" w:rsidP="00256907">
      <w:pPr>
        <w:jc w:val="both"/>
        <w:rPr>
          <w:rFonts w:asciiTheme="minorHAnsi" w:hAnsiTheme="minorHAnsi"/>
          <w:b/>
          <w:bCs/>
          <w:color w:val="000000" w:themeColor="text1"/>
          <w:sz w:val="24"/>
          <w:szCs w:val="24"/>
        </w:rPr>
      </w:pPr>
    </w:p>
    <w:p w14:paraId="165B83D6"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Al testo unico delle leggi recanti norme per la elezione della Camera dei deputati, di cui al decreto del Presidente della Repubblica 30 marzo 1957, n. 361, sono apportate le seguenti modificazioni:</w:t>
      </w:r>
    </w:p>
    <w:p w14:paraId="4FDD78FD" w14:textId="77777777" w:rsidR="00256907" w:rsidRPr="002E0F01" w:rsidRDefault="00256907" w:rsidP="00256907">
      <w:pPr>
        <w:jc w:val="both"/>
        <w:rPr>
          <w:rFonts w:asciiTheme="minorHAnsi" w:hAnsiTheme="minorHAnsi"/>
          <w:b/>
          <w:bCs/>
          <w:color w:val="000000" w:themeColor="text1"/>
          <w:sz w:val="24"/>
          <w:szCs w:val="24"/>
        </w:rPr>
      </w:pPr>
    </w:p>
    <w:p w14:paraId="7E77705A"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   a) all'articolo 15, il terzo comma è sostituito dal seguente:</w:t>
      </w:r>
    </w:p>
    <w:p w14:paraId="471E22DB" w14:textId="77777777" w:rsidR="00256907" w:rsidRPr="002E0F01" w:rsidRDefault="00256907" w:rsidP="00256907">
      <w:pPr>
        <w:jc w:val="both"/>
        <w:rPr>
          <w:rFonts w:asciiTheme="minorHAnsi" w:hAnsiTheme="minorHAnsi"/>
          <w:b/>
          <w:bCs/>
          <w:color w:val="000000" w:themeColor="text1"/>
          <w:sz w:val="24"/>
          <w:szCs w:val="24"/>
        </w:rPr>
      </w:pPr>
    </w:p>
    <w:p w14:paraId="6A2C16A1"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   «Il contrassegno deve essere depositato a mano su supporto digitale o in triplice esemplare in forma cartacea»;</w:t>
      </w:r>
    </w:p>
    <w:p w14:paraId="386D0DFB" w14:textId="77777777" w:rsidR="00256907" w:rsidRPr="002E0F01" w:rsidRDefault="00256907" w:rsidP="00256907">
      <w:pPr>
        <w:jc w:val="both"/>
        <w:rPr>
          <w:rFonts w:asciiTheme="minorHAnsi" w:hAnsiTheme="minorHAnsi"/>
          <w:b/>
          <w:bCs/>
          <w:color w:val="000000" w:themeColor="text1"/>
          <w:sz w:val="24"/>
          <w:szCs w:val="24"/>
        </w:rPr>
      </w:pPr>
    </w:p>
    <w:p w14:paraId="4ABE3AD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all'articolo 25:</w:t>
      </w:r>
    </w:p>
    <w:p w14:paraId="7EE3153A" w14:textId="77777777" w:rsidR="00256907" w:rsidRPr="002E0F01" w:rsidRDefault="00256907" w:rsidP="00256907">
      <w:pPr>
        <w:jc w:val="both"/>
        <w:rPr>
          <w:rFonts w:asciiTheme="minorHAnsi" w:hAnsiTheme="minorHAnsi"/>
          <w:b/>
          <w:bCs/>
          <w:color w:val="000000" w:themeColor="text1"/>
          <w:sz w:val="24"/>
          <w:szCs w:val="24"/>
        </w:rPr>
      </w:pPr>
    </w:p>
    <w:p w14:paraId="68B23FD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al primo comma, secondo periodo, le parole: «entro il venerdì precedente l'elezione,» sono sostituite dalle seguenti: «entro il giovedì precedente l'elezione, anche mediante posta elettronica certificata,»;</w:t>
      </w:r>
    </w:p>
    <w:p w14:paraId="1947F8FE" w14:textId="77777777" w:rsidR="00256907" w:rsidRPr="002E0F01" w:rsidRDefault="00256907" w:rsidP="00256907">
      <w:pPr>
        <w:jc w:val="both"/>
        <w:rPr>
          <w:rFonts w:asciiTheme="minorHAnsi" w:hAnsiTheme="minorHAnsi"/>
          <w:b/>
          <w:bCs/>
          <w:color w:val="000000" w:themeColor="text1"/>
          <w:sz w:val="24"/>
          <w:szCs w:val="24"/>
        </w:rPr>
      </w:pPr>
    </w:p>
    <w:p w14:paraId="7927F299"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dopo il primo comma è inserito il seguente:</w:t>
      </w:r>
    </w:p>
    <w:p w14:paraId="0C92DEFB" w14:textId="77777777" w:rsidR="00256907" w:rsidRPr="002E0F01" w:rsidRDefault="00256907" w:rsidP="00256907">
      <w:pPr>
        <w:jc w:val="both"/>
        <w:rPr>
          <w:rFonts w:asciiTheme="minorHAnsi" w:hAnsiTheme="minorHAnsi"/>
          <w:b/>
          <w:bCs/>
          <w:color w:val="000000" w:themeColor="text1"/>
          <w:sz w:val="24"/>
          <w:szCs w:val="24"/>
        </w:rPr>
      </w:pPr>
    </w:p>
    <w:p w14:paraId="7980FF59"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   «Le autenticazioni di cui al primo periodo del primo comma del presente articolo non sono necessarie nel caso in cui gli atti siano firmati digitalmente o con un altro tipo di firma elettronica qualificata</w:t>
      </w:r>
      <w:r w:rsidRPr="002E0F01">
        <w:rPr>
          <w:b/>
          <w:bCs/>
          <w:color w:val="000000" w:themeColor="text1"/>
          <w:sz w:val="24"/>
          <w:szCs w:val="24"/>
        </w:rPr>
        <w:t xml:space="preserve"> </w:t>
      </w:r>
      <w:r w:rsidRPr="002E0F01">
        <w:rPr>
          <w:rFonts w:asciiTheme="minorHAnsi" w:hAnsiTheme="minorHAnsi"/>
          <w:b/>
          <w:bCs/>
          <w:color w:val="000000" w:themeColor="text1"/>
          <w:sz w:val="24"/>
          <w:szCs w:val="24"/>
        </w:rPr>
        <w:t>da uno dei delegati di cui all'articolo 20, ottavo comma, o dalle persone da essi autorizzate con atto firmato digitalmente o con un altro tipo di firma elettronica qualificata e i documenti siano trasmessi mediante posta elettronica certificata».</w:t>
      </w:r>
    </w:p>
    <w:p w14:paraId="64D0F410" w14:textId="77777777" w:rsidR="00256907" w:rsidRPr="002E0F01" w:rsidRDefault="00256907" w:rsidP="00256907">
      <w:pPr>
        <w:jc w:val="both"/>
        <w:rPr>
          <w:rFonts w:asciiTheme="minorHAnsi" w:hAnsiTheme="minorHAnsi"/>
          <w:b/>
          <w:bCs/>
          <w:color w:val="000000" w:themeColor="text1"/>
          <w:sz w:val="24"/>
          <w:szCs w:val="24"/>
        </w:rPr>
      </w:pPr>
    </w:p>
    <w:p w14:paraId="3F2FF808"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Al testo unico delle leggi per la composizione e la elezione degli organi delle Amministrazioni comunali, di cui al decreto del Presidente della Repubblica 16 maggio 1960, n. 570, sono apportate le seguenti modificazioni:</w:t>
      </w:r>
    </w:p>
    <w:p w14:paraId="2E4B2C2A" w14:textId="77777777" w:rsidR="00256907" w:rsidRPr="002E0F01" w:rsidRDefault="00256907" w:rsidP="00256907">
      <w:pPr>
        <w:jc w:val="both"/>
        <w:rPr>
          <w:rFonts w:asciiTheme="minorHAnsi" w:hAnsiTheme="minorHAnsi"/>
          <w:b/>
          <w:bCs/>
          <w:color w:val="000000" w:themeColor="text1"/>
          <w:sz w:val="24"/>
          <w:szCs w:val="24"/>
        </w:rPr>
      </w:pPr>
    </w:p>
    <w:p w14:paraId="14EA1842"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all'articolo 28, sesto comma, il secondo periodo è sostituito dal seguente: «Il contrassegno deve essere depositato a mano su supporto digitale o in triplice esemplare in forma cartacea»;</w:t>
      </w:r>
    </w:p>
    <w:p w14:paraId="73B15D03" w14:textId="77777777" w:rsidR="00256907" w:rsidRPr="002E0F01" w:rsidRDefault="00256907" w:rsidP="00256907">
      <w:pPr>
        <w:jc w:val="both"/>
        <w:rPr>
          <w:rFonts w:asciiTheme="minorHAnsi" w:hAnsiTheme="minorHAnsi"/>
          <w:b/>
          <w:bCs/>
          <w:color w:val="000000" w:themeColor="text1"/>
          <w:sz w:val="24"/>
          <w:szCs w:val="24"/>
        </w:rPr>
      </w:pPr>
    </w:p>
    <w:p w14:paraId="764A2F6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   b) all'articolo 32, settimo comma:</w:t>
      </w:r>
    </w:p>
    <w:p w14:paraId="1709713D" w14:textId="77777777" w:rsidR="00256907" w:rsidRPr="002E0F01" w:rsidRDefault="00256907" w:rsidP="00256907">
      <w:pPr>
        <w:jc w:val="both"/>
        <w:rPr>
          <w:rFonts w:asciiTheme="minorHAnsi" w:hAnsiTheme="minorHAnsi"/>
          <w:b/>
          <w:bCs/>
          <w:color w:val="000000" w:themeColor="text1"/>
          <w:sz w:val="24"/>
          <w:szCs w:val="24"/>
        </w:rPr>
      </w:pPr>
    </w:p>
    <w:p w14:paraId="6049FD83"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il numero 1) è sostituito dal seguente:</w:t>
      </w:r>
    </w:p>
    <w:p w14:paraId="118F67F4" w14:textId="77777777" w:rsidR="00256907" w:rsidRPr="002E0F01" w:rsidRDefault="00256907" w:rsidP="00256907">
      <w:pPr>
        <w:jc w:val="both"/>
        <w:rPr>
          <w:rFonts w:asciiTheme="minorHAnsi" w:hAnsiTheme="minorHAnsi"/>
          <w:b/>
          <w:bCs/>
          <w:color w:val="000000" w:themeColor="text1"/>
          <w:sz w:val="24"/>
          <w:szCs w:val="24"/>
        </w:rPr>
      </w:pPr>
    </w:p>
    <w:p w14:paraId="4593BB8E"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un modello di contrassegno depositato a mano su supporto digitale o in triplice esemplare in forma cartacea»;</w:t>
      </w:r>
    </w:p>
    <w:p w14:paraId="4F8F0E1A" w14:textId="77777777" w:rsidR="00256907" w:rsidRPr="002E0F01" w:rsidRDefault="00256907" w:rsidP="00256907">
      <w:pPr>
        <w:jc w:val="both"/>
        <w:rPr>
          <w:rFonts w:asciiTheme="minorHAnsi" w:hAnsiTheme="minorHAnsi"/>
          <w:b/>
          <w:bCs/>
          <w:color w:val="000000" w:themeColor="text1"/>
          <w:sz w:val="24"/>
          <w:szCs w:val="24"/>
        </w:rPr>
      </w:pPr>
    </w:p>
    <w:p w14:paraId="3E1CDB4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al numero 4) è aggiunto, in fine, il seguente periodo: «. L'autenticazione non è necessaria nel caso in cui l'atto sia stato firmato digitalmente dai delegati e il documento sia trasmesso mediante posta elettronica certificata»;</w:t>
      </w:r>
    </w:p>
    <w:p w14:paraId="741518D8" w14:textId="77777777" w:rsidR="00256907" w:rsidRPr="002E0F01" w:rsidRDefault="00256907" w:rsidP="00256907">
      <w:pPr>
        <w:jc w:val="both"/>
        <w:rPr>
          <w:rFonts w:asciiTheme="minorHAnsi" w:hAnsiTheme="minorHAnsi"/>
          <w:b/>
          <w:bCs/>
          <w:color w:val="000000" w:themeColor="text1"/>
          <w:sz w:val="24"/>
          <w:szCs w:val="24"/>
        </w:rPr>
      </w:pPr>
    </w:p>
    <w:p w14:paraId="6866FF71"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   c) all'articolo 35, secondo comma, le parole: «venerdì precedente l'elezione al segretario del Comune,» sono sostituite dalle seguenti: «giovedì precedente l'elezione, anche mediante posta elettronica certificata, al segretario del Comune,».</w:t>
      </w:r>
    </w:p>
    <w:p w14:paraId="52627E52" w14:textId="77777777" w:rsidR="00256907" w:rsidRPr="002E0F01" w:rsidRDefault="00256907" w:rsidP="00256907">
      <w:pPr>
        <w:jc w:val="both"/>
        <w:rPr>
          <w:rFonts w:asciiTheme="minorHAnsi" w:hAnsiTheme="minorHAnsi"/>
          <w:b/>
          <w:bCs/>
          <w:color w:val="000000" w:themeColor="text1"/>
          <w:sz w:val="24"/>
          <w:szCs w:val="24"/>
        </w:rPr>
      </w:pPr>
    </w:p>
    <w:p w14:paraId="2794FBB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 Il certificato di iscrizione nelle liste elettorali, riportante i dati anagrafici dell'elettore e il suo numero di iscrizione alle liste elettorali, necessario per la sottoscrizione di liste di candidati per le elezioni politiche, dei membri del Parlamento europeo spettanti all'Italia e amministrative, di proposte di referendum e di iniziative legislative popolari, può essere richiesto anche in formato digitale, tramite posta elettronica certificata, dal segretario, dal presidente o dal rappresentante legale del partito o del movimento politico, o da loro delegati, o da uno dei soggetti promotori del referendum o dell'iniziativa legislativa popolare, o da un suo delegato, mediante domanda presentata all'ufficio elettorale, accompagnata da copia di un documento di identità del richiedente. In caso di richiesta tramite posta elettronica certificata, è allegata alla domanda l'eventuale delega, firmata digitalmente, del segretario, del presidente o del rappresentante legale del partito o del movimento politico o di uno dei soggetti promotori del referendum o dell'iniziativa legislativa popolare.</w:t>
      </w:r>
    </w:p>
    <w:p w14:paraId="198857FF"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xml:space="preserve">  4. Qualora la domanda presentata tramite posta elettronica certificata o un servizio elettronico di recapito certificato qualificato sia riferita a sottoscrizioni di liste di candidati, l'ufficio elettorale deve </w:t>
      </w:r>
      <w:r w:rsidRPr="002E0F01">
        <w:rPr>
          <w:rFonts w:asciiTheme="minorHAnsi" w:hAnsiTheme="minorHAnsi"/>
          <w:b/>
          <w:bCs/>
          <w:color w:val="000000" w:themeColor="text1"/>
          <w:sz w:val="24"/>
          <w:szCs w:val="24"/>
        </w:rPr>
        <w:lastRenderedPageBreak/>
        <w:t>rilasciare in formato digitale, tramite posta elettronica certificata, i certificati richiesti entro il termine improrogabile di ventiquattro ore dalla domanda. Qualora la domanda presentata tramite posta elettronica certificata o un servizio elettronico di recapito certificato qualificato sia riferita a sottoscrizioni di proposte di referendum popolare, l'ufficio elettorale deve rilasciare in formato digitale, tramite posta elettronica certificata, i certificati richiesti entro il termine improrogabile di quarantotto ore dalla domanda.</w:t>
      </w:r>
    </w:p>
    <w:p w14:paraId="1EA488F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  5. I certificati rilasciati ai sensi del comma 4 costituiscono ad ogni effetto di legge copie conformi all'originale e possono essere utilizzati per le finalità di cui al comma 3 nel formato in cui sono stati trasmessi dall'amministrazione.</w:t>
      </w:r>
    </w:p>
    <w:p w14:paraId="2926149D"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  6. La conformità all'originale delle copie analogiche dei certificati rilasciati in formato digitale ai sensi del comma 4 è attestata dal soggetto che ne ha fatto richiesta o da un suo delegato con dichiarazione autografa autenticata resa in calce alla copia analogica dei certificati medesimi. Sono competenti a eseguire le autenticazioni previste dal primo periodo del presente comma i soggetti di cui all'articolo 14 della legge 21 marzo 1990, n. 53.</w:t>
      </w:r>
    </w:p>
    <w:p w14:paraId="34F19211"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  7. All'articolo 1 della legge 9 gennaio 2019, n. 3, sono apportate le seguenti modificazioni:</w:t>
      </w:r>
    </w:p>
    <w:p w14:paraId="327D7782" w14:textId="77777777" w:rsidR="00256907" w:rsidRPr="002E0F01" w:rsidRDefault="00256907" w:rsidP="00256907">
      <w:pPr>
        <w:jc w:val="both"/>
        <w:rPr>
          <w:rFonts w:asciiTheme="minorHAnsi" w:hAnsiTheme="minorHAnsi"/>
          <w:b/>
          <w:bCs/>
          <w:color w:val="000000" w:themeColor="text1"/>
          <w:sz w:val="24"/>
          <w:szCs w:val="24"/>
        </w:rPr>
      </w:pPr>
    </w:p>
    <w:p w14:paraId="125E8E32"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il comma 14 è sostituito dal seguente:</w:t>
      </w:r>
    </w:p>
    <w:p w14:paraId="5081D115" w14:textId="77777777" w:rsidR="00256907" w:rsidRPr="002E0F01" w:rsidRDefault="00256907" w:rsidP="00256907">
      <w:pPr>
        <w:jc w:val="both"/>
        <w:rPr>
          <w:rFonts w:asciiTheme="minorHAnsi" w:hAnsiTheme="minorHAnsi"/>
          <w:b/>
          <w:bCs/>
          <w:color w:val="000000" w:themeColor="text1"/>
          <w:sz w:val="24"/>
          <w:szCs w:val="24"/>
        </w:rPr>
      </w:pPr>
    </w:p>
    <w:p w14:paraId="1F3EDFF5"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xml:space="preserve">   «14. Entro il quattordicesimo giorno antecedente la data delle elezioni politiche, dei membri del Parlamento europeo spettanti all'Italia, regionali e amministrative, escluse quelle relative a comuni con popolazione fino a 15.000 abitanti, i partiti e i movimenti politici nonché le liste di cui al primo periodo del comma 11 hanno l'obbligo di pubblicare, nel proprio sito internet ovvero, per le liste di cui al citato primo periodo del comma 11, nel sito internet del partito o del movimento politico sotto il cui contrassegno si sono presentate nella competizione elettorale, il curriculum vitae di ciascun candidato, fornito dal candidato medesimo, e il relativo certificato del casellario giudiziale di cui all'articolo 24 del testo unico delle disposizioni legislative e regolamentari in materia di casellario giudiziale, di casellario giudiziale europeo, di anagrafe delle sanzioni amministrative dipendenti da reato e dei relativi carichi pendenti, di cui al decreto del Presidente della Repubblica 14 novembre 2002, n. 313, rilasciato non oltre novanta giorni prima della data fissata per l'elezione. I rappresentanti legali dei partiti e dei movimenti politici nonché delle liste di cui al citato primo periodo del comma 11, o persone da loro delegate, possono richiedere, anche mediante posta elettronica certificata, i certificati del casellario </w:t>
      </w:r>
      <w:r w:rsidRPr="002E0F01">
        <w:rPr>
          <w:rFonts w:asciiTheme="minorHAnsi" w:hAnsiTheme="minorHAnsi"/>
          <w:b/>
          <w:bCs/>
          <w:color w:val="000000" w:themeColor="text1"/>
          <w:sz w:val="24"/>
          <w:szCs w:val="24"/>
        </w:rPr>
        <w:lastRenderedPageBreak/>
        <w:t>giudiziale dei candidati, compreso il candidato alla carica di sindaco, per i quali sussiste l'obbligo di pubblicazione ai sensi del primo periodo del presente comma, previo consenso e su delega dell'interessato, da sottoscrivere all'atto dell'accettazione della candidatura. Il tribunale deve rendere disponibili al richiedente i certificati entro il termine di cinque giorni dalla richiesta. Ai fini dell'ottemperanza agli obblighi di pubblicazione nel sito internet di cui al presente comma non è richiesto il consenso espresso degli interessati. Nel caso in cui il certificato del casellario giudiziale sia richiesto da coloro che intendono candidarsi alle elezioni di cui al presente comma, per le quali sono stati convocati i comizi elettorali, ed essi dichiarino contestualmente sotto la propria responsabilità, ai sensi dell'articolo 47 del testo unico delle disposizioni legislative e regolamentari in materia di documentazione amministrativa, di cui al decreto del Presidente della Repubblica 28 dicembre 2000, n. 445, che la richiesta di tale certificato è finalizzata a rendere pubblici i dati ivi contenuti in occasione della propria candidatura, le imposte di bollo e ogni altra spesa, imposta e diritto dovuti ai pubblici uffici sono ridotti della metà»;</w:t>
      </w:r>
    </w:p>
    <w:p w14:paraId="4A227EDD" w14:textId="77777777" w:rsidR="00256907" w:rsidRPr="002E0F01" w:rsidRDefault="00256907" w:rsidP="00256907">
      <w:pPr>
        <w:jc w:val="both"/>
        <w:rPr>
          <w:rFonts w:asciiTheme="minorHAnsi" w:hAnsiTheme="minorHAnsi"/>
          <w:b/>
          <w:bCs/>
          <w:color w:val="000000" w:themeColor="text1"/>
          <w:sz w:val="24"/>
          <w:szCs w:val="24"/>
        </w:rPr>
      </w:pPr>
    </w:p>
    <w:p w14:paraId="2869BB5B"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 comma 15, primo periodo, le parole: «certificato penale» sono sostituite dalle seguenti: «certificato del casellario giudiziale di cui all'articolo 24 del testo unico di cui al decreto del Presidente della Repubblica 14 novembre 2002, n. 313,» e le parole: «dal casellario giudiziale» sono soppresse.</w:t>
      </w:r>
    </w:p>
    <w:p w14:paraId="7B454814" w14:textId="77777777" w:rsidR="00256907" w:rsidRPr="002E0F01" w:rsidRDefault="00256907" w:rsidP="00256907">
      <w:pPr>
        <w:jc w:val="both"/>
        <w:rPr>
          <w:rFonts w:asciiTheme="minorHAnsi" w:hAnsiTheme="minorHAnsi"/>
          <w:b/>
          <w:bCs/>
          <w:color w:val="000000" w:themeColor="text1"/>
          <w:sz w:val="24"/>
          <w:szCs w:val="24"/>
        </w:rPr>
      </w:pPr>
    </w:p>
    <w:p w14:paraId="2BEB260C"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  8. I commi 1 e 2 dell'articolo 14 della legge 21 marzo 1990, n. 53, sono sostituiti dai seguenti:</w:t>
      </w:r>
    </w:p>
    <w:p w14:paraId="771F5AB8" w14:textId="77777777" w:rsidR="00256907" w:rsidRPr="002E0F01" w:rsidRDefault="00256907" w:rsidP="00256907">
      <w:pPr>
        <w:jc w:val="both"/>
        <w:rPr>
          <w:rFonts w:asciiTheme="minorHAnsi" w:hAnsiTheme="minorHAnsi"/>
          <w:b/>
          <w:bCs/>
          <w:color w:val="000000" w:themeColor="text1"/>
          <w:sz w:val="24"/>
          <w:szCs w:val="24"/>
        </w:rPr>
      </w:pPr>
    </w:p>
    <w:p w14:paraId="08E8462C"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Sono competenti ad eseguire le autenticazioni che non siano attribuite esclusivamente ai notai e che siano previste dalla legge 6 febbraio 1948, n. 29, dalla legge 8 marzo 1951, n. 122, dal testo unico delle leggi recanti norme per la elezione della Camera dei deputati, di cui al decreto del Presidente della Repubblica 30 marzo 1957, n. 361, dal testo unico delle leggi per la composizione e la elezione degli organi delle Amministrazioni comunali, di cui al decreto del Presidente della Repubblica 16 maggio 1960, n. 570, dalla legge 17 febbraio 1968, n. 108, dal decreto-legge 3 maggio 1976, n. 161, convertito, con modificazioni, dalla legge 14 maggio 1976, n. 240, dalla legge 24 gennaio 1979, n. 18, e dalla legge 25 maggio 1970, n. 352, nonché per le elezioni previste dalla legge 7 aprile 2014, n. 56, i notai, i giudici di pace, i cancellieri e i collaboratori delle cancellerie delle corti d'appello e dei tribunali, i segretari delle procure della Repubblica, i membri del Parlamento, i consiglieri regionali, i presidenti delle province, i sindaci metropolitani,</w:t>
      </w:r>
      <w:r w:rsidRPr="002E0F01">
        <w:rPr>
          <w:b/>
          <w:bCs/>
          <w:color w:val="000000" w:themeColor="text1"/>
          <w:sz w:val="24"/>
          <w:szCs w:val="24"/>
        </w:rPr>
        <w:t xml:space="preserve"> </w:t>
      </w:r>
      <w:r w:rsidRPr="002E0F01">
        <w:rPr>
          <w:rFonts w:asciiTheme="minorHAnsi" w:hAnsiTheme="minorHAnsi"/>
          <w:b/>
          <w:bCs/>
          <w:color w:val="000000" w:themeColor="text1"/>
          <w:sz w:val="24"/>
          <w:szCs w:val="24"/>
        </w:rPr>
        <w:t xml:space="preserve">i sindaci, gli assessori comunali e provinciali, i componenti della </w:t>
      </w:r>
      <w:r w:rsidRPr="002E0F01">
        <w:rPr>
          <w:rFonts w:asciiTheme="minorHAnsi" w:hAnsiTheme="minorHAnsi"/>
          <w:b/>
          <w:bCs/>
          <w:color w:val="000000" w:themeColor="text1"/>
          <w:sz w:val="24"/>
          <w:szCs w:val="24"/>
        </w:rPr>
        <w:lastRenderedPageBreak/>
        <w:t>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le autenticazioni di cui al presente comma gli avvocati iscritti all'albo che hanno comunicato la propria disponibilità all'ordine di appartenenza, i cui nominativi sono tempestivamente pubblicati nel sito internet istituzionale dell'ordine.</w:t>
      </w:r>
    </w:p>
    <w:p w14:paraId="51D8CD3E"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L'autenticazione deve essere compiuta con le modalità di cui all'articolo 21, comma 2, del testo unico delle disposizioni legislative e regolamentari in materia di documentazione amministrativa, di cui al decreto del Presidente della Repubblica 28 dicembre 2000, n. 445».</w:t>
      </w:r>
    </w:p>
    <w:p w14:paraId="05469367" w14:textId="77777777" w:rsidR="00256907" w:rsidRPr="002E0F01" w:rsidRDefault="00256907" w:rsidP="00256907">
      <w:pPr>
        <w:jc w:val="both"/>
        <w:rPr>
          <w:rFonts w:asciiTheme="minorHAnsi" w:hAnsiTheme="minorHAnsi"/>
          <w:b/>
          <w:bCs/>
          <w:color w:val="000000" w:themeColor="text1"/>
          <w:sz w:val="24"/>
          <w:szCs w:val="24"/>
        </w:rPr>
      </w:pPr>
    </w:p>
    <w:p w14:paraId="7F917BA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  9. Dopo il comma 3 dell'articolo 1 della legge 7 agosto 2018, n. 99, sono inseriti seguenti:</w:t>
      </w:r>
    </w:p>
    <w:p w14:paraId="0B41C070" w14:textId="77777777" w:rsidR="00256907" w:rsidRPr="002E0F01" w:rsidRDefault="00256907" w:rsidP="00256907">
      <w:pPr>
        <w:jc w:val="both"/>
        <w:rPr>
          <w:rFonts w:asciiTheme="minorHAnsi" w:hAnsiTheme="minorHAnsi"/>
          <w:b/>
          <w:bCs/>
          <w:color w:val="000000" w:themeColor="text1"/>
          <w:sz w:val="24"/>
          <w:szCs w:val="24"/>
        </w:rPr>
      </w:pPr>
    </w:p>
    <w:p w14:paraId="74804B72"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   «3-bis. I rappresentanti dei partiti, delle formazioni politiche, dei movimenti e delle liste civiche che aderiscono alle norme del codice di autoregolamentazione di cui al comma 1, lettera i), possono trasmettere alla Commissione, con il consenso degli interessati, le liste delle candidature provvisorie per le elezioni dei membri del Parlamento europeo spettanti all'Italia, nonché per le elezioni politiche nazionali, regionali, comunali e circoscrizionali entro settantacinque giorni dallo svolgimento delle medesime elezioni. La Commissione verifica la sussistenza di eventuali condizioni ostative alle candidature ai sensi del citato codice di autoregolamentazione, con riguardo ai nominativi trasmessi nelle proposte di candidature provvisorie. Con un regolamento interno adottato dalla stessa Commissione sono disciplinate le modalità di controllo sulla selezione e sulle candidature ai fini di cui al comma 1, lettera i), stabilendo in particolare:</w:t>
      </w:r>
    </w:p>
    <w:p w14:paraId="78DB4E8B" w14:textId="77777777" w:rsidR="00256907" w:rsidRPr="002E0F01" w:rsidRDefault="00256907" w:rsidP="00256907">
      <w:pPr>
        <w:jc w:val="both"/>
        <w:rPr>
          <w:rFonts w:asciiTheme="minorHAnsi" w:hAnsiTheme="minorHAnsi"/>
          <w:b/>
          <w:bCs/>
          <w:color w:val="000000" w:themeColor="text1"/>
          <w:sz w:val="24"/>
          <w:szCs w:val="24"/>
        </w:rPr>
      </w:pPr>
    </w:p>
    <w:p w14:paraId="10612DB3"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il regime di pubblicità della declaratoria di incompatibilità dei candidati con le disposizioni del codice di autoregolamentazione;</w:t>
      </w:r>
    </w:p>
    <w:p w14:paraId="7B22E199" w14:textId="77777777" w:rsidR="00256907" w:rsidRPr="002E0F01" w:rsidRDefault="00256907" w:rsidP="00256907">
      <w:pPr>
        <w:jc w:val="both"/>
        <w:rPr>
          <w:rFonts w:asciiTheme="minorHAnsi" w:hAnsiTheme="minorHAnsi"/>
          <w:b/>
          <w:bCs/>
          <w:color w:val="000000" w:themeColor="text1"/>
          <w:sz w:val="24"/>
          <w:szCs w:val="24"/>
        </w:rPr>
      </w:pPr>
    </w:p>
    <w:p w14:paraId="0435A5EB"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la riservatezza sull'esito del controllo concernente le liste provvisorie di candidati;</w:t>
      </w:r>
    </w:p>
    <w:p w14:paraId="192ADB40" w14:textId="77777777" w:rsidR="00256907" w:rsidRPr="002E0F01" w:rsidRDefault="00256907" w:rsidP="00256907">
      <w:pPr>
        <w:jc w:val="both"/>
        <w:rPr>
          <w:rFonts w:asciiTheme="minorHAnsi" w:hAnsiTheme="minorHAnsi"/>
          <w:b/>
          <w:bCs/>
          <w:color w:val="000000" w:themeColor="text1"/>
          <w:sz w:val="24"/>
          <w:szCs w:val="24"/>
        </w:rPr>
      </w:pPr>
    </w:p>
    <w:p w14:paraId="1C29E68A"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   c) la celerità dei tempi affinché gli esiti dei controlli sulle liste provvisorie di candidati siano comunicati secondo modi e tempi tali da garantire ai partiti, alle formazioni politiche, ai movimenti e alle liste civiche l'effettiva possibilità di modificare la composizione delle liste prima dello scadere dei termini di presentazione a pena di decadenza previsti dalla legislazione elettorale.</w:t>
      </w:r>
    </w:p>
    <w:p w14:paraId="0E7E1021" w14:textId="77777777" w:rsidR="00256907" w:rsidRPr="002E0F01" w:rsidRDefault="00256907" w:rsidP="00256907">
      <w:pPr>
        <w:jc w:val="both"/>
        <w:rPr>
          <w:rFonts w:asciiTheme="minorHAnsi" w:hAnsiTheme="minorHAnsi"/>
          <w:b/>
          <w:bCs/>
          <w:color w:val="000000" w:themeColor="text1"/>
          <w:sz w:val="24"/>
          <w:szCs w:val="24"/>
        </w:rPr>
      </w:pPr>
    </w:p>
    <w:p w14:paraId="153D8D38"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   3-ter. In sede di prima applicazione delle disposizioni del comma 3-bis, le candidature possono essere trasmesse alla Commissione entro dieci giorni dalla data di entrata in vigore della presente disposizione».</w:t>
      </w:r>
    </w:p>
    <w:p w14:paraId="755F5EE7" w14:textId="77777777" w:rsidR="00256907" w:rsidRPr="002E0F01" w:rsidRDefault="00256907" w:rsidP="00256907">
      <w:pPr>
        <w:jc w:val="both"/>
        <w:rPr>
          <w:rFonts w:asciiTheme="minorHAnsi" w:hAnsiTheme="minorHAnsi"/>
          <w:b/>
          <w:bCs/>
          <w:color w:val="000000" w:themeColor="text1"/>
          <w:sz w:val="24"/>
          <w:szCs w:val="24"/>
        </w:rPr>
      </w:pPr>
    </w:p>
    <w:p w14:paraId="66C8C1A5"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  10. All'articolo 1 della legge 27 dicembre 2019, n. 160, sono apportate le seguenti modificazioni:</w:t>
      </w:r>
    </w:p>
    <w:p w14:paraId="3EB9CF5A" w14:textId="77777777" w:rsidR="00256907" w:rsidRPr="002E0F01" w:rsidRDefault="00256907" w:rsidP="00256907">
      <w:pPr>
        <w:jc w:val="both"/>
        <w:rPr>
          <w:rFonts w:asciiTheme="minorHAnsi" w:hAnsiTheme="minorHAnsi"/>
          <w:b/>
          <w:bCs/>
          <w:color w:val="000000" w:themeColor="text1"/>
          <w:sz w:val="24"/>
          <w:szCs w:val="24"/>
        </w:rPr>
      </w:pPr>
    </w:p>
    <w:p w14:paraId="7954858F"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al comma 627, dopo le parole: «politiche» sono inserite le seguenti «regionali, amministrative»</w:t>
      </w:r>
    </w:p>
    <w:p w14:paraId="3A94C54C" w14:textId="77777777" w:rsidR="00256907" w:rsidRPr="002E0F01" w:rsidRDefault="00256907" w:rsidP="00256907">
      <w:pPr>
        <w:jc w:val="both"/>
        <w:rPr>
          <w:rFonts w:asciiTheme="minorHAnsi" w:hAnsiTheme="minorHAnsi"/>
          <w:b/>
          <w:bCs/>
          <w:color w:val="000000" w:themeColor="text1"/>
          <w:sz w:val="24"/>
          <w:szCs w:val="24"/>
        </w:rPr>
      </w:pPr>
    </w:p>
    <w:p w14:paraId="7861C24F"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 comma 628 è aggiunto, in fine, il seguente periodo: «Le disposizioni del decreto di cui al primo periodo si applicano anche alle elezioni regionali e amministrative, previo il necessario adeguamento da realizzarsi entro il 31 ottobre 2021 al fine di consentire la sperimentazione per il turno elettorale dell'anno 2022».</w:t>
      </w:r>
    </w:p>
    <w:p w14:paraId="59683866" w14:textId="77777777" w:rsidR="00256907" w:rsidRPr="002E0F01" w:rsidRDefault="00256907" w:rsidP="00256907">
      <w:pPr>
        <w:jc w:val="both"/>
        <w:rPr>
          <w:rFonts w:asciiTheme="minorHAnsi" w:hAnsiTheme="minorHAnsi"/>
          <w:b/>
          <w:bCs/>
          <w:color w:val="000000" w:themeColor="text1"/>
          <w:sz w:val="24"/>
          <w:szCs w:val="24"/>
        </w:rPr>
      </w:pPr>
    </w:p>
    <w:p w14:paraId="0E4889E2"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  11. Dall'attuazione delle disposizioni di cui al presente articolo non devono derivare nuovi o maggiori oneri a carico della finanza pubblica. Le amministrazioni interessate provvedono all'attuazione delle relative disposizioni con le risorse umane, strumentali e finanziarie disponibili a legislazione vigente.</w:t>
      </w:r>
      <w:r>
        <w:rPr>
          <w:rStyle w:val="Rimandonotaapidipagina"/>
          <w:rFonts w:asciiTheme="minorHAnsi" w:hAnsiTheme="minorHAnsi"/>
          <w:b/>
          <w:bCs/>
          <w:color w:val="000000" w:themeColor="text1"/>
          <w:sz w:val="24"/>
          <w:szCs w:val="24"/>
        </w:rPr>
        <w:footnoteReference w:id="15"/>
      </w:r>
    </w:p>
    <w:p w14:paraId="0FDE5B00" w14:textId="77777777" w:rsidR="00BA0CCD" w:rsidRPr="002E0F01" w:rsidRDefault="00BA0CCD" w:rsidP="00FE6EBF">
      <w:pPr>
        <w:jc w:val="both"/>
        <w:rPr>
          <w:rFonts w:asciiTheme="minorHAnsi" w:hAnsiTheme="minorHAnsi"/>
          <w:b/>
          <w:bCs/>
          <w:color w:val="000000" w:themeColor="text1"/>
          <w:sz w:val="24"/>
          <w:szCs w:val="24"/>
        </w:rPr>
      </w:pPr>
    </w:p>
    <w:p w14:paraId="6055D5CE" w14:textId="77777777" w:rsidR="00FE6EBF" w:rsidRPr="00EF5B01"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F832A0" w14:textId="77777777" w:rsidR="00160E2F" w:rsidRPr="002E0F01" w:rsidRDefault="00160E2F" w:rsidP="00160E2F">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Art. 38-bis.</w:t>
      </w:r>
    </w:p>
    <w:p w14:paraId="67BB0874" w14:textId="77777777" w:rsidR="00160E2F" w:rsidRPr="002E0F01" w:rsidRDefault="00160E2F" w:rsidP="00160E2F">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(Misure per la diffusione delle comunicazioni digitali)</w:t>
      </w:r>
    </w:p>
    <w:p w14:paraId="0D402C4D" w14:textId="77777777" w:rsidR="00160E2F" w:rsidRPr="002E0F01" w:rsidRDefault="00160E2F" w:rsidP="00160E2F">
      <w:pPr>
        <w:jc w:val="center"/>
        <w:rPr>
          <w:rFonts w:asciiTheme="minorHAnsi" w:hAnsiTheme="minorHAnsi"/>
          <w:b/>
          <w:bCs/>
          <w:color w:val="000000" w:themeColor="text1"/>
          <w:sz w:val="24"/>
          <w:szCs w:val="24"/>
        </w:rPr>
      </w:pPr>
    </w:p>
    <w:p w14:paraId="71F0377F" w14:textId="77777777" w:rsidR="00160E2F" w:rsidRPr="002E0F01" w:rsidRDefault="00160E2F" w:rsidP="00160E2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Al fine di incentivare l'utilizzo delle comunicazioni digitali e di semplificare le procedure di invio e ricezione di comunicazioni tra imprese ed utenti, all'articolo 1, comma 291, della legge 27 dicembre 2019, n. 160, sono aggiunte, in fine, le seguenti parole: «ovvero mediante posta elettronica certificata al domicilio digitale del destinatario ai sensi dell'articolo 6 del codice dell'amministrazione digitale di cui al decreto legislativo 7 marzo 2005, n. 82»</w:t>
      </w:r>
      <w:r>
        <w:rPr>
          <w:rStyle w:val="Rimandonotaapidipagina"/>
          <w:rFonts w:asciiTheme="minorHAnsi" w:hAnsiTheme="minorHAnsi"/>
          <w:b/>
          <w:bCs/>
          <w:color w:val="000000" w:themeColor="text1"/>
          <w:sz w:val="24"/>
          <w:szCs w:val="24"/>
        </w:rPr>
        <w:footnoteReference w:id="16"/>
      </w:r>
    </w:p>
    <w:p w14:paraId="278E05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81CE0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39.</w:t>
      </w:r>
    </w:p>
    <w:p w14:paraId="24C90D94"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di dati pubblici)</w:t>
      </w:r>
    </w:p>
    <w:p w14:paraId="501A9A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B8CC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62 del decreto legislativo 7 marzo 2005, n. 82, sono apportate le seguenti modificazioni:</w:t>
      </w:r>
    </w:p>
    <w:p w14:paraId="779990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47D0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2-bis, dopo le parole «registri di stato civile tenuti dai comuni,» sono inserite le seguenti «garantendo agli stessi, anche progressivamente, i servizi necessari all'utilizzo del medesimo» e le parole «con uno dei decreti di cui al comma 6, in cui è stabilito anche un programma di integrazione da completarsi entro il 31 dicembre 2018», sono sostituite dalle seguenti «con uno o più decreti di cui al comma 6-bis»;</w:t>
      </w:r>
    </w:p>
    <w:p w14:paraId="332397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6AA5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2-bis è aggiunto il seguente: «2-ter. Con uno o più decreti di cui al comma 6-bis sono definite le modalità di integrazione nell'ANPR delle liste elettorali e dei dati relativi all'iscrizione nelle liste di sezione di cui al decreto del Presidente della Repubblica 20 marzo 1967, n. 223.»;</w:t>
      </w:r>
    </w:p>
    <w:p w14:paraId="5150CD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ED58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3, quarto periodo, dopo le parole «del 23 luglio 2014», sono aggiunte le seguenti: «, esenti da imposta di bollo limitatamente all'anno 2021» e, al quinto periodo, dopo le parole «inoltre possono consentire,» sono aggiunte le seguenti: «mediante la piattaforma di cui all'articolo 50-ter ovvero»;</w:t>
      </w:r>
    </w:p>
    <w:p w14:paraId="635D9E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8361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6-bis è sostituito dal seguente «6-bis. Con uno o più decreti del Ministro dell'interno, adottati d'intesa con il Ministro per l'innovazione tecnologica e la transizione digitale e il Ministro per la pubblica amministrazione, sentiti il Garante per la protezione dei dati personali e la Conferenza Stato-città ed autonomie locali, sono assicurati l'aggiornamento dei servizi resi disponibili dall'ANPR alle pubbliche amministrazioni, agli organismi che erogano pubblici servizi e ai privati, nonché l'adeguamento e l'evoluzione delle caratteristiche tecniche della piattaforma di funzionamento dell'ANPR.».</w:t>
      </w:r>
    </w:p>
    <w:p w14:paraId="603CB2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A5B6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favorire la condivisione e l'utilizzo del patrimonio informativo pubblico per l'esercizio di finalità istituzionali e la semplificazione degli oneri per cittadini e le imprese, al decreto legislativo 7 marzo 2005, n. 82, sono apportate le seguenti modificazioni:</w:t>
      </w:r>
    </w:p>
    <w:p w14:paraId="575ECD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03D3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50:</w:t>
      </w:r>
    </w:p>
    <w:p w14:paraId="0CD709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8639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2-ter, primo periodo, le parole «delle pubbliche amministrazioni e dei gestori di servizi pubblici, attraverso la predisposizione di accordi quadro» sono sostituite dalle seguenti: «dei soggetti che hanno diritto ad accedervi» e, al secondo periodo, le parole «Con gli stessi accordi, le» sono sostituite dalla seguente: «Le»;</w:t>
      </w:r>
    </w:p>
    <w:p w14:paraId="285C20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514B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dopo le parole «non modifica la titolarità del dato» sono aggiunte le seguenti: «e del trattamento, ferme restando le responsabilità delle amministrazioni che ricevono e trattano il dato in qualità di titolari autonomi del trattamento»;</w:t>
      </w:r>
    </w:p>
    <w:p w14:paraId="56D79E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D700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3-ter, il primo periodo è soppresso;</w:t>
      </w:r>
    </w:p>
    <w:p w14:paraId="5B3B66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D340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50-ter:</w:t>
      </w:r>
    </w:p>
    <w:p w14:paraId="137070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AA8B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«accedervi ai fini» sono aggiunte le seguenti: «dell'attuazione dell'articolo 50 e» e le parole «e agli accordi quadro previsti dall'articolo 50» sono soppresse;</w:t>
      </w:r>
    </w:p>
    <w:p w14:paraId="38C0EE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9691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al comma 2, quinto periodo, le parole «il sistema informativo dell'indicatore della situazione economica equivalente (ISEE) di cui all'articolo 5 e 71 del decreto-legge 6 dicembre 2011, n. 201, convertito, con modificazioni, dalla legge 22 dicembre 2011, n. 214, con l'Anagrafe nazionale della </w:t>
      </w:r>
      <w:r w:rsidRPr="00EF5B01">
        <w:rPr>
          <w:rFonts w:asciiTheme="minorHAnsi" w:eastAsia="Times New Roman" w:hAnsiTheme="minorHAnsi" w:cs="Times New Roman"/>
          <w:bCs/>
          <w:iCs/>
          <w:color w:val="000000" w:themeColor="text1"/>
          <w:sz w:val="24"/>
          <w:szCs w:val="24"/>
        </w:rPr>
        <w:lastRenderedPageBreak/>
        <w:t>popolazione residente di cui all'articolo 62» sono sostituite dalle seguenti: «le basi dati di interesse nazionale di cui all'articolo 60, comma 3-bis»;</w:t>
      </w:r>
    </w:p>
    <w:p w14:paraId="174A8A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B370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2, sesto periodo, dopo le parole «nonché il processo di accreditamento e di fruizione del catalogo API» sono aggiunte le seguenti: «con i limiti e le condizioni di accesso volti ad assicurare il corretto trattamento dei dati personali ai sensi della normativa vigente»;</w:t>
      </w:r>
    </w:p>
    <w:p w14:paraId="7BDDF7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6977CD"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dopo il comma 2 è inserito il seguente: «2-bis. Il Presidente del Consiglio dei Ministri o il Ministro delegato per l'innovazione tecnologica e la transizione digitale, ultimati i test e le prove tecniche di corretto funzionamento della piattaforma, fissa il termine entro il quale i soggetti di cui all'articolo 2, comma 2, sono tenuti ad accreditarsi alla stessa, a sviluppare le interfacce di cui al comma 2 e a rendere disponibili le proprie basi dati.»;</w:t>
      </w:r>
    </w:p>
    <w:p w14:paraId="2225A24E" w14:textId="77777777" w:rsidR="00390CF5" w:rsidRDefault="00390CF5"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D051F8" w14:textId="77777777" w:rsidR="00390CF5" w:rsidRPr="002E0F01" w:rsidRDefault="00390CF5" w:rsidP="00390CF5">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    4-bis) al comma 4, sono aggiunte, in fine, le seguenti parole: «Il decreto di cui al presente comma è comunicato alle Commissioni parlamentari competenti».</w:t>
      </w:r>
      <w:r>
        <w:rPr>
          <w:rStyle w:val="Rimandonotaapidipagina"/>
          <w:rFonts w:asciiTheme="minorHAnsi" w:hAnsiTheme="minorHAnsi"/>
          <w:b/>
          <w:bCs/>
          <w:color w:val="000000" w:themeColor="text1"/>
          <w:sz w:val="24"/>
          <w:szCs w:val="24"/>
        </w:rPr>
        <w:footnoteReference w:id="17"/>
      </w:r>
    </w:p>
    <w:p w14:paraId="0AE563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24E9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60, comma 3-bis, dopo la lettera f-ter), sono aggiunte le seguenti:</w:t>
      </w:r>
    </w:p>
    <w:p w14:paraId="2C2937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37C3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    «f-quater) l'archivio nazionale dei veicoli e l'anagrafe nazionale degli abilitati alla guida di cui agli articoli 225 e 226 del decreto legislativo 30 aprile 1992, n. 285;</w:t>
      </w:r>
    </w:p>
    <w:p w14:paraId="2A5E3C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3FFB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    f-quinquies) il sistema informativo dell'indicatore della situazione economica equivalente (ISEE) di cui all'articolo 5 del decreto-legge 6 dicembre 2011, n. 201, convertito, con modificazioni, dalla legge 22 dicembre 2011, n. 214;</w:t>
      </w:r>
    </w:p>
    <w:p w14:paraId="3D9123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169B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    f-sexies) l'anagrafe nazionale dei numeri civici e delle strade urbane (ANNCSU), di cui all'articolo 3 del decreto-legge 18 ottobre 2012, n. 179 convertito, con modificazioni, dalla legge 17 dicembre 2012, n. 221;</w:t>
      </w:r>
    </w:p>
    <w:p w14:paraId="7268BE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7405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    f-</w:t>
      </w:r>
      <w:proofErr w:type="spellStart"/>
      <w:r w:rsidRPr="00EF5B01">
        <w:rPr>
          <w:rFonts w:asciiTheme="minorHAnsi" w:eastAsia="Times New Roman" w:hAnsiTheme="minorHAnsi" w:cs="Times New Roman"/>
          <w:bCs/>
          <w:iCs/>
          <w:color w:val="000000" w:themeColor="text1"/>
          <w:sz w:val="24"/>
          <w:szCs w:val="24"/>
        </w:rPr>
        <w:t>septies</w:t>
      </w:r>
      <w:proofErr w:type="spellEnd"/>
      <w:r w:rsidRPr="00EF5B01">
        <w:rPr>
          <w:rFonts w:asciiTheme="minorHAnsi" w:eastAsia="Times New Roman" w:hAnsiTheme="minorHAnsi" w:cs="Times New Roman"/>
          <w:bCs/>
          <w:iCs/>
          <w:color w:val="000000" w:themeColor="text1"/>
          <w:sz w:val="24"/>
          <w:szCs w:val="24"/>
        </w:rPr>
        <w:t>) l'indice nazionale dei domicili digitali delle persone fisiche, dei professionisti e degli altri enti di diritto privato, non tenuti all'iscrizione in albi, elenchi o registri professionali o nel registro delle imprese di cui all'articolo 6-quater.»;</w:t>
      </w:r>
    </w:p>
    <w:p w14:paraId="790B35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FE7D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60, comma 3-ter, dopo le parole «comunitari, individua» sono aggiunte le seguenti: «, aggiorna» e, in fine, sono aggiunte le seguenti: «, ulteriori rispetto a quelle individuate in via prioritaria dal comma 3-bis».</w:t>
      </w:r>
    </w:p>
    <w:p w14:paraId="670F38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FB5B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Con esclusione </w:t>
      </w:r>
      <w:proofErr w:type="gramStart"/>
      <w:r w:rsidRPr="00EF5B01">
        <w:rPr>
          <w:rFonts w:asciiTheme="minorHAnsi" w:eastAsia="Times New Roman" w:hAnsiTheme="minorHAnsi" w:cs="Times New Roman"/>
          <w:bCs/>
          <w:iCs/>
          <w:color w:val="000000" w:themeColor="text1"/>
          <w:sz w:val="24"/>
          <w:szCs w:val="24"/>
        </w:rPr>
        <w:t>delle lettera</w:t>
      </w:r>
      <w:proofErr w:type="gramEnd"/>
      <w:r w:rsidRPr="00EF5B01">
        <w:rPr>
          <w:rFonts w:asciiTheme="minorHAnsi" w:eastAsia="Times New Roman" w:hAnsiTheme="minorHAnsi" w:cs="Times New Roman"/>
          <w:bCs/>
          <w:iCs/>
          <w:color w:val="000000" w:themeColor="text1"/>
          <w:sz w:val="24"/>
          <w:szCs w:val="24"/>
        </w:rPr>
        <w:t xml:space="preserve"> c) del comma 1, l'efficacia delle disposizioni dei commi 1 e 2, i cui oneri sono a carico delle risorse previste per l'attuazione di progetti compresi nel PNRR, resta subordinata alla definitiva approvazione del PNRR da parte del Consiglio dell'Unione europea.</w:t>
      </w:r>
    </w:p>
    <w:p w14:paraId="3EF57C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264 del decreto-legge 19 maggio 2020, n. 34, convertito, con modificazioni, dalla legge 17 luglio 2020, n. 77, il comma 3 è abrogato.</w:t>
      </w:r>
    </w:p>
    <w:p w14:paraId="6AA51A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del Presidente della Repubblica 28 dicembre 2000, n. 445, sono apportate le seguenti modificazioni:</w:t>
      </w:r>
    </w:p>
    <w:p w14:paraId="5B04CB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00F7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43, comma 2, il secondo periodo è soppresso;</w:t>
      </w:r>
    </w:p>
    <w:p w14:paraId="5A1739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1395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72, comma 1, le parole «e della predisposizione delle convenzioni quadro di cui all'articolo 58 del codice dell'amministrazione digitale, di cui al decreto legislativo 7 marzo 2005, n. 82» sono soppresse.</w:t>
      </w:r>
    </w:p>
    <w:p w14:paraId="32677E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6D77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disposizione di cui al comma 5, lettera a), ha efficacia dalla data fissata ai sensi dell'articolo 50-ter, comma 2-bis, del decreto legislativo 7 marzo 2005, n. 82, inserito dal presente decreto. Fino alla predetta data, resta assicurata l'interoperabilità dei dati di cui all'articolo 50 del decreto legislativo 7 marzo 2005, n. 82, tramite accordi quadro, accordi di fruizione o apposita autorizzazione.</w:t>
      </w:r>
    </w:p>
    <w:p w14:paraId="4D7B2E2A"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Agli oneri derivanti dal comma 1, lettera c), valutati in 22,8 milioni di euro per l'anno 2021 si provvede mediante corrispondente riduzione dell'autorizzazione di spesa di cui all'articolo 1, comma 34 della legge 30 dicembre 2020, n. 178.</w:t>
      </w:r>
    </w:p>
    <w:p w14:paraId="09A6E212" w14:textId="77777777" w:rsidR="00424301" w:rsidRDefault="004243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3B73BA" w14:textId="77777777" w:rsidR="00424301" w:rsidRPr="00D506C3" w:rsidRDefault="00424301" w:rsidP="00424301">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Art. 39-bis.</w:t>
      </w:r>
    </w:p>
    <w:p w14:paraId="1DD38056" w14:textId="77777777" w:rsidR="00424301" w:rsidRPr="00D506C3" w:rsidRDefault="00424301" w:rsidP="00424301">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(Ulteriore proroga del termine per la raccolta di sottoscrizioni a fini referendari)</w:t>
      </w:r>
    </w:p>
    <w:p w14:paraId="55EF2DF2" w14:textId="77777777" w:rsidR="00424301" w:rsidRPr="00D506C3" w:rsidRDefault="00424301" w:rsidP="00424301">
      <w:pPr>
        <w:jc w:val="both"/>
        <w:rPr>
          <w:rFonts w:asciiTheme="minorHAnsi" w:hAnsiTheme="minorHAnsi"/>
          <w:b/>
          <w:bCs/>
          <w:color w:val="000000" w:themeColor="text1"/>
          <w:sz w:val="24"/>
          <w:szCs w:val="24"/>
        </w:rPr>
      </w:pPr>
    </w:p>
    <w:p w14:paraId="53C27A6C" w14:textId="77777777" w:rsidR="00424301" w:rsidRPr="00D506C3"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  1. Al comma 1-bis dell'articolo 11 del decreto-legge 22 aprile 2021, n. 52, convertito, con modificazioni, dalla legge 17 giugno 2021, n. 87, sono apportate le seguenti modificazioni:</w:t>
      </w:r>
    </w:p>
    <w:p w14:paraId="66DF7572" w14:textId="77777777" w:rsidR="00424301" w:rsidRPr="00D506C3" w:rsidRDefault="00424301" w:rsidP="00424301">
      <w:pPr>
        <w:jc w:val="both"/>
        <w:rPr>
          <w:rFonts w:asciiTheme="minorHAnsi" w:hAnsiTheme="minorHAnsi"/>
          <w:b/>
          <w:bCs/>
          <w:color w:val="000000" w:themeColor="text1"/>
          <w:sz w:val="24"/>
          <w:szCs w:val="24"/>
        </w:rPr>
      </w:pPr>
    </w:p>
    <w:p w14:paraId="25A98C0E" w14:textId="77777777" w:rsidR="00424301" w:rsidRPr="00D506C3"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   a) le parole: «15 maggio» sono sostituite dalle seguenti: «15 giugno»;</w:t>
      </w:r>
    </w:p>
    <w:p w14:paraId="746EAF4D" w14:textId="77777777" w:rsidR="00424301" w:rsidRPr="00D506C3" w:rsidRDefault="00424301" w:rsidP="00424301">
      <w:pPr>
        <w:jc w:val="both"/>
        <w:rPr>
          <w:rFonts w:asciiTheme="minorHAnsi" w:hAnsiTheme="minorHAnsi"/>
          <w:b/>
          <w:bCs/>
          <w:color w:val="000000" w:themeColor="text1"/>
          <w:sz w:val="24"/>
          <w:szCs w:val="24"/>
        </w:rPr>
      </w:pPr>
    </w:p>
    <w:p w14:paraId="55482258" w14:textId="77777777" w:rsidR="00424301"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   b) è aggiunto, in fine, il seguente periodo: «I termini previsti dagli articoli 32 e 33, commi 1 e 4, della citata legge n. 352 del 1970 sono differiti di un mese».</w:t>
      </w:r>
      <w:r>
        <w:rPr>
          <w:rStyle w:val="Rimandonotaapidipagina"/>
          <w:rFonts w:asciiTheme="minorHAnsi" w:hAnsiTheme="minorHAnsi"/>
          <w:b/>
          <w:bCs/>
          <w:color w:val="000000" w:themeColor="text1"/>
          <w:sz w:val="24"/>
          <w:szCs w:val="24"/>
        </w:rPr>
        <w:footnoteReference w:id="18"/>
      </w:r>
    </w:p>
    <w:p w14:paraId="4B5A7018" w14:textId="77777777" w:rsidR="00A8330A" w:rsidRDefault="00A8330A" w:rsidP="00424301">
      <w:pPr>
        <w:jc w:val="both"/>
        <w:rPr>
          <w:rFonts w:asciiTheme="minorHAnsi" w:hAnsiTheme="minorHAnsi"/>
          <w:b/>
          <w:bCs/>
          <w:color w:val="000000" w:themeColor="text1"/>
          <w:sz w:val="24"/>
          <w:szCs w:val="24"/>
        </w:rPr>
      </w:pPr>
    </w:p>
    <w:p w14:paraId="678B38A9" w14:textId="77777777" w:rsidR="00A8330A" w:rsidRPr="00D506C3" w:rsidRDefault="00A8330A" w:rsidP="00A8330A">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Art. 39-bis.</w:t>
      </w:r>
    </w:p>
    <w:p w14:paraId="63099378" w14:textId="77777777" w:rsidR="00A8330A" w:rsidRPr="00D506C3" w:rsidRDefault="00A8330A" w:rsidP="00A8330A">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(Semplificazione della richiesta di occupazione del suolo pubblico per attività politica)</w:t>
      </w:r>
    </w:p>
    <w:p w14:paraId="016B47E7" w14:textId="77777777" w:rsidR="00A8330A" w:rsidRPr="00D506C3" w:rsidRDefault="00A8330A" w:rsidP="00A8330A">
      <w:pPr>
        <w:jc w:val="both"/>
        <w:rPr>
          <w:rFonts w:asciiTheme="minorHAnsi" w:hAnsiTheme="minorHAnsi"/>
          <w:b/>
          <w:bCs/>
          <w:color w:val="000000" w:themeColor="text1"/>
          <w:sz w:val="24"/>
          <w:szCs w:val="24"/>
        </w:rPr>
      </w:pPr>
    </w:p>
    <w:p w14:paraId="0BB20C36" w14:textId="77777777" w:rsidR="00A8330A" w:rsidRPr="00D506C3" w:rsidRDefault="00A8330A" w:rsidP="00A8330A">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  1. Al comma 67 dell'articolo 3 della legge 28 dicembre 1995, n. 549, è aggiunto, in fine, il seguente periodo: «Le richieste devono pervenire almeno dieci giorni prima della data prevista per lo svolgimento della manifestazione o dell'iniziativa, salvo che i regolamenti comunali dispongano termini più brevi».</w:t>
      </w:r>
      <w:r>
        <w:rPr>
          <w:rStyle w:val="Rimandonotaapidipagina"/>
          <w:rFonts w:asciiTheme="minorHAnsi" w:hAnsiTheme="minorHAnsi"/>
          <w:b/>
          <w:bCs/>
          <w:color w:val="000000" w:themeColor="text1"/>
          <w:sz w:val="24"/>
          <w:szCs w:val="24"/>
        </w:rPr>
        <w:footnoteReference w:id="19"/>
      </w:r>
    </w:p>
    <w:p w14:paraId="488B3C4C" w14:textId="77777777" w:rsidR="00A8330A" w:rsidRPr="00D506C3" w:rsidRDefault="00A8330A" w:rsidP="00424301">
      <w:pPr>
        <w:jc w:val="both"/>
        <w:rPr>
          <w:rFonts w:asciiTheme="minorHAnsi" w:hAnsiTheme="minorHAnsi"/>
          <w:b/>
          <w:bCs/>
          <w:color w:val="000000" w:themeColor="text1"/>
          <w:sz w:val="24"/>
          <w:szCs w:val="24"/>
        </w:rPr>
      </w:pPr>
    </w:p>
    <w:p w14:paraId="20951C4C" w14:textId="77777777" w:rsidR="00424301" w:rsidRPr="00EF5B01" w:rsidRDefault="004243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6B41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CE569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40.</w:t>
      </w:r>
    </w:p>
    <w:p w14:paraId="4ADD42C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(Semplificazioni del procedimento di autorizzazione per l'installazione di infrastrutture di comunicazione elettronica e agevolazione per l'infrastrutturazione digitale degli edifici e delle unità immobiliari)</w:t>
      </w:r>
    </w:p>
    <w:p w14:paraId="255807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374F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86,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0DE34C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053313"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w:t>
      </w:r>
      <w:r w:rsidR="009F4248">
        <w:rPr>
          <w:rFonts w:asciiTheme="minorHAnsi" w:eastAsia="Times New Roman" w:hAnsiTheme="minorHAnsi" w:cs="Times New Roman"/>
          <w:bCs/>
          <w:iCs/>
          <w:color w:val="000000" w:themeColor="text1"/>
          <w:sz w:val="24"/>
          <w:szCs w:val="24"/>
        </w:rPr>
        <w:t xml:space="preserve"> </w:t>
      </w:r>
      <w:r w:rsidR="009F4248" w:rsidRPr="00D506C3">
        <w:rPr>
          <w:rFonts w:asciiTheme="minorHAnsi" w:hAnsiTheme="minorHAnsi"/>
          <w:b/>
          <w:bCs/>
          <w:color w:val="000000" w:themeColor="text1"/>
          <w:sz w:val="24"/>
          <w:szCs w:val="24"/>
        </w:rPr>
        <w:t>alinea,</w:t>
      </w:r>
      <w:r w:rsidR="009F4248">
        <w:rPr>
          <w:rStyle w:val="Rimandonotaapidipagina"/>
          <w:rFonts w:asciiTheme="minorHAnsi" w:hAnsiTheme="minorHAnsi"/>
          <w:b/>
          <w:bCs/>
          <w:color w:val="000000" w:themeColor="text1"/>
          <w:sz w:val="24"/>
          <w:szCs w:val="24"/>
        </w:rPr>
        <w:footnoteReference w:id="20"/>
      </w:r>
      <w:r w:rsidRPr="00EF5B01">
        <w:rPr>
          <w:rFonts w:asciiTheme="minorHAnsi" w:eastAsia="Times New Roman" w:hAnsiTheme="minorHAnsi" w:cs="Times New Roman"/>
          <w:bCs/>
          <w:iCs/>
          <w:color w:val="000000" w:themeColor="text1"/>
          <w:sz w:val="24"/>
          <w:szCs w:val="24"/>
        </w:rPr>
        <w:t xml:space="preserve"> le parole «sei mesi» sono sostituite dalle seguenti: «novanta giorni»;</w:t>
      </w:r>
    </w:p>
    <w:p w14:paraId="3685565D" w14:textId="77777777" w:rsidR="00A8330A" w:rsidRDefault="00A8330A"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4F0E4B" w14:textId="77777777" w:rsidR="00A8330A" w:rsidRPr="00D506C3" w:rsidRDefault="00A8330A" w:rsidP="00A8330A">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   a-bis) al comma 1, lettera a), dopo le parole: «proprietà pubbliche e private» sono inserite le seguenti: «, compresi i parchi e le riserve nazionali o regionali, nonché i territori di protezione esterna dei parchi,»</w:t>
      </w:r>
      <w:r>
        <w:rPr>
          <w:rStyle w:val="Rimandonotaapidipagina"/>
          <w:rFonts w:asciiTheme="minorHAnsi" w:hAnsiTheme="minorHAnsi"/>
          <w:b/>
          <w:bCs/>
          <w:color w:val="000000" w:themeColor="text1"/>
          <w:sz w:val="24"/>
          <w:szCs w:val="24"/>
        </w:rPr>
        <w:footnoteReference w:id="21"/>
      </w:r>
    </w:p>
    <w:p w14:paraId="57E42B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5D79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4, sono aggiunte, in fine, le seguenti parole: «, nel rispetto del procedimento autorizzatorio semplificato di cui agli articoli 87 e 88»;</w:t>
      </w:r>
    </w:p>
    <w:p w14:paraId="081543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D5C8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87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4E6CC6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1394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4, primo periodo, la parola «denuncia» è sostituita dalla seguente: «segnalazione» e, sono aggiunti, in fine, i seguenti periodi: «L'istanza ha valenza di istanza unica effettuata per tutti i profili connessi agli interventi e per tutte le amministrazioni o enti comunque coinvolti nel procedimento. Il </w:t>
      </w:r>
      <w:r w:rsidRPr="00EF5B01">
        <w:rPr>
          <w:rFonts w:asciiTheme="minorHAnsi" w:eastAsia="Times New Roman" w:hAnsiTheme="minorHAnsi" w:cs="Times New Roman"/>
          <w:bCs/>
          <w:iCs/>
          <w:color w:val="000000" w:themeColor="text1"/>
          <w:sz w:val="24"/>
          <w:szCs w:val="24"/>
        </w:rPr>
        <w:lastRenderedPageBreak/>
        <w:t>soggetto richiedente dà notizia della presentazione dell'istanza a tutte le amministrazioni o enti coinvolti nel procedimento.»;</w:t>
      </w:r>
    </w:p>
    <w:p w14:paraId="10394B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1974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 7, 8 e 9 sono sostituiti dai seguenti:</w:t>
      </w:r>
    </w:p>
    <w:p w14:paraId="488624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243D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n. 42, da adottare a conclusione di distinti procedimenti di competenza di diverse amministrazioni o enti, inclusi i gestori di beni o servizi pubblici, il responsabile del procedimento convoca, entro cinque giorni lavorativi dalla presentazione dell'istanza, una conferenza di servizi, alla quale prendono parte tutte le amministrazioni, enti e gestori di beni o servizi pubblici interessati dall'installazione, nonché un rappresentante dei soggetti preposti ai controlli di cui all'articolo 14 della legge 22 febbraio 2001, n. 36.</w:t>
      </w:r>
    </w:p>
    <w:p w14:paraId="52455E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determinazione positiva della conferenza sostituisce ad ogni effetto tutti i provvedimenti, determinazioni, pareri, intese, concerti, nulla osta o altri atti di concessione, autorizzazione o assenso, comunque denominati, necessari per l'installazione delle infrastrutture di cui al comma 1, di competenza di tutte le amministrazioni, enti e gestori di beni o servizi pubblici interessati e vale altresì come dichiarazione di pubblica utilità, indifferibilità ed urgenza dei lavori. Della convocazione e dell'esito della conferenza viene comunque informato il Ministero.</w:t>
      </w:r>
    </w:p>
    <w:p w14:paraId="4A3AC6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 predetta conferenza di servizi si applicano le disposizioni di cui agli articoli 14, 14-bis, 14-ter, 14-quater e 14-quinquies della legge 7 agosto 1990, n. 241, con il dimezzamento dei termini ivi indicati, ad eccezione del termine di cui al suddetto articolo 14-quinquies, e fermo restando l'obbligo di rispettare il termine perentorio finale di conclusione del presente procedimento indicato al comma 9.</w:t>
      </w:r>
    </w:p>
    <w:p w14:paraId="4BCFBB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 istanze di autorizzazione si intendono accolte qualora, entro il termine perentorio di novanta giorni dalla presentazione del progetto e della relativa domanda, non sia stato comunicato un provvedimento di diniego o un parere negativo da parte dell'organismo competente ad effettuare i controlli, di cui all'articolo 14 della legge 22 febbraio 2001, n. 36, 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Gli Enti locali possono prevedere termini più brevi per la conclusione dei relativi procedimenti ovvero ulteriori forme di semplificazione amministrativa, nel rispetto delle disposizioni stabilite dal presente comma. Decorso il suddetto termine, l'amministrazione procedente comunica, entro il termine perentorio di sette giorni, l'attestazione di avvenuta autorizzazione, scaduto il quale è sufficiente l'autocertificazione del richiedente. Sono fatti salvi i casi in cui disposizioni del diritto dell'Unione europea richiedono l'adozione di provvedimenti espressi.</w:t>
      </w:r>
    </w:p>
    <w:p w14:paraId="7B5528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11A8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88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796811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66BB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primo comma, è aggiunto, in fine, il seguente periodo: «Il richiedente dà notizia della presentazione dell'istanza a tutte le amministrazioni o enti coinvolti nel procedimento.»;</w:t>
      </w:r>
    </w:p>
    <w:p w14:paraId="082AFF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8E91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3, 4 e 5 sono sostituiti dai seguenti:</w:t>
      </w:r>
    </w:p>
    <w:p w14:paraId="1C6A89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182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Quando l'installazione di infrastrutture di comunicazione elettronica è subordinata all'acquisizione di uno o più provvedimenti, determinazioni, pareri, intese, concerti, nulla osta o altri atti di concessione, autorizzazione o assenso, comunque denominati, ivi incluse le autorizzazioni previste dal decreto legislativo 22 gennaio 2004, n. 42, da adottare a conclusione di distinti procedimenti di competenza di diverse amministrazioni o enti, inclusi i gestori di beni o servizi pubblici, l'amministrazione procedente che ha ricevuto l'istanza, convoca, entro cinque giorni lavorativi dalla presentazione dell'istanza, una conferenza di servizi, alla quale prendono parte tutte le amministrazioni, enti e gestori di beni o servizi pubblici interessati dall'installazione.</w:t>
      </w:r>
    </w:p>
    <w:p w14:paraId="0C73C6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determinazione positiva della conferenza sostituisce ad ogni effetto tutti i provvedimenti, determinazioni, pareri, intese, concerti, nulla osta o altri atti di concessione, 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w:t>
      </w:r>
    </w:p>
    <w:p w14:paraId="508355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 predetta conferenza di servizi si applicano le disposizioni di cui agli articoli 14, 14-bis, 14-ter, 14-quater e 14-quinquies della legge 7 agosto 1990, n. 241, con il dimezzamento dei termini ivi indicati, ad eccezione del termine di cui all'articolo 14-quinquies, fermo restando quanto previsto al comma 7 e l'obbligo di rispettare il termine perentorio finale di conclusione del presente procedimento indicato al comma 9.»;</w:t>
      </w:r>
    </w:p>
    <w:p w14:paraId="5972B2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40B8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7, sono aggiunte, in fine, le seguenti parole: «ivi compreso il sedime ferroviario e autostradale. Decorsi i suddetti termini, l'amministrazione procedente comunica, entro il termine perentorio di sette giorni, l'attestazione di avvenuta autorizzazione, scaduto il quale è sufficiente l'autocertificazione del richiedente»;</w:t>
      </w:r>
    </w:p>
    <w:p w14:paraId="6DEC78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D329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7-bis è abrogato;</w:t>
      </w:r>
    </w:p>
    <w:p w14:paraId="76F8AF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6A6F39"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il comma 9 è sostituito dal seguente: «9. Fermo restando quanto previsto al comma 7, la conferenza di servizi deve concludersi entro il termine perentorio massimo di novanta giorni dalla data di presentazione dell'istanza. Fatti salvi i casi in cui disposizioni del diritto dell'Unione europea richiedono l'adozione di provvedimenti espressi, la mancata comunicazione della determinazione decisoria della conferenza entro il predetto termine perentorio equivale ad accoglimento dell'istanza, salvo che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L'accoglimento dell'istanza sostituisce ad ogni effetto gli atti di assenso, comunque denominati e necessari per l'effettuazione degli scavi e delle eventuali opere civili indicate nel progetto, di competenza delle amministrazioni, degli enti e dei gestori di beni o servizi pubblici interessati e vale altresì come dichiarazione di pubblica utilità, indifferibilità ed urgenza dei lavori, anche ai sensi degli articoli 12 e seguenti del decreto del Presidente della Repubblica 8 giugno 2001, n. 327. Della convocazione e dell'esito della conferenza viene tempestivamente informato il Ministero. Decorso il termine di cui al primo periodo, l'amministrazione procedente comunica, entro il termine perentorio di sette giorni, l'attestazione di avvenuta autorizzazione, scaduto il quale è sufficiente l'autocertificazione del richiedente.».</w:t>
      </w:r>
    </w:p>
    <w:p w14:paraId="3739AB8F" w14:textId="77777777" w:rsidR="000018F1" w:rsidRDefault="000018F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775C39" w14:textId="77777777" w:rsidR="000018F1" w:rsidRPr="00CE0903" w:rsidRDefault="000018F1" w:rsidP="000018F1">
      <w:pPr>
        <w:jc w:val="both"/>
        <w:rPr>
          <w:rFonts w:asciiTheme="minorHAnsi" w:hAnsiTheme="minorHAnsi"/>
          <w:b/>
          <w:bCs/>
          <w:color w:val="000000" w:themeColor="text1"/>
          <w:sz w:val="24"/>
          <w:szCs w:val="24"/>
        </w:rPr>
      </w:pPr>
      <w:r w:rsidRPr="00CE0903">
        <w:rPr>
          <w:rFonts w:asciiTheme="minorHAnsi" w:hAnsiTheme="minorHAnsi"/>
          <w:b/>
          <w:bCs/>
          <w:color w:val="000000" w:themeColor="text1"/>
          <w:sz w:val="24"/>
          <w:szCs w:val="24"/>
        </w:rPr>
        <w:t>e-bis) dopo il comma 9 è inserito il seguente:</w:t>
      </w:r>
    </w:p>
    <w:p w14:paraId="1019D74B" w14:textId="77777777" w:rsidR="000018F1" w:rsidRPr="00CE0903" w:rsidRDefault="000018F1" w:rsidP="000018F1">
      <w:pPr>
        <w:jc w:val="both"/>
        <w:rPr>
          <w:rFonts w:asciiTheme="minorHAnsi" w:hAnsiTheme="minorHAnsi"/>
          <w:b/>
          <w:bCs/>
          <w:color w:val="000000" w:themeColor="text1"/>
          <w:sz w:val="24"/>
          <w:szCs w:val="24"/>
        </w:rPr>
      </w:pPr>
    </w:p>
    <w:p w14:paraId="4A6510E4" w14:textId="77777777" w:rsidR="00EF5B01" w:rsidRDefault="000018F1" w:rsidP="000018F1">
      <w:pPr>
        <w:jc w:val="both"/>
        <w:rPr>
          <w:rFonts w:asciiTheme="minorHAnsi" w:hAnsiTheme="minorHAnsi"/>
          <w:b/>
          <w:bCs/>
          <w:color w:val="000000" w:themeColor="text1"/>
          <w:sz w:val="24"/>
          <w:szCs w:val="24"/>
        </w:rPr>
      </w:pPr>
      <w:r w:rsidRPr="00CE0903">
        <w:rPr>
          <w:rFonts w:asciiTheme="minorHAnsi" w:hAnsiTheme="minorHAnsi"/>
          <w:b/>
          <w:bCs/>
          <w:color w:val="000000" w:themeColor="text1"/>
          <w:sz w:val="24"/>
          <w:szCs w:val="24"/>
        </w:rPr>
        <w:t>   «9-bis. Per i progetti già autorizzati ai sensi del presente articolo, sia in presenza di un provvedimento espresso, sia in caso di accoglimento dell'istanza per decorrenza dei termini previsti dal comma 7 e dal comma 9, per i quali siano necessarie varianti in corso d'opera fino al dieci per cento delle infrastrutture e degli elementi accessori previsti nell'istanza unica, l'operatore comunica la variazione all'amministrazione procedente che ha ricevuto l'istanza originaria e a tutte le amministrazioni e gli enti coinvolti, con un preavviso di almeno quindici giorni, allegando una documentazione cartografica dell'opera che dia conto delle modifiche. L'operatore avvia il lavoro se, entro quindici giorni dalla data di comunicazione della variazione, i soggetti e gli enti coinvolti non abbiano comunicato un provvedimento negativo. Gli enti locali possono prevedere termini più brevi per la conclusione dei relativi procedimenti ovvero ulteriori forme di semplificazione amministrativa nel rispetto delle disposizioni stabilite dal presente articolo».</w:t>
      </w:r>
      <w:r>
        <w:rPr>
          <w:rStyle w:val="Rimandonotaapidipagina"/>
          <w:rFonts w:asciiTheme="minorHAnsi" w:hAnsiTheme="minorHAnsi"/>
          <w:b/>
          <w:bCs/>
          <w:color w:val="000000" w:themeColor="text1"/>
          <w:sz w:val="24"/>
          <w:szCs w:val="24"/>
        </w:rPr>
        <w:footnoteReference w:id="22"/>
      </w:r>
    </w:p>
    <w:p w14:paraId="2245E0F5" w14:textId="77777777" w:rsidR="000018F1" w:rsidRPr="00EF5B01" w:rsidRDefault="000018F1" w:rsidP="000018F1">
      <w:pPr>
        <w:jc w:val="both"/>
        <w:rPr>
          <w:rFonts w:asciiTheme="minorHAnsi" w:eastAsia="Times New Roman" w:hAnsiTheme="minorHAnsi" w:cs="Times New Roman"/>
          <w:bCs/>
          <w:iCs/>
          <w:color w:val="000000" w:themeColor="text1"/>
          <w:sz w:val="24"/>
          <w:szCs w:val="24"/>
        </w:rPr>
      </w:pPr>
    </w:p>
    <w:p w14:paraId="6DD3E0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in deroga agli articoli 5 e 7 del decreto legislativo 15 febbraio 2016, n. 33, nonché ai regolamenti adottati dagli enti locali, qualora sia tecnicamente fattibile per l'operatore, la posa in opera di infrastrutture a banda ultra larga viene effettuata con la metodologia della micro trincea, attraverso l'esecuzione di uno scavo e contestuale riempimento di ridotte dimensioni (larghezza da 2,00 a 4,00 cm, con profondità variabile da 10 cm fino a massimo 35 cm), in ambito urbano ed extraurbano, anche in prossimità del bordo stradale o sul marciapiede. Per i predetti interventi di posa in opera di infrastrutture a banda ultra larga effettuati con la metodologia della micro trincea, nonché per quelli effettuati con tecnologie di scavo a basso impatto ambientale con </w:t>
      </w:r>
      <w:proofErr w:type="spellStart"/>
      <w:r w:rsidRPr="00EF5B01">
        <w:rPr>
          <w:rFonts w:asciiTheme="minorHAnsi" w:eastAsia="Times New Roman" w:hAnsiTheme="minorHAnsi" w:cs="Times New Roman"/>
          <w:bCs/>
          <w:iCs/>
          <w:color w:val="000000" w:themeColor="text1"/>
          <w:sz w:val="24"/>
          <w:szCs w:val="24"/>
        </w:rPr>
        <w:t>minitrincea</w:t>
      </w:r>
      <w:proofErr w:type="spellEnd"/>
      <w:r w:rsidRPr="00EF5B01">
        <w:rPr>
          <w:rFonts w:asciiTheme="minorHAnsi" w:eastAsia="Times New Roman" w:hAnsiTheme="minorHAnsi" w:cs="Times New Roman"/>
          <w:bCs/>
          <w:iCs/>
          <w:color w:val="000000" w:themeColor="text1"/>
          <w:sz w:val="24"/>
          <w:szCs w:val="24"/>
        </w:rPr>
        <w:t xml:space="preserve">, non sono richieste le autorizzazioni di cui al decreto legislativo 22 gennaio 2004, n. 42, e non si applicano le previsioni di cui all'articolo 7, commi 2-bis e 2-ter, del decreto legislativo 15 febbraio 2016, n. 33. </w:t>
      </w:r>
      <w:r w:rsidR="00FE60F3" w:rsidRPr="00CE0903">
        <w:rPr>
          <w:rFonts w:asciiTheme="minorHAnsi" w:hAnsiTheme="minorHAnsi"/>
          <w:b/>
          <w:bCs/>
          <w:color w:val="000000" w:themeColor="text1"/>
          <w:sz w:val="24"/>
          <w:szCs w:val="24"/>
        </w:rPr>
        <w:t>Resta ferma, in ogni caso, l'applicazione dell'ulteriore semplificazione di cui all'articolo 20 del decreto-legge 31 dicembre 2020, n. 183, convertito, con modificazioni, dalla legge 26 febbraio 2021, n. 21</w:t>
      </w:r>
      <w:r w:rsidR="00FE60F3">
        <w:rPr>
          <w:rFonts w:asciiTheme="minorHAnsi" w:hAnsiTheme="minorHAnsi"/>
          <w:b/>
          <w:bCs/>
          <w:color w:val="000000" w:themeColor="text1"/>
          <w:sz w:val="24"/>
          <w:szCs w:val="24"/>
        </w:rPr>
        <w:t>.</w:t>
      </w:r>
      <w:r w:rsidR="00FE60F3">
        <w:rPr>
          <w:rStyle w:val="Rimandonotaapidipagina"/>
          <w:rFonts w:asciiTheme="minorHAnsi" w:hAnsiTheme="minorHAnsi"/>
          <w:b/>
          <w:bCs/>
          <w:color w:val="000000" w:themeColor="text1"/>
          <w:sz w:val="24"/>
          <w:szCs w:val="24"/>
        </w:rPr>
        <w:footnoteReference w:id="23"/>
      </w:r>
      <w:r w:rsidR="00FE60F3">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L'operatore di rete si limita a comunicare, con un preavviso di almeno quindici giorni</w:t>
      </w:r>
      <w:r w:rsidR="004241FF">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e di otto giorni per i lavori di scavo di lunghezza inferiore a duecento metri</w:t>
      </w:r>
      <w:r w:rsidR="004241FF">
        <w:rPr>
          <w:rStyle w:val="Rimandonotaapidipagina"/>
          <w:rFonts w:asciiTheme="minorHAnsi" w:hAnsiTheme="minorHAnsi"/>
          <w:b/>
          <w:bCs/>
          <w:color w:val="000000" w:themeColor="text1"/>
          <w:sz w:val="24"/>
          <w:szCs w:val="24"/>
        </w:rPr>
        <w:footnoteReference w:id="24"/>
      </w:r>
      <w:r w:rsidRPr="00EF5B01">
        <w:rPr>
          <w:rFonts w:asciiTheme="minorHAnsi" w:eastAsia="Times New Roman" w:hAnsiTheme="minorHAnsi" w:cs="Times New Roman"/>
          <w:bCs/>
          <w:iCs/>
          <w:color w:val="000000" w:themeColor="text1"/>
          <w:sz w:val="24"/>
          <w:szCs w:val="24"/>
        </w:rPr>
        <w:t xml:space="preserve">, l'inizio dei lavori alla soprintendenza competente, allegando la documentazione cartografica prodotta dall'operatore medesimo relativamente al proprio tracciato e, nel caso la posa in opera interessi spazi aperti nei centri storici, un elaborato tecnico che dia conto delle modalità di risistemazione degli spazi oggetto degli interventi. L'ente titolare o gestore della strada o autostrada, ferme restando le caratteristiche di larghezza e profondità </w:t>
      </w:r>
      <w:r w:rsidRPr="004241FF">
        <w:rPr>
          <w:rFonts w:asciiTheme="minorHAnsi" w:eastAsia="Times New Roman" w:hAnsiTheme="minorHAnsi" w:cs="Times New Roman"/>
          <w:bCs/>
          <w:iCs/>
          <w:strike/>
          <w:color w:val="000000" w:themeColor="text1"/>
          <w:sz w:val="24"/>
          <w:szCs w:val="24"/>
          <w:highlight w:val="yellow"/>
        </w:rPr>
        <w:t>proposte</w:t>
      </w:r>
      <w:r w:rsidRPr="00EF5B01">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stabilite</w:t>
      </w:r>
      <w:r w:rsidR="004241FF">
        <w:rPr>
          <w:rStyle w:val="Rimandonotaapidipagina"/>
          <w:rFonts w:asciiTheme="minorHAnsi" w:hAnsiTheme="minorHAnsi"/>
          <w:b/>
          <w:bCs/>
          <w:color w:val="000000" w:themeColor="text1"/>
          <w:sz w:val="24"/>
          <w:szCs w:val="24"/>
        </w:rPr>
        <w:footnoteReference w:id="25"/>
      </w:r>
      <w:r w:rsidR="004241FF">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 xml:space="preserve">dall'operatore in funzione delle esigenze di posa dell'infrastruttura a banda </w:t>
      </w:r>
      <w:proofErr w:type="spellStart"/>
      <w:r w:rsidRPr="00EF5B01">
        <w:rPr>
          <w:rFonts w:asciiTheme="minorHAnsi" w:eastAsia="Times New Roman" w:hAnsiTheme="minorHAnsi" w:cs="Times New Roman"/>
          <w:bCs/>
          <w:iCs/>
          <w:color w:val="000000" w:themeColor="text1"/>
          <w:sz w:val="24"/>
          <w:szCs w:val="24"/>
        </w:rPr>
        <w:t>ultralarga</w:t>
      </w:r>
      <w:proofErr w:type="spellEnd"/>
      <w:r w:rsidRPr="00EF5B01">
        <w:rPr>
          <w:rFonts w:asciiTheme="minorHAnsi" w:eastAsia="Times New Roman" w:hAnsiTheme="minorHAnsi" w:cs="Times New Roman"/>
          <w:bCs/>
          <w:iCs/>
          <w:color w:val="000000" w:themeColor="text1"/>
          <w:sz w:val="24"/>
          <w:szCs w:val="24"/>
        </w:rPr>
        <w:t>, può concordare con l'operatore stesso accorgimenti in merito al posizionamento dell'infrastruttura allo scopo di garantire le condizioni di sicurezza dell'infrastruttura stradale.</w:t>
      </w:r>
    </w:p>
    <w:p w14:paraId="745B9C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  5.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gli interventi di cui agli articoli 87 bis e 87 ter del decreto legislativo 1 agosto 2003, n. 259</w:t>
      </w:r>
      <w:r w:rsidR="004241FF">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e gli interventi di modifica previsti dal punto A.24 dell'allegato A annesso al regolamento di cui al decreto del Presidente della Repubblica 13 febbraio 2017, n. 31,» e sostituire le parole: «purché comportino aumenti delle altezze non superiori a 1,5 metri e aumenti della superficie di sagoma non superiori a 1,5 metri quadrati» con le seguenti: «purché non comportino aumenti delle altezze superiori a 1,5 metri e aumenti della superficie di sagoma superiori a 1,5 metri quadrati</w:t>
      </w:r>
      <w:r w:rsidR="004241FF">
        <w:rPr>
          <w:rStyle w:val="Rimandonotaapidipagina"/>
          <w:rFonts w:asciiTheme="minorHAnsi" w:hAnsiTheme="minorHAnsi"/>
          <w:b/>
          <w:bCs/>
          <w:color w:val="000000" w:themeColor="text1"/>
          <w:sz w:val="24"/>
          <w:szCs w:val="24"/>
        </w:rPr>
        <w:footnoteReference w:id="26"/>
      </w:r>
      <w:r w:rsidRPr="00EF5B01">
        <w:rPr>
          <w:rFonts w:asciiTheme="minorHAnsi" w:eastAsia="Times New Roman" w:hAnsiTheme="minorHAnsi" w:cs="Times New Roman"/>
          <w:bCs/>
          <w:iCs/>
          <w:color w:val="000000" w:themeColor="text1"/>
          <w:sz w:val="24"/>
          <w:szCs w:val="24"/>
        </w:rPr>
        <w:t>, sono realizzati previa comunicazione di avvio dei lavori all'amministrazione comunale, corredata da un'autocertificazione descrittiva degli interventi e delle caratteristiche tecniche degli impianti e non sono richieste le autorizzazioni di cui al decreto legislativo 2 gennaio 2004, n. 42, purché comportino aumenti delle altezze non superiori a 1,5 metri e aumenti della superficie di sagoma non superiori a 1,5 metri quadrati. Gli impianti sono attivabili qualora, entro trenta giorni dalla richiesta di attivazione all'organismo competente di cui all'articolo 14 della legge 22 febbraio 2001, n. 36, non sia stato comunicato dal medesimo un provvedimento negativo.</w:t>
      </w:r>
    </w:p>
    <w:p w14:paraId="79845C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D493C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41.</w:t>
      </w:r>
    </w:p>
    <w:p w14:paraId="273591C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(Violazione degli obblighi di transizione digitale)</w:t>
      </w:r>
    </w:p>
    <w:p w14:paraId="4D2770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09BD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l'attuazione dell'Agenda digitale italiana ed europea, la digitalizzazione dei cittadini, delle pubbliche amministrazioni e delle imprese, con specifico riferimento alla realizzazione degli obiettivi fissati dal Piano nazionale di ripresa o di resilienza, nonché garantire il coordinamento informativo statistico e informatico dei dati dell'amministrazione statale, regionale e locale e la tutela dei livelli essenziali delle prestazioni concernenti i diritti civili e sociali su tutto il territorio nazionale nelle materie di cui all'articolo 5, comma 3, lett. b-bis), della legge 23 agosto 1988, n. 400, al decreto legislativo 7 marzo 2005, n. 82, dopo l'articolo 18, è aggiunto il seguente:</w:t>
      </w:r>
    </w:p>
    <w:p w14:paraId="79AF6D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08C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18-bis.</w:t>
      </w:r>
    </w:p>
    <w:p w14:paraId="62234A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(Violazione degli obblighi di transizione digitale)</w:t>
      </w:r>
    </w:p>
    <w:p w14:paraId="7EF8AF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7666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esercita poteri di vigilanza, verifica, controllo e monitoraggio sul rispetto delle disposizioni del presente Codice e di ogni altra norma in materia di innovazione tecnologica e digitalizzazione della pubblica amministrazione, ivi comprese quelle contenute nelle Linee guida e nel Piano triennale per l'informatica nella pubblica amministrazione, e procede, d'ufficio ovvero su segnalazione del difensore civico digitale, all'accertamento delle relative violazioni da parte dei soggetti di cui all'articolo 2, comma 2. Nell'esercizio dei poteri di vigilanza, verifica, controllo e monitoraggio,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richiede e acquisisce presso i soggetti di cui all'articolo 2, comma 2, dati, documenti e ogni altra informazione strumentale e necessaria. La mancata ottemperanza alla richiesta di dati, documenti o informazioni di cui al secondo periodo ovvero la trasmissione di informazioni o dati parziali o non veritieri è punita ai sensi del comma 5, con applicazione della sanzione ivi prevista ridotta della metà.</w:t>
      </w:r>
    </w:p>
    <w:p w14:paraId="4A3C24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quando dagli elementi acquisiti risulta che sono state commesse una o più violazioni delle disposizioni di cui al comma 1, procede alla contestazione nei confronti del trasgressore, assegnandogli un termine perentorio per inviare scritti difensivi e documentazione e per chiedere di essere sentito.</w:t>
      </w:r>
    </w:p>
    <w:p w14:paraId="005B7C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ove accerti la sussistenza delle violazioni contestate, assegna al trasgressore un congruo termine perentorio, proporzionato rispetto al tipo e alla gravità della violazione, per conformare la condotta agli obblighi previsti dalla normativa vigente, segnalando le violazioni all'ufficio competente per i procedimenti disciplinari di ciascuna amministrazione, nonché ai competenti organismi indipendenti di valutazione.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pubblica le predette segnalazioni su apposita area del proprio sito internet istituzionale.</w:t>
      </w:r>
    </w:p>
    <w:p w14:paraId="50CE7E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violazioni accertate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rilevano ai fini della misurazione e della valutazione della performance individuale dei dirigenti responsabili e comportano responsabilità dirigenziale e disciplinare ai sensi degli articoli 21 e 55 del decreto legislativo 30 marzo 2001, n. 165. Resta fermo quanto previsto dagli articoli 13-bis, 50, 50-ter, 64-bis, comma 1-quinquies, del presente Codice e dall'articolo 33-septies del decreto-legge 18 ottobre 2012, n. 179, convertito, con modificazioni, dalla legge 17 dicembre 2012, n. 221.</w:t>
      </w:r>
    </w:p>
    <w:p w14:paraId="1CCFA5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mancata ottemperanza alla richiesta di dati, documenti o informazioni di cui al comma 1, ultimo periodo, ovvero di trasmissione di informazioni o dati parziali o non veritieri, nonché di violazione degli obblighi previsti dagli articoli 5, 50, comma 3-ter, 50-ter, comma 5, 64, comma 3-bis, 64-bis del presente Codice, dall'articolo 65, comma 1, del decreto legislativo 13 dicembre 2017, n. 217 e dall'articolo 33-septies, comma 4, del decreto-legge 18 ottobre 2012, n. 179, convertito, con modificazioni, dalla legge 17 dicembre 2012, n. 221, ove il soggetto di cui all'articolo 2, comma 2, non ottemperi all'obbligo di conformare la condotta nel termine di cui al comma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irroga la sanzione amministrativa pecuniaria nel minimo di euro 10.000 e nel massimo di euro 100.000. Si applica, per quanto non espressamente previsto dal presente articolo, la disciplina della legge 24 novembre 1981, n. 689. I proventi delle sanzioni sono versati in apposito capitolo di entrata del bilancio dello Stato per essere riassegnati allo stato di previsione della spesa del Ministero dell'economia e delle finanze a favore per il </w:t>
      </w:r>
      <w:r w:rsidRPr="00EF5B01">
        <w:rPr>
          <w:rFonts w:asciiTheme="minorHAnsi" w:eastAsia="Times New Roman" w:hAnsiTheme="minorHAnsi" w:cs="Times New Roman"/>
          <w:bCs/>
          <w:iCs/>
          <w:color w:val="000000" w:themeColor="text1"/>
          <w:sz w:val="24"/>
          <w:szCs w:val="24"/>
        </w:rPr>
        <w:lastRenderedPageBreak/>
        <w:t>50 per cento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 per la restante parte al Fondo di cui all'articolo 239 del decreto-legge 19 maggio 2020, n. 34, convertito, con modificazioni, dalla legge 17 luglio 2020, n. 77.</w:t>
      </w:r>
    </w:p>
    <w:p w14:paraId="651AF4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Contestualmente all'irrogazione della sanzione nei casi di violazione delle norme specificamente indicate al comma 5, nonché di violazione degli obblighi di cui all'articolo 13-bis, comma 4,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segnala la violazione alla struttura della Presidenza del Consiglio dei ministri competente per l'innovazione tecnologica e la transizione digitale, ricevuta la segnalazione, diffida ulteriormente il soggetto responsabile a conformare la propria condotta agli obblighi previsti dalla disciplina vigente entro un congruo termine perentorio, proporzionato al tipo e alla gravità della violazione, avvisandolo che, in caso di inottemperanza, potranno essere esercitati i poteri sostitutivi del Presidente del Consiglio dei ministri o del Ministro delegato. Decorso inutilmente il termine, il Presidente del Consiglio dei ministri o il Ministro delegato per l'innovazione tecnologica e la transizione digitale, valutata la gravità della violazione, può nominare un commissario ad acta incaricato di provvedere in sostituzione. Al commissario non spettano compensi, indennità o rimborsi. Nel caso di inerzia o ritardi riguardanti amministrazioni locali, si procede all'esercizio del potere sostitutivo di cui agli articoli 117, comma 5, e 120, comma 2, della Costituzione, ai sensi dell'articolo 8 della legge 5 giugno 2003, n. 131.</w:t>
      </w:r>
    </w:p>
    <w:p w14:paraId="561D6E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con proprio regolamento, disciplina le procedure di contestazione, accertamento, segnalazione e irrogazione delle sanzioni per le violazioni di cui alla presente disposizione.</w:t>
      </w:r>
    </w:p>
    <w:p w14:paraId="423442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All'attuazione della presente disposizione si provvede con le risorse umane, strumentali e finanziarie già previste a legislazione vigente.».</w:t>
      </w:r>
    </w:p>
    <w:p w14:paraId="69EBC7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56B3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33-septies del decreto-legge 18 ottobre 2012, n. 179, convertito, con modificazioni, dalla legge 17 dicembre 2012, n. 221, sono apportate le seguenti modificazioni:</w:t>
      </w:r>
    </w:p>
    <w:p w14:paraId="3A247B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A663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è aggiunto, in fine, il seguente periodo: «Con lo stesso regolamento sono individuati i termini e le modalità con cui le amministrazioni devono effettuare le migrazioni di cui ai commi 1 e 1-bis.»;</w:t>
      </w:r>
    </w:p>
    <w:p w14:paraId="1E457F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3907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4-quater, è aggiunto il seguente:</w:t>
      </w:r>
    </w:p>
    <w:p w14:paraId="05D6F8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C6F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   «4-quinquies. La violazione degli obblighi previsti dal presente articolo è accertata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ed è punita ai sensi dell'articolo 18-bis del decreto legislativo 7 marzo 2005, n. 82.».</w:t>
      </w:r>
    </w:p>
    <w:p w14:paraId="2F2D0A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FB31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All'articolo 17, comma 1-quater, del decreto legislativo 7 marzo 2005, n. 82, il terzo periodo è sostituito dal seguente: «Il difensore civico, accertata la non manifesta infondatezza della segnalazione, </w:t>
      </w:r>
      <w:r w:rsidRPr="00EF5B01">
        <w:rPr>
          <w:rFonts w:asciiTheme="minorHAnsi" w:eastAsia="Times New Roman" w:hAnsiTheme="minorHAnsi" w:cs="Times New Roman"/>
          <w:bCs/>
          <w:iCs/>
          <w:color w:val="000000" w:themeColor="text1"/>
          <w:sz w:val="24"/>
          <w:szCs w:val="24"/>
        </w:rPr>
        <w:lastRenderedPageBreak/>
        <w:t>la trasmette al Direttore generale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per l'esercizio dei poteri di cui all'articolo 18-bis»; il quarto, il quinto e il sesto periodo sono soppressi.</w:t>
      </w:r>
    </w:p>
    <w:p w14:paraId="58B4FF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C0294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42.</w:t>
      </w:r>
    </w:p>
    <w:p w14:paraId="10FCFF9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(Implementazione della piattaforma nazionale per l'emissione e la validazione delle certificazioni verdi COVID-19)</w:t>
      </w:r>
    </w:p>
    <w:p w14:paraId="54E6C3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EA29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 piattaforma nazionale-DGC per l'emissione, il rilascio e la verifica delle certificazioni COVID-19 interoperabili a livello nazionale ed europeo, di cui all'articolo 9, comma 1, lettera e), del decreto-legge 22 aprile 2021, n. 52, è realizzata, attraverso l'infrastruttura del Sistema Tessera Sanitaria, dalla Sogei S.p.A., e gestita dalla stessa per conto del Ministero della salute, titolare del trattamento dei dati generati dalla piattaforma medesima.</w:t>
      </w:r>
    </w:p>
    <w:p w14:paraId="393411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certificazioni verdi COVID-19 di cui all'articolo 9 del decreto-legge 22 n. 52 del 2021, sono rese disponibili all'interessato, oltreché mediante l'inserimento nel fascicolo sanitario elettronico (FSE) e attraverso l'accesso tramite autenticazione al portale della piattaforma nazionale di cui al comma 1, anche tramite il punto di accesso telematico di cui all'articolo 64-bis del decreto legislativo 7 marzo 2005, n. 82, nonché tramite l'applicazione di cui all'articolo 6 del decreto-legge 30 aprile 2020, n. 28, convertito, con modificazioni, dalla legge 25 giugno 2020, n. 70, con le modalità individuate con il decreto del Presidente del Consiglio dei ministri di cui al predetto articolo 9, comma 10, del decreto-legge n. 52 del 2021.</w:t>
      </w:r>
    </w:p>
    <w:p w14:paraId="1D9281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regioni e le province autonome di Trento e di Bolzano trasmettono alla piattaforma di cui al comma 1 i dati di contatto di coloro ai quali hanno somministrato almeno una dose di vaccino per la prevenzione dell'infezione da SARS-CoV-2, per consentire la comunicazione all'interessato di un codice univoco che gli consenta di acquisire le proprie certificazioni verdi COVID-19 dai canali di accesso alla piattaforma di cui al comma 1. Ai fini di cui al primo periodo, la trasmissione dei dati di contatto da parte delle regioni e delle province autonome avviene, per coloro che hanno ricevuto almeno una dose di vaccino prima della data di entrata in vigore del decreto del Presidente del Consiglio dei ministri di cui al menzionato articolo 9, comma 10, del decreto-legge n. 52 del 2021, per il tramite del Sistema tessera sanitaria e per coloro ai quali verranno somministrate una o più dosi di vaccino successivamente all'entrata in vigore del menzionato decreto del Presidente del Consiglio dei Ministri, per il tramite dell'Anagrafe Nazionale Vaccini di cui al decreto del Ministro della salute 17 settembre 2018, pubblicato nella Gazzetta Ufficiale del 5 novembre 2018, n. 257.</w:t>
      </w:r>
    </w:p>
    <w:p w14:paraId="186BC5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il servizio di telefonia mobile, tramite messaggi brevi, per il recapito dei codici di cui al comma 3, è autorizzata, per l'anno 2021, la spesa di 3.318.400 euro, alla cui copertura si provvede mediante corrispondente utilizzo del fondo di parte corrente di cui all'articolo 34-ter, comma 5, della legge 31 dicembre 2009, n. 196, iscritto nello stato di previsione della spesa del Ministero della salute.</w:t>
      </w:r>
    </w:p>
    <w:p w14:paraId="7996CD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5C649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43.</w:t>
      </w:r>
    </w:p>
    <w:p w14:paraId="588C0ED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digitalizzazione e servizi informatici del Ministero delle infrastrutture e della mobilità sostenibili)</w:t>
      </w:r>
    </w:p>
    <w:p w14:paraId="1021E5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7353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migliorare l'efficacia e l'efficienza dell'azione amministrativa e di favorire la sinergia tra processi istituzionali afferenti ambiti affini, favorendo la digitalizzazione dei servizi e dei processi attraverso interventi di consolidamento delle infrastrutture, razionalizzazione dei sistemi informativi e interoperabilità tra le banche dati, anche al fine di conseguire gli obiettivi di cui al Regolamento (UE) 2021/240 del Parlamento europeo e del Consiglio del 10 febbraio 2021 e al Regolamento (UE) 2021/241 del Parlamento europeo e del Consiglio del 12 febbraio 2021 nonché quelli previsti dal decreto ministeriale di cui all'articolo 1, comma 7, del decreto-legge 6 maggio 2021, n. 59, il Ministero delle infrastrutture e delle mobilità sostenibili può avvalersi della Sogei S.p.A., per servizi informatici strumentali al raggiungimento dei propri obiettivi istituzionali e funzionali, nonché per la realizzazione di programmi e progetti da realizzare mediante piattaforme informatiche rivolte ai destinatari degli interventi, fermo quanto previsto dall'articolo 1, comma 1043, della legge 30 dicembre 2020, n. 178 e dal decreto legislativo 29 dicembre 2011, n. 229 relativamente al monitoraggio dello stato di attuazione delle opere pubbliche. L'oggetto e le condizioni dei servizi sono definiti mediante apposite convenzioni.</w:t>
      </w:r>
    </w:p>
    <w:p w14:paraId="064582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dall'attuazione del comma 1 pari a 500.000 euro annui a decorrere dall'anno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33B1CF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80BFB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III</w:t>
      </w:r>
    </w:p>
    <w:p w14:paraId="31475BD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PROCEDURA SPECIALE PER ALCUNI PROGETTI PNRR</w:t>
      </w:r>
    </w:p>
    <w:p w14:paraId="199B4630"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4E0554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44.</w:t>
      </w:r>
    </w:p>
    <w:p w14:paraId="5D35A88A"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procedurali in materia di opere pubbliche di particolare complessità o di rilevante impatto)</w:t>
      </w:r>
    </w:p>
    <w:p w14:paraId="6E8FA5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C370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Ai fini della realizzazione degli interventi indicati nell'Allegato IV al presente decreto, prima dell'approvazione di cui all'articolo 27 del decreto legislativo 18 aprile 2016, n. 50, il progetto di fattibilità tecnica ed economica di cui all'articolo 23, commi 5 e 6, del medesimo decreto è trasmesso, a cura della </w:t>
      </w:r>
      <w:r w:rsidRPr="00EF5B01">
        <w:rPr>
          <w:rFonts w:asciiTheme="minorHAnsi" w:eastAsia="Times New Roman" w:hAnsiTheme="minorHAnsi" w:cs="Times New Roman"/>
          <w:bCs/>
          <w:iCs/>
          <w:color w:val="000000" w:themeColor="text1"/>
          <w:sz w:val="24"/>
          <w:szCs w:val="24"/>
        </w:rPr>
        <w:lastRenderedPageBreak/>
        <w:t>stazione appaltante, al Consiglio superiore dei lavori pubblici per l'espressione del parere di cui all'articolo 48, comma 7, del presente decreto. Il Comitato speciale del Consiglio superiore dei lavori pubblici di cui all'articolo 45 verifica, entro quindici giorni dalla ricezione del progetto di fattibilità tecnico – economica, l'esistenza di evidenti carenze, di natura formale o sostanziale, ivi comprese quelle afferenti gli aspetti ambientali, paesaggistici e culturali, tali da non consentire l'espressione del parere e, in tal caso, provvede a restituirlo immediatamente alla stazione appaltante richiedente, con l'indicazione delle integrazioni ovvero delle eventuali modifiche necessarie ai fini dell'espressione del parere in senso favorevole. La stazione appaltante procede alle modifiche e alle integrazioni richieste dal Comitato speciale, entro e non oltre il termine di quindici giorni dalla data di restituzione del progetto. Il Comitato speciale esprime il parere entro il termine massimo di trenta giorni dalla ricezione del progetto di fattibilità tecnica ed economica ovvero entro il termine massimo di venti giorni dalla ricezione del progetto modificato o integrato secondo quanto previsto dal presente comma. Decorsi tali termini, il parere si intende reso in senso favorevole.</w:t>
      </w:r>
    </w:p>
    <w:p w14:paraId="3FBBE5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della verifica preventiva dell'interesse archeologico di cui all'articolo 25 del decreto legislativo n. 50 del 2016, il progetto di fattibilità tecnica ed economica relativi agli interventi di cui all' Allegato IV al presente decreto è trasmesso dalla stazione appaltante alla competente soprintendenza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Il termine di cui al comma 3, secondo periodo, dell'articolo 25 del decreto legislativo n. 50 del 2016 è ridotto a quarantacinque giorni. Le risultanze della verifica preventiva sono acquisite nel corso della conferenza di servizi di cui al comma 4.</w:t>
      </w:r>
    </w:p>
    <w:p w14:paraId="265F4C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relazione agli interventi di cui all'Allegato IV del presente decreto, il progetto di fattibilità tecnica ed economica è trasmesso all'autorità competente ai fini dell'espressione della valutazione di impatto ambientale di cui alla Parte seconda del decreto legislativo 3 agosto 2006, n. 152, unitamente alla documentazione di cui all'articolo 22, comma 1, del decreto legislativo 3 agosto 2006, n. 152, a cura della stazione appaltante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Gli esiti della valutazione di impatto ambientale sono trasmessi e comunicati dall'autorità competente alle altre amministrazioni che partecipano alla conferenza di servizi di cui al comma 4. Qualora si sia svolto il dibattito pubblico di cui all'articolo 46, è escluso il ricorso all'inchiesta pubblica di cui all'articolo 24-bis del predetto decreto legislativo n. 152 del 2006.</w:t>
      </w:r>
    </w:p>
    <w:p w14:paraId="3111C8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In relazione agli interventi di cui all'Allegato IV del presente decreto, decorsi quindici giorni dalla trasmissione al Consiglio superiore dei lavori pubblici del progetto di fattibilità tecnica ed economica, ove non sia stato restituito ai sensi del secondo periodo del comma 1, ovvero contestualmente alla trasmissione al citato Consiglio del progetto modificato nei termini dallo stesso richiesti, la stazione appaltante convoca la conferenza di servizi per l'approvazione del progetto ai sensi dell'articolo 27, </w:t>
      </w:r>
      <w:r w:rsidRPr="00EF5B01">
        <w:rPr>
          <w:rFonts w:asciiTheme="minorHAnsi" w:eastAsia="Times New Roman" w:hAnsiTheme="minorHAnsi" w:cs="Times New Roman"/>
          <w:bCs/>
          <w:iCs/>
          <w:color w:val="000000" w:themeColor="text1"/>
          <w:sz w:val="24"/>
          <w:szCs w:val="24"/>
        </w:rPr>
        <w:lastRenderedPageBreak/>
        <w:t>comma 3, del decreto legislativo n. 50 del 2016. La conferenza di servizi è svolta in forma semplificata ai sensi dell'articolo 14-bis della legge 7 agosto 1990, n. 241 e nel corso di essa, ferme restando le prerogative dell'autorità competente in materia di VIA, sono acquisite e valutate le eventuali prescrizioni e direttive adottate dal Consiglio superiore dei lavori pubblici ai sensi del secondo periodo del comma 1, nonché gli esiti del dibattito pubblico e le osservazioni raccolte secondo le modalità di cui all'articolo47, della verifica preventiva dell'interesse archeologico e della valutazione di impatto ambientale. La determinazione conclusiva della conferenza approva il progetto e tiene luogo dei pareri, nulla osta e autorizzazioni necessari ai fini della localizzazione dell'opera, della conformità urbanistica e paesaggistica dell'intervento, della risoluzione delle interferenze e delle relative opere mitigatrici e compensative. La determinazione conclusiva della conferenza perfeziona, ad ogni fine urbanistico ed edilizio, l'intesa tra Stato e regione o provincia autonoma, in ordine alla localizzazione dell'opera, ha effetto di variante degli strumenti urbanistici vigenti e comprende il provvedimento di VIA 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1247F4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approvazione del progetto da parte della conferenza di servizi sulla base delle posizioni prevalenti ovvero qualora siano stati espressi dissensi qualificati ai sensi dell'articolo 14-quinquies, commi 1 e 2, della legge 7 agosto 1990, n. 241, la questione è posta all'esame del Comitato speciale del Consiglio superiore dei lavori pubblici e definita, anche in deroga alle previsioni di cui al medesimo articolo 14-quinquies, secondo le modalità di cui al comma 6.</w:t>
      </w:r>
    </w:p>
    <w:p w14:paraId="6D7642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Entro cinque giorni dalla conclusione della conferenza di servizi di cui al comma 4, il progetto è trasmesso unitamente alla determinazione conclusiva della conferenza e alla relativa documentazione al Comitato speciale del Consiglio superiore dei lavori pubblici, integrato, nei casi previsti dal comma 5, con la partecipazione dei rappresentanti delle amministrazioni che hanno espresso il dissenso e delle altre amministrazioni che hanno partecipato alla conferenza. Fatto salvo quanto previsto dal quarto periodo, entro e non oltre i quindici giorni successivi, il Comitato speciale adotta una determinazione motivata, comunicata senza indugio alla stazione appaltante, con la quale individua le eventuali integrazioni e modifiche al progetto di fattibilità tecnico-economica rese necessarie dalle prescrizioni e dai pareri acquisiti in sede di conferenza di servizi. Nei casi previsti dal comma 5 e fatto salvo quanto previsto dal quinto periodo del presente comma, la determinazione motivata del Comitato speciale individua altresì le integrazioni e modifiche occorrenti per pervenire, in attuazione del principio di leale collaborazione, ad una soluzione condivisa e sostituisce, con i medesimi effetti di cui al comma 4, quella della conferenza di servizi. In relazione alle eventuali integrazioni ovvero modifiche richieste dal Comitato speciale è acquisito, ove necessario, il parere dell'autorità che ha rilasciato il provvedimento di VIA, che si esprime </w:t>
      </w:r>
      <w:r w:rsidRPr="00EF5B01">
        <w:rPr>
          <w:rFonts w:asciiTheme="minorHAnsi" w:eastAsia="Times New Roman" w:hAnsiTheme="minorHAnsi" w:cs="Times New Roman"/>
          <w:bCs/>
          <w:iCs/>
          <w:color w:val="000000" w:themeColor="text1"/>
          <w:sz w:val="24"/>
          <w:szCs w:val="24"/>
        </w:rPr>
        <w:lastRenderedPageBreak/>
        <w:t xml:space="preserve">entro venti giorni dalla richiesta e, in tal caso, il Comitato speciale adotta la determinazione motivata entro i successivi dieci. In presenza di dissensi qualificati ai sensi dell'articolo 14-quinquies, commi 1 e 2, della medesima legge n. 241 del 1990 e qualora non sia possibile pervenire ad una soluzione condivisa ai fini dell'adozione della determinazione motivata, il Comitato speciale, entro tre giorni dalla scadenza del termine di cui al secondo ovvero al quarto periodo, trasmette alla Segreteria tecnica di cui all'articolo 4 una relazione recante l'illustrazione degli esiti della conferenza dei servizi, delle ragioni del dissenso e delle proposte dallo stesso formulate per il superamento del dissenso, compatibilmente con le preminenti esigenze di </w:t>
      </w:r>
      <w:proofErr w:type="spellStart"/>
      <w:r w:rsidRPr="00EF5B01">
        <w:rPr>
          <w:rFonts w:asciiTheme="minorHAnsi" w:eastAsia="Times New Roman" w:hAnsiTheme="minorHAnsi" w:cs="Times New Roman"/>
          <w:bCs/>
          <w:iCs/>
          <w:color w:val="000000" w:themeColor="text1"/>
          <w:sz w:val="24"/>
          <w:szCs w:val="24"/>
        </w:rPr>
        <w:t>appaltabilità</w:t>
      </w:r>
      <w:proofErr w:type="spellEnd"/>
      <w:r w:rsidRPr="00EF5B01">
        <w:rPr>
          <w:rFonts w:asciiTheme="minorHAnsi" w:eastAsia="Times New Roman" w:hAnsiTheme="minorHAnsi" w:cs="Times New Roman"/>
          <w:bCs/>
          <w:iCs/>
          <w:color w:val="000000" w:themeColor="text1"/>
          <w:sz w:val="24"/>
          <w:szCs w:val="24"/>
        </w:rPr>
        <w:t xml:space="preserve"> dell'opera e della sua realizzazione entro i termini previsti dal PNRR ovvero, in relazione agli interventi finanziati con le risorse del PNC dal decreto di cui al comma 7 dell'articolo 1 del decreto-legge 6 maggio 2021, n. 59 La Segreteria tecnica propone al Presidente del Consiglio dei ministri, entro quindici giorni dalla ricezione della relazione di cui al quinto periodo, di sottoporre la questione all'esame del Consiglio dei ministri per le conseguenti determinazioni. Il Consiglio dei ministri si pronuncia, entro i successivi dieci giorni, se del caso adottando una nuova determinazione conclusiva ai sensi del primo periodo del comma 6 del predetto articolo 14-quinquies della legge n. 241 del 1990 con i medesimi effetti di cui al comma 4, terzo, quarto e quinto periodo del presente articolo. Alle riunioni del Consiglio dei ministri possono partecipare senza diritto di voto i Presidenti delle regioni o delle province autonome interessate. Restano ferme le attribuzioni e le prerogative riconosciute alle regioni a statuto speciale e alle province autonome di Trento e Bolzano dagli statuti speciali di autonomia e dalle relative norme di attuazione. Le decisioni del Consiglio dei ministri sono immediatamente efficaci, non sono sottoposte al controllo preventivo di legittimità della Corte dei conti di cui all'articolo 3 della legge 14 gennaio 1994, n. 20, e sono pubblicate, per estratto, entro cinque giorni dalla data di adozione, nella Gazzetta ufficiale della Repubblica italiana.</w:t>
      </w:r>
    </w:p>
    <w:p w14:paraId="6CD52F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In deroga all'articolo 27 del decreto legislativo n. 50 del 2016, la verifica del progetto definitivo e del progetto esecutivo condotta ai sensi dell'articolo 26, comma 6, del predetto decreto accerta altresì l'ottemperanza alle prescrizioni impartite in sede di conferenza di servizi e di VIA, nonché di quelle impartite ai sensi del comma 6 ed all'esito della stessa la stazione appaltante procede direttamente all'approvazione del progetto definitivo ovvero del progetto esecutivo direttamente.</w:t>
      </w:r>
    </w:p>
    <w:p w14:paraId="4997D7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 stazione appaltante provvede ad indire la procedura di aggiudicazione non oltre novanta giorni dalla data di comunicazione della determinazione motivata del Comitato speciale ai sensi del comma 6 ovvero dalla data di pubblicazione nella Gazzetta Ufficiale della decisione del Consiglio dei ministri di cui al medesimo comma 6, dandone contestuale comunicazione alla Cabina di regia di cui all'articolo 2, per il tramite della Segreteria tecnica di cui all'articolo 4, e al Ministero delle infrastrutture e della mobilità sostenibili. In caso di inosservanza del termine di cui al primo periodo, l'intervento sostitutivo è attuato nelle forme e secondo le modalità di cui all'articolo 12.</w:t>
      </w:r>
    </w:p>
    <w:p w14:paraId="612269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46EFF6"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45.</w:t>
      </w:r>
    </w:p>
    <w:p w14:paraId="3C7066B1"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funzionalità del Consiglio Superiore dei lavori pubblici)</w:t>
      </w:r>
    </w:p>
    <w:p w14:paraId="3F2062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652F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fine di conseguire gli obbiettivi di cui al regolamento (UE) 2021/240 del Parlamento europeo e del Consiglio del 10 febbraio 2021 e al regolamento (UE) 2021/241 del Parlamento europeo e del Consiglio del 12 febbraio 2021, è istituito, fino al 31 dicembre 2026, presso il Consiglio superiore dei lavori pubblici per l'espressione dei pareri di cui all'articolo 44 del presente decreto, in relazione agli interventi indicati nell'Allegato IV al presente decreto, un Comitato speciale presieduto dal Presidente del Consiglio superiore dei lavori pubblici e composto da:</w:t>
      </w:r>
    </w:p>
    <w:p w14:paraId="3CE3BD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F11D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sei dirigenti di livello generale in servizio presso le amministrazioni dello Stato, designati dal Presidente del Consiglio dei Ministri e dai rispettivi Ministri, dei quali uno appartenente alla Presidenza del Consiglio dei ministri, uno appartenente al Ministero delle infrastrutture e della mobilità sostenibili, uno appartenente al Ministero della transizione ecologica, uno appartenente al Ministero della cultura, uno appartenente al Ministero dell'interno, uno appartenente al Ministero dell'economia e delle finanze;</w:t>
      </w:r>
    </w:p>
    <w:p w14:paraId="47F519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DA55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tre rappresentanti designati dalla Conferenza unificata di cui all'articolo 8 del decreto legislativo 28 agosto 1997, n. 281, scelti tra soggetti in possesso di adeguate professionalità;</w:t>
      </w:r>
    </w:p>
    <w:p w14:paraId="72FDDF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6A09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tre rappresentanti designati dagli Ordini professionali, di cui uno designato dall'Ordine professionale degli ingegneri, uno designato dall'Ordine professionale degli architetti ed uno designato dall'Ordine professionale dei geologi;</w:t>
      </w:r>
    </w:p>
    <w:p w14:paraId="4EF160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10B5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tredici esperti scelti fra docenti universitari di chiara ed acclarata competenza;</w:t>
      </w:r>
    </w:p>
    <w:p w14:paraId="251820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AEFA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un magistrato amministrativo, con qualifica di consigliere, un consigliere della Corte dei conti e un avvocato dello Stato.</w:t>
      </w:r>
    </w:p>
    <w:p w14:paraId="38CC79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4DF5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Comitato possono essere invitati a partecipare, in qualità di esperti per la trattazione di speciali problemi, studiosi e tecnici anche non appartenenti a pubbliche amministrazioni, senza diritto di voto. Per la partecipazione alle attività del Comitato non spettano indennità, gettoni di presenza, rimborsi spese o altri emolumenti comunque denominati.</w:t>
      </w:r>
    </w:p>
    <w:p w14:paraId="24C250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 componenti del Comitato speciale sono nominati con decreto del Presidente del Consiglio dei ministri, su proposta del Ministro delle infrastrutture e della mobilità sostenibili, durano in carica tre anni e possono essere confermati per un secondo triennio e comunque non oltre il 31 dicembre 2026. I componenti del Comitato speciale non possono farsi rappresentare. Ai componenti del Comitato speciale è corrisposta, anche in deroga alle previsioni di cui all'articolo 24, comma 3, del decreto legislativo 30 marzo 2001, n. 165, e fermo il limite di cui all'articolo 23-ter, comma 1, del decreto-legge 6 dicembre </w:t>
      </w:r>
      <w:r w:rsidRPr="00EF5B01">
        <w:rPr>
          <w:rFonts w:asciiTheme="minorHAnsi" w:eastAsia="Times New Roman" w:hAnsiTheme="minorHAnsi" w:cs="Times New Roman"/>
          <w:bCs/>
          <w:iCs/>
          <w:color w:val="000000" w:themeColor="text1"/>
          <w:sz w:val="24"/>
          <w:szCs w:val="24"/>
        </w:rPr>
        <w:lastRenderedPageBreak/>
        <w:t>2011, n. 201, convertito, con modificazioni, dalla legge 22 dicembre 2011, n. 214, un'indennità pari al 25 per cento dell'ammontare complessivo del trattamento economico percepito presso l'amministrazione di appartenenza e comunque non superiore alla somma omnicomprensiva di 35.000 euro annui comprensiva degli oneri a carico dell'Amministrazione.</w:t>
      </w:r>
    </w:p>
    <w:p w14:paraId="4D87D0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lo svolgimento dell'attività istruttoria del Comitato speciale è istituita, presso il Consiglio Superiore dei lavori pubblici, nei limiti di una spesa pari a euro 391.490 per l'anno 2021 e pari a euro 782.979 per gli anni dal 2022 al 2026, una struttura di supporto di durata temporanea fino al 31 dicembre 2026, cui è preposto un dirigente di livello generale, in aggiunta all'attuale dotazione organica del Ministero delle infrastrutture e della mobilità sostenibili, e composta da un dirigente di livello non generale e da dieci unità di personale di livello non dirigenziale, individuate tra il personale di ruolo delle pubbliche amministrazioni di cui all'articolo 1, comma 2, del decreto legislativo 30 marzo 2001, n. 165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o altra analoga posizione, secondo i rispettivi ordinamenti. La struttura di supporto può altresì avvalersi, mediante apposite convenzioni e nel limite complessivo di spesa di euro 500.000 per l'anno 2021 e di euro 1 milione per ciascuno degli anni dal 2022 al 2026, di società controllate da Amministrazioni dello Stato specializzate nella progettazione o realizzazione di opere pubbliche.</w:t>
      </w:r>
    </w:p>
    <w:p w14:paraId="6E4793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Agli oneri derivanti dai commi da 1 a 4 quantificati in euro 1.381.490per l'anno 2021 e in euro 2.762.979per ciascuno degli anni dal 2022 fino al 2026,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4AFCBE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37C241"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46.</w:t>
      </w:r>
    </w:p>
    <w:p w14:paraId="3F24295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dibattito pubblico)</w:t>
      </w:r>
    </w:p>
    <w:p w14:paraId="695357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52D8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Entro sessanta giorni dalla data di entrata in vigore del presente decreto, con decreto del Ministro delle infrastrutture e della mobilità sostenibili, adottato su proposta della Commissione nazionale per il dibattito pubblico di cui all'articolo 22, comma 2, del decreto legislativo 18 aprile 2016, n. 50, possono essere individuate, in relazione agli interventi di cui all'articolo 44, comma 1, nonché a quelli finanziati in tutto o in parte con le risorse del PNRR e del PNC, soglie dimensionali delle opere da sottoporre obbligatoriamente a dibattito pubblico inferiori a quelle previste dall'Allegato 1 del decreto del Presidente del Consiglio dei ministri 10 maggio 2018, n. 76. In relazione agli interventi di cui all'Allegato IV al presente decreto, il dibattito pubblico ha una durata massima di trenta giorni e tutti i termini previsti dal decreto n. 76 del 2018, sono ridotti della metà. Nei casi di obbligatorietà del dibattito pubblico, la </w:t>
      </w:r>
      <w:r w:rsidRPr="00EF5B01">
        <w:rPr>
          <w:rFonts w:asciiTheme="minorHAnsi" w:eastAsia="Times New Roman" w:hAnsiTheme="minorHAnsi" w:cs="Times New Roman"/>
          <w:bCs/>
          <w:iCs/>
          <w:color w:val="000000" w:themeColor="text1"/>
          <w:sz w:val="24"/>
          <w:szCs w:val="24"/>
        </w:rPr>
        <w:lastRenderedPageBreak/>
        <w:t xml:space="preserve">stazione appaltante provvede ad avviare il relativo procedimento contestualmente alla trasmissione del progetto di fattibilità tecnica ed economica al Consiglio superiore dei lavori pubblici per l'acquisizione del parere di cui all'articolo 44, comma 1. In caso di restituzione del progetto ai sensi del secondo periodo dell'articolo 44, comma 1, il dibattito pubblico è sospeso con avviso pubblicato sul sito istituzionale della stazione appaltante e il termine di cui al secondo periodo del presente comma riprende a decorrere dalla data di pubblicazione sul medesimo sito istituzionale dell'avviso di trasmissione del progetto di fattibilità tecnica ed economica integrato o modificato secondo le indicazioni rese dal Comitato speciale del Consiglio superiore di lavori pubblici. Gli esiti del dibattito pubblico e le osservazioni raccolte </w:t>
      </w:r>
      <w:proofErr w:type="gramStart"/>
      <w:r w:rsidRPr="00EF5B01">
        <w:rPr>
          <w:rFonts w:asciiTheme="minorHAnsi" w:eastAsia="Times New Roman" w:hAnsiTheme="minorHAnsi" w:cs="Times New Roman"/>
          <w:bCs/>
          <w:iCs/>
          <w:color w:val="000000" w:themeColor="text1"/>
          <w:sz w:val="24"/>
          <w:szCs w:val="24"/>
        </w:rPr>
        <w:t>sono valutate</w:t>
      </w:r>
      <w:proofErr w:type="gramEnd"/>
      <w:r w:rsidRPr="00EF5B01">
        <w:rPr>
          <w:rFonts w:asciiTheme="minorHAnsi" w:eastAsia="Times New Roman" w:hAnsiTheme="minorHAnsi" w:cs="Times New Roman"/>
          <w:bCs/>
          <w:iCs/>
          <w:color w:val="000000" w:themeColor="text1"/>
          <w:sz w:val="24"/>
          <w:szCs w:val="24"/>
        </w:rPr>
        <w:t xml:space="preserve"> nella conferenza di servizi di cui all'articolo 44, comma 4. Al fine di assicurare il rispetto dei termini di cui al secondo periodo del presente comma, la Commissione nazionale per il dibattito pubblico provvede ad istituire, entro il termine di sessanta giorni dalla data di entrata in vigore del presente decreto, un elenco di soggetti, in possesso di comprovata esperienza e competenza nella gestione dei processi partecipativi ovvero nella gestione ed esecuzione delle attività di programmazione e pianificazione in materia urbanistica o di opere pubbliche, cui conferire l'incarico di coordinatore del dibattito pubblico, come disciplinato dal decreto adottato in attuazione dell'articolo 22, comma 2, del citato decreto legislativo n. 50 del 2016. In caso di inosservanza da parte della stazione appaltante dei termini di svolgimento del dibattito pubblici previsti dal presente comma, la Commissione nazionale per il dibattito pubblico esercita, senza indugio, i necessari poteri sostitutivi. Ai componenti della Commissione nazionale è riconosciuto, per il periodo dal 2021 al 2026 in caso di esercizio dei poteri sostitutivi, il rimborso delle spese di missione nei limiti previsti per il personale del Ministero delle infrastrutture e della mobilità sostenibili, con oneri non superiori a 22,5 mila euro per l'anno 2021 e a 45 mila euro per ciascuno degli anni dal 2022 al 2026.</w:t>
      </w:r>
    </w:p>
    <w:p w14:paraId="2E3823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di cui al comma 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3AB899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D6AC8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IV</w:t>
      </w:r>
    </w:p>
    <w:p w14:paraId="04A66DD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CONTRATTI PUBBLICI</w:t>
      </w:r>
    </w:p>
    <w:p w14:paraId="7FD0E26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B89F7E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47.</w:t>
      </w:r>
    </w:p>
    <w:p w14:paraId="46F7861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(Pari opportunità, generazionali e di genere, nei contratti pubblici PNRR e PNC)</w:t>
      </w:r>
    </w:p>
    <w:p w14:paraId="20E138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329D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Per perseguire le finalità relative alle pari opportunità, generazionali e di genere,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w:t>
      </w:r>
      <w:r w:rsidRPr="00EF5B01">
        <w:rPr>
          <w:rFonts w:asciiTheme="minorHAnsi" w:eastAsia="Times New Roman" w:hAnsiTheme="minorHAnsi" w:cs="Times New Roman"/>
          <w:bCs/>
          <w:iCs/>
          <w:color w:val="000000" w:themeColor="text1"/>
          <w:sz w:val="24"/>
          <w:szCs w:val="24"/>
        </w:rPr>
        <w:lastRenderedPageBreak/>
        <w:t>Regolamento (UE) 2021/240 del Parlamento europeo e del Consiglio del 10 febbraio 2021 e dal Regolamento (UE) 2021/241 del Parlamento europeo e del Consiglio del 12 febbraio 2021, nonché dal PNC, si applicano le disposizioni seguenti.</w:t>
      </w:r>
    </w:p>
    <w:p w14:paraId="5FC1F6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F0F7A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tramessa alle rappresentanze sindacali aziendali e alla consigliera e al consigliere regionale di parità.</w:t>
      </w:r>
    </w:p>
    <w:p w14:paraId="7FEB42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stazioni appaltanti prevedono, nei bandi di gara, negli avvisi e negli inviti, specifiche clausole dirette all'inserimento, come requisiti necessari e come ulteriori requisiti premiali dell'offerta, criteri orientati a promuovere l'imprenditoria giovanile, la parità di genere e l'assunzione di giovani, con età inferiore a trentasei anni, e donne. Il contenuto delle clausole è determinato tenendo, tra l'altro, conto dei princìpi di libera concorrenza, proporzionalità e non discriminazione, nonché dell'oggetto del contratto, della tipologia e della natura del singolo progetto in relazione ai profili occupazionali richiesti, dei princìpi dell'Unione europea, degli indicatori degli obiettivi attesi in termini di occupazione femminile e giovanile al 2026, anche in considerazione dei corrispondenti valori medi nonché dei corrispondenti indicatori medi settoriali europei in cui vengono svolti i progetti. Fermo restando quanto previsto al comma7, è requisito necessario dell'offerta l'assunzione dell'obbligo di assicurare una quota pari almeno al 30 per cento, delle assunzioni necessarie per l'esecuzione del contratto o per la realizzazione di attività ad esso connesse o strumentali, all'occupazione giovanile e femminile.</w:t>
      </w:r>
    </w:p>
    <w:p w14:paraId="7F5639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Ulteriori misure premiali possono prevedere l'assegnazione di un punteggio aggiuntivo all'offerente o al candidato che:</w:t>
      </w:r>
    </w:p>
    <w:p w14:paraId="29E1E6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5712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quelle di cui all'articolo 3 della legge 1</w:t>
      </w:r>
      <w:r w:rsidR="00F6479F">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w:t>
      </w:r>
      <w:r w:rsidRPr="00EF5B01">
        <w:rPr>
          <w:rFonts w:asciiTheme="minorHAnsi" w:eastAsia="Times New Roman" w:hAnsiTheme="minorHAnsi" w:cs="Times New Roman"/>
          <w:bCs/>
          <w:iCs/>
          <w:color w:val="000000" w:themeColor="text1"/>
          <w:sz w:val="24"/>
          <w:szCs w:val="24"/>
        </w:rPr>
        <w:lastRenderedPageBreak/>
        <w:t>2006, n. 67, quelle di cui agli articoli 35 e 55-quinquies del decreto legislativo 11 aprile 2006, n. 198, ovvero quelle di cui all'articolo 54 del decreto legislativo 26 marzo 2001, n. 151;</w:t>
      </w:r>
    </w:p>
    <w:p w14:paraId="59614F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3FEE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utilizzi o si impegni a utilizzare specifici strumenti di conciliazione delle esigenze di cura, di vita e di lavoro per i propri dipendenti, nonché modalità innovative di organizzazione del lavoro;</w:t>
      </w:r>
    </w:p>
    <w:p w14:paraId="00A7BB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E332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si impegni ad assumere, oltre alla soglia minima percentuale prevista come requisito di partecipazione, giovani, con età inferiore a trentasei anni, e donne per l'esecuzione del contratto o per la realizzazione di attività ad esso connesse o strumentali;</w:t>
      </w:r>
    </w:p>
    <w:p w14:paraId="5002DF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4910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abbia, nell'ultimo triennio, rispettato i princìpi della parità di genere e adottato specifiche misure per promuovere le pari opportunità generazionali e di genere, anche tenendo conto del rapporto tra uomini e donne nelle assunzioni, nei livelli retributivi e nel conferimento di incarichi apicali;</w:t>
      </w:r>
    </w:p>
    <w:p w14:paraId="231B49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D472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39445E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EAAB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I contratti di appalto prevedono l'applicazione di penali per l'inadempimento dell'appaltatore agli obblighi di cui al comma 3 ovvero del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di cui al comma 1.</w:t>
      </w:r>
    </w:p>
    <w:p w14:paraId="5BB299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Le stazioni appaltanti possono escludere l'inserimento nei bandi di gara, negli avvisi e negli inviti delle previsioni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14:paraId="6DC8DE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e del Ministro del lavoro e delle politiche sociali, da adottarsi entro sessanta giorni dall'entrata in vigore del presente decreto, possono essere </w:t>
      </w:r>
      <w:r w:rsidRPr="00EF5B01">
        <w:rPr>
          <w:rFonts w:asciiTheme="minorHAnsi" w:eastAsia="Times New Roman" w:hAnsiTheme="minorHAnsi" w:cs="Times New Roman"/>
          <w:bCs/>
          <w:iCs/>
          <w:color w:val="000000" w:themeColor="text1"/>
          <w:sz w:val="24"/>
          <w:szCs w:val="24"/>
        </w:rPr>
        <w:lastRenderedPageBreak/>
        <w:t>definite le modalità e i criteri applicativi delle misure previste dal presente articolo, indicate misure premiali e predisposti modelli di clausole da inserire nei bandi di gara differenziate per settore, tipologia e natura del contratto o del progetto.</w:t>
      </w:r>
    </w:p>
    <w:p w14:paraId="4DFEBC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I rapporti e le relazioni previste dai commi 2 e 3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p w14:paraId="40A1E2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6EC6A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48.</w:t>
      </w:r>
    </w:p>
    <w:p w14:paraId="3DC769C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affidamento dei contratti pubblici PNRR e PNC)</w:t>
      </w:r>
    </w:p>
    <w:p w14:paraId="2632D0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7DBD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PNRR e dal PNC e dai programmi cofinanziati dai fondi strutturali dell'Unione europea, si applicano le disposizioni del presente titolo, l'articolo 207, comma 1, del decreto-legge 19 maggio 2020, n. 34, convertito, con modificazioni, dalla legge 17 luglio 2020, n. 77, nonché le disposizioni di cui al presente articolo.</w:t>
      </w:r>
    </w:p>
    <w:p w14:paraId="20EAC3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È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n. 50 del 2016.</w:t>
      </w:r>
    </w:p>
    <w:p w14:paraId="695F84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stazioni appaltanti possono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w:t>
      </w:r>
    </w:p>
    <w:p w14:paraId="107A59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In caso di impugnazione degli atti relativi alle procedure di affidamento di cui al comma 1, relative ai lavori di cui al comma 7, primo periodo, si applica l'articolo 125 del codice del processo amministrativo di cui al decreto legislativo 2 luglio 2010, n. 104.</w:t>
      </w:r>
    </w:p>
    <w:p w14:paraId="40B903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Per le finalità di cui al comma 1, in deroga a quanto previsto dall'articolo 59, commi 1, 1-bis e 1-ter, del decreto legislativo n. 50 del 2016, è ammesso l'affidamento di progettazione ed esecuzione dei relativi lavori anche sulla base del progetto di fattibilità tecnica ed economica di cui all'articolo 23, comma 5, del decreto legislativo n. 50 del 2016. Sul progetto di fattibilità tecnica ed economica posto a base di gara, è sempre convocata la conferenza di servizi di cui all'articolo 14, comma 3, della legge 7 agosto 1990, n. 241. L'affidamento avviene mediante acquisizione del progetto definitivo in sede di offerta ovvero, in </w:t>
      </w:r>
      <w:r w:rsidRPr="00EF5B01">
        <w:rPr>
          <w:rFonts w:asciiTheme="minorHAnsi" w:eastAsia="Times New Roman" w:hAnsiTheme="minorHAnsi" w:cs="Times New Roman"/>
          <w:bCs/>
          <w:iCs/>
          <w:color w:val="000000" w:themeColor="text1"/>
          <w:sz w:val="24"/>
          <w:szCs w:val="24"/>
        </w:rPr>
        <w:lastRenderedPageBreak/>
        <w:t>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In ogni caso, alla conferenza di servizi indetta ai fini dell'approvazione del progetto definitivo partecipa anche l'affidatario dell'appalto, che provvede, ove necessario, ad adeguare il progetto alle eventuali prescrizioni susseguenti ai pareri resi in sede di conferenza di servizi. A tal fine, entro cinque giorni dall'aggiudicazione ovvero dalla presentazione del progetto definitivo da parte dell'affidatario, qualora lo stesso non sia stato acquisito in sede di gara, il responsabile unico del procedimento avvia le procedure per l'acquisizione dei pareri e degli atti di assenso necessari per l'approvazione del progetto.</w:t>
      </w:r>
    </w:p>
    <w:p w14:paraId="14C263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w:t>
      </w:r>
    </w:p>
    <w:p w14:paraId="006CE3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Per gli interventi di cui al comma 1, in deroga a quanto previsto dall'articolo 215 del decreto legislativo n. 50 del 2016, il parere del Consiglio Superiore dei lavori pubblici è reso esclusivamente sui progetti di fattibilità tecnica ed economica di lavori pubblici di competenza statale, o comunque finanziati per almeno il 50 per cento dallo Stato, di importo pari o superiore ai 100 milioni di euro. In tali casi, il parere reso dal Consiglio Superiore, in deroga a quanto previsto dall'articolo 1, comma 9, del decreto-legge 18 aprile 2019, n. 32, convertito, con modificazioni, dalla legge 14 giugno 2019, n. 55, non riguarda anche la valutazione di congruità del costo. In relazione agli investimenti di cui al primo periodo di importo inferiore ai 100 milioni di euro, dalla data di entrata in vigore della presente disposizione e fino al 31 dicembre 2026, si prescinde dall'acquisizione del parere di cui all'articolo 215, comma 3, del decreto legislativo n. 50 del 2016. Con provvedimento del Presidente del Consiglio Superiore dei lavori pubblici, adottato entro sessanta giorni dalla data di entrata in vigore della presente disposizione, sono individuate le modalità di presentazione delle richieste di parere di cui al presente comma, è indicato il contenuto essenziale dei documenti e degli elaborati di cui all'articolo 23, commi 5 e 6, del decreto legislativo n. 50 del 2016, occorrenti per l'espressione del parere, e sono altresì disciplinate, fermo quanto previsto dall'articolo 44 del presente decreto, procedure semplificate per la verifica della completezza della documentazione prodotta e, in caso positivo, per la conseguente definizione accelerata del procedimento.</w:t>
      </w:r>
    </w:p>
    <w:p w14:paraId="6C6FDB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391BE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49.</w:t>
      </w:r>
    </w:p>
    <w:p w14:paraId="1BF0535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(Modifiche alla disciplina del subappalto)</w:t>
      </w:r>
    </w:p>
    <w:p w14:paraId="6DBA3C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ACD2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Dalla data di entrata in vigore del presente decreto:</w:t>
      </w:r>
    </w:p>
    <w:p w14:paraId="2D20CF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C656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fino al 31 ottobre 2021, in deroga all'articolo 105, commi 2 e 5, del decreto legislativo 18 aprile 2016, n. 50, il subappalto non può superare la quota del 50 per cento dell'importo complessivo del contratto di lavori, servizi o forniture. È pertanto abrogato l'articolo 1, comma 18, primo periodo, del decreto-legge 18 aprile 2019, n. 32, convertito, con modificazioni, dalla legge 14 giugno 2019, n. 55;</w:t>
      </w:r>
    </w:p>
    <w:p w14:paraId="7A0240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7BFB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105 del decreto legislativo 18 aprile 2016, n. 50:</w:t>
      </w:r>
    </w:p>
    <w:p w14:paraId="06662B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AFC5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il secondo e il terzo periodo sono sostituiti dai seguenti: «A pena di nullità, fatto salvo quanto previsto dall'articolo 106, comma 1, lettera d), il contratto non può essere ceduto, non può essere affidata a terzi l'integrale esecuzione delle prestazioni o lavorazioni oggetto del contratto di appalto, nonché la prevalente esecuzione delle lavorazioni relative al complesso delle categorie prevalenti e dei contratti ad alta intensità di manodopera. È ammesso il subappalto secondo le disposizioni del presente articolo.»;</w:t>
      </w:r>
    </w:p>
    <w:p w14:paraId="2A29D5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52C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14, il primo periodo è sostituito dal seguente: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6FF345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B39C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 1° novembre 2021, al citato articolo 105 del decreto legislativo 18 aprile 2016, n. 50:</w:t>
      </w:r>
    </w:p>
    <w:p w14:paraId="1F90AA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D848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2, il terzo periodo è sostituito dal seguente: «Le stazioni appaltanti, nel rispetto dei princìpi di cui all'articolo 30, previa adeguata motivazione nella determina a contrarre, eventualmente avvalendosi del parere delle Prefetture competenti, indicano nei documenti di gara le prestazioni o le lavorazioni oggetto del contratto di appalto da eseguire a cura dell'aggiudicatario in ragione delle specifiche caratteristiche dell'appalto, ivi comprese quelle di cui all'articolo 89, comma 11, dell'esigenza, tenuto conto della natura o della complessità delle prestazioni o delle lavorazioni da effettuare, di </w:t>
      </w:r>
      <w:r w:rsidRPr="00EF5B01">
        <w:rPr>
          <w:rFonts w:asciiTheme="minorHAnsi" w:eastAsia="Times New Roman" w:hAnsiTheme="minorHAnsi" w:cs="Times New Roman"/>
          <w:bCs/>
          <w:iCs/>
          <w:color w:val="000000" w:themeColor="text1"/>
          <w:sz w:val="24"/>
          <w:szCs w:val="24"/>
        </w:rPr>
        <w:lastRenderedPageBreak/>
        <w:t>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comma 52 dell' articolo 1 della legge 6 novembre 2012, n. 190, ovvero nell'anagrafe antimafia degli esecutori istituita dall'articolo 30 del decreto-legge 17 ottobre 2016, n. 189, convertito, con modificazioni, dalla legge 15 dicembre 2016, n. 229.»;</w:t>
      </w:r>
    </w:p>
    <w:p w14:paraId="035C95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D338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5 è abrogato;</w:t>
      </w:r>
    </w:p>
    <w:p w14:paraId="6F26F6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C859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8, il primo periodo è sostituito dal seguente: «Il contraente principale e il subappaltatore sono responsabili in solido nei confronti della stazione appaltante in relazione alle prestazioni oggetto del contratto di subappalto.».</w:t>
      </w:r>
    </w:p>
    <w:p w14:paraId="551ECD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B063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amministrazioni competenti:</w:t>
      </w:r>
    </w:p>
    <w:p w14:paraId="1EDF36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2974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assicurano la piena operatività della Banca Dati Nazionale dei Contratti Pubblici di cui all'articolo 81 del decreto legislativo n. 50 del 2016, come modificato dall'articolo 54 del presente decreto;</w:t>
      </w:r>
    </w:p>
    <w:p w14:paraId="7573B6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2433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adottano il documento relativo alla congruità dell'incidenza della manodopera, di cui all'articolo 105, comma 16, del citato decreto legislativo n. 50 del 2016 e all'articolo 8, comma 10-bis, del decreto-legge 16 luglio 2020, n. 76, convertito, con modificazioni, dalla legge 11 settembre 2020, n. 120;</w:t>
      </w:r>
    </w:p>
    <w:p w14:paraId="4EC69C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60C9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adottano entro novanta giorni dalla data di entrata in vigore del presente decreto il regolamento di cui all'articolo 91, comma 7, del decreto legislativo 6 settembre 2011, n. 159.</w:t>
      </w:r>
    </w:p>
    <w:p w14:paraId="0024C4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91D6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garantire la piena operatività e l'implementazione della banca dati di cui al comma 3, lettera a), è autorizzata la spesa di euro 1 milione per l'anno 2021 e di euro 2 milioni per ciascuno degli anni dal 2022 al 2026. Ai relativi oneri si provvede mediante corrispondente riduzione dell'autorizzazione di spesa di cui all'articolo 1, comma 200, della legge 23 dicembre 2014, n. 190.</w:t>
      </w:r>
    </w:p>
    <w:p w14:paraId="7EEF50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E32C1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50.</w:t>
      </w:r>
    </w:p>
    <w:p w14:paraId="4F1FE15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esecuzione dei contratti pubblici PNRR e PNC)</w:t>
      </w:r>
    </w:p>
    <w:p w14:paraId="1514EF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349E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fine di conseguire gli obbiettivi di cui al regolamento (UE) 2021/240 del Parlamento europeo e del Consiglio, del 10 febbraio 2021 e al regolamento (UE) 2021/241 del Parlamento europeo e del Consiglio, del 12 febbraio 2021, in relazione alla esecuzione dei contratti pubblici finanziati, in tutto o in parte, con le risorse previste dai citati regolamenti, nonché dalle risorse del PNC, e dai programmi cofinanziati dai fondi strutturali dell'Unione Europea, si applicano le disposizioni del presente titolo, nonché le disposizioni del presente articolo.</w:t>
      </w:r>
    </w:p>
    <w:p w14:paraId="00B713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Decorsi inutilmente i termini per la stipulazione del contratto, la consegna dei lavori, la costituzione del collegio consultivo tecnico, gli atti e le attività di cui all'articolo 5 del decreto-legge 16 luglio 2020 n. 76, convertito, con modificazioni, dalla legge 11 settembre 2020, n. 120, nonché gli altri termini, anche </w:t>
      </w:r>
      <w:proofErr w:type="spellStart"/>
      <w:r w:rsidRPr="00EF5B01">
        <w:rPr>
          <w:rFonts w:asciiTheme="minorHAnsi" w:eastAsia="Times New Roman" w:hAnsiTheme="minorHAnsi" w:cs="Times New Roman"/>
          <w:bCs/>
          <w:iCs/>
          <w:color w:val="000000" w:themeColor="text1"/>
          <w:sz w:val="24"/>
          <w:szCs w:val="24"/>
        </w:rPr>
        <w:t>endoprocedimentali</w:t>
      </w:r>
      <w:proofErr w:type="spellEnd"/>
      <w:r w:rsidRPr="00EF5B01">
        <w:rPr>
          <w:rFonts w:asciiTheme="minorHAnsi" w:eastAsia="Times New Roman" w:hAnsiTheme="minorHAnsi" w:cs="Times New Roman"/>
          <w:bCs/>
          <w:iCs/>
          <w:color w:val="000000" w:themeColor="text1"/>
          <w:sz w:val="24"/>
          <w:szCs w:val="24"/>
        </w:rPr>
        <w:t>, previsti dalla legge, dall'ordinamento della stazione appaltante o dal contratto per l'adozione delle determinazione relative all'esecuzione dei contratti pubblici PNRR e PNC, il responsabile o l'unità organizzativa di cui all'articolo 2, comma 9-bis, della legge 7 agosto 1990, n. 241, titolare del potere sostitutivo in caso di inerzia, d'ufficio o su richiesta dell'interessato, esercita il potere sostitutivo entro un termine pari alla metà di quello originariamente previsto, al fine di garantire il rispetto dei tempi di attuazione di cui al PNRR nonché al PNC e ai programmi cofinanziati dai fondi strutturali dell'Unione Europea.</w:t>
      </w:r>
    </w:p>
    <w:p w14:paraId="0A61F3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contratto diviene efficace con la stipulazione e non trova applicazione l'articolo 32, comma 12, del decreto legislativo 18 aprile 2016 n. 50.</w:t>
      </w:r>
    </w:p>
    <w:p w14:paraId="6AD0B8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stazione appaltante prevede, nel bando o nell'avviso di indizione della gara, che, qualora l'ultimazione dei lavori avvenga in anticipo rispetto al termine ivi indicato, è riconosciuto, a seguito dell'approvazione da parte della stazione appaltante del certificato di collaudo o di verifica di conformità, un premio di accelerazione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conforme alle obbligazioni assunte. In deroga all'articolo 113-bis del decreto legislativo n. 50 del 2016,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p>
    <w:p w14:paraId="6431FC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AA729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51.</w:t>
      </w:r>
    </w:p>
    <w:p w14:paraId="61FAF4A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 decreto-legge 16 luglio 2020, n. 76)</w:t>
      </w:r>
    </w:p>
    <w:p w14:paraId="738896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DA1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16 luglio 2020, n. 76, convertito, con modificazioni, dalla legge 11 settembre 2020, n. 120, sono apportate le seguenti modificazioni:</w:t>
      </w:r>
    </w:p>
    <w:p w14:paraId="57F37E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4593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all'articolo 1:</w:t>
      </w:r>
    </w:p>
    <w:p w14:paraId="0F32E4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7A7E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2C646D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C481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w:t>
      </w:r>
    </w:p>
    <w:p w14:paraId="449A51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2875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     2.1. la lettera a) è sostituita dalla seguente: «a)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princìpi di cui all'articolo 30 del codice dei contratti pubblici di cui al decreto legislativo 18 aprile 2016, n. 50;»;</w:t>
      </w:r>
    </w:p>
    <w:p w14:paraId="7E43AB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0D9A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     2.2. alla lettera b), le parole «di importo pari o superiore a 75.000 euro e fino alle soglie di cui all'articolo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 sono sostituite dalle seguenti: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w:t>
      </w:r>
    </w:p>
    <w:p w14:paraId="75F001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8972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w:t>
      </w:r>
    </w:p>
    <w:p w14:paraId="1AFA4A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080A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427780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83C3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«agli articoli 61 e 62» sono sostituite dalle seguenti: «all'articolo 62»;</w:t>
      </w:r>
    </w:p>
    <w:p w14:paraId="42ED18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CEA9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3:</w:t>
      </w:r>
    </w:p>
    <w:p w14:paraId="3F4570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F776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6183D8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24BB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«31 dicembre 2021» sono sostituite dalle seguenti: «30 giugno 2023»;</w:t>
      </w:r>
    </w:p>
    <w:p w14:paraId="0E3E11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2522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5:</w:t>
      </w:r>
    </w:p>
    <w:p w14:paraId="71A16D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E991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13767C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9E86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«su determinazione» sono sostituite dalle seguenti: «su parere»;</w:t>
      </w:r>
    </w:p>
    <w:p w14:paraId="339CFD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BECA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6:</w:t>
      </w:r>
    </w:p>
    <w:p w14:paraId="3A6582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5B0E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ovunque ricorrano, sono sostituite dalle seguenti: «30 giugno 2023»;</w:t>
      </w:r>
    </w:p>
    <w:p w14:paraId="37366B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CF8D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secondo periodo, dopo le parole «ciascuna di esse nomini uno o due componenti» sono inserite le seguenti: «, individuati anche tra il proprio personale dipendente ovvero tra persone ad esse legate da rapporti di lavoro autonomo o di collaborazione anche continuativa in possesso dei requisiti previsti dal primo periodo,»;</w:t>
      </w:r>
    </w:p>
    <w:p w14:paraId="5E64B9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2746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è aggiunto, in fine, il seguente periodo: «Quando il provvedimento che definisce il giudizio corrisponde interamente al contenuto della determinazione della collegio consultivo, il giudice esclude la ripetizione delle spese sostenute dalla parte vincitrice che non ha osservato la determinazione, riferibili al periodo successivo alla formulazione della stessa, e la condanna al rimborso delle spese sostenute dalla parte soccombente relative allo stesso periodo, nonché al versamento all'entrata del bilancio dello Stato di un'ulteriore somma di importo corrispondente al contributo unificato dovuto. Resta ferma l'applicabilità degli articoli 92 e 96 del codice di procedura civile.»;</w:t>
      </w:r>
    </w:p>
    <w:p w14:paraId="52D4EF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E2F2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7, il secondo periodo è soppresso e, al quarto periodo, dopo le parole «fino a un quarto» sono inserite le seguenti: «e di quanto previsto dalle linee guida di cui al comma 8-ter»;</w:t>
      </w:r>
    </w:p>
    <w:p w14:paraId="1685B3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3DE3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dopo il comma 8 è inserito il seguente: «8-bis. Entro sessanta giorni dalla data di entrata in vigore della presente disposizione, con provvedimento del Ministro delle infrastrutture e della mobilità </w:t>
      </w:r>
      <w:r w:rsidRPr="00EF5B01">
        <w:rPr>
          <w:rFonts w:asciiTheme="minorHAnsi" w:eastAsia="Times New Roman" w:hAnsiTheme="minorHAnsi" w:cs="Times New Roman"/>
          <w:bCs/>
          <w:iCs/>
          <w:color w:val="000000" w:themeColor="text1"/>
          <w:sz w:val="24"/>
          <w:szCs w:val="24"/>
        </w:rPr>
        <w:lastRenderedPageBreak/>
        <w:t>sostenibili, previo parere del Consiglio superiore dei lavori pubblici, sono approvate apposite Linee guida volte a definire, nel rispetto di quanto stabilito dal presente articolo, i requisiti professionali e i casi di incompatibilità dei membri e del Presidente del collegio consultivo tecnico, i criteri preferenziali per la loro scelta, i parametri per la determinazione dei compensi rapportati al valore e alla complessità dell'opera, nonché all'entità e alla durata dell'impegno richiesto ed al numero e alla qualità delle determinazioni assunte, le modalità di costituzione e funzionamento del collegio e il coordinamento con gli altri istituti consultivi, deflattivi e contenziosi esistenti. Con il medesimo decreto, è istituito presso il Consiglio superiore dei lavori pubblici, senza nuovi o maggiori oneri per la finanza pubblica, un Osservatorio permanente per assicurare il monitoraggio dell'attività dei collegi consultivi tecnici. A tale fine, i Presidenti dei collegi consultivi provvedono a trasmettere all'Osservatorio gli atti di costituzione del collegio e le determinazioni assunte dal collegio, entro cinque giorni dalla loro adozione. Ai componenti dell'osservatorio non spettano indennità, gettoni di presenza, rimborsi spese o altri emolumenti comunque denominati. Al funzionamento dell'Osservatorio si provvede nell'ambito delle risorse umane, strumentali e finanziarie del Consiglio superiore dei lavori pubblici disponibili a legislazione vigente»;</w:t>
      </w:r>
    </w:p>
    <w:p w14:paraId="3B4115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E7AA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8, comma 1, le parole «31 dicembre 2021» sono sostituite dalle seguenti: «30 giugno 2023»;</w:t>
      </w:r>
    </w:p>
    <w:p w14:paraId="34977C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82F8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13, comma 1, le parole «31 dicembre 2021» sono sostituite dalle seguenti: «30 giugno 2023»;</w:t>
      </w:r>
    </w:p>
    <w:p w14:paraId="65965E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B8BE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21, comma 2, le parole «31 dicembre 2021» sono sostituite dalle seguenti: «30 giugno 2023».</w:t>
      </w:r>
    </w:p>
    <w:p w14:paraId="4E6D11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3A53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proroga di cui al comma 1, lettera b), numero 1), non si applica alle disposizioni di cui al comma 4 dell'articolo 2 del decreto-legge n. 76 del 2020.</w:t>
      </w:r>
    </w:p>
    <w:p w14:paraId="5DAB04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modifiche apportate dal comma 1, lettera a), numero 2), numeri 2.1 e 2.2, all'articolo 1, comma 2, lettere a) e b), del decreto-legge n. 76 del 2020, si applicano alle procedure avviate dopo l'entrata in vigore del presente decreto. Per le procedure i cui bandi o avvisi di indizione della gara siano pubblicati prima dell'entrata in vigore del presente decreto ovvero i cui inviti a presentare le offerte o i preventivi siano inviati entro la medesima data continua ad applicarsi il citato articolo 1 del decreto-legge n. 76 del 2020 nella formulazione antecedente alle modifiche apportate con il presente decreto.</w:t>
      </w:r>
    </w:p>
    <w:p w14:paraId="04CDF0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7CFC0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52</w:t>
      </w:r>
    </w:p>
    <w:p w14:paraId="34DE669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(Modifiche al decreto-legge 18 aprile 2019, n. 32 e prime misure di riduzione delle stazioni appaltanti)</w:t>
      </w:r>
    </w:p>
    <w:p w14:paraId="5311E5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AF7F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18 aprile 2019, n. 32, convertito, con modificazioni, dalla legge 14 giugno 2019, n. 55, sono apportate le seguenti modificazioni:</w:t>
      </w:r>
    </w:p>
    <w:p w14:paraId="17B0E0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27E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w:t>
      </w:r>
    </w:p>
    <w:p w14:paraId="4A1520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89FA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w:t>
      </w:r>
    </w:p>
    <w:p w14:paraId="736B02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4604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all'alinea, le parole «31 dicembre 2021» sono sostituite dalle seguenti: «30 giugno 2023»;</w:t>
      </w:r>
    </w:p>
    <w:p w14:paraId="78237E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B78B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alla lettera a), sono aggiunte, in fine, le seguenti parole “, limitatamente alle procedure non afferenti gli investimenti pubblici finanziati, in tutto o in parte, con le risorse previste dal Regolamento (UE) 2021/240 del Parlamento europeo e del Consiglio del 10 febbraio 2021 e dal Regolamento (UE) 2021/241 del Parlamento europeo e del Consiglio del 12 febbraio 2021, nonché dalle risorse del Piano nazionale per gli investimenti complementari di cui all'articolo 1 del decreto-legge 6 maggio 2021, n. 59. Nelle more di una disciplina diretta ad assicurare la riduzione, il rafforzamento e la qualificazione delle stazioni appaltanti, per le procedure afferenti alle opere PNRR e PNC, i comuni non capoluogo di provincia procedono all'acquisizione di forniture, servizi e lavori, oltre che secondo le modalità indicate dal citato articolo 37, comma 4, attraverso le unioni di comuni, le province, le città metropolitane e i comuni capoluogo di province.</w:t>
      </w:r>
    </w:p>
    <w:p w14:paraId="10601F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9C3D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abrogato;</w:t>
      </w:r>
    </w:p>
    <w:p w14:paraId="4EF91A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78C7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le parole «31 dicembre 2021» sono sostituite dalle seguenti: «30 giugno 2023»;</w:t>
      </w:r>
    </w:p>
    <w:p w14:paraId="457A3C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7107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4, le parole «Per gli anni 2019, 2020 e 2021» sono sostituite dalle seguenti: «Per gli anni dal 2019 al 2023»;</w:t>
      </w:r>
    </w:p>
    <w:p w14:paraId="7432AD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342A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6, le parole «Per gli anni 2019, 2020 e 2021» sono sostituite dalle seguenti: «Per gli anni dal 2019 al 2023»;</w:t>
      </w:r>
    </w:p>
    <w:p w14:paraId="0747C7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CFB3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    6) al comma 7, le parole «31 dicembre 2021» sono sostituite dalle seguenti: «30 giugno 2023» ed è aggiunto, in fine, il seguente periodo: «Restano ferme le disposizioni relative all'acquisizione del parere del Consiglio superiori dei lavori pubblici relativamente alla costruzione e all'esercizio delle dighe di ritenuta.»;</w:t>
      </w:r>
    </w:p>
    <w:p w14:paraId="261CEB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7CD5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al comma 10, le parole «Fino al 31 dicembre 2021» sono sostituite dalle seguenti: «Fino al 30 giugno 2023»;</w:t>
      </w:r>
    </w:p>
    <w:p w14:paraId="5608FD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C63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 comma 15, le parole «Per gli anni dal 2019 al 2022» sono sostituite dalle seguenti: «Per gli anni dal 2019 al 2023»;</w:t>
      </w:r>
    </w:p>
    <w:p w14:paraId="3A917F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E7FC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al comma 18, secondo periodo le parole «Fino al 31 dicembre 2021» sono sostituite dalle seguenti: «Fino al 31 dicembre 2023».</w:t>
      </w:r>
    </w:p>
    <w:p w14:paraId="30CAE0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02041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53.</w:t>
      </w:r>
    </w:p>
    <w:p w14:paraId="526427D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degli acquisti di beni e servizi informatici strumentali alla realizzazione del PNRR e in materia di procedure di e-procurement e acquisto di beni e servizi informatici)</w:t>
      </w:r>
    </w:p>
    <w:p w14:paraId="67587D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C52C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Fermo restando, per l'acquisto dei beni e servizi di importo inferiore alle soglie di cui all'articolo 35 del decreto legislativo n. 50 del 2016, quanto previsto dall'articolo 1, comma 2, lettera a), del decreto-legge n. 76 del 2020, così come modificato dal presente decreto, le stazioni appaltanti possono ricorrere alla procedura di cui all'articolo 48, comma 3, in presenza dei presupposti ivi previsti, in relazione agli affidamenti di importo superiore alle predette soglie,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w:t>
      </w:r>
    </w:p>
    <w:p w14:paraId="4F4F28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Al termine delle procedure di gara di cui al comma 1, le amministrazioni stipulano il contratto e avviano l'esecuzione dello stesso secondo le modalità di cui all'articolo 75, comma 3, del decreto-legge 17 marzo 2020, n. 18, convertito in legge 24 aprile 2020, n. 27, nel rispetto di quanto previsto dall'articolo 32, commi 9 e 10, del decreto legislativo n. 50 del 2016. Per le verifiche antimafia si applica l'articolo 3 del decreto legge 16 luglio 2020, n. 76, convertito in legge 11 settembre 2020, n. 120. L'autocertificazione consente di stipulare, approvare o autorizzare i contratti relativi ai beni, servizi e forniture, sotto </w:t>
      </w:r>
      <w:r w:rsidRPr="00EF5B01">
        <w:rPr>
          <w:rFonts w:asciiTheme="minorHAnsi" w:eastAsia="Times New Roman" w:hAnsiTheme="minorHAnsi" w:cs="Times New Roman"/>
          <w:bCs/>
          <w:iCs/>
          <w:color w:val="000000" w:themeColor="text1"/>
          <w:sz w:val="24"/>
          <w:szCs w:val="24"/>
        </w:rPr>
        <w:lastRenderedPageBreak/>
        <w:t>condizione risolutiva, ferme restando le verifiche successive ai fini del comprovato possesso dei requisiti da completarsi entro sessanta giorni.</w:t>
      </w:r>
    </w:p>
    <w:p w14:paraId="2ADC75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struttura della Presidenza del Consiglio dei ministri competente per l'innovazione tecnologica e la transizione digitale esercita la funzione di cui all'articolo 14-bis, comma 2, lettera g), del decreto legislativo 7 marzo 2005, n. 82,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in relazione alle procedure di affidamento di cui al comma 1 ritenute strategiche per assicurare il conseguimento degli specifici obiettivi di trasformazione digitale previsti dal Piano nazionale di ripresa e resilienza.</w:t>
      </w:r>
    </w:p>
    <w:p w14:paraId="668ABD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Nell'esercizio della funzione di cui al comma 3, la struttura della Presidenza del Consiglio dei ministri competente per l'innovazione tecnologica e la transizione digitale detta anche prescrizioni, obbligatorie e vincolanti nei confronti delle amministrazioni aggiudicatrici, relative alle modalità organizzative e alla tempistica di svolgimento delle procedure di affidamento necessarie al fine di assicurare il conseguimento degli specifici obiettivi di trasformazione digitale previsti dal PNRR nel rispetto dei termini di attuazione individuati nel cronoprogramma relativo ai singoli progetti, nonché alla qualità e alla coerenza tecnologica complessiva delle architetture infrastrutturali.</w:t>
      </w:r>
    </w:p>
    <w:p w14:paraId="739A08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legislativo 18 aprile 2016, n. 50, recante «Codice dei contratti pubblici» sono apportate le seguenti modificazioni:</w:t>
      </w:r>
    </w:p>
    <w:p w14:paraId="774710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4FA0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29:</w:t>
      </w:r>
    </w:p>
    <w:p w14:paraId="15C12E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134F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«nonché alle procedure per l'affidamento» sono inserite le seguenti: «e l'esecuzione»;</w:t>
      </w:r>
    </w:p>
    <w:p w14:paraId="12E28A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E1DD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Tutte le informazioni inerenti gli atti delle amministrazioni aggiudicatrici e degli enti aggiudicatori relativi alla programmazione, alla scelta del contraente, all'aggiudicazione e all'esecuzione di lavori, servizi e forniture relativi all'affidamento, inclusi i concorsi di progettazione e i concorsi di idee e di concessioni, compresi quelli di cui all'articolo 5, sono gestite e trasmesse tempestivamente alla Banca Dati Nazionale dei Contratti pubblici dell'ANAC attraverso le piattaforme telematiche ad essa interconnesse secondo le modalità indicate all'articolo 213, comma 9. L'ANAC garantisce, attraverso la Banca Dati Nazionale dei Contratti pubblici, la pubblicazione dei dati ricevuti, nel rispetto di quanto previsto dall'articolo 53 e ad eccezione di quelli che riguardano contratti secretati ai sensi dell'articolo 162, la trasmissione dei dati all'Ufficio delle pubblicazioni dell'Unione europea e la pubblicazione ai sensi dell'articolo 73. Gli effetti degli atti oggetto di pubblicazione ai sensi del presente comma decorrono dalla data di pubblicazione dei relativi dati nella Banca dati nazionale dei contratti pubblici.»;</w:t>
      </w:r>
    </w:p>
    <w:p w14:paraId="4EFE7C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09EF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al comma 3, sono inserite, in fine, le seguenti parole: «anche attraverso la messa a disposizione di piattaforme telematiche interoperabili con la Banca dati nazionale dei contratti pubblici per la gestione di tutte le fasi della vita dei contratti pubblici secondo le modalità indicate all'articolo 213, comma 9»;</w:t>
      </w:r>
    </w:p>
    <w:p w14:paraId="5C37BA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0C0E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 è sostituito dal seguente: «4. Le stazioni appaltanti sono tenute ad utilizzare le piattaforme telematiche di cui al comma 2, aderenti alle regole di cui all'articolo 44.»;</w:t>
      </w:r>
    </w:p>
    <w:p w14:paraId="2693AD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6CDE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il comma 4-bis è sostituito dal seguente: «4-bis. "L'interscambio dei dati e degli atti tra la Banca Dati Nazionale dei Contratti pubblici dell'ANAC, il sistema di cui al decreto legislativo 29 dicembre 2011, n. 229, e le piattaforme telematiche ad essa interconnesse avviene, nel rispetto del principio di unicità del luogo di pubblicazione e di unicità dell'invio delle informazioni, in conformità alle Linee guida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in materia di interoperabilità. L'insieme dei dati e delle informazioni condivisi costituiscono fonte informativa prioritaria in materia di pianificazione e monitoraggio di contratti. Per le opere pubbliche si applica quanto previsto dall'articolo 8, comma 2, del decreto legislativo 29 dicembre 2011, n. 229.».</w:t>
      </w:r>
    </w:p>
    <w:p w14:paraId="0D9572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5CD4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36, comma 6-bis, secondo periodo, la parola «decreto» è sostituita dalla seguente: «provvedimento» e, al terzo periodo, le parole «Banca dati nazionale degli operatori economici» sono sostituite dalle seguenti: «Banca dati nazionale dei contratti pubblici.»;</w:t>
      </w:r>
    </w:p>
    <w:p w14:paraId="3957C0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7DC5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77, comma 2, le parole «può lavorare» sono sostituite dalle seguenti: «di regola, lavora».</w:t>
      </w:r>
    </w:p>
    <w:p w14:paraId="5207F6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76C5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81:</w:t>
      </w:r>
    </w:p>
    <w:p w14:paraId="657A56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620B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«Banca dati centralizzata gestita dal Ministero delle infrastrutture e dei trasporti, denominata Banca dati nazionale degli operatori economici» sono sostituite dalle seguenti: «Banca dati nazionale dei contratti pubblici, di cui all'articolo 213, comma 8»;</w:t>
      </w:r>
    </w:p>
    <w:p w14:paraId="4969FE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4C93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Per le finalità di cui al comma 1, l'ANAC individua, con proprio provvedimento, adottato d'intesa con il Ministero delle infrastrutture e della mobilità sostenibili e con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 dati concernenti la partecipazione alle gare e il loro esito, in relazione ai quali è obbligatoria la verifica attraverso la Banca dati nazionale dei contratti pubblici, i termini e le regole tecniche per l'acquisizione, l'aggiornamento e la consultazione dei predetti dati, anche mediante la piattaforma di cui all'articolo 50-ter del decreto legislativo 7 marzo 2005, n. 82, nonché i criteri e le modalità relative </w:t>
      </w:r>
      <w:r w:rsidRPr="00EF5B01">
        <w:rPr>
          <w:rFonts w:asciiTheme="minorHAnsi" w:eastAsia="Times New Roman" w:hAnsiTheme="minorHAnsi" w:cs="Times New Roman"/>
          <w:bCs/>
          <w:iCs/>
          <w:color w:val="000000" w:themeColor="text1"/>
          <w:sz w:val="24"/>
          <w:szCs w:val="24"/>
        </w:rPr>
        <w:lastRenderedPageBreak/>
        <w:t>all'accesso e al funzionamento della Banca dati. L'interoperabilità tra le diverse banche dati gestite dagli enti certificanti coinvolte nel procedimento, nonché tra queste e le banche dati gestite dall'ANAC, è assicurata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w:t>
      </w:r>
    </w:p>
    <w:p w14:paraId="4EBEC2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445F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primo periodo, la parola «decreto» è sostituita dalla seguente: «provvedimento» e, al secondo periodo, le parole «, debitamente informata dal Ministero delle infrastrutture e dei trasporti,» sono soppresse;</w:t>
      </w:r>
    </w:p>
    <w:p w14:paraId="650FF2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CAE2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 è sostituito dal seguente: «4. Presso la Banca dati nazionale dei contratti pubblici è istituito il fascicolo virtuale dell'operatore economico nel quale sono presenti i dati di cui al comma 2 per la verifica dell'assenza di motivi di esclusione di cui all'articolo 80, l'attestazione di cui all'articolo 84, comma 1, per i soggetti esecutori di lavori pubblici, nonché i dati e documenti relativi ai criteri di selezione di cui all'articolo 83 che l'operatore economico carica. Il fascicolo virtuale dell'operatore economico è utilizzato per la partecipazione alle singole gare. I dati e documenti contenuti nel fascicolo virtuale, nei termini di efficacia di ciascuno di essi, possono essere utilizzati anche per gare diverse. In sede di partecipazione alle gare l'operatore economico indica i dati e i documenti relativi ai requisiti generali e speciali di cui agli articoli 80, 83 e 84, contenuti nel fascicolo virtuale per consentire la valutazione degli stessi alla stazione appaltante.»;</w:t>
      </w:r>
    </w:p>
    <w:p w14:paraId="1564B6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C08D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4 è aggiunto il seguente: «4-bis. Le amministrazioni competenti al rilascio delle certificazioni di cui all'articolo 80 realizzano, mediante adozione delle necessarie misure organizzative, sistemi informatici atti a garantire alla Banca Dati Nazionale dei Contratti Pubblici la disponibilità in tempo reale delle dette certificazioni in formato digitale, mediante accesso alle proprie banche dati, con modalità automatizzate mediante interoperabilità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 L'ANAC garantisce l'accessibilità alla propria banca dati alle stazioni appaltanti e agli operatori economici, limitatamente ai loro dati. Fino alla data di entrata in vigore del provvedimento di cui al comma 2, l'ANAC può predisporre elenchi di operatori economici già accertati e le modalità per l'utilizzo degli accertamenti per gare diverse.»;</w:t>
      </w:r>
    </w:p>
    <w:p w14:paraId="1D0E7B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A4A3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85, comma 7, la parola «decreto» è sostituita dalla seguente: «provvedimento»;</w:t>
      </w:r>
    </w:p>
    <w:p w14:paraId="7A2C18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A2C5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213, comma 8, il quarto periodo è soppresso;</w:t>
      </w:r>
    </w:p>
    <w:p w14:paraId="678803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F66A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216, comma 13, la parola «decreto» è sostituita dalla seguente: «provvedimento»;</w:t>
      </w:r>
    </w:p>
    <w:p w14:paraId="735D5D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EAB7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  6. All'articolo 1 della legge 27 dicembre 2019, n. 160, sono apportate le seguenti modificazioni:</w:t>
      </w:r>
    </w:p>
    <w:p w14:paraId="4A8BC3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DC30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593 è aggiunto, infine, il seguente periodo «Il superamento del limite di cui al comma 591 è altresì consentito per le spese per l'acquisto di beni e servizi del settore informatico finanziate con il PNRR»;</w:t>
      </w:r>
    </w:p>
    <w:p w14:paraId="104D0A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8853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610, 611, 612 e 613 sono abrogati.</w:t>
      </w:r>
    </w:p>
    <w:p w14:paraId="670B0F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7139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 ANAC provvede all'attuazione delle disposizioni del presente articolo con le risorse umane, strumentali e finanziarie disponibili a legislazione vigente, senza nuovi o maggiori oneri a carico della finanza pubblica.</w:t>
      </w:r>
    </w:p>
    <w:p w14:paraId="48AA314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431862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54.</w:t>
      </w:r>
    </w:p>
    <w:p w14:paraId="3AF353D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dell'Anagrafe antimafia degli esecutori agli interventi per la ricostruzione nei comuni interessati dagli eventi sismici del mese di aprile 2009 nella regione Abruzzo)</w:t>
      </w:r>
    </w:p>
    <w:p w14:paraId="23E42D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A901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favorire il più celere svolgimento delle procedure connesse all'affidamento e all'esecuzione dei contratti pubblici, per gli interventi di ricostruzione nei comuni interessati dagli eventi sismici del mese di aprile 2009 nella regione Abruzzo, a decorrere dalla data di entrata in vigore della legge di conversione del presente decreto, opera l'Anagrafe antimafia degli esecutori di cui all'articolo 30, comma 6, del decreto-legge 17 ottobre 2016, n. 189, convertito, con modificazioni, dalla legge 15 dicembre 2016, n. 229. Gli operatori economici interessati a partecipare, a qualunque titolo e per qualsiasi attività, agli interventi di ricostruzione di cui al primo periodo, devono essere iscritti, a domanda, nell'Anagrafe antimafia degli esecutori di cui al citato articolo 30, comma 6, del decreto-legge n. 189 del 2016. Sono abrogati i commi 1, 2 e 4 dell'articolo 16 del decreto-legge 28 aprile 2009, n. 39, convertito, con modificazioni, dalla legge 24 giugno 2009, n. 77.</w:t>
      </w:r>
    </w:p>
    <w:p w14:paraId="05B565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 decorrere dalla data di entrata in vigore della legge di conversione del presente decreto, il comma 33 dell'articolo 2-bis del decreto-legge 16 ottobre 2017, n. 148, convertito, con modificazioni, dalla legge 4 dicembre 2017, n. 172, è abrogato. Gli operatori economici già iscritti nella sezione speciale del citato comma 33 dell'articolo 2-bis del decreto-legge n. 148 del 2017, confluiscono, a cura della Prefettura-UTG dell'Aquila, nell'Anagrafe antimafia degli esecutori di cui al comma 1 del presente articolo.</w:t>
      </w:r>
    </w:p>
    <w:p w14:paraId="1B1488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CCECB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55.</w:t>
      </w:r>
    </w:p>
    <w:p w14:paraId="39A19FA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istruzione)</w:t>
      </w:r>
    </w:p>
    <w:p w14:paraId="08761F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B3E6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accelerare l'esecuzione degli interventi in materia di istruzione ricompresi nel PNRR e garantirne l'organicità, sono adottate le seguenti misure di semplificazione:</w:t>
      </w:r>
    </w:p>
    <w:p w14:paraId="2EB18F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EBD9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per gli interventi di nuova costruzione, riqualificazione e messa in sicurezza degli edifici pubblici adibiti ad uso scolastico ed educativo da realizzare nell'ambito del PNRR:</w:t>
      </w:r>
    </w:p>
    <w:p w14:paraId="2EF3CD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2DDC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Ministero dell'istruzione predispone linee guida tecniche suddivise in base alle principali tipologie di interventi autorizzati con le quali individua anche i termini che gli enti locali rispettano per la progettazione, l'affidamento, l'esecuzione e il collaudo dei lavori, tenendo conto delle regole di monitoraggio e delle tempistiche definite dai regolamenti europei in materia;</w:t>
      </w:r>
    </w:p>
    <w:p w14:paraId="2C7970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E0F9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in caso di inerzia degli enti locali beneficiari nell'espletamento delle procedure per la progettazione e per l'affidamento dei lavori, nonché nelle attività legate all'esecuzione e al collaudo degli interventi, rilevata a seguito di attività di monitoraggio, al fine di rispettare le tempistiche e le condizioni poste dal Regolamento (UE) 2021/241 del Parlamento europeo e del Consiglio, del 12 febbraio 2021, e di assicurare il diritto allo studio in ambienti sicuri e adeguati, si applica l'articolo 12;</w:t>
      </w:r>
    </w:p>
    <w:p w14:paraId="56E354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299F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7-ter del decreto-legge 8 aprile 2020, n. 22, convertito, con modificazioni, dalla legge 6 giugno 2020, n. 41, le parole «31 dicembre 2021» sono sostituite dalle seguenti: «31 dicembre 2026»;</w:t>
      </w:r>
    </w:p>
    <w:p w14:paraId="59E07D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32F2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locali che si trovano in esercizio provvisorio di bilancio sono autorizzati, per le annualità dal 2021 al 2026, ad iscrivere in bilancio i relativi finanziamenti concessi per l'edilizia scolastica nell'ambito del PNRR mediante apposita variazione, in deroga a quanto previsto dall'articolo 163 del decreto legislativo 18 agosto 2000, n. 267 e dall'allegato 4/2 al decreto legislativo 23 giugno 2011, n. 118;</w:t>
      </w:r>
    </w:p>
    <w:p w14:paraId="018152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4AEF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l'autorizzazione prevista dall'articolo 21 del decreto legislativo 22 gennaio 2004, n. 42, relativa agli interventi di edilizia scolastica autorizzati nell'ambito del PNRR, è resa dall'amministrazione competente entro sessanta giorni dalla richiesta, anche tramite conferenza di servizi. Il parere del soprintendente di cui all'articolo 146, comma 8, del decreto legislativo 22 gennaio 2004, n. 42, è reso entro trenta giorni;</w:t>
      </w:r>
    </w:p>
    <w:p w14:paraId="2AC88B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F61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per le misure relative alla transizione digitale delle scuole, al contrasto alla dispersione scolastica e alla formazione del personale scolastico da realizzare nell'ambito del PNRR:</w:t>
      </w:r>
    </w:p>
    <w:p w14:paraId="65327C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EA0F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rispettare le tempistiche e le condizioni poste dal Regolamento (UE) 2021/241 del Parlamento europeo e del Consiglio, del 12 febbraio 2021, le istituzioni scolastiche, qualora non possano far ricorso agli strumenti di cui all'articolo 1, commi 449 e 450, della legge 27 dicembre 2006, n. 296, possono procedere anche in deroga alla citata normativa nel rispetto delle disposizioni del presente titolo;</w:t>
      </w:r>
    </w:p>
    <w:p w14:paraId="1A530B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FB74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 dirigenti scolastici, con riferimento all'attuazione degli interventi ricompresi nel complessivo PNRR, procedono agli affidamenti nel rispetto delle soglie di cui al decreto-legge n. 76 del 2020, come modificato dal presente decreto, anche in deroga a quanto previsto dall'articolo 45, comma 2, lettera a), del decreto del Ministro dell'istruzione, dell'università e della ricerca 28 agosto 2018, n. 129;</w:t>
      </w:r>
    </w:p>
    <w:p w14:paraId="0FB61F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EA0B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fermo restando lo svolgimento dei compiti di controllo di regolarità amministrativa e contabile da parte dei revisori dei conti delle istituzioni scolastiche, come disciplinati dal decreto del Ministro dell'istruzione, dell'università e della ricerca n. 129 del 2018,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14:paraId="25D8B2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4D80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p w14:paraId="095252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25447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56.</w:t>
      </w:r>
    </w:p>
    <w:p w14:paraId="4EC0042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di semplificazione per l'attuazione dei programmi del Ministero della salute ricompresi nel Piano nazionale di ripresa e resilienza)</w:t>
      </w:r>
    </w:p>
    <w:p w14:paraId="376B7F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68C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Per i programmi di edilizia sanitaria indicati nel PNRR di competenza del Ministero della salute e riconducibili alle ipotesi di cui all'articolo 10, comma 1, del decreto del Presidente della Repubblica 6 giugno 2001, n. 380, il permesso di costruire può essere rilasciato in deroga alla disciplina urbanistica ed alle disposizioni di legge statali e regionali in materia di localizzazione delle opere pubbliche; i medesimi programmi, ove riconducibili alle ipotesi di cui all'articolo 22 del medesimo decreto del Presidente della </w:t>
      </w:r>
      <w:r w:rsidRPr="00EF5B01">
        <w:rPr>
          <w:rFonts w:asciiTheme="minorHAnsi" w:eastAsia="Times New Roman" w:hAnsiTheme="minorHAnsi" w:cs="Times New Roman"/>
          <w:bCs/>
          <w:iCs/>
          <w:color w:val="000000" w:themeColor="text1"/>
          <w:sz w:val="24"/>
          <w:szCs w:val="24"/>
        </w:rPr>
        <w:lastRenderedPageBreak/>
        <w:t>Repubblica n. 380 del 2001, possono essere eseguiti in deroga alle disposizioni di cui al citato decreto del Presidente della Repubblica, delle leggi regionali, dei piani regolatori e dei regolamenti edilizi locali, fermo restando il rispetto delle disposizioni, nazionali o regionali, igienico sanitarie, antisismiche, di prevenzione incendi e di statica degli edifici, di tutela del paesaggio e dei beni culturali, di quelle sui vincoli idrogeologici nonché di quelle sul risparmio energetico.</w:t>
      </w:r>
    </w:p>
    <w:p w14:paraId="5A7A4A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istituti della programmazione negoziata di cui all'articolo 2, comma 203, della legge 23 dicembre 1996, n. 662, nonché la disciplina del contratto istituzionale di sviluppo di cui agli articoli 1 e 6 del decreto legislativo 31 maggio 2011, n. 88 e all'articolo 7 del decreto-legge 20 giugno 2017, n. 91, convertito, con modificazioni, dalla legge 3 agosto 2017, n. 123, si applicano ai programmi indicati nel PNRR di competenza del Ministero della salute.</w:t>
      </w:r>
    </w:p>
    <w:p w14:paraId="207785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57C23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w:t>
      </w:r>
    </w:p>
    <w:p w14:paraId="55C2514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INVESTIMENTI E INTERVENTI NEL MEZZOGIORNO</w:t>
      </w:r>
    </w:p>
    <w:p w14:paraId="1AB6065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41CF0E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57.</w:t>
      </w:r>
    </w:p>
    <w:p w14:paraId="7552661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(Zone Economiche Speciali)</w:t>
      </w:r>
    </w:p>
    <w:p w14:paraId="7524806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46026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20 giugno 2017, n. 91, convertito, con modificazioni, dalla legge 3 agosto 2017, n. 123, sono apportate le seguenti modificazioni:</w:t>
      </w:r>
    </w:p>
    <w:p w14:paraId="47A360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BD0E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w:t>
      </w:r>
    </w:p>
    <w:p w14:paraId="2CE1D3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8981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secondo periodo, le parole «, nominato ai sensi dell'articolo 11 della legge 23 agosto 1988, n. 400» sono soppresse e dopo le parole «Ministero delle infrastrutture e dei trasporti» sono aggiunte le seguenti: «, nonché da un rappresentante dei consorzi di sviluppo industriale, di cui all'articolo 36 della legge 5 ottobre 1991, n. 317, ovvero di quelli costituiti ai sensi della vigente legislazione delle regioni a statuto speciale, presenti sul territorio»;</w:t>
      </w:r>
    </w:p>
    <w:p w14:paraId="2C4672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B161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dopo il comma 6, è inserito il seguente: «6-bis. Il Commissario è nominato con decreto del Presidente del Consiglio dei ministri, adottato su proposta del Ministro per il Sud e la coesione territoriale, d'intesa con il Presidente della Regione interessata. Nel caso di mancato perfezionamento dell'intesa nel termine di sessanta giorni dalla formulazione della proposta, il Ministro per il sud e la coesione territoriale sottopone la questione al Consiglio dei ministri che provvede con deliberazione motivata. Nel decreto è stabilita la misura del compenso spettante al Commissario, previsto dal comma 6, nel rispetto dei limiti </w:t>
      </w:r>
      <w:r w:rsidRPr="00EF5B01">
        <w:rPr>
          <w:rFonts w:asciiTheme="minorHAnsi" w:eastAsia="Times New Roman" w:hAnsiTheme="minorHAnsi" w:cs="Times New Roman"/>
          <w:bCs/>
          <w:iCs/>
          <w:color w:val="000000" w:themeColor="text1"/>
          <w:sz w:val="24"/>
          <w:szCs w:val="24"/>
        </w:rPr>
        <w:lastRenderedPageBreak/>
        <w:t>di cui all'articolo 13 del decreto-legge 24 aprile 2014, n. 66, convertito, con modificazioni, dalla legge 23 giugno 2014, n. 89. I Commissari nominati prima della data di entrata in vigore della presente disposizione cessano, ove non confermati, entro sessanta giorni dalla medesima data.»;</w:t>
      </w:r>
    </w:p>
    <w:p w14:paraId="2102B7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5290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comma 7-quater è sostituto dal seguente: «7-quater. L'Agenzia per la Coesione territoriale supporta l'attività dei Commissari e garantisce, sulla base degli orientamenti della Cabina di regia sulle ZES di cui all'articolo 5, comma 1 a-quater, il coordinamento della loro azione nonché della pianificazione nazionale degli interventi nelle ZES, tramite proprio personale amministrativo e tecnico a ciò appositamente destinato, con le risorse umane e strumentali disponibili a legislazione vigente. L'Agenzia per la Coesione territoriale fornisce inoltre supporto ai singoli Commissari mediante personale tecnico e amministrativo individuato ai sensi dell'articolo 7, comma 6, del decreto legislativo 30 marzo 2001, n. 165, dotato di idonee competenze, al fine di garantire efficacia e operatività dell'azione commissariale, con oneri a carico del Programma operativo complementare al Programma nazionale Governance e capacità istituzionale 2014-2020, nel limite complessivo di 4,4 milioni di euro per l'anno 2021, 8,8 milioni di euro per l'anno 2022 e 4,4 milioni di euro per l'anno 2023. Il Commissario straordinario si avvale inoltre delle strutture delle amministrazioni centrali o territoriali, di società controllate dallo Stato o dalle regioni senza nuovi o maggiori oneri per la finanza pubblica.»;</w:t>
      </w:r>
    </w:p>
    <w:p w14:paraId="7A7BE5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1CED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dopo il comma 7-quater, è inserito il seguente: «7-quinquies. Al fine di assicurare la più efficace e tempestiva attuazione degli interventi del Piano nazionale di ripresa e resilienza relativi alla infrastrutturazione delle ZES, fino al 31 dicembre 2026, il Commissario straordinario può, a richiesta degli enti competenti, assumere le funzioni di stazione appaltante e operare in deroga alle disposizioni di legge in materia di contratti pubblici, fatto salvo il rispetto dei princìpi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2014/23/UE, 2014/ 24/UE e 2014/25/UE, del Parlamento europeo e del Consiglio, del 26 febbraio 2014. Per l'esercizio delle funzioni di cui al primo periodo, il Commissario straordinario provvede anche a mezzo di ordinanze.»;</w:t>
      </w:r>
    </w:p>
    <w:p w14:paraId="36CA4F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5763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8, è aggiunto il seguente:</w:t>
      </w:r>
    </w:p>
    <w:p w14:paraId="559F1B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DFC4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   «8-bis. Le Regioni adeguano la propria programmazione o la riprogrammazione dei fondi strutturali alle esigenze di funzionamento e sviluppo della ZES e concordano le relative linee strategiche con il Commissario, garantendo la massima sinergia delle risorse materiali e strumentali approntate per la piena realizzazione del piano strategico di sviluppo.»;</w:t>
      </w:r>
    </w:p>
    <w:p w14:paraId="4A7DBA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74CE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all'articolo 5:</w:t>
      </w:r>
    </w:p>
    <w:p w14:paraId="20193D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563F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a-bis), sono apportate le seguenti modificazioni:</w:t>
      </w:r>
    </w:p>
    <w:p w14:paraId="1ED6FD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B62C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prima delle parole «eventuali autorizzazioni sono inserite le seguenti: «nell'ambito del procedimento di cui all'articolo 5-bis,»;</w:t>
      </w:r>
    </w:p>
    <w:p w14:paraId="3FE512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11F2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sono aggiunte, infine, le seguenti parole: «e sono altresì ridotti alla metà i termini di cui all'articolo 17-bis, comma 1, della legge 7 agosto 1990 n. 241;»;</w:t>
      </w:r>
    </w:p>
    <w:p w14:paraId="158BD5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8CF8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 lettera a-ter), le parole da «e lo sportello unico di cui alla legge 28 gennaio 1994, n. 84» a «conclusione del procedimento» sono sostituite dalle seguenti: «e i procedimenti di cui all'articolo 5-bis».</w:t>
      </w:r>
    </w:p>
    <w:p w14:paraId="2B1B15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26A9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1, è inserito il seguente: «1-bis. I termini di cui al comma 1 previsti per il rilascio di autorizzazioni, approvazioni, intese, concerti, pareri, concessioni, accertamenti di conformità alle prescrizioni delle norme e dei piani urbanistici ed edilizi, nulla osta ed atti di assenso, comunque denominati, degli enti locali, regionali, delle amministrazioni centrali nonché di tutti gli altri competenti enti e agenzie sono da considerarsi perentori. Decorsi inutilmente tali termini, gli atti si intendono resi in senso favorevole.»;</w:t>
      </w:r>
    </w:p>
    <w:p w14:paraId="6B446E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4F24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2 è sostituito dal seguente: «2. In relazione agli investimenti effettuati nelle ZES, il credito d'imposta di cui all'articolo 1, commi 98 e seguenti, della legge 28 dicembre 2015, n. 208, è commisurato alla quota del costo complessivo dei beni acquisiti entro il 31 dicembre 2022 nel limite massimo, per ciascun progetto di investimento, di 100 milioni di euro. Si applicano, in quanto compatibili, le disposizioni di cui al medesimo articolo 1, commi 98 e seguenti, della legge 28 dicembre 2015, n. 208. Il credito d'imposta è esteso all'acquisto di immobili strumentali agli investimenti.»;</w:t>
      </w:r>
    </w:p>
    <w:p w14:paraId="664198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9427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5, è inserito il seguente:</w:t>
      </w:r>
    </w:p>
    <w:p w14:paraId="37BEC8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192D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5-bis</w:t>
      </w:r>
    </w:p>
    <w:p w14:paraId="39F10E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(Autorizzazione unica)</w:t>
      </w:r>
    </w:p>
    <w:p w14:paraId="6FC57A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0C5B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Fatto salvo quanto previsto dalle norme vigenti in materia di autorizzazione di impianti e infrastrutture energetiche ed in materia di opere ed altre attività ricadenti nella competenza territoriale delle Autorità di sistema portuale e degli aeroporti, le opere per la realizzazione di progetti infrastrutturali nelle zone economiche speciali (ZES) da parte di soggetti pubblici e privati sono di pubblica utilità, indifferibili ed urgenti.</w:t>
      </w:r>
    </w:p>
    <w:p w14:paraId="2313E0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 progetti inerenti alle attività economiche ovvero all'insediamento di attività industriali, produttive e logistiche all'interno delle ZES, non soggetti a segnalazione certificata di inizio attività, sono soggetti ad autorizzazione unica, nel rispetto delle normative vigenti in materia di valutazione di impatto ambientale. L'autorizzazione unica, ove necessario, costituisce variante agli strumenti urbanistici e di pianificazione territoriale, ad eccezione del piano paesaggistico regionale.</w:t>
      </w:r>
    </w:p>
    <w:p w14:paraId="4C9F91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L'autorizzazione unica, nella quale confluiscono tutti gli atti di autorizzazione, assenso e nulla osta comunque denominati, previsti dalla vigente legislazione in relazione all'opera da eseguire, al progetto da approvare o all'attività da intraprendere, è rilasciata dal Commissario straordinario della ZES, di cui all'articolo 4, comma 6, in esito ad apposita conferenza di servizi, in applicazione dell'articolo 14-bis della legge 7 agosto 1990, n. 241.</w:t>
      </w:r>
    </w:p>
    <w:p w14:paraId="208AE8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 conferenza di servizi sono convocate tutte le amministrazioni competenti, anche per la tutela ambientale, paesaggistico-territoriale, dei beni culturali, demaniale, antincendio, della salute dei cittadini e preposte alla disciplina doganale.</w:t>
      </w:r>
    </w:p>
    <w:p w14:paraId="0BF6CF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Il rilascio dell'autorizzazione unica, sostituisce ogni altra autorizzazione, approvazione e parere comunque denominati e consente la realizzazione di tutte le opere, prestazioni e attività previste nel progetto.</w:t>
      </w:r>
    </w:p>
    <w:p w14:paraId="16930C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previsioni di cui ai commi da 2 a 5 si applicano altresì alle opere e altre attività all'interno delle ZES e ricadenti nella competenza territoriale delle Autorità di sistema portuali e, in tal caso, l'autorizzazione unica prevista di citati commi è rilasciata dall'Autorità di sistema portuale.».</w:t>
      </w:r>
    </w:p>
    <w:p w14:paraId="225D7C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0E2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L'efficacia del comma 1, lettera a), numero 4), da attuare con le risorse previste per la realizzazione di progetti compresi nel PNRR, resta subordinata alla definitiva approvazione del PNRR da parte del Consiglio dell'Unione europea.</w:t>
      </w:r>
    </w:p>
    <w:p w14:paraId="0C41EA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Agli oneri derivanti dal comma 1, lettera a), numero 3, pari a 4,4 milioni di euro per il 2023 e 8,8 milioni di euro per ciascuno degli anni dal 2024 al 2034, si provvede mediante corrispondente riduzione dell'autorizzazione di spesa di cui all'articolo 1, comma 200, della legge 23 dicembre 2014, n. 190.</w:t>
      </w:r>
    </w:p>
    <w:p w14:paraId="57D22B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Agli oneri derivanti dal comma 1, lettera b), numero 4, valutati in 45,2 milioni di euro per ciascuno degli anni 2021 e 2022, si provvede mediante corrispondente riduzione del Fondo per lo Sviluppo e la Coesione programmazione periodo di programmazione 2021-2027, di cui all'articolo 1, comma 177, della legge 30 dicembre 2020, n. 178.</w:t>
      </w:r>
    </w:p>
    <w:p w14:paraId="34E45C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B31F3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58.</w:t>
      </w:r>
    </w:p>
    <w:p w14:paraId="6DC194B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della Strategia nazionale per le aree interne)</w:t>
      </w:r>
    </w:p>
    <w:p w14:paraId="3673F7F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9FDA3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della legge 27 dicembre 2013, n. 147, il comma 15 è sostituito dal seguente: «15. L'attuazione degli interventi individuati ai sensi del comma 14 è perseguita attraverso la cooperazione tra i livelli istituzionali interessati, con il coordinamento del Ministro per il sud e la coesione territoriale che si avvale, senza nuovi o maggiori oneri a carico della finanza pubblica, dell'Agenzia per la coesione territoriale, nelle forme e con le modalità definite con apposita delibera del Comitato interministeriale per la programmazione economica e lo sviluppo sostenibile. Nelle more dell'adozione della delibera, e comunque non oltre il termine del 31 dicembre 2021, la cooperazione è perseguita attraverso la sottoscrizione degli accordi di programma-quadro di cui all'articolo 2, comma 203, lettera c), della legge 23 dicembre 1996, n. 662, in quanto applicabile, con il coordinamento del Ministro per il sud e la coesione territoriale che si avvale dell'Agenzia per la coesione territoriale,».</w:t>
      </w:r>
    </w:p>
    <w:p w14:paraId="326F1E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EAAC4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59.</w:t>
      </w:r>
    </w:p>
    <w:p w14:paraId="24DF984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perequazione infrastrutturale)</w:t>
      </w:r>
    </w:p>
    <w:p w14:paraId="30E2958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F8ED7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22 della legge 5 maggio 2009, n. 42, i commi da 1 a 1-sexies sono sostituiti dai seguenti:</w:t>
      </w:r>
    </w:p>
    <w:p w14:paraId="25DEB4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BA75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il recupero del divario infrastrutturale tra le diverse aree geografiche del territorio nazionale, anche infra-regionali, con decreto adottato entro e non oltre il 30 novembre 2021 il Ministero delle infrastrutture e della mobilità sostenibili, sentite le amministrazioni competenti, effettua, limitatamente alle infrastrutture statali la ricognizione del numero e della classificazione funzionale delle strutture sanitarie, assistenziali e scolastiche, nonché del numero e dell'estensione, con indicazione della relativa classificazione funzionale, delle infrastrutture stradali, autostradali, ferroviarie, portuali e aeroportuali. In relazione alle infrastrutture di cui al primo periodo non di competenza statale, la ricognizione è effettuata dagli enti territoriali, nonché dagli altri soggetti pubblici e privati competenti, entro e non oltre la data del 31 ottobre 2021. La ricognizione effettuata dagli enti territoriali è comunicata dalle singole Regioni e dalle Province autonome, entro e non oltre la data del 31 dicembre 2021, al Dipartimento per gli affari regionali e le autonomie della Presidenza del Consiglio dei ministri.</w:t>
      </w:r>
    </w:p>
    <w:p w14:paraId="6B4268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   1-bis. All'esito della ricognizione di cui al comma 1, con delibera del Comitato interministeriale per la programmazione economica e lo sviluppo sostenibile (CIPESS), su proposta del Ministro delle infrastrutture e della mobilità sostenibili, di concerto con i Ministri per gli affari regionali e le autonomie, dell'economia e delle finanze, e per il Sud e la coesione territoriale, sentiti i Ministri competenti, previa intesa in sede di Conferenza unificata di cui all'articolo 8 del decreto legislativo 28 agosto 1997, n. 281, da adottare entro il 31 marzo 2022, sono stabiliti i criteri di priorità e le azioni da perseguire per il </w:t>
      </w:r>
      <w:r w:rsidRPr="00EF5B01">
        <w:rPr>
          <w:rFonts w:asciiTheme="minorHAnsi" w:eastAsia="Times New Roman" w:hAnsiTheme="minorHAnsi" w:cs="Times New Roman"/>
          <w:bCs/>
          <w:iCs/>
          <w:color w:val="000000" w:themeColor="text1"/>
          <w:sz w:val="24"/>
          <w:szCs w:val="24"/>
        </w:rPr>
        <w:lastRenderedPageBreak/>
        <w:t>recupero del divario risultante dalla ricognizione predetta, avuto riguardo alle carenze della dotazione infrastrutturale sussistenti in ciascun territorio, all'estensione delle superfici territoriali e alla specificità insulare, alla densità della popolazione e delle unità produttive, e si individuano i Ministeri competenti e la quota di finanziamento con ripartizione annuale, tenuto conto di quanto già previsto dal PNRR e dal Piano complementare di cui al decreto-legge 6 maggio 2021, n. 59, a valere sulle risorse del fondo cui al comma 1-ter.</w:t>
      </w:r>
    </w:p>
    <w:p w14:paraId="6DAB6A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   1-ter. Per il finanziamento degli interventi di cui al comma 1-quater,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 Il Dipartimento per gli affari regionali e le autonomie della Presidenza del Consiglio dei ministri per il supporto tecnico-operativo alle attività di competenza, può stipulare apposita convenzione ai sensi degli articoli 5 e 192 del decreto legislativo 18 aprile 2016, n. 50, nel limite massimo di 200.000 euro per l'anno 2021.</w:t>
      </w:r>
    </w:p>
    <w:p w14:paraId="641A82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   1-quater. Entro trenta giorni dalla delibera CIPESS di cui al comma 1-bis, ciascun Ministero competente, assegnatario delle risorse di cui al comma 1-bis individua, in un apposito Piano da adottare con decreto del Ministro competente d'intesa con il Ministro dell'economia e delle finanze, gli interventi da realizzare, che non devono essere già oggetto di integrale finanziamento a valere su altri fondi nazionali o comunitari, l'importo del relativo finanziamento, i soggetti attuatori, in relazione al tipo e alla localizzazione dell'intervento, il cronoprogramma della spesa, con indicazione delle risorse annuali necessarie per la loro realizzazione, nonché le modalità di revoca e di eventuale riassegnazione delle risorse in caso di mancato avvio nei termini previsti dell'opera da finanziare. Gli interventi devono essere corredati, ai sensi dell'articolo 11, comma 2 bis, della legge 16 gennaio 2003, n. 3 del Codice unico di progetto. Il Piano di cui al primo periodo è comunicato alla Conferenza unificata di cui all'articolo 8 del decreto legislativo 28 agosto 1997, n. 281.</w:t>
      </w:r>
    </w:p>
    <w:p w14:paraId="681B1F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   1-quinquies. Il monitoraggio della realizzazione degli interventi finanziati di cui al comma 1- quater è effettuato attraverso il sistema di cui al decreto legislativo 29 dicembre 2011, n. 229, classificando gli interventi sotto la voce “Interventi per il recupero del divario infrastrutturale legge di bilancio 2021.».</w:t>
      </w:r>
    </w:p>
    <w:p w14:paraId="738A67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C04B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 comma 1, pari a 200.000 euro per l'anno 2021, si provvede mediante corrispondente riduzione del Fondo di cui all'articolo 1, comma 200, della legge 23 dicembre 2014, n. 190.</w:t>
      </w:r>
    </w:p>
    <w:p w14:paraId="2F1F43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61F9B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60.</w:t>
      </w:r>
    </w:p>
    <w:p w14:paraId="12B56A1A"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 ruolo dell'Agenzia per la coesione territoriale)</w:t>
      </w:r>
    </w:p>
    <w:p w14:paraId="54B416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D5C8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12 settembre 2014, n. 133, convertito, con modificazioni, dalla legge 11 novembre 2014, n. 164, sono apportate le seguenti modificazioni:</w:t>
      </w:r>
    </w:p>
    <w:p w14:paraId="738458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4046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dopo la parola «Ministri», sono inserite le seguenti: «o, su sua delega, il Ministro per il sud e la coesione territoriale» e le parole «anche avvalendosi» sono sostituite dalle seguenti: «avvalendosi dell'Agenzia per la coesione territoriale e»;</w:t>
      </w:r>
    </w:p>
    <w:p w14:paraId="37E349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842B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 dopo la parola «Ministri», sono inserite le seguenti: «o, su sua delega, il Ministro per il sud e la coesione territoriale» e sono aggiunte, in fine, le seguenti parole: «, per il tramite dell'Agenzia per la coesione territoriale. L'Agenzia può assumere le funzioni di soggetto attuatore, avvalendosi di una centrale di committenza ai fini dell'effettiva realizzazione degli interventi».</w:t>
      </w:r>
    </w:p>
    <w:p w14:paraId="5A8D0A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D4065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w:t>
      </w:r>
    </w:p>
    <w:p w14:paraId="34047FB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LEGGE 7 AGOSTO 1990 N. 241</w:t>
      </w:r>
    </w:p>
    <w:p w14:paraId="2BA555C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0D9285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61.</w:t>
      </w:r>
    </w:p>
    <w:p w14:paraId="25EC373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potere sostitutivo)</w:t>
      </w:r>
    </w:p>
    <w:p w14:paraId="720E1A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0D6C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 della legge 7 agosto 1990, n. 241, sono apportate le seguenti modificazioni:</w:t>
      </w:r>
    </w:p>
    <w:p w14:paraId="780FBE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1BA6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9-bis:</w:t>
      </w:r>
    </w:p>
    <w:p w14:paraId="32D8A6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7A86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primo periodo è sostituito dal seguente: «L'organo di governo individua un soggetto nell'ambito delle figure apicali dell'amministrazione o una unità organizzativa cui attribuire il potere sostitutivo in caso di inerzia.»;</w:t>
      </w:r>
    </w:p>
    <w:p w14:paraId="437873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E3D7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terzo periodo, dopo le parole «l'indicazione del soggetto» sono inserite le seguenti: «o dell'unità organizzativa»”;</w:t>
      </w:r>
    </w:p>
    <w:p w14:paraId="05C87E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9D0A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il comma 9-ter è sostituito dal seguente: «9-ter. Decorso inutilmente il termine per la conclusione del procedimento o quello superiore di cui al comma 7, il responsabile o l'unità organizzativa di cui al comma 9-bis, d'ufficio o su richiesta dell'interessato, esercita il potere sostitutivo e, entro un termine pari alla metà di quello originariamente previsto, conclude il procedimento attraverso le strutture competenti o con la nomina di un commissario.».</w:t>
      </w:r>
    </w:p>
    <w:p w14:paraId="5EAB39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C752B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62.</w:t>
      </w:r>
    </w:p>
    <w:p w14:paraId="1EBDAFF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silenzio assenso)</w:t>
      </w:r>
    </w:p>
    <w:p w14:paraId="6E1577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A45C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20 della legge 7 agosto 1990, n. 241, dopo il comma 2, è inserito il seguente:</w:t>
      </w:r>
    </w:p>
    <w:p w14:paraId="64743D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6066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Nei casi in cui il silenzio dell'amministrazione equivale a provvedimento di accoglimento ai sensi del comma 1, fermi restando gli effetti comunque intervenuti del silenzio assenso, l'amministrazione è tenuta, su richiesta del privato, a rilasciare, in via telematica, un'attestazione circa il decorso dei termini del procedimento e pertanto dell'intervenuto accoglimento della domanda ai sensi del presente articolo. Decorsi inutilmente dieci giorni dalla richiesta, l'attestazione è sostituita da una dichiarazione del privato ai sensi dell'art. 47 del decreto del Presidente della Repubblica 28 dicembre 2000, n. 445.».</w:t>
      </w:r>
    </w:p>
    <w:p w14:paraId="3F5B3A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E1C96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63.</w:t>
      </w:r>
    </w:p>
    <w:p w14:paraId="55F8454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(Annullamento d'ufficio)</w:t>
      </w:r>
    </w:p>
    <w:p w14:paraId="30861B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CD15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21-nonies, comma 1, della legge 7 agosto 1990, n. 241, la parola «diciotto» è sostituita dalla seguente: «dodici».</w:t>
      </w:r>
    </w:p>
    <w:p w14:paraId="0DCABA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63CC4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VII</w:t>
      </w:r>
    </w:p>
    <w:p w14:paraId="50A1835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ULTERIORI MISURE DI RAFFORZAMENTO DELLA CAPACITÀ AMMINISTRATIVA</w:t>
      </w:r>
    </w:p>
    <w:p w14:paraId="5F383A2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B1BE80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64.</w:t>
      </w:r>
    </w:p>
    <w:p w14:paraId="48A1F43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delle procedure di valutazione dei progetti di ricerca ed ulteriori misure attuative del PNRR nel campo della ricerca)</w:t>
      </w:r>
    </w:p>
    <w:p w14:paraId="0821E1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E251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All'articolo 20 della legge 30 dicembre 2010, n. 240, le parole «tramite appositi comitati,» e «, tenendo conto in particolare dei principi della tecnica di valutazione tra pari» sono soppresse.</w:t>
      </w:r>
    </w:p>
    <w:p w14:paraId="0350CA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L'articolo 21 della legge 30 dicembre 2010, n. 240 è sostituito dal seguente:</w:t>
      </w:r>
    </w:p>
    <w:p w14:paraId="4D8198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D1D6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   «Art. 21. (Comitato nazionale per la valutazione della ricerca) 1. Al fine di promuovere la qualità della ricerca e assicurare il buon funzionamento delle procedure di valutazione, è istituito il Comitato nazionale per la valutazione della ricerca (CNVR). Il CNVR è composto da quindici studiosi, italiani o stranieri, di elevata qualificazione scientifica internazionale, appartenenti a una pluralità di aree disciplinari, nominati con decreto del Ministro dell'università e della ricerca, tra i quali dieci componenti sono scelti dal Ministro dell'università e della ricerca nel rispetto del principio della parità di genere e gli altri cinque sono designati, uno ciascuno, dal presidente del Consiglio direttivo dell'ANVUR, dalla Conferenza dei rettori delle università italiane, dalla Consulta dei presidenti degli enti pubblici di ricerca,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Research</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Council</w:t>
      </w:r>
      <w:proofErr w:type="spellEnd"/>
      <w:r w:rsidRPr="00EF5B01">
        <w:rPr>
          <w:rFonts w:asciiTheme="minorHAnsi" w:eastAsia="Times New Roman" w:hAnsiTheme="minorHAnsi" w:cs="Times New Roman"/>
          <w:bCs/>
          <w:iCs/>
          <w:color w:val="000000" w:themeColor="text1"/>
          <w:sz w:val="24"/>
          <w:szCs w:val="24"/>
        </w:rPr>
        <w:t xml:space="preserve"> e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Science Foundation. Il Comitato è regolarmente costituito con almeno dieci componenti.</w:t>
      </w:r>
    </w:p>
    <w:p w14:paraId="3027DE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CNVR, in particolare:</w:t>
      </w:r>
    </w:p>
    <w:p w14:paraId="0492F6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1066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indica i criteri generali per le attività di selezione e valutazione dei progetti di ricerca, nel rispetto dei princìpi indicati dal decreto del Ministro dell'università e della ricerca di cui all'articolo 20, tenendo in massima considerazione le raccomandazioni approvate da organizzazioni internazionali cui l'Italia è parte;</w:t>
      </w:r>
    </w:p>
    <w:p w14:paraId="3142FF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5E7D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nomina i componenti dei comitati di valutazione, ove previsti dal decreto del Ministro dell'università e della ricerca di cui all'articolo 20;</w:t>
      </w:r>
    </w:p>
    <w:p w14:paraId="2E027F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DD96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provvede allo svolgimento, anche parziale, delle procedure di selezione dei progetti o programmi di ricerca di altri enti, pubblici o privati, previo accordo o convenzione con essi;</w:t>
      </w:r>
    </w:p>
    <w:p w14:paraId="3FDA63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14EE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definisce i criteri per la individuazione e l'aggiornamento di liste di esperti tecnico-scientifici e professionali per l'affidamento di incarichi di valutazione tecnico-scientifica dei progetti di ricerca, istituite con decreto del Ministro dell'università e della ricerca;</w:t>
      </w:r>
    </w:p>
    <w:p w14:paraId="162025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688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predispone rapporti specifici sull'attività svolta e una relazione annuale in materia di valutazione della ricerca, che trasmette al Ministro, il quale cura la pubblicazione e la diffusione dei rapporti e delle relazioni del CNVR.</w:t>
      </w:r>
    </w:p>
    <w:p w14:paraId="14C839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4B81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Il CNVR definisce le proprie regole di organizzazione e funzionamento ed elegge al proprio interno il presidente, a maggioranza dei due terzi dei suoi componenti. I dipendenti pubblici possono essere collocati in aspettativa per la durata del mandato. L'incarico di componente del CNVR è di durata quinquennale, non rinnovabile. In caso di cessazione di un componente prima della scadenza del proprio mandato, il componente che viene nominato in sostituzione resta in carica per la durata residua del mandato. Il compenso dei componenti del Comitato è stabilito nel decreto di nomina, nel limite previsto dall'articolo 1, comma 551, della legge 30 dicembre 2020, n. 178.</w:t>
      </w:r>
    </w:p>
    <w:p w14:paraId="4BB640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Nell'esercizio delle sue funzioni il CNVR si avvale delle risorse umane, strumentali e finanziarie del Ministero dell'università e della ricerca.».</w:t>
      </w:r>
    </w:p>
    <w:p w14:paraId="29D2DB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3533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In sede di prima applicazione, il Comitato nazionale per la valutazione della ricerca di cui al comma 2 è composto dai componenti del Comitato nazionale dei garanti per la ricerca in carica alla data di entrata in vigore del presente decreto ed è integrato nella sua piena composizione dal Ministro dell'università e della ricerca nel rispetto del principio della parità di genere. Sono fatti salvi gli atti inerenti alle procedure valutative del Comitato nazionale dei garanti per la ricerca in essere alla data di entrata in vigore del presente decreto. Le </w:t>
      </w:r>
      <w:proofErr w:type="spellStart"/>
      <w:proofErr w:type="gramStart"/>
      <w:r w:rsidRPr="00EF5B01">
        <w:rPr>
          <w:rFonts w:asciiTheme="minorHAnsi" w:eastAsia="Times New Roman" w:hAnsiTheme="minorHAnsi" w:cs="Times New Roman"/>
          <w:bCs/>
          <w:iCs/>
          <w:color w:val="000000" w:themeColor="text1"/>
          <w:sz w:val="24"/>
          <w:szCs w:val="24"/>
        </w:rPr>
        <w:t>parole»Comitato</w:t>
      </w:r>
      <w:proofErr w:type="spellEnd"/>
      <w:proofErr w:type="gramEnd"/>
      <w:r w:rsidRPr="00EF5B01">
        <w:rPr>
          <w:rFonts w:asciiTheme="minorHAnsi" w:eastAsia="Times New Roman" w:hAnsiTheme="minorHAnsi" w:cs="Times New Roman"/>
          <w:bCs/>
          <w:iCs/>
          <w:color w:val="000000" w:themeColor="text1"/>
          <w:sz w:val="24"/>
          <w:szCs w:val="24"/>
        </w:rPr>
        <w:t xml:space="preserve"> nazionale dei garanti della ricerca» devono intendersi riferite, ovunque ricorrano, al «Comitato nazionale per la valutazione della ricerca».</w:t>
      </w:r>
    </w:p>
    <w:p w14:paraId="28F75E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1, comma 551, della legge 30 dicembre 2020, n. 178, le parole «Comitato nazionale dei garanti per la ricerca» sono sostituite dalle seguenti: «Comitato nazionale per la valutazione della ricerca».</w:t>
      </w:r>
    </w:p>
    <w:p w14:paraId="34EC0C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1, comma 242, della legge 27 dicembre 2019, n. 160, la lettera b) è soppressa.</w:t>
      </w:r>
    </w:p>
    <w:p w14:paraId="5EB2CC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In relazione alle accresciute esigenze in tema di selezione e valutazione dei programmi e dei progetti di ricerca connessi all'attuazione del PNRR, il Fondo per la valutazione e la valorizzazione dei progetti di ricerca di cui all'articolo 1, comma 550, della legge 30 dicembre 2020, n. 178, è incrementato di 5 milioni di euro per l'anno 2021 e di 20 milioni di euro a decorrere dall'anno 2022. L'incremento di cui al presente comma e le somme eventualmente non impiegate per l'attivazione delle convenzioni di cui al primo periodo dell'articolo 1, comma 550, della legge 30 dicembre 2020, n. 178, sono finalizzate a promuovere l'attività di valutazione degli esperti tecnico-scientifici e professionali, anche in deroga al limite massimo del 7 per cento di cui al secondo periodo del citato articolo 1, comma 551, della legge n. 178 del 2020, nonché alla stipula di accordi o convenzioni con enti ed istituzioni, anche esteri, di riconosciuto prestigio nell'ambito della valutazione della ricerca, in ordine allo svolgimento di attività di supporto specialistico e di analisi, di valutazione economica e finanziaria ovvero di verifica, monitoraggio e controllo sugli interventi nel settore della ricerca, con particolare riferimento a quelli previsti dal PNRR. Agli oneri derivanti dall'attuazione del presente comma, pari a 5 milioni di euro per l'anno 2021 e di 20 milioni di euro a decorrere dall'anno 2022 si provvede mediante corrispondente riduzione dell'autorizzazione di spesa di cui all'articolo 1, comma 240, della legge 27 dicembre 2019, n. 160, relativamente alla quota destinata ai compiti dell'Agenzia Nazionale della ricerca in materia di valutazione dell'impatto di attività di ricerca.</w:t>
      </w:r>
    </w:p>
    <w:p w14:paraId="0C5BB8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  7. Al fine di realizzare interventi di investimento finalizzati alla rigenerazione delle periferie urbane disagiate attraverso la realizzazione di nuove sedi delle istituzioni dell'alta formazione, artistica musicale e coreutica, ovvero alla tutela di strutture di particolare rilievo storico ed architettonico delle medesime istituzioni è autorizzata la spesa di 12 milioni di euro per l'anno 2021 da assegnare alle istituzioni dell'alta formazione artistica musicale e coreutica a titolo di cofinanziamento degli interventi di cui al presente comma.</w:t>
      </w:r>
    </w:p>
    <w:p w14:paraId="35D3C8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  Agli oneri previsti dalla presente disposizione, pari a 12 milioni di euro per l'anno 2021, si provvede:</w:t>
      </w:r>
    </w:p>
    <w:p w14:paraId="18C392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5F6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8 milioni di euro mediante corrispondente riduzione dell'autorizzazione di spesa di cui all'articolo 1, comma 131, legge 30 dicembre 2004, n. 311, come rifinanziata dall'articolo 1, comma 14, della legge 27 dicembre 2019, n. 160;</w:t>
      </w:r>
    </w:p>
    <w:p w14:paraId="0E376A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0EF8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4 milioni di euro mediante utilizzo delle somme, conservate nel conto dei residui, di cui all'articolo 1, comma 131, legge 30 dicembre 2004, n. 311, come rifinanziata dall'articolo 1, comma 14, della legge 27 dicembre 2019, n. 160. Il Ministro dell'economia e delle finanze è autorizzato ad apportare le occorrenti variazioni di bilancio anche in conto residui.</w:t>
      </w:r>
    </w:p>
    <w:p w14:paraId="7C64A7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770A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All'articolo 1 della legge 14 novembre 2000, n. 338, al comma 2, la parola «50» è sostituita dalla seguente «75».</w:t>
      </w:r>
    </w:p>
    <w:p w14:paraId="3DE3B2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L'efficacia della disposizione del comma 8, i cui oneri sono a carico delle risorse previste per l'attuazione di progetti compresi nel PNRR, resta subordinata alla definitiva approvazione del PNRR da parte del Consiglio dell'Unione europea.</w:t>
      </w:r>
    </w:p>
    <w:p w14:paraId="635405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6DF79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65.</w:t>
      </w:r>
    </w:p>
    <w:p w14:paraId="7AC0F97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sicurezza delle ferrovie e delle infrastrutture stradali e autostradali)</w:t>
      </w:r>
    </w:p>
    <w:p w14:paraId="582FCD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E7F4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28 settembre 2018, n. 109, convertito, con modificazioni, dalla legge 16 novembre 2018, n. 130, sono apportate le seguenti modificazioni:</w:t>
      </w:r>
    </w:p>
    <w:p w14:paraId="2988D9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1774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il secondo periodo è sostituito dal seguente: «Fermi i compiti, gli obblighi e le responsabilità degli enti proprietari e dei soggetti gestori in materia di sicurezza, l'Agenzia promuove e assicura la vigilanza sulle condizioni di sicurezza del sistema ferroviario nazionale e delle infrastrutture stradali e autostradali, direttamente sulla base del programma annuale di attività di cui al comma 5-bis, nonché nelle forme e secondo le modalità indicate nei commi da 3 a 5.»;</w:t>
      </w:r>
    </w:p>
    <w:p w14:paraId="58CD9D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2111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4 è sostituito dal seguente:</w:t>
      </w:r>
    </w:p>
    <w:p w14:paraId="06ACE4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D97F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Con riferimento alla sicurezza delle infrastrutture stradali e autostradali e fermi restando i compiti e le responsabilità dei soggetti gestori, l'Agenzia, anche avvalendosi degli altri soggetti pubblici che operano in materia di sicurezza delle infrastrutture:</w:t>
      </w:r>
    </w:p>
    <w:p w14:paraId="7FFEFC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1DD7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esercita l'attività ispettiva finalizzata alla verifica dell'attività di manutenzione svolta dai gestori, dei relativi risultati e della corretta organizzazione dei processi di manutenzione, nonché l'attività ispettiva e di verifica a campione sulle infrastrutture, obbligando i gestori, in quanto responsabili dell'utilizzo sicuro delle stesse, a mettere in atto le necessarie misure di controllo del rischio, nonché all'esecuzione dei necessari interventi di messa in sicurezza, dandone comunicazione al Ministero delle infrastrutture e della mobilità sostenibili ed alla Commissione di cui all'articolo 4 del decreto legislativo 5 ottobre 2006, n. 264;</w:t>
      </w:r>
    </w:p>
    <w:p w14:paraId="37F201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1D76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promuove l'adozione da parte dei gestori delle reti stradali </w:t>
      </w:r>
      <w:proofErr w:type="spellStart"/>
      <w:r w:rsidRPr="00EF5B01">
        <w:rPr>
          <w:rFonts w:asciiTheme="minorHAnsi" w:eastAsia="Times New Roman" w:hAnsiTheme="minorHAnsi" w:cs="Times New Roman"/>
          <w:bCs/>
          <w:iCs/>
          <w:color w:val="000000" w:themeColor="text1"/>
          <w:sz w:val="24"/>
          <w:szCs w:val="24"/>
        </w:rPr>
        <w:t>ed</w:t>
      </w:r>
      <w:proofErr w:type="spellEnd"/>
      <w:r w:rsidRPr="00EF5B01">
        <w:rPr>
          <w:rFonts w:asciiTheme="minorHAnsi" w:eastAsia="Times New Roman" w:hAnsiTheme="minorHAnsi" w:cs="Times New Roman"/>
          <w:bCs/>
          <w:iCs/>
          <w:color w:val="000000" w:themeColor="text1"/>
          <w:sz w:val="24"/>
          <w:szCs w:val="24"/>
        </w:rPr>
        <w:t xml:space="preserve"> autostradali di Sistemi di Gestione della Sicurezza per le attività di verifica e manutenzione delle infrastrutture certificati da organismi di parte terza riconosciuti dall'Agenzia;</w:t>
      </w:r>
    </w:p>
    <w:p w14:paraId="3747BA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F72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propone al Ministro delle infrastrutture e della mobilità sostenibili l'adozione, sentito il Consiglio superiore dei lavori pubblici, del decreto previsto dall'articolo 1, comma 3, del decreto legislativo 15 marzo 2011, n. 35;</w:t>
      </w:r>
    </w:p>
    <w:p w14:paraId="1264B0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E4A0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stabilisce, con proprio provvedimento, modalità, contenuti e documenti costituenti la valutazione di impatto sulla sicurezza stradale per i progetti di infrastruttura di cui all'articolo 3 del citato decreto legislativo n. 35 del 2011;</w:t>
      </w:r>
    </w:p>
    <w:p w14:paraId="4CF433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5895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cura la tenuta dell'elenco dei soggetti che possono effettuare i controlli ai sensi dell'articolo 4 del citato decreto legislativo n. 35 del 2011 nonché la relativa attività di formazione, nel rispetto di quanto previsto dall'articolo 9 del medesimo decreto;</w:t>
      </w:r>
    </w:p>
    <w:p w14:paraId="147021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B447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    f) provvede alla classificazione dei tratti ad elevata concentrazione di incidenti nonché alla classificazione della sicurezza della rete esistente, secondo quanto previsto dall'articolo 5 del citato </w:t>
      </w:r>
      <w:r w:rsidRPr="00EF5B01">
        <w:rPr>
          <w:rFonts w:asciiTheme="minorHAnsi" w:eastAsia="Times New Roman" w:hAnsiTheme="minorHAnsi" w:cs="Times New Roman"/>
          <w:bCs/>
          <w:iCs/>
          <w:color w:val="000000" w:themeColor="text1"/>
          <w:sz w:val="24"/>
          <w:szCs w:val="24"/>
        </w:rPr>
        <w:lastRenderedPageBreak/>
        <w:t>decreto legislativo n. 35 del 2011, anche al fine di definire, con proprio provvedimento, criteri e modalità per l'applicazione delle misure di sicurezza previste dal medesimo decreto;</w:t>
      </w:r>
    </w:p>
    <w:p w14:paraId="1B14E4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9E4F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effettua, in attuazione del programma annuale di attività di cui al comma 5-bis e comunque ogni qual volta ne ravvisi l'opportunità anche sulla base delle segnalazioni effettuate dal Ministero delle infrastrutture e della mobilità sostenibili o di altre pubbliche amministrazioni, le ispezioni di sicurezza previste dall'articolo 6 del citato decreto legislativo n. 35 del 2011, anche compiendo verifiche sulle attività di controllo già svolte dai gestori eventualmente effettuando ulteriori verifiche in sito;</w:t>
      </w:r>
    </w:p>
    <w:p w14:paraId="53515D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7149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adotta le misure di sicurezza temporanee da applicare ai tratti di rete stradale interessati da lavori stradali, fissando le modalità di svolgimento delle ispezioni volte ad assicurare la corretta applicazione delle stesse;</w:t>
      </w:r>
    </w:p>
    <w:p w14:paraId="5C10AF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31E9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sovraintende alla gestione dei dati secondo quanto previsto dall'articolo 7 del citato decreto legislativo n. 35 del 2011;</w:t>
      </w:r>
    </w:p>
    <w:p w14:paraId="20CC55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E769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propone al Ministro delle infrastrutture e della mobilità sostenibili l'aggiornamento delle tariffe previste dall'articolo 10 del citato decreto legislativo n. 35 del 2011;</w:t>
      </w:r>
    </w:p>
    <w:p w14:paraId="1DB6F5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E912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svolge attività di studio, ricerca e sperimentazione in materia di sicurezza delle infrastrutture stradali e autostradali»;</w:t>
      </w:r>
    </w:p>
    <w:p w14:paraId="1E85C6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0D02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il comma 5, è inserito il seguente: «5-bis. L'Agenzia nazionale per la sicurezza delle ferrovie e delle infrastrutture stradali e autostradali adotta, entro il 31 dicembre di ciascun anno, il programma delle attività di vigilanza diretta dell'Agenzia sulle condizioni di sicurezza delle infrastrutture stradali e autostradali, da espletarsi nel corso dell'anno successivo, dandone comunicazione al Ministero delle infrastrutture e della mobilità sostenibili ed alla Commissione di cui all'articolo 4 del decreto legislativo 5 ottobre 2006, n. 264. Relativamente alle attività dell'anno 2021, il programma di cui al primo periodo è adottato entro il 31 agosto 2021. Entro il 31 gennaio di ciascun anno, l'Agenzia trasmette al Ministro delle infrastrutture e della mobilità sostenibile e alle competenti Commissioni parlamentari una relazione sulle attività previste dai commi da 3 a 5 e svolte nel corso dell'anno precedente.».</w:t>
      </w:r>
    </w:p>
    <w:p w14:paraId="471282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31EE2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66.</w:t>
      </w:r>
    </w:p>
    <w:p w14:paraId="1289768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politiche sociali)</w:t>
      </w:r>
    </w:p>
    <w:p w14:paraId="3E93F8C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DBB89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101, comma 2, del codice del Terzo settore, di cui al decreto legislativo 3 luglio 2017, n. 117, le parole: «31 maggio 2021» sono sostituite dalle seguenti: «31 maggio 2022».</w:t>
      </w:r>
    </w:p>
    <w:p w14:paraId="2E9563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1, comma 563, della legge 30 dicembre 2018, n. 145, dopo il primo periodo sono aggiunti i seguenti: «Esclusivamente per le medesime finalità, l'INPS consente ai soggetti erogatori di beni o servizi in favore delle persone con disabilità, l'accesso, su richiesta dell'interessato, alle informazioni strettamente necessarie contenute nei verbali di accertamento dello stato invalidante di cui alla legge 15 ottobre 1990, n. 295, attraverso lo strumento della Carta. L'INPS, sentito il Garante per la protezione dei dati personali, individua la tipologia di dati soggetti al trattamento e le operazioni eseguibili necessarie al funzionamento della Carta e all'accesso alle predette informazioni nonché le misure necessarie alla tutela dei diritti fondamentali dell'interessato.».</w:t>
      </w:r>
    </w:p>
    <w:p w14:paraId="340EC5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AF518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67.</w:t>
      </w:r>
    </w:p>
    <w:p w14:paraId="21D6628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(Entrata in vigore)</w:t>
      </w:r>
    </w:p>
    <w:p w14:paraId="388EDC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B716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19EBDB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4CF21C"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0AF0E109"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F5C6F9"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DF1AD8"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w:t>
      </w:r>
    </w:p>
    <w:p w14:paraId="1A15A8E3"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17)</w:t>
      </w:r>
    </w:p>
    <w:p w14:paraId="4BFCCCD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4ABBF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«Allegati alla Parte Seconda</w:t>
      </w:r>
    </w:p>
    <w:p w14:paraId="1A1A534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I-bis</w:t>
      </w:r>
    </w:p>
    <w:p w14:paraId="7EFA262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97ACE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Opere, impianti e infrastrutture necessarie al raggiungimento degli obiettivi fissati dal Piano Nazionale Integrato Energia e Clima (PNIEC), predisposto in attuazione del Regolamento (UE) 2018/1999.</w:t>
      </w:r>
    </w:p>
    <w:p w14:paraId="1ED1971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9E913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1 Dimensione della decarbonizzazione:</w:t>
      </w:r>
    </w:p>
    <w:p w14:paraId="0335E3D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72886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 Infrastrutture per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della generazione elettrica alimentata a carbone:</w:t>
      </w:r>
    </w:p>
    <w:p w14:paraId="55E85E7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7DEEA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   1.1.1 Riconversione e/o dismissione delle centrali alimentate a carbone;</w:t>
      </w:r>
    </w:p>
    <w:p w14:paraId="50393F3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3A931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   1.1.2 Nuovi impianti termoelettrici alimentati attraverso gas naturale per le esigenze di nuova potenza programmabile, con prevalente funzione di adeguatezza, regolazione e riserva connessi alle esigenze del sistema elettrico derivanti dalla chiusura delle centrali alimentate a carbone</w:t>
      </w:r>
    </w:p>
    <w:p w14:paraId="452ACEF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520D1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   1.1.3 Infrastrutture di </w:t>
      </w:r>
      <w:proofErr w:type="spellStart"/>
      <w:r w:rsidRPr="00855850">
        <w:rPr>
          <w:rFonts w:asciiTheme="minorHAnsi" w:eastAsia="Times New Roman" w:hAnsiTheme="minorHAnsi" w:cs="Times New Roman"/>
          <w:bCs/>
          <w:iCs/>
          <w:color w:val="000000" w:themeColor="text1"/>
          <w:sz w:val="24"/>
          <w:szCs w:val="24"/>
        </w:rPr>
        <w:t>reloading</w:t>
      </w:r>
      <w:proofErr w:type="spellEnd"/>
      <w:r w:rsidRPr="00855850">
        <w:rPr>
          <w:rFonts w:asciiTheme="minorHAnsi" w:eastAsia="Times New Roman" w:hAnsiTheme="minorHAnsi" w:cs="Times New Roman"/>
          <w:bCs/>
          <w:iCs/>
          <w:color w:val="000000" w:themeColor="text1"/>
          <w:sz w:val="24"/>
          <w:szCs w:val="24"/>
        </w:rPr>
        <w:t xml:space="preserve">, trasporto via nave, stoccaggio e rigassificazione necessarie a consentire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dalla generazione a carbone e la decarbonizzazione delle industrie in Sardegna.</w:t>
      </w:r>
    </w:p>
    <w:p w14:paraId="64CC991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193B7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 Nuovi impianti per la produzione di energia e vettori energetici da fonti rinnovabili, residui e rifiuti, nonché ammodernamento, integrali ricostruzioni, riconversione e incremento della capacità esistente, relativamente a:</w:t>
      </w:r>
    </w:p>
    <w:p w14:paraId="1B0AAAE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4B50F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   1.2.1 Generazione di energia elettrica: impianti idroelettrici, geotermici, eolici e fotovoltaici (in terraferma e in mare), solari a concentrazione, produzione di energia dal mare e produzione di bioenergia da biomasse solide, bioliquidi, biogas, residui e rifiuti;</w:t>
      </w:r>
    </w:p>
    <w:p w14:paraId="7B6EB10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8B5A4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   1.2.2 Generazione di energia termica: impianti geotermici, solare termico e a concentrazione, produzione di energia da biomasse solide, bioliquidi, biogas, biometano, residui e rifiuti;</w:t>
      </w:r>
    </w:p>
    <w:p w14:paraId="5D14224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72C8C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   1.2.3 Produzione di carburanti sostenibili: biocarburanti e biocarburanti avanzati, biometano e biometano avanzato (compreso l'upgrading del biogas e la produzione di </w:t>
      </w:r>
      <w:proofErr w:type="spellStart"/>
      <w:r w:rsidRPr="00855850">
        <w:rPr>
          <w:rFonts w:asciiTheme="minorHAnsi" w:eastAsia="Times New Roman" w:hAnsiTheme="minorHAnsi" w:cs="Times New Roman"/>
          <w:bCs/>
          <w:iCs/>
          <w:color w:val="000000" w:themeColor="text1"/>
          <w:sz w:val="24"/>
          <w:szCs w:val="24"/>
        </w:rPr>
        <w:t>BioLNG</w:t>
      </w:r>
      <w:proofErr w:type="spellEnd"/>
      <w:r w:rsidRPr="00855850">
        <w:rPr>
          <w:rFonts w:asciiTheme="minorHAnsi" w:eastAsia="Times New Roman" w:hAnsiTheme="minorHAnsi" w:cs="Times New Roman"/>
          <w:bCs/>
          <w:iCs/>
          <w:color w:val="000000" w:themeColor="text1"/>
          <w:sz w:val="24"/>
          <w:szCs w:val="24"/>
        </w:rPr>
        <w:t xml:space="preserve"> da biometano), syngas,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168CE70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882A5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 Infrastrutture e impianti per la produzione, il trasporto e lo stoccaggio di idrogeno:</w:t>
      </w:r>
    </w:p>
    <w:p w14:paraId="20CC74C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A8490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   1.3.1 Impianti di produzione di idrogeno;</w:t>
      </w:r>
    </w:p>
    <w:p w14:paraId="7906C33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7B48B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   1.3.2 Impianti di Power-to-X;</w:t>
      </w:r>
    </w:p>
    <w:p w14:paraId="7BA0FED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CD1E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   1.3.3 Infrastrutture di trasporto di idrogeno;</w:t>
      </w:r>
    </w:p>
    <w:p w14:paraId="05ED381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8E053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   1.3.4 Infrastrutture di stoccaggio di idrogeno.</w:t>
      </w:r>
    </w:p>
    <w:p w14:paraId="7B6B5C5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C30A9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 Altre opere funzionali alla decarbonizzazione del sistema energetico e dell'industria:</w:t>
      </w:r>
    </w:p>
    <w:p w14:paraId="357B171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323A2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   1.4.1 Costruzione di impianti di rifornimento di combustibili alternativi (per il trasporto stradale, aereo e navale), nonché ristrutturazione totale o parziale di impianti esistenti con incluso l'annesso stoccaggio, per:</w:t>
      </w:r>
    </w:p>
    <w:p w14:paraId="77ECDD3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EFE0B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Ricarica elettrica;</w:t>
      </w:r>
    </w:p>
    <w:p w14:paraId="118CED5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7A6ED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    b. Rifornimento Idrogeno (per utilizzo </w:t>
      </w:r>
      <w:proofErr w:type="spellStart"/>
      <w:r w:rsidRPr="00855850">
        <w:rPr>
          <w:rFonts w:asciiTheme="minorHAnsi" w:eastAsia="Times New Roman" w:hAnsiTheme="minorHAnsi" w:cs="Times New Roman"/>
          <w:bCs/>
          <w:iCs/>
          <w:color w:val="000000" w:themeColor="text1"/>
          <w:sz w:val="24"/>
          <w:szCs w:val="24"/>
        </w:rPr>
        <w:t>conFuel</w:t>
      </w:r>
      <w:proofErr w:type="spellEnd"/>
      <w:r w:rsidRPr="00855850">
        <w:rPr>
          <w:rFonts w:asciiTheme="minorHAnsi" w:eastAsia="Times New Roman" w:hAnsiTheme="minorHAnsi" w:cs="Times New Roman"/>
          <w:bCs/>
          <w:iCs/>
          <w:color w:val="000000" w:themeColor="text1"/>
          <w:sz w:val="24"/>
          <w:szCs w:val="24"/>
        </w:rPr>
        <w:t xml:space="preserve"> </w:t>
      </w:r>
      <w:proofErr w:type="spellStart"/>
      <w:r w:rsidRPr="00855850">
        <w:rPr>
          <w:rFonts w:asciiTheme="minorHAnsi" w:eastAsia="Times New Roman" w:hAnsiTheme="minorHAnsi" w:cs="Times New Roman"/>
          <w:bCs/>
          <w:iCs/>
          <w:color w:val="000000" w:themeColor="text1"/>
          <w:sz w:val="24"/>
          <w:szCs w:val="24"/>
        </w:rPr>
        <w:t>cell</w:t>
      </w:r>
      <w:proofErr w:type="spellEnd"/>
      <w:r w:rsidRPr="00855850">
        <w:rPr>
          <w:rFonts w:asciiTheme="minorHAnsi" w:eastAsia="Times New Roman" w:hAnsiTheme="minorHAnsi" w:cs="Times New Roman"/>
          <w:bCs/>
          <w:iCs/>
          <w:color w:val="000000" w:themeColor="text1"/>
          <w:sz w:val="24"/>
          <w:szCs w:val="24"/>
        </w:rPr>
        <w:t>, motori endotermici e vettori derivati, quali ammoniaca);</w:t>
      </w:r>
    </w:p>
    <w:p w14:paraId="01FBCD9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0B8B6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Rifornimento Gas Naturale Compresso/Gas Naturale Compresso di origine Biologica;</w:t>
      </w:r>
    </w:p>
    <w:p w14:paraId="39F09F7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22013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Rifornimento Gas Naturale Liquefatto/Gas Naturale Liquefatto di origine biologica;</w:t>
      </w:r>
    </w:p>
    <w:p w14:paraId="3695F0F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4A77A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    e. Rifornimento Gas di Petrolio Liquefatto/Gas di Petrolio Liquefatto di origine biologica;</w:t>
      </w:r>
    </w:p>
    <w:p w14:paraId="10DDB49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65B3B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    f. Biocarburanti in purezza;</w:t>
      </w:r>
    </w:p>
    <w:p w14:paraId="6CAB2E9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26636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   1.4.2 Impianti di riconversione del ciclo produttivo finalizzati a ridurre le emissioni da parte del settore industriale, ivi compresa la cattura, trasporto, utilizzo e/o stoccaggio della CO2.</w:t>
      </w:r>
    </w:p>
    <w:p w14:paraId="21BFD0C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B8B62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2 Dimensione dell'efficienza energetica:</w:t>
      </w:r>
    </w:p>
    <w:p w14:paraId="07311D4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3C491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  2.1 Riqualificazione energetica profonda di zone industriali o produttive, aree portuali, urbane e commerciali;</w:t>
      </w:r>
    </w:p>
    <w:p w14:paraId="5DCBCDB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9FDCB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  2.2 Reti di </w:t>
      </w:r>
      <w:proofErr w:type="spellStart"/>
      <w:r w:rsidRPr="00855850">
        <w:rPr>
          <w:rFonts w:asciiTheme="minorHAnsi" w:eastAsia="Times New Roman" w:hAnsiTheme="minorHAnsi" w:cs="Times New Roman"/>
          <w:bCs/>
          <w:iCs/>
          <w:color w:val="000000" w:themeColor="text1"/>
          <w:sz w:val="24"/>
          <w:szCs w:val="24"/>
        </w:rPr>
        <w:t>telecalore</w:t>
      </w:r>
      <w:proofErr w:type="spellEnd"/>
      <w:r w:rsidRPr="00855850">
        <w:rPr>
          <w:rFonts w:asciiTheme="minorHAnsi" w:eastAsia="Times New Roman" w:hAnsiTheme="minorHAnsi" w:cs="Times New Roman"/>
          <w:bCs/>
          <w:iCs/>
          <w:color w:val="000000" w:themeColor="text1"/>
          <w:sz w:val="24"/>
          <w:szCs w:val="24"/>
        </w:rPr>
        <w:t>/teleriscaldamento/</w:t>
      </w:r>
      <w:proofErr w:type="spellStart"/>
      <w:r w:rsidRPr="00855850">
        <w:rPr>
          <w:rFonts w:asciiTheme="minorHAnsi" w:eastAsia="Times New Roman" w:hAnsiTheme="minorHAnsi" w:cs="Times New Roman"/>
          <w:bCs/>
          <w:iCs/>
          <w:color w:val="000000" w:themeColor="text1"/>
          <w:sz w:val="24"/>
          <w:szCs w:val="24"/>
        </w:rPr>
        <w:t>teleraffrescamento</w:t>
      </w:r>
      <w:proofErr w:type="spellEnd"/>
      <w:r w:rsidRPr="00855850">
        <w:rPr>
          <w:rFonts w:asciiTheme="minorHAnsi" w:eastAsia="Times New Roman" w:hAnsiTheme="minorHAnsi" w:cs="Times New Roman"/>
          <w:bCs/>
          <w:iCs/>
          <w:color w:val="000000" w:themeColor="text1"/>
          <w:sz w:val="24"/>
          <w:szCs w:val="24"/>
        </w:rPr>
        <w:t>;</w:t>
      </w:r>
    </w:p>
    <w:p w14:paraId="05E262C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F3EBC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  2.3 Impianti di Cogenerazione ad Alto Rendimento (CAR);</w:t>
      </w:r>
    </w:p>
    <w:p w14:paraId="20A8B3F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0DDF6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  2.4 Impianti di Recupero di calore di scarto.</w:t>
      </w:r>
    </w:p>
    <w:p w14:paraId="464155B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82A77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3 Dimensione della sicurezza energetica:</w:t>
      </w:r>
    </w:p>
    <w:p w14:paraId="565EC05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04BF9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 Settore elettrico:</w:t>
      </w:r>
    </w:p>
    <w:p w14:paraId="2D36C75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8B2DE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   3.1.1 Sviluppo rete di trasmissione nazionale:</w:t>
      </w:r>
    </w:p>
    <w:p w14:paraId="5B6BC43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5343A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    a. elettrodotti funzionali al collegamento internazionale e </w:t>
      </w:r>
      <w:proofErr w:type="spellStart"/>
      <w:r w:rsidRPr="00855850">
        <w:rPr>
          <w:rFonts w:asciiTheme="minorHAnsi" w:eastAsia="Times New Roman" w:hAnsiTheme="minorHAnsi" w:cs="Times New Roman"/>
          <w:bCs/>
          <w:iCs/>
          <w:color w:val="000000" w:themeColor="text1"/>
          <w:sz w:val="24"/>
          <w:szCs w:val="24"/>
        </w:rPr>
        <w:t>interconnector</w:t>
      </w:r>
      <w:proofErr w:type="spellEnd"/>
      <w:r w:rsidRPr="00855850">
        <w:rPr>
          <w:rFonts w:asciiTheme="minorHAnsi" w:eastAsia="Times New Roman" w:hAnsiTheme="minorHAnsi" w:cs="Times New Roman"/>
          <w:bCs/>
          <w:iCs/>
          <w:color w:val="000000" w:themeColor="text1"/>
          <w:sz w:val="24"/>
          <w:szCs w:val="24"/>
        </w:rPr>
        <w:t>;</w:t>
      </w:r>
    </w:p>
    <w:p w14:paraId="2557370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elettrodotti e opere funzionali al collegamento tra zone di mercato nazionali e alla riduzione delle congestioni intrazonali e dei vincoli di capacità produttiva;</w:t>
      </w:r>
    </w:p>
    <w:p w14:paraId="1DE808A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A1A09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opere funzionali all'incremento dell'adeguatezza e della sicurezza del sistema e di regolazione dei parametri di frequenza, tensione e potenza di corto circuito;</w:t>
      </w:r>
    </w:p>
    <w:p w14:paraId="789AFFE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58E19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aumento della resilienza delle reti anche verso fenomeni meteorologici estremi a tutela della continuità delle forniture e della sicurezza di persone e cose;</w:t>
      </w:r>
    </w:p>
    <w:p w14:paraId="05D43EF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8172F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   3.1.2 Riqualificazione delle reti di distribuzione:</w:t>
      </w:r>
    </w:p>
    <w:p w14:paraId="1324154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1B47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Cabine primarie e secondarie;</w:t>
      </w:r>
    </w:p>
    <w:p w14:paraId="5B85FBD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1C796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Linee elettriche Bassa e Media Tensione;</w:t>
      </w:r>
    </w:p>
    <w:p w14:paraId="6569FA4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B410F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    c. Telecontrollo e </w:t>
      </w:r>
      <w:proofErr w:type="spellStart"/>
      <w:r w:rsidRPr="00855850">
        <w:rPr>
          <w:rFonts w:asciiTheme="minorHAnsi" w:eastAsia="Times New Roman" w:hAnsiTheme="minorHAnsi" w:cs="Times New Roman"/>
          <w:bCs/>
          <w:iCs/>
          <w:color w:val="000000" w:themeColor="text1"/>
          <w:sz w:val="24"/>
          <w:szCs w:val="24"/>
        </w:rPr>
        <w:t>Metering</w:t>
      </w:r>
      <w:proofErr w:type="spellEnd"/>
      <w:r w:rsidRPr="00855850">
        <w:rPr>
          <w:rFonts w:asciiTheme="minorHAnsi" w:eastAsia="Times New Roman" w:hAnsiTheme="minorHAnsi" w:cs="Times New Roman"/>
          <w:bCs/>
          <w:iCs/>
          <w:color w:val="000000" w:themeColor="text1"/>
          <w:sz w:val="24"/>
          <w:szCs w:val="24"/>
        </w:rPr>
        <w:t>.</w:t>
      </w:r>
    </w:p>
    <w:p w14:paraId="6FFAFDD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E9DAF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   3.1.3 Sviluppo capacità di accumulo elettrochimico e pompaggio:</w:t>
      </w:r>
    </w:p>
    <w:p w14:paraId="4882A4F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FE3D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Installazione di sistemi di accumulo elettrochimici e pompaggi.</w:t>
      </w:r>
    </w:p>
    <w:p w14:paraId="31D45A7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A04DC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 Settore gas:</w:t>
      </w:r>
    </w:p>
    <w:p w14:paraId="32D448A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F4BA9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   3.2.1 Miglioramento della flessibilità della rete nazionale e regionale di </w:t>
      </w:r>
      <w:proofErr w:type="gramStart"/>
      <w:r w:rsidRPr="00855850">
        <w:rPr>
          <w:rFonts w:asciiTheme="minorHAnsi" w:eastAsia="Times New Roman" w:hAnsiTheme="minorHAnsi" w:cs="Times New Roman"/>
          <w:bCs/>
          <w:iCs/>
          <w:color w:val="000000" w:themeColor="text1"/>
          <w:sz w:val="24"/>
          <w:szCs w:val="24"/>
        </w:rPr>
        <w:t>trasporto,,</w:t>
      </w:r>
      <w:proofErr w:type="gramEnd"/>
      <w:r w:rsidRPr="00855850">
        <w:rPr>
          <w:rFonts w:asciiTheme="minorHAnsi" w:eastAsia="Times New Roman" w:hAnsiTheme="minorHAnsi" w:cs="Times New Roman"/>
          <w:bCs/>
          <w:iCs/>
          <w:color w:val="000000" w:themeColor="text1"/>
          <w:sz w:val="24"/>
          <w:szCs w:val="24"/>
        </w:rPr>
        <w:t xml:space="preserve"> e ammodernamento delle stesse reti finalizzato all'aumento degli standard di sicurezza e controllo;</w:t>
      </w:r>
    </w:p>
    <w:p w14:paraId="0BA7E17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826B0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   3.2.2 Impianti per l'integrazione delle fonti di gas rinnovabili attraverso l'utilizzo delle infrastrutture esistenti del sistema gas per il relativo trasporto, stoccaggio e distribuzione;</w:t>
      </w:r>
    </w:p>
    <w:p w14:paraId="2051A81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B4A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   3.2.3 Impianti per la diversificazione della capacità di importazione;</w:t>
      </w:r>
    </w:p>
    <w:p w14:paraId="016689F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C7AC2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   3.2.4 Infrastrutture di stoccaggio, trasporto e distribuzione di GNL di cui agli articoli 9 e 10 del decreto legislativo 16 dicembre 2016, n. 257, nonché impianti di liquefazione di GNL, finalizzati alla riduzione di emissioni di CO2 rispetto ad altre fonti fossili, e relative modifiche degli impianti esistenti;</w:t>
      </w:r>
    </w:p>
    <w:p w14:paraId="68247C2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BBF8F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   3.2.5 Infrastrutture di stoccaggio, trasporto e distribuzione di GPL di cui all'articolo 57 del Decreto-Legge del 9 febbraio 2012, n. 5, convertito con modificazioni dalla L. 4 aprile 2012, n. 35 finalizzate alla riduzione di emissioni di CO2 rispetto ad altre fonti fossili.</w:t>
      </w:r>
    </w:p>
    <w:p w14:paraId="784B5E9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79BE6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 Settore dei prodotti petroliferi:</w:t>
      </w:r>
    </w:p>
    <w:p w14:paraId="1F8A113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C353C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   3.3.1 Interventi per la riconversione delle raffinerie esistenti e nuovi impianti per la produzione di prodotti energetici derivanti da fonti rinnovabili, residui e rifiuti, nonché l'ammodernamento e l'incremento della capacità esistente anche finalizzata alla produzione di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7672E41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A559E4"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   3.3.2 Interventi di decommissioning delle piattaforme di coltivazione di idrocarburi ed infrastrutture connesse.».</w:t>
      </w:r>
    </w:p>
    <w:p w14:paraId="52764C54"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5B1DD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93929A"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ALLEGATO II</w:t>
      </w:r>
    </w:p>
    <w:p w14:paraId="096BCFDA"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i/>
          <w:iCs/>
          <w:color w:val="000000" w:themeColor="text1"/>
          <w:sz w:val="24"/>
          <w:szCs w:val="24"/>
        </w:rPr>
        <w:t>(Articolo 31)</w:t>
      </w:r>
    </w:p>
    <w:p w14:paraId="081190A0"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«Tabella A</w:t>
      </w:r>
    </w:p>
    <w:p w14:paraId="24E606F8"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(Articolo 12)</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3"/>
        <w:gridCol w:w="1079"/>
      </w:tblGrid>
      <w:tr w:rsidR="00855850" w:rsidRPr="00855850" w14:paraId="16FCA8F5"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61E74"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Fonte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B111F"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Soglie</w:t>
            </w:r>
          </w:p>
        </w:tc>
      </w:tr>
      <w:tr w:rsidR="00855850" w:rsidRPr="00855850" w14:paraId="3679BFAB"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EA788C"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1 Eolica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F7FE1"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60 kW</w:t>
            </w:r>
          </w:p>
        </w:tc>
      </w:tr>
      <w:tr w:rsidR="00855850" w:rsidRPr="00855850" w14:paraId="29BBC094"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AD04B"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2 Solare fotovoltaica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5D0E5"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50 kW</w:t>
            </w:r>
          </w:p>
        </w:tc>
      </w:tr>
      <w:tr w:rsidR="00855850" w:rsidRPr="00855850" w14:paraId="4C9D51C3"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7AA03"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3 Idraulica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1EA10"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100 kW</w:t>
            </w:r>
          </w:p>
        </w:tc>
      </w:tr>
      <w:tr w:rsidR="00855850" w:rsidRPr="00855850" w14:paraId="66465774"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67989"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4 Biomasse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1527C"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200 kW</w:t>
            </w:r>
          </w:p>
        </w:tc>
      </w:tr>
      <w:tr w:rsidR="00855850" w:rsidRPr="00855850" w14:paraId="68FCECA7"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5F973"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5 Gas di discarica, gas residuati dai processi di depurazione e biogas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F715E"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250 kW</w:t>
            </w:r>
          </w:p>
        </w:tc>
      </w:tr>
    </w:tbl>
    <w:p w14:paraId="4A0FA3C6"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0ACC5A"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4E8857"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D13DCF"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IV</w:t>
      </w:r>
    </w:p>
    <w:p w14:paraId="633CFD9F"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44)</w:t>
      </w:r>
    </w:p>
    <w:p w14:paraId="35DAAB4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E9BFE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 Realizzazione asse ferroviario Palermo-Catania-Messina;</w:t>
      </w:r>
    </w:p>
    <w:p w14:paraId="4274A79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4EF49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 Potenziamento linea ferroviaria Verona – Brennero (opere di adduzione);</w:t>
      </w:r>
    </w:p>
    <w:p w14:paraId="40096A4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3E9BC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 Realizzazione della linea ferroviaria Salerno-Reggio Calabria;</w:t>
      </w:r>
    </w:p>
    <w:p w14:paraId="30EA07E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3E7CD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  4) Realizzazione della linea ferroviaria Battipaglia-Potenza-Taranto;</w:t>
      </w:r>
    </w:p>
    <w:p w14:paraId="01472B7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5BC11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  5) Realizzazione della linea ferroviaria Roma-Pescara;</w:t>
      </w:r>
    </w:p>
    <w:p w14:paraId="350B33B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CB1CA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  6) Potenziamento della linea ferroviaria Orte-Falconara;</w:t>
      </w:r>
    </w:p>
    <w:p w14:paraId="5017F55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2C270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  7) Realizzazione delle opere di derivazione della Diga di Campolattaro (Campania);</w:t>
      </w:r>
    </w:p>
    <w:p w14:paraId="32E1B82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62284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  8) Messa in sicurezza e ammodernamento del sistema idrico del Peschiera (Lazio);</w:t>
      </w:r>
    </w:p>
    <w:p w14:paraId="08B0E90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E9010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  9) Interventi di potenziamento delle infrastrutture del Porto di Trieste (progetto </w:t>
      </w:r>
      <w:proofErr w:type="spellStart"/>
      <w:r w:rsidRPr="00855850">
        <w:rPr>
          <w:rFonts w:asciiTheme="minorHAnsi" w:eastAsia="Times New Roman" w:hAnsiTheme="minorHAnsi" w:cs="Times New Roman"/>
          <w:bCs/>
          <w:iCs/>
          <w:color w:val="000000" w:themeColor="text1"/>
          <w:sz w:val="24"/>
          <w:szCs w:val="24"/>
        </w:rPr>
        <w:t>Adriagateway</w:t>
      </w:r>
      <w:proofErr w:type="spellEnd"/>
      <w:r w:rsidRPr="00855850">
        <w:rPr>
          <w:rFonts w:asciiTheme="minorHAnsi" w:eastAsia="Times New Roman" w:hAnsiTheme="minorHAnsi" w:cs="Times New Roman"/>
          <w:bCs/>
          <w:iCs/>
          <w:color w:val="000000" w:themeColor="text1"/>
          <w:sz w:val="24"/>
          <w:szCs w:val="24"/>
        </w:rPr>
        <w:t>);</w:t>
      </w:r>
    </w:p>
    <w:p w14:paraId="56D8F53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44BF2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  10) Realizzazione della Diga foranea di Genova.</w:t>
      </w:r>
    </w:p>
    <w:sectPr w:rsidR="00855850" w:rsidRPr="00855850"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95BB7" w14:textId="77777777" w:rsidR="005A7A5D" w:rsidRDefault="005A7A5D">
      <w:pPr>
        <w:spacing w:after="0" w:line="240" w:lineRule="auto"/>
      </w:pPr>
      <w:r>
        <w:separator/>
      </w:r>
    </w:p>
  </w:endnote>
  <w:endnote w:type="continuationSeparator" w:id="0">
    <w:p w14:paraId="661E95EB" w14:textId="77777777" w:rsidR="005A7A5D" w:rsidRDefault="005A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C637" w14:textId="42E71818" w:rsidR="002C7EA6" w:rsidRPr="004D0F93" w:rsidRDefault="002C7EA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0F931CC0" w14:textId="77777777" w:rsidR="002C7EA6" w:rsidRDefault="002C7E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BB4C" w14:textId="6AF85B3A" w:rsidR="002C7EA6" w:rsidRDefault="002C7EA6" w:rsidP="004532C6">
    <w:pPr>
      <w:pStyle w:val="Pidipagina"/>
      <w:tabs>
        <w:tab w:val="clear" w:pos="9638"/>
        <w:tab w:val="right" w:pos="10034"/>
      </w:tabs>
      <w:rPr>
        <w:rFonts w:asciiTheme="majorHAnsi" w:hAnsiTheme="majorHAnsi"/>
        <w:sz w:val="18"/>
        <w:szCs w:val="18"/>
      </w:rPr>
    </w:pPr>
  </w:p>
  <w:p w14:paraId="15E646C0"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p>
  <w:p w14:paraId="3E34FC0E"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11B689CB" w14:textId="77777777" w:rsidR="002C7EA6" w:rsidRPr="002739D4" w:rsidRDefault="002C7EA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274766"/>
      <w:docPartObj>
        <w:docPartGallery w:val="Page Numbers (Bottom of Page)"/>
        <w:docPartUnique/>
      </w:docPartObj>
    </w:sdtPr>
    <w:sdtContent>
      <w:p w14:paraId="2F35CBB7" w14:textId="311182C3" w:rsidR="00EB5988" w:rsidRDefault="00EB5988">
        <w:pPr>
          <w:pStyle w:val="Pidipagina"/>
          <w:jc w:val="center"/>
        </w:pPr>
        <w:r>
          <w:fldChar w:fldCharType="begin"/>
        </w:r>
        <w:r>
          <w:instrText>PAGE   \* MERGEFORMAT</w:instrText>
        </w:r>
        <w:r>
          <w:fldChar w:fldCharType="separate"/>
        </w:r>
        <w:r>
          <w:t>2</w:t>
        </w:r>
        <w:r>
          <w:fldChar w:fldCharType="end"/>
        </w:r>
      </w:p>
    </w:sdtContent>
  </w:sdt>
  <w:p w14:paraId="3C8767D9" w14:textId="77777777" w:rsidR="002C7EA6" w:rsidRPr="002739D4" w:rsidRDefault="002C7EA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662DB" w14:textId="77777777" w:rsidR="005A7A5D" w:rsidRDefault="005A7A5D">
      <w:pPr>
        <w:spacing w:after="0" w:line="240" w:lineRule="auto"/>
      </w:pPr>
      <w:r>
        <w:separator/>
      </w:r>
    </w:p>
  </w:footnote>
  <w:footnote w:type="continuationSeparator" w:id="0">
    <w:p w14:paraId="3DC349D8" w14:textId="77777777" w:rsidR="005A7A5D" w:rsidRDefault="005A7A5D">
      <w:pPr>
        <w:spacing w:after="0" w:line="240" w:lineRule="auto"/>
      </w:pPr>
      <w:r>
        <w:continuationSeparator/>
      </w:r>
    </w:p>
  </w:footnote>
  <w:footnote w:id="1">
    <w:p w14:paraId="13ED3247" w14:textId="77777777" w:rsidR="008E13AB" w:rsidRPr="00FF4353" w:rsidRDefault="008E13AB" w:rsidP="008E13AB">
      <w:pPr>
        <w:jc w:val="both"/>
        <w:rPr>
          <w:rFonts w:asciiTheme="minorHAnsi" w:hAnsiTheme="minorHAnsi"/>
          <w:color w:val="000000" w:themeColor="text1"/>
        </w:rPr>
      </w:pPr>
      <w:r>
        <w:rPr>
          <w:rStyle w:val="Rimandonotaapidipagina"/>
        </w:rPr>
        <w:footnoteRef/>
      </w:r>
      <w:r>
        <w:t xml:space="preserve"> </w:t>
      </w:r>
      <w:r w:rsidRPr="00FF4353">
        <w:rPr>
          <w:rFonts w:asciiTheme="minorHAnsi" w:hAnsiTheme="minorHAnsi"/>
          <w:color w:val="000000" w:themeColor="text1"/>
        </w:rPr>
        <w:t>Dis.1.1. (Nuova formulazione) Ceccanti.</w:t>
      </w:r>
    </w:p>
    <w:p w14:paraId="0DAE9A00" w14:textId="77777777" w:rsidR="008E13AB" w:rsidRDefault="008E13AB">
      <w:pPr>
        <w:pStyle w:val="Testonotaapidipagina"/>
      </w:pPr>
    </w:p>
  </w:footnote>
  <w:footnote w:id="2">
    <w:p w14:paraId="7E569B0F"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 xml:space="preserve">2.24. (Nuova formulazione) </w:t>
      </w:r>
      <w:proofErr w:type="spellStart"/>
      <w:r w:rsidRPr="00141F00">
        <w:rPr>
          <w:rFonts w:asciiTheme="minorHAnsi" w:hAnsiTheme="minorHAnsi"/>
          <w:color w:val="000000" w:themeColor="text1"/>
        </w:rPr>
        <w:t>Badole</w:t>
      </w:r>
      <w:proofErr w:type="spellEnd"/>
      <w:r w:rsidRPr="00141F00">
        <w:rPr>
          <w:rFonts w:asciiTheme="minorHAnsi" w:hAnsiTheme="minorHAnsi"/>
          <w:color w:val="000000" w:themeColor="text1"/>
        </w:rPr>
        <w:t xml:space="preserve">, Benvenuto, D'Eramo, Dara, Eva Lorenzoni, Lucchini, </w:t>
      </w:r>
      <w:proofErr w:type="spellStart"/>
      <w:r w:rsidRPr="00141F00">
        <w:rPr>
          <w:rFonts w:asciiTheme="minorHAnsi" w:hAnsiTheme="minorHAnsi"/>
          <w:color w:val="000000" w:themeColor="text1"/>
        </w:rPr>
        <w:t>Patassini</w:t>
      </w:r>
      <w:proofErr w:type="spellEnd"/>
      <w:r w:rsidRPr="00141F00">
        <w:rPr>
          <w:rFonts w:asciiTheme="minorHAnsi" w:hAnsiTheme="minorHAnsi"/>
          <w:color w:val="000000" w:themeColor="text1"/>
        </w:rPr>
        <w:t xml:space="preserve">, Raffaelli, Valbusa, </w:t>
      </w:r>
      <w:proofErr w:type="spellStart"/>
      <w:r w:rsidRPr="00141F00">
        <w:rPr>
          <w:rFonts w:asciiTheme="minorHAnsi" w:hAnsiTheme="minorHAnsi"/>
          <w:color w:val="000000" w:themeColor="text1"/>
        </w:rPr>
        <w:t>Vallotto</w:t>
      </w:r>
      <w:proofErr w:type="spellEnd"/>
      <w:r w:rsidRPr="00141F00">
        <w:rPr>
          <w:color w:val="000000" w:themeColor="text1"/>
        </w:rPr>
        <w:t xml:space="preserve">; </w:t>
      </w:r>
      <w:r w:rsidRPr="00141F00">
        <w:rPr>
          <w:rFonts w:asciiTheme="minorHAnsi" w:hAnsiTheme="minorHAnsi"/>
          <w:color w:val="000000" w:themeColor="text1"/>
        </w:rPr>
        <w:t xml:space="preserve">2.44. (Nuova formulazione) </w:t>
      </w:r>
      <w:proofErr w:type="spellStart"/>
      <w:r w:rsidRPr="00141F00">
        <w:rPr>
          <w:rFonts w:asciiTheme="minorHAnsi" w:hAnsiTheme="minorHAnsi"/>
          <w:color w:val="000000" w:themeColor="text1"/>
        </w:rPr>
        <w:t>Milanato</w:t>
      </w:r>
      <w:proofErr w:type="spellEnd"/>
      <w:r w:rsidRPr="00141F00">
        <w:rPr>
          <w:rFonts w:asciiTheme="minorHAnsi" w:hAnsiTheme="minorHAnsi"/>
          <w:color w:val="000000" w:themeColor="text1"/>
        </w:rPr>
        <w:t>.</w:t>
      </w:r>
    </w:p>
    <w:p w14:paraId="5B877CF8" w14:textId="77777777" w:rsidR="003C2650" w:rsidRDefault="003C2650">
      <w:pPr>
        <w:pStyle w:val="Testonotaapidipagina"/>
      </w:pPr>
    </w:p>
  </w:footnote>
  <w:footnote w:id="3">
    <w:p w14:paraId="77D20CEF"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2.52. Paolo Russo, Ceccanti, Corneli, Dori.</w:t>
      </w:r>
    </w:p>
    <w:p w14:paraId="50471AAB" w14:textId="77777777" w:rsidR="003C2650" w:rsidRDefault="003C2650">
      <w:pPr>
        <w:pStyle w:val="Testonotaapidipagina"/>
      </w:pPr>
    </w:p>
  </w:footnote>
  <w:footnote w:id="4">
    <w:p w14:paraId="52D6F70C" w14:textId="77777777" w:rsidR="00577838" w:rsidRPr="00294063" w:rsidRDefault="00577838" w:rsidP="00577838">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2.37. Galizia.</w:t>
      </w:r>
    </w:p>
    <w:p w14:paraId="1BD07AE7" w14:textId="77777777" w:rsidR="00577838" w:rsidRDefault="00577838">
      <w:pPr>
        <w:pStyle w:val="Testonotaapidipagina"/>
      </w:pPr>
    </w:p>
  </w:footnote>
  <w:footnote w:id="5">
    <w:p w14:paraId="2807A6D8"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2.4. Marco Di Maio, </w:t>
      </w:r>
      <w:proofErr w:type="spellStart"/>
      <w:r w:rsidRPr="00294063">
        <w:rPr>
          <w:rFonts w:asciiTheme="minorHAnsi" w:hAnsiTheme="minorHAnsi"/>
          <w:color w:val="000000" w:themeColor="text1"/>
        </w:rPr>
        <w:t>Fregolent</w:t>
      </w:r>
      <w:proofErr w:type="spellEnd"/>
      <w:r w:rsidRPr="00294063">
        <w:rPr>
          <w:color w:val="000000" w:themeColor="text1"/>
        </w:rPr>
        <w:t xml:space="preserve">; </w:t>
      </w:r>
      <w:r w:rsidRPr="00294063">
        <w:rPr>
          <w:rFonts w:asciiTheme="minorHAnsi" w:hAnsiTheme="minorHAnsi"/>
          <w:color w:val="000000" w:themeColor="text1"/>
        </w:rPr>
        <w:t>2.5. Foti, Prisco, Butti, Donzelli, Rachele Silvestri</w:t>
      </w:r>
      <w:r w:rsidRPr="00294063">
        <w:rPr>
          <w:color w:val="000000" w:themeColor="text1"/>
        </w:rPr>
        <w:t xml:space="preserve">; </w:t>
      </w:r>
      <w:r w:rsidRPr="00294063">
        <w:rPr>
          <w:rFonts w:asciiTheme="minorHAnsi" w:hAnsiTheme="minorHAnsi"/>
          <w:color w:val="000000" w:themeColor="text1"/>
        </w:rPr>
        <w:t>2.36. Lupi</w:t>
      </w:r>
      <w:r w:rsidRPr="00294063">
        <w:rPr>
          <w:color w:val="000000" w:themeColor="text1"/>
        </w:rPr>
        <w:t xml:space="preserve">; </w:t>
      </w:r>
      <w:r w:rsidRPr="00294063">
        <w:rPr>
          <w:rFonts w:asciiTheme="minorHAnsi" w:hAnsiTheme="minorHAnsi"/>
          <w:color w:val="000000" w:themeColor="text1"/>
        </w:rPr>
        <w:t xml:space="preserve">2.46. Cortelazzo, Squeri, Mazzetti, Labriola, Ferraioli, Casino, Paolo Russo, </w:t>
      </w:r>
      <w:proofErr w:type="spellStart"/>
      <w:r w:rsidRPr="00294063">
        <w:rPr>
          <w:rFonts w:asciiTheme="minorHAnsi" w:hAnsiTheme="minorHAnsi"/>
          <w:color w:val="000000" w:themeColor="text1"/>
        </w:rPr>
        <w:t>Milanato</w:t>
      </w:r>
      <w:proofErr w:type="spellEnd"/>
      <w:r w:rsidRPr="00294063">
        <w:rPr>
          <w:rFonts w:asciiTheme="minorHAnsi" w:hAnsiTheme="minorHAnsi"/>
          <w:color w:val="000000" w:themeColor="text1"/>
        </w:rPr>
        <w:t>, Sarro, Tartaglione.</w:t>
      </w:r>
    </w:p>
    <w:p w14:paraId="4898656A" w14:textId="77777777" w:rsidR="00422F9D" w:rsidRDefault="00422F9D">
      <w:pPr>
        <w:pStyle w:val="Testonotaapidipagina"/>
      </w:pPr>
    </w:p>
  </w:footnote>
  <w:footnote w:id="6">
    <w:p w14:paraId="19776F26"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2.1. (Nuova formulazione) De </w:t>
      </w:r>
      <w:proofErr w:type="spellStart"/>
      <w:r w:rsidRPr="00294063">
        <w:rPr>
          <w:rFonts w:asciiTheme="minorHAnsi" w:hAnsiTheme="minorHAnsi"/>
          <w:color w:val="000000" w:themeColor="text1"/>
        </w:rPr>
        <w:t>Menech</w:t>
      </w:r>
      <w:proofErr w:type="spellEnd"/>
      <w:r w:rsidRPr="00294063">
        <w:rPr>
          <w:rFonts w:asciiTheme="minorHAnsi" w:hAnsiTheme="minorHAnsi"/>
          <w:color w:val="000000" w:themeColor="text1"/>
        </w:rPr>
        <w:t>, Cenni</w:t>
      </w:r>
      <w:r w:rsidRPr="00294063">
        <w:rPr>
          <w:color w:val="000000" w:themeColor="text1"/>
        </w:rPr>
        <w:t xml:space="preserve">; </w:t>
      </w:r>
      <w:r w:rsidRPr="00294063">
        <w:rPr>
          <w:rFonts w:asciiTheme="minorHAnsi" w:hAnsiTheme="minorHAnsi"/>
          <w:color w:val="000000" w:themeColor="text1"/>
        </w:rPr>
        <w:t>2.9. (Nuova formulazione) Ruffino</w:t>
      </w:r>
      <w:r w:rsidRPr="00294063">
        <w:rPr>
          <w:color w:val="000000" w:themeColor="text1"/>
        </w:rPr>
        <w:t xml:space="preserve">; </w:t>
      </w:r>
      <w:r w:rsidRPr="00294063">
        <w:rPr>
          <w:rFonts w:asciiTheme="minorHAnsi" w:hAnsiTheme="minorHAnsi"/>
          <w:color w:val="000000" w:themeColor="text1"/>
        </w:rPr>
        <w:t>2.19. (Nuova formulazione) Gagliardi</w:t>
      </w:r>
      <w:r w:rsidRPr="00294063">
        <w:rPr>
          <w:color w:val="000000" w:themeColor="text1"/>
        </w:rPr>
        <w:t xml:space="preserve">; </w:t>
      </w:r>
      <w:r w:rsidRPr="00294063">
        <w:rPr>
          <w:rFonts w:asciiTheme="minorHAnsi" w:hAnsiTheme="minorHAnsi"/>
          <w:color w:val="000000" w:themeColor="text1"/>
        </w:rPr>
        <w:t>2.21. (Nuova formulazione) Bordonali, Di Muro, Fogliani, Invernizzi, Ravetto, Stefani, Tonelli, Ziello, Iezzi</w:t>
      </w:r>
      <w:r w:rsidRPr="00294063">
        <w:rPr>
          <w:color w:val="000000" w:themeColor="text1"/>
        </w:rPr>
        <w:t xml:space="preserve">; </w:t>
      </w:r>
      <w:r w:rsidRPr="00294063">
        <w:rPr>
          <w:rFonts w:asciiTheme="minorHAnsi" w:hAnsiTheme="minorHAnsi"/>
          <w:color w:val="000000" w:themeColor="text1"/>
        </w:rPr>
        <w:t>2.41. (Nuova formulazione) Paolo Russo, Sarro, Cortelazzo, Mazzetti, Tartaglione</w:t>
      </w:r>
      <w:r w:rsidRPr="00294063">
        <w:rPr>
          <w:color w:val="000000" w:themeColor="text1"/>
        </w:rPr>
        <w:t xml:space="preserve">; </w:t>
      </w:r>
      <w:r w:rsidRPr="00294063">
        <w:rPr>
          <w:rFonts w:asciiTheme="minorHAnsi" w:hAnsiTheme="minorHAnsi"/>
          <w:color w:val="000000" w:themeColor="text1"/>
        </w:rPr>
        <w:t xml:space="preserve">2.48. (Nuova formulazione) Pella, </w:t>
      </w:r>
      <w:proofErr w:type="spellStart"/>
      <w:r w:rsidRPr="00294063">
        <w:rPr>
          <w:rFonts w:asciiTheme="minorHAnsi" w:hAnsiTheme="minorHAnsi"/>
          <w:color w:val="000000" w:themeColor="text1"/>
        </w:rPr>
        <w:t>Milanato</w:t>
      </w:r>
      <w:proofErr w:type="spellEnd"/>
      <w:r w:rsidRPr="00294063">
        <w:rPr>
          <w:rFonts w:asciiTheme="minorHAnsi" w:hAnsiTheme="minorHAnsi"/>
          <w:color w:val="000000" w:themeColor="text1"/>
        </w:rPr>
        <w:t>, Cortelazzo</w:t>
      </w:r>
      <w:r w:rsidRPr="00294063">
        <w:rPr>
          <w:color w:val="000000" w:themeColor="text1"/>
        </w:rPr>
        <w:t xml:space="preserve">; </w:t>
      </w:r>
      <w:r w:rsidRPr="00294063">
        <w:rPr>
          <w:rFonts w:asciiTheme="minorHAnsi" w:hAnsiTheme="minorHAnsi"/>
          <w:color w:val="000000" w:themeColor="text1"/>
        </w:rPr>
        <w:t>2.29. (Nuova formulazione) Elisa Tripodi.</w:t>
      </w:r>
    </w:p>
    <w:p w14:paraId="15EFBDE7" w14:textId="77777777" w:rsidR="00422F9D" w:rsidRDefault="00422F9D">
      <w:pPr>
        <w:pStyle w:val="Testonotaapidipagina"/>
      </w:pPr>
    </w:p>
  </w:footnote>
  <w:footnote w:id="7">
    <w:p w14:paraId="29550A21" w14:textId="77777777" w:rsidR="00F7321E" w:rsidRPr="00294063" w:rsidRDefault="00F7321E" w:rsidP="00F7321E">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7.14. Alaimo.</w:t>
      </w:r>
    </w:p>
    <w:p w14:paraId="3E726B35" w14:textId="77777777" w:rsidR="00F7321E" w:rsidRDefault="00F7321E">
      <w:pPr>
        <w:pStyle w:val="Testonotaapidipagina"/>
      </w:pPr>
    </w:p>
  </w:footnote>
  <w:footnote w:id="8">
    <w:p w14:paraId="46879437" w14:textId="77777777" w:rsidR="00FC334C" w:rsidRPr="00177953" w:rsidRDefault="00FC334C" w:rsidP="00FC334C">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 xml:space="preserve">7.6. Pellicani, Braga, Pezzopane, Buratti, </w:t>
      </w:r>
      <w:proofErr w:type="spellStart"/>
      <w:r w:rsidRPr="00177953">
        <w:rPr>
          <w:rFonts w:asciiTheme="minorHAnsi" w:hAnsiTheme="minorHAnsi"/>
          <w:color w:val="000000" w:themeColor="text1"/>
        </w:rPr>
        <w:t>Morgoni</w:t>
      </w:r>
      <w:proofErr w:type="spellEnd"/>
      <w:r w:rsidRPr="00177953">
        <w:rPr>
          <w:rFonts w:asciiTheme="minorHAnsi" w:hAnsiTheme="minorHAnsi"/>
          <w:color w:val="000000" w:themeColor="text1"/>
        </w:rPr>
        <w:t>, Rotta</w:t>
      </w:r>
      <w:r>
        <w:rPr>
          <w:color w:val="000000" w:themeColor="text1"/>
        </w:rPr>
        <w:t xml:space="preserve">; </w:t>
      </w:r>
      <w:r w:rsidRPr="00177953">
        <w:rPr>
          <w:rFonts w:asciiTheme="minorHAnsi" w:hAnsiTheme="minorHAnsi"/>
          <w:color w:val="000000" w:themeColor="text1"/>
        </w:rPr>
        <w:t xml:space="preserve">7.16. Baldino, Alaimo, Azzolina, Brescia, Maurizio </w:t>
      </w:r>
      <w:proofErr w:type="spellStart"/>
      <w:r w:rsidRPr="00177953">
        <w:rPr>
          <w:rFonts w:asciiTheme="minorHAnsi" w:hAnsiTheme="minorHAnsi"/>
          <w:color w:val="000000" w:themeColor="text1"/>
        </w:rPr>
        <w:t>Cattoi</w:t>
      </w:r>
      <w:proofErr w:type="spellEnd"/>
      <w:r w:rsidRPr="00177953">
        <w:rPr>
          <w:rFonts w:asciiTheme="minorHAnsi" w:hAnsiTheme="minorHAnsi"/>
          <w:color w:val="000000" w:themeColor="text1"/>
        </w:rPr>
        <w:t>, Corneli, De Carlo, Dieni, Giordano, Francesco Silvestri, Elisa Tripodi, Ferraresi.</w:t>
      </w:r>
    </w:p>
    <w:p w14:paraId="5A4DD227" w14:textId="77777777" w:rsidR="00FC334C" w:rsidRDefault="00FC334C">
      <w:pPr>
        <w:pStyle w:val="Testonotaapidipagina"/>
      </w:pPr>
    </w:p>
  </w:footnote>
  <w:footnote w:id="9">
    <w:p w14:paraId="768409A4" w14:textId="77777777" w:rsidR="00725940" w:rsidRPr="00177953" w:rsidRDefault="00725940" w:rsidP="00725940">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10.13. (Nuova formulazione) Braga.</w:t>
      </w:r>
    </w:p>
    <w:p w14:paraId="4272D2DC" w14:textId="77777777" w:rsidR="00725940" w:rsidRDefault="00725940">
      <w:pPr>
        <w:pStyle w:val="Testonotaapidipagina"/>
      </w:pPr>
    </w:p>
  </w:footnote>
  <w:footnote w:id="10">
    <w:p w14:paraId="4A102C8B" w14:textId="77777777" w:rsidR="00151A07" w:rsidRPr="00177953" w:rsidRDefault="00151A07" w:rsidP="00151A07">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12.1. (Nuova formulazione) Ceccanti.</w:t>
      </w:r>
    </w:p>
    <w:p w14:paraId="6989BC8A" w14:textId="77777777" w:rsidR="00151A07" w:rsidRDefault="00151A07">
      <w:pPr>
        <w:pStyle w:val="Testonotaapidipagina"/>
      </w:pPr>
    </w:p>
  </w:footnote>
  <w:footnote w:id="11">
    <w:p w14:paraId="6412F77C" w14:textId="77777777" w:rsidR="00B3301A" w:rsidRPr="00AA6695" w:rsidRDefault="00B3301A" w:rsidP="00B3301A">
      <w:pPr>
        <w:jc w:val="both"/>
        <w:rPr>
          <w:rFonts w:asciiTheme="minorHAnsi" w:hAnsiTheme="minorHAnsi"/>
          <w:color w:val="000000" w:themeColor="text1"/>
        </w:rPr>
      </w:pPr>
      <w:r>
        <w:rPr>
          <w:rStyle w:val="Rimandonotaapidipagina"/>
        </w:rPr>
        <w:footnoteRef/>
      </w:r>
      <w:r>
        <w:t xml:space="preserve"> </w:t>
      </w:r>
      <w:r w:rsidRPr="00AA6695">
        <w:rPr>
          <w:rFonts w:asciiTheme="minorHAnsi" w:hAnsiTheme="minorHAnsi"/>
          <w:color w:val="000000" w:themeColor="text1"/>
        </w:rPr>
        <w:t>38.13. (Nuova formulazione) Ceccanti, Navarra, Bruno Bossio, Ciampi, Fiano, Giorgis, Mauri, Pollastrini, Raciti</w:t>
      </w:r>
      <w:r w:rsidRPr="00AA6695">
        <w:rPr>
          <w:color w:val="000000" w:themeColor="text1"/>
        </w:rPr>
        <w:t xml:space="preserve">; </w:t>
      </w:r>
      <w:r w:rsidRPr="00AA6695">
        <w:rPr>
          <w:rFonts w:asciiTheme="minorHAnsi" w:hAnsiTheme="minorHAnsi"/>
          <w:color w:val="000000" w:themeColor="text1"/>
        </w:rPr>
        <w:t xml:space="preserve">38.25. (Nuova formulazione) </w:t>
      </w:r>
      <w:proofErr w:type="spellStart"/>
      <w:r w:rsidRPr="00AA6695">
        <w:rPr>
          <w:rFonts w:asciiTheme="minorHAnsi" w:hAnsiTheme="minorHAnsi"/>
          <w:color w:val="000000" w:themeColor="text1"/>
        </w:rPr>
        <w:t>Carabetta</w:t>
      </w:r>
      <w:proofErr w:type="spellEnd"/>
      <w:r w:rsidRPr="00AA6695">
        <w:rPr>
          <w:rFonts w:asciiTheme="minorHAnsi" w:hAnsiTheme="minorHAnsi"/>
          <w:color w:val="000000" w:themeColor="text1"/>
        </w:rPr>
        <w:t>.</w:t>
      </w:r>
    </w:p>
    <w:p w14:paraId="46AD4BD4" w14:textId="77777777" w:rsidR="00B3301A" w:rsidRDefault="00B3301A">
      <w:pPr>
        <w:pStyle w:val="Testonotaapidipagina"/>
      </w:pPr>
    </w:p>
  </w:footnote>
  <w:footnote w:id="12">
    <w:p w14:paraId="0142E08E" w14:textId="77777777" w:rsidR="000F292C" w:rsidRPr="002E0F01" w:rsidRDefault="000F292C" w:rsidP="000F292C">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38.16. Navarra, Ceccanti, Bruno Bossio, Ciampi, Fiano, Giorgis, Mauri, Pollastrini, Raciti</w:t>
      </w:r>
      <w:r w:rsidRPr="002E0F01">
        <w:rPr>
          <w:color w:val="000000" w:themeColor="text1"/>
        </w:rPr>
        <w:t xml:space="preserve">; </w:t>
      </w:r>
      <w:r w:rsidRPr="002E0F01">
        <w:rPr>
          <w:rFonts w:asciiTheme="minorHAnsi" w:hAnsiTheme="minorHAnsi"/>
          <w:color w:val="000000" w:themeColor="text1"/>
        </w:rPr>
        <w:t xml:space="preserve">38.28. </w:t>
      </w:r>
      <w:proofErr w:type="spellStart"/>
      <w:r w:rsidRPr="002E0F01">
        <w:rPr>
          <w:rFonts w:asciiTheme="minorHAnsi" w:hAnsiTheme="minorHAnsi"/>
          <w:color w:val="000000" w:themeColor="text1"/>
        </w:rPr>
        <w:t>Carabetta</w:t>
      </w:r>
      <w:proofErr w:type="spellEnd"/>
      <w:r w:rsidRPr="002E0F01">
        <w:rPr>
          <w:rFonts w:asciiTheme="minorHAnsi" w:hAnsiTheme="minorHAnsi"/>
          <w:color w:val="000000" w:themeColor="text1"/>
        </w:rPr>
        <w:t>.</w:t>
      </w:r>
    </w:p>
    <w:p w14:paraId="7DAD6792" w14:textId="77777777" w:rsidR="000F292C" w:rsidRDefault="000F292C">
      <w:pPr>
        <w:pStyle w:val="Testonotaapidipagina"/>
      </w:pPr>
    </w:p>
  </w:footnote>
  <w:footnote w:id="13">
    <w:p w14:paraId="006B50E4" w14:textId="77777777" w:rsidR="00FE6EBF" w:rsidRDefault="00FE6EBF">
      <w:pPr>
        <w:pStyle w:val="Testonotaapidipagina"/>
      </w:pPr>
      <w:r>
        <w:rPr>
          <w:rStyle w:val="Rimandonotaapidipagina"/>
        </w:rPr>
        <w:footnoteRef/>
      </w:r>
      <w:r>
        <w:t xml:space="preserve"> </w:t>
      </w:r>
      <w:r w:rsidRPr="002E0F01">
        <w:rPr>
          <w:rFonts w:asciiTheme="minorHAnsi" w:hAnsiTheme="minorHAnsi"/>
          <w:color w:val="000000" w:themeColor="text1"/>
        </w:rPr>
        <w:t xml:space="preserve">38.34. </w:t>
      </w:r>
      <w:proofErr w:type="spellStart"/>
      <w:r w:rsidRPr="002E0F01">
        <w:rPr>
          <w:rFonts w:asciiTheme="minorHAnsi" w:hAnsiTheme="minorHAnsi"/>
          <w:color w:val="000000" w:themeColor="text1"/>
        </w:rPr>
        <w:t>Zanettin</w:t>
      </w:r>
      <w:proofErr w:type="spellEnd"/>
      <w:r w:rsidRPr="002E0F01">
        <w:rPr>
          <w:rFonts w:asciiTheme="minorHAnsi" w:hAnsiTheme="minorHAnsi"/>
          <w:color w:val="000000" w:themeColor="text1"/>
        </w:rPr>
        <w:t>, Cassinelli, Cristina, Pittalis, Siracusano, Giannone.</w:t>
      </w:r>
    </w:p>
  </w:footnote>
  <w:footnote w:id="14">
    <w:p w14:paraId="300AFBCB" w14:textId="77777777" w:rsidR="00BA0CCD" w:rsidRPr="002E0F01" w:rsidRDefault="00BA0CCD" w:rsidP="00BA0CCD">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38.35. </w:t>
      </w:r>
      <w:proofErr w:type="spellStart"/>
      <w:r w:rsidRPr="002E0F01">
        <w:rPr>
          <w:rFonts w:asciiTheme="minorHAnsi" w:hAnsiTheme="minorHAnsi"/>
          <w:color w:val="000000" w:themeColor="text1"/>
        </w:rPr>
        <w:t>Zanettin</w:t>
      </w:r>
      <w:proofErr w:type="spellEnd"/>
      <w:r w:rsidRPr="002E0F01">
        <w:rPr>
          <w:rFonts w:asciiTheme="minorHAnsi" w:hAnsiTheme="minorHAnsi"/>
          <w:color w:val="000000" w:themeColor="text1"/>
        </w:rPr>
        <w:t>, Cassinelli, Cristina, Pittalis, Siracusano, Giannone.</w:t>
      </w:r>
    </w:p>
    <w:p w14:paraId="306A60BB" w14:textId="77777777" w:rsidR="00BA0CCD" w:rsidRDefault="00BA0CCD">
      <w:pPr>
        <w:pStyle w:val="Testonotaapidipagina"/>
      </w:pPr>
    </w:p>
  </w:footnote>
  <w:footnote w:id="15">
    <w:p w14:paraId="7C0DBDEF" w14:textId="77777777" w:rsidR="00256907" w:rsidRPr="002E0F01" w:rsidRDefault="00256907" w:rsidP="00256907">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38.026. (Nuova formulazione). Baldino, Ceccanti, Gregorio Fontana, Fornaro, </w:t>
      </w:r>
      <w:proofErr w:type="spellStart"/>
      <w:r w:rsidRPr="002E0F01">
        <w:rPr>
          <w:rFonts w:asciiTheme="minorHAnsi" w:hAnsiTheme="minorHAnsi"/>
          <w:color w:val="000000" w:themeColor="text1"/>
        </w:rPr>
        <w:t>Gebhard</w:t>
      </w:r>
      <w:proofErr w:type="spellEnd"/>
      <w:r w:rsidRPr="002E0F01">
        <w:rPr>
          <w:rFonts w:asciiTheme="minorHAnsi" w:hAnsiTheme="minorHAnsi"/>
          <w:color w:val="000000" w:themeColor="text1"/>
        </w:rPr>
        <w:t>, Iezzi, Brescia, Prisco, Ferro.</w:t>
      </w:r>
    </w:p>
    <w:p w14:paraId="363C73C5" w14:textId="77777777" w:rsidR="00256907" w:rsidRDefault="00256907">
      <w:pPr>
        <w:pStyle w:val="Testonotaapidipagina"/>
      </w:pPr>
    </w:p>
    <w:p w14:paraId="48322B0D" w14:textId="77777777" w:rsidR="00160E2F" w:rsidRDefault="00160E2F">
      <w:pPr>
        <w:pStyle w:val="Testonotaapidipagina"/>
      </w:pPr>
    </w:p>
  </w:footnote>
  <w:footnote w:id="16">
    <w:p w14:paraId="47AA6D6F" w14:textId="77777777" w:rsidR="00160E2F" w:rsidRPr="002E0F01" w:rsidRDefault="00160E2F" w:rsidP="00160E2F">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38.07. (Nuova formulazione) Butti, Foti, Rachele Silvestri, </w:t>
      </w:r>
      <w:proofErr w:type="spellStart"/>
      <w:r w:rsidRPr="002E0F01">
        <w:rPr>
          <w:rFonts w:asciiTheme="minorHAnsi" w:hAnsiTheme="minorHAnsi"/>
          <w:color w:val="000000" w:themeColor="text1"/>
        </w:rPr>
        <w:t>Silvestroni</w:t>
      </w:r>
      <w:proofErr w:type="spellEnd"/>
      <w:r w:rsidRPr="002E0F01">
        <w:rPr>
          <w:rFonts w:asciiTheme="minorHAnsi" w:hAnsiTheme="minorHAnsi"/>
          <w:color w:val="000000" w:themeColor="text1"/>
        </w:rPr>
        <w:t>, Mollicone, Rotelli, Prisco, Donzelli.</w:t>
      </w:r>
    </w:p>
    <w:p w14:paraId="703521C0" w14:textId="77777777" w:rsidR="00160E2F" w:rsidRDefault="00160E2F">
      <w:pPr>
        <w:pStyle w:val="Testonotaapidipagina"/>
      </w:pPr>
    </w:p>
  </w:footnote>
  <w:footnote w:id="17">
    <w:p w14:paraId="415CA834" w14:textId="77777777" w:rsidR="00390CF5" w:rsidRPr="002E0F01" w:rsidRDefault="00390CF5" w:rsidP="00390CF5">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39.35. (Nuova formulazione) </w:t>
      </w:r>
      <w:proofErr w:type="spellStart"/>
      <w:r w:rsidRPr="002E0F01">
        <w:rPr>
          <w:rFonts w:asciiTheme="minorHAnsi" w:hAnsiTheme="minorHAnsi"/>
          <w:color w:val="000000" w:themeColor="text1"/>
        </w:rPr>
        <w:t>Giuliodori</w:t>
      </w:r>
      <w:proofErr w:type="spellEnd"/>
      <w:r w:rsidRPr="002E0F01">
        <w:rPr>
          <w:rFonts w:asciiTheme="minorHAnsi" w:hAnsiTheme="minorHAnsi"/>
          <w:color w:val="000000" w:themeColor="text1"/>
        </w:rPr>
        <w:t>, Forciniti, Colletti, Sapia, Spessotto, Leda Volpi.</w:t>
      </w:r>
    </w:p>
    <w:p w14:paraId="1AADAAA2" w14:textId="77777777" w:rsidR="00390CF5" w:rsidRDefault="00390CF5">
      <w:pPr>
        <w:pStyle w:val="Testonotaapidipagina"/>
      </w:pPr>
    </w:p>
  </w:footnote>
  <w:footnote w:id="18">
    <w:p w14:paraId="1377D73B" w14:textId="77777777" w:rsidR="00424301" w:rsidRPr="00D506C3" w:rsidRDefault="00424301" w:rsidP="00424301">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39.022. (Nuova formulazione) Iezzi, Magi.</w:t>
      </w:r>
    </w:p>
    <w:p w14:paraId="7788A5C2" w14:textId="77777777" w:rsidR="00424301" w:rsidRDefault="00424301">
      <w:pPr>
        <w:pStyle w:val="Testonotaapidipagina"/>
      </w:pPr>
    </w:p>
  </w:footnote>
  <w:footnote w:id="19">
    <w:p w14:paraId="504BED93" w14:textId="77777777" w:rsidR="00A8330A" w:rsidRPr="00D506C3" w:rsidRDefault="00A8330A" w:rsidP="00A8330A">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39.012. Ferrari, Iezzi, Bordonali, Di Muro, Fogliani, Invernizzi, Ravetto, Stefani, Tonelli, Ziello.</w:t>
      </w:r>
    </w:p>
    <w:p w14:paraId="0BE6020A" w14:textId="77777777" w:rsidR="00A8330A" w:rsidRDefault="00A8330A">
      <w:pPr>
        <w:pStyle w:val="Testonotaapidipagina"/>
      </w:pPr>
    </w:p>
  </w:footnote>
  <w:footnote w:id="20">
    <w:p w14:paraId="11E8E0C0" w14:textId="77777777" w:rsidR="009F4248" w:rsidRPr="00D506C3" w:rsidRDefault="009F4248" w:rsidP="009F4248">
      <w:pPr>
        <w:jc w:val="both"/>
        <w:rPr>
          <w:rFonts w:asciiTheme="minorHAnsi" w:hAnsiTheme="minorHAnsi"/>
          <w:color w:val="000000" w:themeColor="text1"/>
        </w:rPr>
      </w:pPr>
      <w:r>
        <w:rPr>
          <w:rStyle w:val="Rimandonotaapidipagina"/>
        </w:rPr>
        <w:footnoteRef/>
      </w:r>
      <w:r>
        <w:t xml:space="preserve"> </w:t>
      </w:r>
      <w:bookmarkStart w:id="1" w:name="_Hlk77147721"/>
      <w:r w:rsidRPr="00D506C3">
        <w:rPr>
          <w:rFonts w:asciiTheme="minorHAnsi" w:hAnsiTheme="minorHAnsi"/>
          <w:color w:val="000000" w:themeColor="text1"/>
        </w:rPr>
        <w:t xml:space="preserve">40.11. Butti, Foti, Rachele Silvestri, </w:t>
      </w:r>
      <w:proofErr w:type="spellStart"/>
      <w:r w:rsidRPr="00D506C3">
        <w:rPr>
          <w:rFonts w:asciiTheme="minorHAnsi" w:hAnsiTheme="minorHAnsi"/>
          <w:color w:val="000000" w:themeColor="text1"/>
        </w:rPr>
        <w:t>Silvestroni</w:t>
      </w:r>
      <w:proofErr w:type="spellEnd"/>
      <w:r w:rsidRPr="00D506C3">
        <w:rPr>
          <w:rFonts w:asciiTheme="minorHAnsi" w:hAnsiTheme="minorHAnsi"/>
          <w:color w:val="000000" w:themeColor="text1"/>
        </w:rPr>
        <w:t>, Mollicone, Rotelli, Prisco, Donzelli</w:t>
      </w:r>
      <w:r w:rsidRPr="00D506C3">
        <w:rPr>
          <w:color w:val="000000" w:themeColor="text1"/>
        </w:rPr>
        <w:t xml:space="preserve">; </w:t>
      </w:r>
      <w:r w:rsidRPr="00D506C3">
        <w:rPr>
          <w:rFonts w:asciiTheme="minorHAnsi" w:hAnsiTheme="minorHAnsi"/>
          <w:color w:val="000000" w:themeColor="text1"/>
        </w:rPr>
        <w:t>40.52. Ceccanti, Bruno Bossio, Navarra, Ciampi, Fiano, Giorgis, Mauri, Pollastrini, Raciti</w:t>
      </w:r>
      <w:r w:rsidRPr="00D506C3">
        <w:rPr>
          <w:color w:val="000000" w:themeColor="text1"/>
        </w:rPr>
        <w:t xml:space="preserve">; </w:t>
      </w:r>
      <w:r w:rsidRPr="00D506C3">
        <w:rPr>
          <w:rFonts w:asciiTheme="minorHAnsi" w:hAnsiTheme="minorHAnsi"/>
          <w:color w:val="000000" w:themeColor="text1"/>
        </w:rPr>
        <w:t xml:space="preserve">40.42. Capitanio, Lucchini, </w:t>
      </w:r>
      <w:proofErr w:type="spellStart"/>
      <w:r w:rsidRPr="00D506C3">
        <w:rPr>
          <w:rFonts w:asciiTheme="minorHAnsi" w:hAnsiTheme="minorHAnsi"/>
          <w:color w:val="000000" w:themeColor="text1"/>
        </w:rPr>
        <w:t>Badole</w:t>
      </w:r>
      <w:proofErr w:type="spellEnd"/>
      <w:r w:rsidRPr="00D506C3">
        <w:rPr>
          <w:rFonts w:asciiTheme="minorHAnsi" w:hAnsiTheme="minorHAnsi"/>
          <w:color w:val="000000" w:themeColor="text1"/>
        </w:rPr>
        <w:t>, Benvenuto, D'Eramo, Dara, Eva Lorenzoni,</w:t>
      </w:r>
      <w:r w:rsidRPr="00D506C3">
        <w:rPr>
          <w:color w:val="000000" w:themeColor="text1"/>
        </w:rPr>
        <w:t xml:space="preserve"> </w:t>
      </w:r>
      <w:proofErr w:type="spellStart"/>
      <w:r w:rsidRPr="00D506C3">
        <w:rPr>
          <w:rFonts w:asciiTheme="minorHAnsi" w:hAnsiTheme="minorHAnsi"/>
          <w:color w:val="000000" w:themeColor="text1"/>
        </w:rPr>
        <w:t>Patassini</w:t>
      </w:r>
      <w:proofErr w:type="spellEnd"/>
      <w:r w:rsidRPr="00D506C3">
        <w:rPr>
          <w:rFonts w:asciiTheme="minorHAnsi" w:hAnsiTheme="minorHAnsi"/>
          <w:color w:val="000000" w:themeColor="text1"/>
        </w:rPr>
        <w:t xml:space="preserve">, Raffaelli, Valbusa, </w:t>
      </w:r>
      <w:proofErr w:type="spellStart"/>
      <w:r w:rsidRPr="00D506C3">
        <w:rPr>
          <w:rFonts w:asciiTheme="minorHAnsi" w:hAnsiTheme="minorHAnsi"/>
          <w:color w:val="000000" w:themeColor="text1"/>
        </w:rPr>
        <w:t>Vallotto</w:t>
      </w:r>
      <w:proofErr w:type="spellEnd"/>
      <w:r w:rsidRPr="00D506C3">
        <w:rPr>
          <w:rFonts w:asciiTheme="minorHAnsi" w:hAnsiTheme="minorHAnsi"/>
          <w:color w:val="000000" w:themeColor="text1"/>
        </w:rPr>
        <w:t>, Bordonali, Di Muro, Iezzi, Invernizzi, Ravetto, Stefani, Tonelli, Ziello, Fogliani, Giacometti, Tombolato, Zanella, Zordan</w:t>
      </w:r>
      <w:r w:rsidRPr="00D506C3">
        <w:rPr>
          <w:color w:val="000000" w:themeColor="text1"/>
        </w:rPr>
        <w:t xml:space="preserve">; </w:t>
      </w:r>
      <w:r w:rsidRPr="00D506C3">
        <w:rPr>
          <w:rFonts w:asciiTheme="minorHAnsi" w:hAnsiTheme="minorHAnsi"/>
          <w:color w:val="000000" w:themeColor="text1"/>
        </w:rPr>
        <w:t>40.65. Liuzzi</w:t>
      </w:r>
      <w:r w:rsidRPr="00D506C3">
        <w:rPr>
          <w:color w:val="000000" w:themeColor="text1"/>
        </w:rPr>
        <w:t xml:space="preserve">; </w:t>
      </w:r>
      <w:r w:rsidRPr="00D506C3">
        <w:rPr>
          <w:rFonts w:asciiTheme="minorHAnsi" w:hAnsiTheme="minorHAnsi"/>
          <w:color w:val="000000" w:themeColor="text1"/>
        </w:rPr>
        <w:t>40.72. Cortelazzo, Tartaglione.</w:t>
      </w:r>
    </w:p>
    <w:bookmarkEnd w:id="1"/>
    <w:p w14:paraId="2E02D22F" w14:textId="77777777" w:rsidR="009F4248" w:rsidRDefault="009F4248">
      <w:pPr>
        <w:pStyle w:val="Testonotaapidipagina"/>
      </w:pPr>
    </w:p>
  </w:footnote>
  <w:footnote w:id="21">
    <w:p w14:paraId="3D4623E6" w14:textId="77777777" w:rsidR="00A8330A" w:rsidRPr="00D506C3" w:rsidRDefault="00A8330A" w:rsidP="00A8330A">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 xml:space="preserve">40.11. Butti, Foti, Rachele Silvestri, </w:t>
      </w:r>
      <w:proofErr w:type="spellStart"/>
      <w:r w:rsidRPr="00D506C3">
        <w:rPr>
          <w:rFonts w:asciiTheme="minorHAnsi" w:hAnsiTheme="minorHAnsi"/>
          <w:color w:val="000000" w:themeColor="text1"/>
        </w:rPr>
        <w:t>Silvestroni</w:t>
      </w:r>
      <w:proofErr w:type="spellEnd"/>
      <w:r w:rsidRPr="00D506C3">
        <w:rPr>
          <w:rFonts w:asciiTheme="minorHAnsi" w:hAnsiTheme="minorHAnsi"/>
          <w:color w:val="000000" w:themeColor="text1"/>
        </w:rPr>
        <w:t>, Mollicone, Rotelli, Prisco, Donzelli</w:t>
      </w:r>
      <w:r w:rsidRPr="00D506C3">
        <w:rPr>
          <w:color w:val="000000" w:themeColor="text1"/>
        </w:rPr>
        <w:t xml:space="preserve">; </w:t>
      </w:r>
      <w:r w:rsidRPr="00D506C3">
        <w:rPr>
          <w:rFonts w:asciiTheme="minorHAnsi" w:hAnsiTheme="minorHAnsi"/>
          <w:color w:val="000000" w:themeColor="text1"/>
        </w:rPr>
        <w:t>40.52. Ceccanti, Bruno Bossio, Navarra, Ciampi, Fiano, Giorgis, Mauri, Pollastrini, Raciti</w:t>
      </w:r>
      <w:r w:rsidRPr="00D506C3">
        <w:rPr>
          <w:color w:val="000000" w:themeColor="text1"/>
        </w:rPr>
        <w:t xml:space="preserve">; </w:t>
      </w:r>
      <w:r w:rsidRPr="00D506C3">
        <w:rPr>
          <w:rFonts w:asciiTheme="minorHAnsi" w:hAnsiTheme="minorHAnsi"/>
          <w:color w:val="000000" w:themeColor="text1"/>
        </w:rPr>
        <w:t xml:space="preserve">40.42. Capitanio, Lucchini, </w:t>
      </w:r>
      <w:proofErr w:type="spellStart"/>
      <w:r w:rsidRPr="00D506C3">
        <w:rPr>
          <w:rFonts w:asciiTheme="minorHAnsi" w:hAnsiTheme="minorHAnsi"/>
          <w:color w:val="000000" w:themeColor="text1"/>
        </w:rPr>
        <w:t>Badole</w:t>
      </w:r>
      <w:proofErr w:type="spellEnd"/>
      <w:r w:rsidRPr="00D506C3">
        <w:rPr>
          <w:rFonts w:asciiTheme="minorHAnsi" w:hAnsiTheme="minorHAnsi"/>
          <w:color w:val="000000" w:themeColor="text1"/>
        </w:rPr>
        <w:t>, Benvenuto, D'Eramo, Dara, Eva Lorenzoni,</w:t>
      </w:r>
      <w:r w:rsidRPr="00D506C3">
        <w:rPr>
          <w:color w:val="000000" w:themeColor="text1"/>
        </w:rPr>
        <w:t xml:space="preserve"> </w:t>
      </w:r>
      <w:proofErr w:type="spellStart"/>
      <w:r w:rsidRPr="00D506C3">
        <w:rPr>
          <w:rFonts w:asciiTheme="minorHAnsi" w:hAnsiTheme="minorHAnsi"/>
          <w:color w:val="000000" w:themeColor="text1"/>
        </w:rPr>
        <w:t>Patassini</w:t>
      </w:r>
      <w:proofErr w:type="spellEnd"/>
      <w:r w:rsidRPr="00D506C3">
        <w:rPr>
          <w:rFonts w:asciiTheme="minorHAnsi" w:hAnsiTheme="minorHAnsi"/>
          <w:color w:val="000000" w:themeColor="text1"/>
        </w:rPr>
        <w:t xml:space="preserve">, Raffaelli, Valbusa, </w:t>
      </w:r>
      <w:proofErr w:type="spellStart"/>
      <w:r w:rsidRPr="00D506C3">
        <w:rPr>
          <w:rFonts w:asciiTheme="minorHAnsi" w:hAnsiTheme="minorHAnsi"/>
          <w:color w:val="000000" w:themeColor="text1"/>
        </w:rPr>
        <w:t>Vallotto</w:t>
      </w:r>
      <w:proofErr w:type="spellEnd"/>
      <w:r w:rsidRPr="00D506C3">
        <w:rPr>
          <w:rFonts w:asciiTheme="minorHAnsi" w:hAnsiTheme="minorHAnsi"/>
          <w:color w:val="000000" w:themeColor="text1"/>
        </w:rPr>
        <w:t>, Bordonali, Di Muro, Iezzi, Invernizzi, Ravetto, Stefani, Tonelli, Ziello, Fogliani, Giacometti, Tombolato, Zanella, Zordan</w:t>
      </w:r>
      <w:r w:rsidRPr="00D506C3">
        <w:rPr>
          <w:color w:val="000000" w:themeColor="text1"/>
        </w:rPr>
        <w:t xml:space="preserve">; </w:t>
      </w:r>
      <w:r w:rsidRPr="00D506C3">
        <w:rPr>
          <w:rFonts w:asciiTheme="minorHAnsi" w:hAnsiTheme="minorHAnsi"/>
          <w:color w:val="000000" w:themeColor="text1"/>
        </w:rPr>
        <w:t>40.65. Liuzzi</w:t>
      </w:r>
      <w:r w:rsidRPr="00D506C3">
        <w:rPr>
          <w:color w:val="000000" w:themeColor="text1"/>
        </w:rPr>
        <w:t xml:space="preserve">; </w:t>
      </w:r>
      <w:r w:rsidRPr="00D506C3">
        <w:rPr>
          <w:rFonts w:asciiTheme="minorHAnsi" w:hAnsiTheme="minorHAnsi"/>
          <w:color w:val="000000" w:themeColor="text1"/>
        </w:rPr>
        <w:t>40.72. Cortelazzo, Tartaglione.</w:t>
      </w:r>
    </w:p>
    <w:p w14:paraId="46DC0BB1" w14:textId="77777777" w:rsidR="00A8330A" w:rsidRDefault="00A8330A">
      <w:pPr>
        <w:pStyle w:val="Testonotaapidipagina"/>
      </w:pPr>
    </w:p>
  </w:footnote>
  <w:footnote w:id="22">
    <w:p w14:paraId="02B956AD" w14:textId="77777777" w:rsidR="000018F1" w:rsidRPr="00CE0903" w:rsidRDefault="000018F1" w:rsidP="000018F1">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40.5. (Nuova formulazione) Pizzetti</w:t>
      </w:r>
      <w:r w:rsidRPr="00CE0903">
        <w:rPr>
          <w:color w:val="000000" w:themeColor="text1"/>
        </w:rPr>
        <w:t xml:space="preserve">; </w:t>
      </w:r>
      <w:r w:rsidRPr="00CE0903">
        <w:rPr>
          <w:rFonts w:asciiTheme="minorHAnsi" w:hAnsiTheme="minorHAnsi"/>
          <w:color w:val="000000" w:themeColor="text1"/>
        </w:rPr>
        <w:t xml:space="preserve">40.16. (Nuova formulazione)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40.25. (Nuova formulazione)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r w:rsidRPr="00CE0903">
        <w:rPr>
          <w:color w:val="000000" w:themeColor="text1"/>
        </w:rPr>
        <w:t xml:space="preserve">; </w:t>
      </w:r>
      <w:r w:rsidRPr="00CE0903">
        <w:rPr>
          <w:rFonts w:asciiTheme="minorHAnsi" w:hAnsiTheme="minorHAnsi"/>
          <w:color w:val="000000" w:themeColor="text1"/>
        </w:rPr>
        <w:t xml:space="preserve">40.37. (Nuova formulazione) Lucchini, Capitanio, Donina, </w:t>
      </w:r>
      <w:proofErr w:type="spellStart"/>
      <w:r w:rsidRPr="00CE0903">
        <w:rPr>
          <w:rFonts w:asciiTheme="minorHAnsi" w:hAnsiTheme="minorHAnsi"/>
          <w:color w:val="000000" w:themeColor="text1"/>
        </w:rPr>
        <w:t>Furgiuele</w:t>
      </w:r>
      <w:proofErr w:type="spellEnd"/>
      <w:r w:rsidRPr="00CE0903">
        <w:rPr>
          <w:rFonts w:asciiTheme="minorHAnsi" w:hAnsiTheme="minorHAnsi"/>
          <w:color w:val="000000" w:themeColor="text1"/>
        </w:rPr>
        <w:t xml:space="preserve">, Giacometti, Maccanti, </w:t>
      </w:r>
      <w:proofErr w:type="spellStart"/>
      <w:r w:rsidRPr="00CE0903">
        <w:rPr>
          <w:rFonts w:asciiTheme="minorHAnsi" w:hAnsiTheme="minorHAnsi"/>
          <w:color w:val="000000" w:themeColor="text1"/>
        </w:rPr>
        <w:t>Rixi</w:t>
      </w:r>
      <w:proofErr w:type="spellEnd"/>
      <w:r w:rsidRPr="00CE0903">
        <w:rPr>
          <w:rFonts w:asciiTheme="minorHAnsi" w:hAnsiTheme="minorHAnsi"/>
          <w:color w:val="000000" w:themeColor="text1"/>
        </w:rPr>
        <w:t xml:space="preserve">, Tombolato, Zanella, Zordan, Bordonali, Di Muro, Iezzi, Invernizzi, Ravetto, Stefani, Tonelli, Ziello, </w:t>
      </w:r>
      <w:proofErr w:type="spellStart"/>
      <w:r w:rsidRPr="00CE0903">
        <w:rPr>
          <w:rFonts w:asciiTheme="minorHAnsi" w:hAnsiTheme="minorHAnsi"/>
          <w:color w:val="000000" w:themeColor="text1"/>
        </w:rPr>
        <w:t>Badole</w:t>
      </w:r>
      <w:proofErr w:type="spellEnd"/>
      <w:r w:rsidRPr="00CE0903">
        <w:rPr>
          <w:rFonts w:asciiTheme="minorHAnsi" w:hAnsiTheme="minorHAnsi"/>
          <w:color w:val="000000" w:themeColor="text1"/>
        </w:rPr>
        <w:t xml:space="preserve">, Benvenuto, D'Eramo, Dara, Eva Lorenzoni, </w:t>
      </w:r>
      <w:proofErr w:type="spellStart"/>
      <w:r w:rsidRPr="00CE0903">
        <w:rPr>
          <w:rFonts w:asciiTheme="minorHAnsi" w:hAnsiTheme="minorHAnsi"/>
          <w:color w:val="000000" w:themeColor="text1"/>
        </w:rPr>
        <w:t>Patassini</w:t>
      </w:r>
      <w:proofErr w:type="spellEnd"/>
      <w:r w:rsidRPr="00CE0903">
        <w:rPr>
          <w:rFonts w:asciiTheme="minorHAnsi" w:hAnsiTheme="minorHAnsi"/>
          <w:color w:val="000000" w:themeColor="text1"/>
        </w:rPr>
        <w:t xml:space="preserve">, Raffaelli, Valbusa, </w:t>
      </w:r>
      <w:proofErr w:type="spellStart"/>
      <w:r w:rsidRPr="00CE0903">
        <w:rPr>
          <w:rFonts w:asciiTheme="minorHAnsi" w:hAnsiTheme="minorHAnsi"/>
          <w:color w:val="000000" w:themeColor="text1"/>
        </w:rPr>
        <w:t>Vallotto</w:t>
      </w:r>
      <w:proofErr w:type="spellEnd"/>
      <w:r w:rsidRPr="00CE0903">
        <w:rPr>
          <w:color w:val="000000" w:themeColor="text1"/>
        </w:rPr>
        <w:t xml:space="preserve">; </w:t>
      </w:r>
      <w:r w:rsidRPr="00CE0903">
        <w:rPr>
          <w:rFonts w:asciiTheme="minorHAnsi" w:hAnsiTheme="minorHAnsi"/>
          <w:color w:val="000000" w:themeColor="text1"/>
        </w:rPr>
        <w:t>40.60. (Nuova formulazione) Stumpo, Fornaro, Timbro.</w:t>
      </w:r>
    </w:p>
    <w:p w14:paraId="1B3EE85E" w14:textId="77777777" w:rsidR="000018F1" w:rsidRDefault="000018F1">
      <w:pPr>
        <w:pStyle w:val="Testonotaapidipagina"/>
      </w:pPr>
    </w:p>
  </w:footnote>
  <w:footnote w:id="23">
    <w:p w14:paraId="5765167F" w14:textId="77777777" w:rsidR="00FE60F3" w:rsidRPr="00CE0903" w:rsidRDefault="00FE60F3" w:rsidP="00FE60F3">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p w14:paraId="5C1CE764" w14:textId="77777777" w:rsidR="00FE60F3" w:rsidRDefault="00FE60F3">
      <w:pPr>
        <w:pStyle w:val="Testonotaapidipagina"/>
      </w:pPr>
    </w:p>
  </w:footnote>
  <w:footnote w:id="24">
    <w:p w14:paraId="5BE5DEB0"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bookmarkStart w:id="2" w:name="_Hlk77149781"/>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bookmarkEnd w:id="2"/>
    <w:p w14:paraId="1C9CED57" w14:textId="77777777" w:rsidR="004241FF" w:rsidRDefault="004241FF">
      <w:pPr>
        <w:pStyle w:val="Testonotaapidipagina"/>
      </w:pPr>
    </w:p>
  </w:footnote>
  <w:footnote w:id="25">
    <w:p w14:paraId="4B49EF8E"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p w14:paraId="6E780954" w14:textId="77777777" w:rsidR="004241FF" w:rsidRDefault="004241FF">
      <w:pPr>
        <w:pStyle w:val="Testonotaapidipagina"/>
      </w:pPr>
    </w:p>
  </w:footnote>
  <w:footnote w:id="26">
    <w:p w14:paraId="0E0AC731"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40.13. (Nuova formulazione)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40.44. (Nuova formulazione) Capitanio, Lucchini, </w:t>
      </w:r>
      <w:proofErr w:type="spellStart"/>
      <w:r w:rsidRPr="00CE0903">
        <w:rPr>
          <w:rFonts w:asciiTheme="minorHAnsi" w:hAnsiTheme="minorHAnsi"/>
          <w:color w:val="000000" w:themeColor="text1"/>
        </w:rPr>
        <w:t>Badole</w:t>
      </w:r>
      <w:proofErr w:type="spellEnd"/>
      <w:r w:rsidRPr="00CE0903">
        <w:rPr>
          <w:rFonts w:asciiTheme="minorHAnsi" w:hAnsiTheme="minorHAnsi"/>
          <w:color w:val="000000" w:themeColor="text1"/>
        </w:rPr>
        <w:t xml:space="preserve">, Benvenuto, D'Eramo, Dara, Eva Lorenzoni, </w:t>
      </w:r>
      <w:proofErr w:type="spellStart"/>
      <w:r w:rsidRPr="00CE0903">
        <w:rPr>
          <w:rFonts w:asciiTheme="minorHAnsi" w:hAnsiTheme="minorHAnsi"/>
          <w:color w:val="000000" w:themeColor="text1"/>
        </w:rPr>
        <w:t>Patassini</w:t>
      </w:r>
      <w:proofErr w:type="spellEnd"/>
      <w:r w:rsidRPr="00CE0903">
        <w:rPr>
          <w:rFonts w:asciiTheme="minorHAnsi" w:hAnsiTheme="minorHAnsi"/>
          <w:color w:val="000000" w:themeColor="text1"/>
        </w:rPr>
        <w:t xml:space="preserve">, Raffaelli, Valbusa, </w:t>
      </w:r>
      <w:proofErr w:type="spellStart"/>
      <w:r w:rsidRPr="00CE0903">
        <w:rPr>
          <w:rFonts w:asciiTheme="minorHAnsi" w:hAnsiTheme="minorHAnsi"/>
          <w:color w:val="000000" w:themeColor="text1"/>
        </w:rPr>
        <w:t>Vallotto</w:t>
      </w:r>
      <w:proofErr w:type="spellEnd"/>
      <w:r w:rsidRPr="00CE0903">
        <w:rPr>
          <w:rFonts w:asciiTheme="minorHAnsi" w:hAnsiTheme="minorHAnsi"/>
          <w:color w:val="000000" w:themeColor="text1"/>
        </w:rPr>
        <w:t>, Bordonali, Di Muro, Iezzi, Invernizzi, Ravetto, Stefani, Tonelli, Ziello, Fogliani, Giacometti, Tombolato, Zanella, Zordan</w:t>
      </w:r>
      <w:r w:rsidRPr="00CE0903">
        <w:rPr>
          <w:color w:val="000000" w:themeColor="text1"/>
        </w:rPr>
        <w:t xml:space="preserve">; </w:t>
      </w:r>
      <w:r w:rsidRPr="00CE0903">
        <w:rPr>
          <w:rFonts w:asciiTheme="minorHAnsi" w:hAnsiTheme="minorHAnsi"/>
          <w:color w:val="000000" w:themeColor="text1"/>
        </w:rPr>
        <w:t>40.54. (Nuova formulazione) Bruno Bossio, Navarra, Ceccanti, Ciampi, Fiano, Giorgis, Mauri, Pollastrini, Raciti</w:t>
      </w:r>
      <w:r w:rsidRPr="00CE0903">
        <w:rPr>
          <w:color w:val="000000" w:themeColor="text1"/>
        </w:rPr>
        <w:t xml:space="preserve">; </w:t>
      </w:r>
      <w:r w:rsidRPr="00CE0903">
        <w:rPr>
          <w:rFonts w:asciiTheme="minorHAnsi" w:hAnsiTheme="minorHAnsi"/>
          <w:color w:val="000000" w:themeColor="text1"/>
        </w:rPr>
        <w:t>40.74. (Nuova formulazione) Cortelazzo, Tartaglione.</w:t>
      </w:r>
    </w:p>
    <w:p w14:paraId="4E885706" w14:textId="77777777" w:rsidR="004241FF" w:rsidRDefault="004241F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52A1" w14:textId="3D253539" w:rsidR="002C7EA6" w:rsidRDefault="002C7EA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0C09" w14:textId="36941BB9" w:rsidR="002C7EA6" w:rsidRPr="00A82891" w:rsidRDefault="002C7EA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281A" w14:textId="52F286AB" w:rsidR="002C7EA6" w:rsidRDefault="002C7EA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18F1"/>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3441"/>
    <w:rsid w:val="000D6B51"/>
    <w:rsid w:val="000D78D2"/>
    <w:rsid w:val="000E2A19"/>
    <w:rsid w:val="000E58CB"/>
    <w:rsid w:val="000F2249"/>
    <w:rsid w:val="000F292C"/>
    <w:rsid w:val="000F53CD"/>
    <w:rsid w:val="000F5D28"/>
    <w:rsid w:val="000F5ED8"/>
    <w:rsid w:val="000F7413"/>
    <w:rsid w:val="000F774A"/>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1A07"/>
    <w:rsid w:val="001533B3"/>
    <w:rsid w:val="0015538C"/>
    <w:rsid w:val="0015730E"/>
    <w:rsid w:val="00160E2F"/>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4096"/>
    <w:rsid w:val="00236326"/>
    <w:rsid w:val="0024185D"/>
    <w:rsid w:val="0024213A"/>
    <w:rsid w:val="00245260"/>
    <w:rsid w:val="00246D60"/>
    <w:rsid w:val="00251FEF"/>
    <w:rsid w:val="002565F2"/>
    <w:rsid w:val="00256907"/>
    <w:rsid w:val="00257BDB"/>
    <w:rsid w:val="002620AF"/>
    <w:rsid w:val="00262F41"/>
    <w:rsid w:val="00264750"/>
    <w:rsid w:val="002739D4"/>
    <w:rsid w:val="00276E23"/>
    <w:rsid w:val="0028362B"/>
    <w:rsid w:val="00283714"/>
    <w:rsid w:val="00283BD7"/>
    <w:rsid w:val="002846E6"/>
    <w:rsid w:val="002857B8"/>
    <w:rsid w:val="00285E36"/>
    <w:rsid w:val="0029104D"/>
    <w:rsid w:val="00294ADF"/>
    <w:rsid w:val="0029625E"/>
    <w:rsid w:val="002971FC"/>
    <w:rsid w:val="002A02BE"/>
    <w:rsid w:val="002A0A24"/>
    <w:rsid w:val="002A406B"/>
    <w:rsid w:val="002B44C9"/>
    <w:rsid w:val="002B4832"/>
    <w:rsid w:val="002B4AB3"/>
    <w:rsid w:val="002C1B13"/>
    <w:rsid w:val="002C7E0D"/>
    <w:rsid w:val="002C7EA6"/>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40B3"/>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0CF5"/>
    <w:rsid w:val="0039147F"/>
    <w:rsid w:val="00395798"/>
    <w:rsid w:val="003A2813"/>
    <w:rsid w:val="003A7318"/>
    <w:rsid w:val="003B1F9C"/>
    <w:rsid w:val="003B55CF"/>
    <w:rsid w:val="003B6094"/>
    <w:rsid w:val="003B618F"/>
    <w:rsid w:val="003C13CE"/>
    <w:rsid w:val="003C2650"/>
    <w:rsid w:val="003C2822"/>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1CF4"/>
    <w:rsid w:val="004033D2"/>
    <w:rsid w:val="004035C7"/>
    <w:rsid w:val="004041F4"/>
    <w:rsid w:val="00410BE0"/>
    <w:rsid w:val="00410C42"/>
    <w:rsid w:val="004123DB"/>
    <w:rsid w:val="0041329E"/>
    <w:rsid w:val="0041357C"/>
    <w:rsid w:val="00415E3A"/>
    <w:rsid w:val="004162E1"/>
    <w:rsid w:val="004165E3"/>
    <w:rsid w:val="00420460"/>
    <w:rsid w:val="004226BC"/>
    <w:rsid w:val="00422E52"/>
    <w:rsid w:val="00422F9D"/>
    <w:rsid w:val="004241FF"/>
    <w:rsid w:val="00424301"/>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10BB"/>
    <w:rsid w:val="00462AE5"/>
    <w:rsid w:val="00465F1C"/>
    <w:rsid w:val="00473B76"/>
    <w:rsid w:val="00474D47"/>
    <w:rsid w:val="004764A8"/>
    <w:rsid w:val="0048054C"/>
    <w:rsid w:val="00481C8C"/>
    <w:rsid w:val="004832BA"/>
    <w:rsid w:val="0048371F"/>
    <w:rsid w:val="004850A2"/>
    <w:rsid w:val="00485D5D"/>
    <w:rsid w:val="00487615"/>
    <w:rsid w:val="00496E31"/>
    <w:rsid w:val="00497358"/>
    <w:rsid w:val="00497BC7"/>
    <w:rsid w:val="004A4EDA"/>
    <w:rsid w:val="004A5805"/>
    <w:rsid w:val="004A5847"/>
    <w:rsid w:val="004B288A"/>
    <w:rsid w:val="004B4327"/>
    <w:rsid w:val="004C16CF"/>
    <w:rsid w:val="004C7110"/>
    <w:rsid w:val="004C7ECF"/>
    <w:rsid w:val="004D04A9"/>
    <w:rsid w:val="004D07BE"/>
    <w:rsid w:val="004D0F93"/>
    <w:rsid w:val="004D4F42"/>
    <w:rsid w:val="004D533E"/>
    <w:rsid w:val="004D588C"/>
    <w:rsid w:val="004D72A3"/>
    <w:rsid w:val="004D7FDD"/>
    <w:rsid w:val="004E014F"/>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77838"/>
    <w:rsid w:val="0058489B"/>
    <w:rsid w:val="00590380"/>
    <w:rsid w:val="00592362"/>
    <w:rsid w:val="005926F7"/>
    <w:rsid w:val="005928D0"/>
    <w:rsid w:val="005934CD"/>
    <w:rsid w:val="00594BB4"/>
    <w:rsid w:val="005A0F9A"/>
    <w:rsid w:val="005A2157"/>
    <w:rsid w:val="005A7736"/>
    <w:rsid w:val="005A7A5D"/>
    <w:rsid w:val="005B18A9"/>
    <w:rsid w:val="005B2D6B"/>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0EE6"/>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4D29"/>
    <w:rsid w:val="00677E92"/>
    <w:rsid w:val="00682580"/>
    <w:rsid w:val="006825BC"/>
    <w:rsid w:val="006839D6"/>
    <w:rsid w:val="00684DE6"/>
    <w:rsid w:val="0068767B"/>
    <w:rsid w:val="00690660"/>
    <w:rsid w:val="0069179E"/>
    <w:rsid w:val="00693D52"/>
    <w:rsid w:val="00695884"/>
    <w:rsid w:val="0069655C"/>
    <w:rsid w:val="006968E2"/>
    <w:rsid w:val="006973EE"/>
    <w:rsid w:val="006A1DE0"/>
    <w:rsid w:val="006A26C8"/>
    <w:rsid w:val="006A2914"/>
    <w:rsid w:val="006A579B"/>
    <w:rsid w:val="006A5C67"/>
    <w:rsid w:val="006A7CC3"/>
    <w:rsid w:val="006B110D"/>
    <w:rsid w:val="006B30B2"/>
    <w:rsid w:val="006B616A"/>
    <w:rsid w:val="006C4125"/>
    <w:rsid w:val="006C4C74"/>
    <w:rsid w:val="006C5BD1"/>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25940"/>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9677F"/>
    <w:rsid w:val="007A1606"/>
    <w:rsid w:val="007A35B6"/>
    <w:rsid w:val="007A3ECE"/>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57C7"/>
    <w:rsid w:val="007F6AB0"/>
    <w:rsid w:val="007F755E"/>
    <w:rsid w:val="00800796"/>
    <w:rsid w:val="00800D74"/>
    <w:rsid w:val="008018CC"/>
    <w:rsid w:val="0080396B"/>
    <w:rsid w:val="00804187"/>
    <w:rsid w:val="0081046E"/>
    <w:rsid w:val="008127A8"/>
    <w:rsid w:val="00814947"/>
    <w:rsid w:val="00814BD1"/>
    <w:rsid w:val="00816A2D"/>
    <w:rsid w:val="00821E66"/>
    <w:rsid w:val="00822FD9"/>
    <w:rsid w:val="008246C0"/>
    <w:rsid w:val="00830635"/>
    <w:rsid w:val="00836945"/>
    <w:rsid w:val="00841A50"/>
    <w:rsid w:val="0084772D"/>
    <w:rsid w:val="00853022"/>
    <w:rsid w:val="00854469"/>
    <w:rsid w:val="00855850"/>
    <w:rsid w:val="0086411D"/>
    <w:rsid w:val="00873812"/>
    <w:rsid w:val="0088040D"/>
    <w:rsid w:val="00881817"/>
    <w:rsid w:val="008819A9"/>
    <w:rsid w:val="008826E5"/>
    <w:rsid w:val="00882933"/>
    <w:rsid w:val="00882993"/>
    <w:rsid w:val="008857CB"/>
    <w:rsid w:val="00885EE4"/>
    <w:rsid w:val="0089166C"/>
    <w:rsid w:val="00891EE5"/>
    <w:rsid w:val="008925E7"/>
    <w:rsid w:val="00892983"/>
    <w:rsid w:val="0089371A"/>
    <w:rsid w:val="00897768"/>
    <w:rsid w:val="008A08A2"/>
    <w:rsid w:val="008A15BB"/>
    <w:rsid w:val="008A5034"/>
    <w:rsid w:val="008A6AFA"/>
    <w:rsid w:val="008A7373"/>
    <w:rsid w:val="008B2177"/>
    <w:rsid w:val="008B2FFB"/>
    <w:rsid w:val="008B4FC2"/>
    <w:rsid w:val="008B5AA6"/>
    <w:rsid w:val="008C18C2"/>
    <w:rsid w:val="008C1950"/>
    <w:rsid w:val="008C4C14"/>
    <w:rsid w:val="008C6A11"/>
    <w:rsid w:val="008D0E7A"/>
    <w:rsid w:val="008D18BC"/>
    <w:rsid w:val="008D24AE"/>
    <w:rsid w:val="008D3ABD"/>
    <w:rsid w:val="008D5A12"/>
    <w:rsid w:val="008E0122"/>
    <w:rsid w:val="008E13AB"/>
    <w:rsid w:val="008E2800"/>
    <w:rsid w:val="008E3353"/>
    <w:rsid w:val="008E3C4F"/>
    <w:rsid w:val="008E6485"/>
    <w:rsid w:val="008F0156"/>
    <w:rsid w:val="008F1B4E"/>
    <w:rsid w:val="008F1F46"/>
    <w:rsid w:val="008F586D"/>
    <w:rsid w:val="008F7901"/>
    <w:rsid w:val="00900942"/>
    <w:rsid w:val="00902675"/>
    <w:rsid w:val="00903114"/>
    <w:rsid w:val="009060BA"/>
    <w:rsid w:val="00906464"/>
    <w:rsid w:val="00906668"/>
    <w:rsid w:val="00906B80"/>
    <w:rsid w:val="00906D72"/>
    <w:rsid w:val="00912E2A"/>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5832"/>
    <w:rsid w:val="009E014F"/>
    <w:rsid w:val="009E3E56"/>
    <w:rsid w:val="009F006D"/>
    <w:rsid w:val="009F11A4"/>
    <w:rsid w:val="009F160C"/>
    <w:rsid w:val="009F26AF"/>
    <w:rsid w:val="009F3802"/>
    <w:rsid w:val="009F3C67"/>
    <w:rsid w:val="009F4248"/>
    <w:rsid w:val="009F54CA"/>
    <w:rsid w:val="009F5949"/>
    <w:rsid w:val="009F6350"/>
    <w:rsid w:val="00A00765"/>
    <w:rsid w:val="00A03B51"/>
    <w:rsid w:val="00A0680E"/>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330A"/>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C72A5"/>
    <w:rsid w:val="00AD1B0C"/>
    <w:rsid w:val="00AD4292"/>
    <w:rsid w:val="00AD5AFD"/>
    <w:rsid w:val="00AD7E0E"/>
    <w:rsid w:val="00AE708D"/>
    <w:rsid w:val="00AF590A"/>
    <w:rsid w:val="00B0286F"/>
    <w:rsid w:val="00B04A5E"/>
    <w:rsid w:val="00B0631B"/>
    <w:rsid w:val="00B07423"/>
    <w:rsid w:val="00B1101B"/>
    <w:rsid w:val="00B13F9F"/>
    <w:rsid w:val="00B14E53"/>
    <w:rsid w:val="00B159D2"/>
    <w:rsid w:val="00B16393"/>
    <w:rsid w:val="00B20235"/>
    <w:rsid w:val="00B2344F"/>
    <w:rsid w:val="00B23C5F"/>
    <w:rsid w:val="00B2603D"/>
    <w:rsid w:val="00B26435"/>
    <w:rsid w:val="00B26C50"/>
    <w:rsid w:val="00B32CFF"/>
    <w:rsid w:val="00B32F3D"/>
    <w:rsid w:val="00B3301A"/>
    <w:rsid w:val="00B35D8F"/>
    <w:rsid w:val="00B42702"/>
    <w:rsid w:val="00B42FCB"/>
    <w:rsid w:val="00B43235"/>
    <w:rsid w:val="00B44950"/>
    <w:rsid w:val="00B4529F"/>
    <w:rsid w:val="00B45315"/>
    <w:rsid w:val="00B51638"/>
    <w:rsid w:val="00B520D6"/>
    <w:rsid w:val="00B5230B"/>
    <w:rsid w:val="00B52F6C"/>
    <w:rsid w:val="00B54B25"/>
    <w:rsid w:val="00B56801"/>
    <w:rsid w:val="00B56886"/>
    <w:rsid w:val="00B61054"/>
    <w:rsid w:val="00B62016"/>
    <w:rsid w:val="00B6344D"/>
    <w:rsid w:val="00B64370"/>
    <w:rsid w:val="00B645F5"/>
    <w:rsid w:val="00B67116"/>
    <w:rsid w:val="00B67C39"/>
    <w:rsid w:val="00B702BD"/>
    <w:rsid w:val="00B71A33"/>
    <w:rsid w:val="00B76C9A"/>
    <w:rsid w:val="00B76F42"/>
    <w:rsid w:val="00B778D4"/>
    <w:rsid w:val="00B80E82"/>
    <w:rsid w:val="00B82448"/>
    <w:rsid w:val="00B82DA5"/>
    <w:rsid w:val="00B935CC"/>
    <w:rsid w:val="00B93B12"/>
    <w:rsid w:val="00B97B64"/>
    <w:rsid w:val="00BA0CCD"/>
    <w:rsid w:val="00BA0EF2"/>
    <w:rsid w:val="00BA3423"/>
    <w:rsid w:val="00BA3669"/>
    <w:rsid w:val="00BB14DB"/>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BF642C"/>
    <w:rsid w:val="00C025B8"/>
    <w:rsid w:val="00C02901"/>
    <w:rsid w:val="00C051A0"/>
    <w:rsid w:val="00C0623F"/>
    <w:rsid w:val="00C06430"/>
    <w:rsid w:val="00C07BB7"/>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6220E"/>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6A12"/>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2D9C"/>
    <w:rsid w:val="00D55161"/>
    <w:rsid w:val="00D62F5B"/>
    <w:rsid w:val="00D6531E"/>
    <w:rsid w:val="00D66E90"/>
    <w:rsid w:val="00D6709B"/>
    <w:rsid w:val="00D6751A"/>
    <w:rsid w:val="00D71CEA"/>
    <w:rsid w:val="00D727AF"/>
    <w:rsid w:val="00D76A6D"/>
    <w:rsid w:val="00D80B36"/>
    <w:rsid w:val="00D83DA1"/>
    <w:rsid w:val="00D854D2"/>
    <w:rsid w:val="00D90935"/>
    <w:rsid w:val="00D90D1C"/>
    <w:rsid w:val="00D93D0F"/>
    <w:rsid w:val="00D946FA"/>
    <w:rsid w:val="00DA1D50"/>
    <w:rsid w:val="00DB2AA9"/>
    <w:rsid w:val="00DB5538"/>
    <w:rsid w:val="00DC03D0"/>
    <w:rsid w:val="00DC0921"/>
    <w:rsid w:val="00DC19C1"/>
    <w:rsid w:val="00DC3B6D"/>
    <w:rsid w:val="00DC77AE"/>
    <w:rsid w:val="00DD12C4"/>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229"/>
    <w:rsid w:val="00E12D33"/>
    <w:rsid w:val="00E12DC7"/>
    <w:rsid w:val="00E149B5"/>
    <w:rsid w:val="00E15C6E"/>
    <w:rsid w:val="00E20656"/>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4ABF"/>
    <w:rsid w:val="00EB5988"/>
    <w:rsid w:val="00EB6C23"/>
    <w:rsid w:val="00EC0CF6"/>
    <w:rsid w:val="00EC1DCD"/>
    <w:rsid w:val="00EC58C7"/>
    <w:rsid w:val="00EC58EB"/>
    <w:rsid w:val="00EC6F13"/>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5B01"/>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14BD"/>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79F"/>
    <w:rsid w:val="00F64885"/>
    <w:rsid w:val="00F65A63"/>
    <w:rsid w:val="00F66284"/>
    <w:rsid w:val="00F6661B"/>
    <w:rsid w:val="00F679DD"/>
    <w:rsid w:val="00F70338"/>
    <w:rsid w:val="00F70679"/>
    <w:rsid w:val="00F7321E"/>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1B88"/>
    <w:rsid w:val="00FB5F11"/>
    <w:rsid w:val="00FB6FCB"/>
    <w:rsid w:val="00FC1D7E"/>
    <w:rsid w:val="00FC334C"/>
    <w:rsid w:val="00FC3D6D"/>
    <w:rsid w:val="00FC5C2F"/>
    <w:rsid w:val="00FC6D35"/>
    <w:rsid w:val="00FD1CFE"/>
    <w:rsid w:val="00FD4993"/>
    <w:rsid w:val="00FE60F3"/>
    <w:rsid w:val="00FE6EBF"/>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E8503"/>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82813777">
      <w:bodyDiv w:val="1"/>
      <w:marLeft w:val="0"/>
      <w:marRight w:val="0"/>
      <w:marTop w:val="0"/>
      <w:marBottom w:val="0"/>
      <w:divBdr>
        <w:top w:val="none" w:sz="0" w:space="0" w:color="auto"/>
        <w:left w:val="none" w:sz="0" w:space="0" w:color="auto"/>
        <w:bottom w:val="none" w:sz="0" w:space="0" w:color="auto"/>
        <w:right w:val="none" w:sz="0" w:space="0" w:color="auto"/>
      </w:divBdr>
    </w:div>
    <w:div w:id="504977814">
      <w:bodyDiv w:val="1"/>
      <w:marLeft w:val="0"/>
      <w:marRight w:val="0"/>
      <w:marTop w:val="0"/>
      <w:marBottom w:val="0"/>
      <w:divBdr>
        <w:top w:val="none" w:sz="0" w:space="0" w:color="auto"/>
        <w:left w:val="none" w:sz="0" w:space="0" w:color="auto"/>
        <w:bottom w:val="none" w:sz="0" w:space="0" w:color="auto"/>
        <w:right w:val="none" w:sz="0" w:space="0" w:color="auto"/>
      </w:divBdr>
      <w:divsChild>
        <w:div w:id="1143616593">
          <w:marLeft w:val="0"/>
          <w:marRight w:val="0"/>
          <w:marTop w:val="0"/>
          <w:marBottom w:val="0"/>
          <w:divBdr>
            <w:top w:val="none" w:sz="0" w:space="0" w:color="auto"/>
            <w:left w:val="none" w:sz="0" w:space="0" w:color="auto"/>
            <w:bottom w:val="none" w:sz="0" w:space="0" w:color="auto"/>
            <w:right w:val="none" w:sz="0" w:space="0" w:color="auto"/>
          </w:divBdr>
          <w:divsChild>
            <w:div w:id="499002699">
              <w:marLeft w:val="0"/>
              <w:marRight w:val="0"/>
              <w:marTop w:val="0"/>
              <w:marBottom w:val="0"/>
              <w:divBdr>
                <w:top w:val="none" w:sz="0" w:space="0" w:color="auto"/>
                <w:left w:val="none" w:sz="0" w:space="0" w:color="auto"/>
                <w:bottom w:val="none" w:sz="0" w:space="0" w:color="auto"/>
                <w:right w:val="none" w:sz="0" w:space="0" w:color="auto"/>
              </w:divBdr>
              <w:divsChild>
                <w:div w:id="593562320">
                  <w:marLeft w:val="0"/>
                  <w:marRight w:val="0"/>
                  <w:marTop w:val="0"/>
                  <w:marBottom w:val="0"/>
                  <w:divBdr>
                    <w:top w:val="none" w:sz="0" w:space="0" w:color="auto"/>
                    <w:left w:val="none" w:sz="0" w:space="0" w:color="auto"/>
                    <w:bottom w:val="none" w:sz="0" w:space="0" w:color="auto"/>
                    <w:right w:val="none" w:sz="0" w:space="0" w:color="auto"/>
                  </w:divBdr>
                </w:div>
                <w:div w:id="1639148763">
                  <w:marLeft w:val="0"/>
                  <w:marRight w:val="0"/>
                  <w:marTop w:val="0"/>
                  <w:marBottom w:val="0"/>
                  <w:divBdr>
                    <w:top w:val="none" w:sz="0" w:space="0" w:color="auto"/>
                    <w:left w:val="none" w:sz="0" w:space="0" w:color="auto"/>
                    <w:bottom w:val="none" w:sz="0" w:space="0" w:color="auto"/>
                    <w:right w:val="none" w:sz="0" w:space="0" w:color="auto"/>
                  </w:divBdr>
                </w:div>
                <w:div w:id="36125961">
                  <w:marLeft w:val="0"/>
                  <w:marRight w:val="0"/>
                  <w:marTop w:val="0"/>
                  <w:marBottom w:val="0"/>
                  <w:divBdr>
                    <w:top w:val="none" w:sz="0" w:space="0" w:color="auto"/>
                    <w:left w:val="none" w:sz="0" w:space="0" w:color="auto"/>
                    <w:bottom w:val="none" w:sz="0" w:space="0" w:color="auto"/>
                    <w:right w:val="none" w:sz="0" w:space="0" w:color="auto"/>
                  </w:divBdr>
                </w:div>
                <w:div w:id="757672699">
                  <w:marLeft w:val="0"/>
                  <w:marRight w:val="0"/>
                  <w:marTop w:val="0"/>
                  <w:marBottom w:val="0"/>
                  <w:divBdr>
                    <w:top w:val="none" w:sz="0" w:space="0" w:color="auto"/>
                    <w:left w:val="none" w:sz="0" w:space="0" w:color="auto"/>
                    <w:bottom w:val="none" w:sz="0" w:space="0" w:color="auto"/>
                    <w:right w:val="none" w:sz="0" w:space="0" w:color="auto"/>
                  </w:divBdr>
                </w:div>
                <w:div w:id="51469498">
                  <w:marLeft w:val="0"/>
                  <w:marRight w:val="0"/>
                  <w:marTop w:val="0"/>
                  <w:marBottom w:val="0"/>
                  <w:divBdr>
                    <w:top w:val="none" w:sz="0" w:space="0" w:color="auto"/>
                    <w:left w:val="none" w:sz="0" w:space="0" w:color="auto"/>
                    <w:bottom w:val="none" w:sz="0" w:space="0" w:color="auto"/>
                    <w:right w:val="none" w:sz="0" w:space="0" w:color="auto"/>
                  </w:divBdr>
                </w:div>
                <w:div w:id="1650983845">
                  <w:marLeft w:val="0"/>
                  <w:marRight w:val="0"/>
                  <w:marTop w:val="0"/>
                  <w:marBottom w:val="0"/>
                  <w:divBdr>
                    <w:top w:val="none" w:sz="0" w:space="0" w:color="auto"/>
                    <w:left w:val="none" w:sz="0" w:space="0" w:color="auto"/>
                    <w:bottom w:val="none" w:sz="0" w:space="0" w:color="auto"/>
                    <w:right w:val="none" w:sz="0" w:space="0" w:color="auto"/>
                  </w:divBdr>
                </w:div>
                <w:div w:id="1406762607">
                  <w:marLeft w:val="0"/>
                  <w:marRight w:val="0"/>
                  <w:marTop w:val="0"/>
                  <w:marBottom w:val="0"/>
                  <w:divBdr>
                    <w:top w:val="none" w:sz="0" w:space="0" w:color="auto"/>
                    <w:left w:val="none" w:sz="0" w:space="0" w:color="auto"/>
                    <w:bottom w:val="none" w:sz="0" w:space="0" w:color="auto"/>
                    <w:right w:val="none" w:sz="0" w:space="0" w:color="auto"/>
                  </w:divBdr>
                </w:div>
                <w:div w:id="211499205">
                  <w:marLeft w:val="0"/>
                  <w:marRight w:val="0"/>
                  <w:marTop w:val="0"/>
                  <w:marBottom w:val="0"/>
                  <w:divBdr>
                    <w:top w:val="none" w:sz="0" w:space="0" w:color="auto"/>
                    <w:left w:val="none" w:sz="0" w:space="0" w:color="auto"/>
                    <w:bottom w:val="none" w:sz="0" w:space="0" w:color="auto"/>
                    <w:right w:val="none" w:sz="0" w:space="0" w:color="auto"/>
                  </w:divBdr>
                </w:div>
                <w:div w:id="38827794">
                  <w:marLeft w:val="0"/>
                  <w:marRight w:val="0"/>
                  <w:marTop w:val="0"/>
                  <w:marBottom w:val="0"/>
                  <w:divBdr>
                    <w:top w:val="none" w:sz="0" w:space="0" w:color="auto"/>
                    <w:left w:val="none" w:sz="0" w:space="0" w:color="auto"/>
                    <w:bottom w:val="none" w:sz="0" w:space="0" w:color="auto"/>
                    <w:right w:val="none" w:sz="0" w:space="0" w:color="auto"/>
                  </w:divBdr>
                </w:div>
                <w:div w:id="565454880">
                  <w:marLeft w:val="0"/>
                  <w:marRight w:val="0"/>
                  <w:marTop w:val="0"/>
                  <w:marBottom w:val="0"/>
                  <w:divBdr>
                    <w:top w:val="none" w:sz="0" w:space="0" w:color="auto"/>
                    <w:left w:val="none" w:sz="0" w:space="0" w:color="auto"/>
                    <w:bottom w:val="none" w:sz="0" w:space="0" w:color="auto"/>
                    <w:right w:val="none" w:sz="0" w:space="0" w:color="auto"/>
                  </w:divBdr>
                </w:div>
                <w:div w:id="1620991433">
                  <w:marLeft w:val="0"/>
                  <w:marRight w:val="0"/>
                  <w:marTop w:val="0"/>
                  <w:marBottom w:val="0"/>
                  <w:divBdr>
                    <w:top w:val="none" w:sz="0" w:space="0" w:color="auto"/>
                    <w:left w:val="none" w:sz="0" w:space="0" w:color="auto"/>
                    <w:bottom w:val="none" w:sz="0" w:space="0" w:color="auto"/>
                    <w:right w:val="none" w:sz="0" w:space="0" w:color="auto"/>
                  </w:divBdr>
                </w:div>
              </w:divsChild>
            </w:div>
            <w:div w:id="1657758086">
              <w:marLeft w:val="0"/>
              <w:marRight w:val="0"/>
              <w:marTop w:val="0"/>
              <w:marBottom w:val="0"/>
              <w:divBdr>
                <w:top w:val="none" w:sz="0" w:space="0" w:color="auto"/>
                <w:left w:val="none" w:sz="0" w:space="0" w:color="auto"/>
                <w:bottom w:val="none" w:sz="0" w:space="0" w:color="auto"/>
                <w:right w:val="none" w:sz="0" w:space="0" w:color="auto"/>
              </w:divBdr>
              <w:divsChild>
                <w:div w:id="931426612">
                  <w:marLeft w:val="0"/>
                  <w:marRight w:val="0"/>
                  <w:marTop w:val="0"/>
                  <w:marBottom w:val="0"/>
                  <w:divBdr>
                    <w:top w:val="none" w:sz="0" w:space="0" w:color="auto"/>
                    <w:left w:val="none" w:sz="0" w:space="0" w:color="auto"/>
                    <w:bottom w:val="none" w:sz="0" w:space="0" w:color="auto"/>
                    <w:right w:val="none" w:sz="0" w:space="0" w:color="auto"/>
                  </w:divBdr>
                </w:div>
                <w:div w:id="1985965275">
                  <w:marLeft w:val="0"/>
                  <w:marRight w:val="0"/>
                  <w:marTop w:val="0"/>
                  <w:marBottom w:val="0"/>
                  <w:divBdr>
                    <w:top w:val="none" w:sz="0" w:space="0" w:color="auto"/>
                    <w:left w:val="none" w:sz="0" w:space="0" w:color="auto"/>
                    <w:bottom w:val="none" w:sz="0" w:space="0" w:color="auto"/>
                    <w:right w:val="none" w:sz="0" w:space="0" w:color="auto"/>
                  </w:divBdr>
                </w:div>
                <w:div w:id="1052119930">
                  <w:marLeft w:val="0"/>
                  <w:marRight w:val="0"/>
                  <w:marTop w:val="0"/>
                  <w:marBottom w:val="0"/>
                  <w:divBdr>
                    <w:top w:val="none" w:sz="0" w:space="0" w:color="auto"/>
                    <w:left w:val="none" w:sz="0" w:space="0" w:color="auto"/>
                    <w:bottom w:val="none" w:sz="0" w:space="0" w:color="auto"/>
                    <w:right w:val="none" w:sz="0" w:space="0" w:color="auto"/>
                  </w:divBdr>
                </w:div>
                <w:div w:id="886181640">
                  <w:marLeft w:val="0"/>
                  <w:marRight w:val="0"/>
                  <w:marTop w:val="0"/>
                  <w:marBottom w:val="0"/>
                  <w:divBdr>
                    <w:top w:val="none" w:sz="0" w:space="0" w:color="auto"/>
                    <w:left w:val="none" w:sz="0" w:space="0" w:color="auto"/>
                    <w:bottom w:val="none" w:sz="0" w:space="0" w:color="auto"/>
                    <w:right w:val="none" w:sz="0" w:space="0" w:color="auto"/>
                  </w:divBdr>
                </w:div>
                <w:div w:id="760375154">
                  <w:marLeft w:val="0"/>
                  <w:marRight w:val="0"/>
                  <w:marTop w:val="0"/>
                  <w:marBottom w:val="0"/>
                  <w:divBdr>
                    <w:top w:val="none" w:sz="0" w:space="0" w:color="auto"/>
                    <w:left w:val="none" w:sz="0" w:space="0" w:color="auto"/>
                    <w:bottom w:val="none" w:sz="0" w:space="0" w:color="auto"/>
                    <w:right w:val="none" w:sz="0" w:space="0" w:color="auto"/>
                  </w:divBdr>
                </w:div>
                <w:div w:id="907619194">
                  <w:marLeft w:val="0"/>
                  <w:marRight w:val="0"/>
                  <w:marTop w:val="0"/>
                  <w:marBottom w:val="0"/>
                  <w:divBdr>
                    <w:top w:val="none" w:sz="0" w:space="0" w:color="auto"/>
                    <w:left w:val="none" w:sz="0" w:space="0" w:color="auto"/>
                    <w:bottom w:val="none" w:sz="0" w:space="0" w:color="auto"/>
                    <w:right w:val="none" w:sz="0" w:space="0" w:color="auto"/>
                  </w:divBdr>
                </w:div>
                <w:div w:id="1924560073">
                  <w:marLeft w:val="0"/>
                  <w:marRight w:val="0"/>
                  <w:marTop w:val="0"/>
                  <w:marBottom w:val="0"/>
                  <w:divBdr>
                    <w:top w:val="none" w:sz="0" w:space="0" w:color="auto"/>
                    <w:left w:val="none" w:sz="0" w:space="0" w:color="auto"/>
                    <w:bottom w:val="none" w:sz="0" w:space="0" w:color="auto"/>
                    <w:right w:val="none" w:sz="0" w:space="0" w:color="auto"/>
                  </w:divBdr>
                </w:div>
                <w:div w:id="1662275579">
                  <w:marLeft w:val="0"/>
                  <w:marRight w:val="0"/>
                  <w:marTop w:val="0"/>
                  <w:marBottom w:val="0"/>
                  <w:divBdr>
                    <w:top w:val="none" w:sz="0" w:space="0" w:color="auto"/>
                    <w:left w:val="none" w:sz="0" w:space="0" w:color="auto"/>
                    <w:bottom w:val="none" w:sz="0" w:space="0" w:color="auto"/>
                    <w:right w:val="none" w:sz="0" w:space="0" w:color="auto"/>
                  </w:divBdr>
                </w:div>
                <w:div w:id="17045963">
                  <w:marLeft w:val="0"/>
                  <w:marRight w:val="0"/>
                  <w:marTop w:val="0"/>
                  <w:marBottom w:val="0"/>
                  <w:divBdr>
                    <w:top w:val="none" w:sz="0" w:space="0" w:color="auto"/>
                    <w:left w:val="none" w:sz="0" w:space="0" w:color="auto"/>
                    <w:bottom w:val="none" w:sz="0" w:space="0" w:color="auto"/>
                    <w:right w:val="none" w:sz="0" w:space="0" w:color="auto"/>
                  </w:divBdr>
                </w:div>
                <w:div w:id="282999532">
                  <w:marLeft w:val="0"/>
                  <w:marRight w:val="0"/>
                  <w:marTop w:val="0"/>
                  <w:marBottom w:val="0"/>
                  <w:divBdr>
                    <w:top w:val="none" w:sz="0" w:space="0" w:color="auto"/>
                    <w:left w:val="none" w:sz="0" w:space="0" w:color="auto"/>
                    <w:bottom w:val="none" w:sz="0" w:space="0" w:color="auto"/>
                    <w:right w:val="none" w:sz="0" w:space="0" w:color="auto"/>
                  </w:divBdr>
                </w:div>
                <w:div w:id="92634120">
                  <w:marLeft w:val="0"/>
                  <w:marRight w:val="0"/>
                  <w:marTop w:val="0"/>
                  <w:marBottom w:val="0"/>
                  <w:divBdr>
                    <w:top w:val="none" w:sz="0" w:space="0" w:color="auto"/>
                    <w:left w:val="none" w:sz="0" w:space="0" w:color="auto"/>
                    <w:bottom w:val="none" w:sz="0" w:space="0" w:color="auto"/>
                    <w:right w:val="none" w:sz="0" w:space="0" w:color="auto"/>
                  </w:divBdr>
                </w:div>
                <w:div w:id="2105950073">
                  <w:marLeft w:val="0"/>
                  <w:marRight w:val="0"/>
                  <w:marTop w:val="0"/>
                  <w:marBottom w:val="0"/>
                  <w:divBdr>
                    <w:top w:val="none" w:sz="0" w:space="0" w:color="auto"/>
                    <w:left w:val="none" w:sz="0" w:space="0" w:color="auto"/>
                    <w:bottom w:val="none" w:sz="0" w:space="0" w:color="auto"/>
                    <w:right w:val="none" w:sz="0" w:space="0" w:color="auto"/>
                  </w:divBdr>
                </w:div>
                <w:div w:id="815489027">
                  <w:marLeft w:val="0"/>
                  <w:marRight w:val="0"/>
                  <w:marTop w:val="0"/>
                  <w:marBottom w:val="0"/>
                  <w:divBdr>
                    <w:top w:val="none" w:sz="0" w:space="0" w:color="auto"/>
                    <w:left w:val="none" w:sz="0" w:space="0" w:color="auto"/>
                    <w:bottom w:val="none" w:sz="0" w:space="0" w:color="auto"/>
                    <w:right w:val="none" w:sz="0" w:space="0" w:color="auto"/>
                  </w:divBdr>
                </w:div>
                <w:div w:id="2111393410">
                  <w:marLeft w:val="0"/>
                  <w:marRight w:val="0"/>
                  <w:marTop w:val="0"/>
                  <w:marBottom w:val="0"/>
                  <w:divBdr>
                    <w:top w:val="none" w:sz="0" w:space="0" w:color="auto"/>
                    <w:left w:val="none" w:sz="0" w:space="0" w:color="auto"/>
                    <w:bottom w:val="none" w:sz="0" w:space="0" w:color="auto"/>
                    <w:right w:val="none" w:sz="0" w:space="0" w:color="auto"/>
                  </w:divBdr>
                </w:div>
              </w:divsChild>
            </w:div>
            <w:div w:id="1864397540">
              <w:marLeft w:val="0"/>
              <w:marRight w:val="0"/>
              <w:marTop w:val="0"/>
              <w:marBottom w:val="0"/>
              <w:divBdr>
                <w:top w:val="none" w:sz="0" w:space="0" w:color="auto"/>
                <w:left w:val="none" w:sz="0" w:space="0" w:color="auto"/>
                <w:bottom w:val="none" w:sz="0" w:space="0" w:color="auto"/>
                <w:right w:val="none" w:sz="0" w:space="0" w:color="auto"/>
              </w:divBdr>
              <w:divsChild>
                <w:div w:id="100497969">
                  <w:marLeft w:val="0"/>
                  <w:marRight w:val="0"/>
                  <w:marTop w:val="0"/>
                  <w:marBottom w:val="0"/>
                  <w:divBdr>
                    <w:top w:val="none" w:sz="0" w:space="0" w:color="auto"/>
                    <w:left w:val="none" w:sz="0" w:space="0" w:color="auto"/>
                    <w:bottom w:val="none" w:sz="0" w:space="0" w:color="auto"/>
                    <w:right w:val="none" w:sz="0" w:space="0" w:color="auto"/>
                  </w:divBdr>
                </w:div>
                <w:div w:id="1442803825">
                  <w:marLeft w:val="0"/>
                  <w:marRight w:val="0"/>
                  <w:marTop w:val="0"/>
                  <w:marBottom w:val="0"/>
                  <w:divBdr>
                    <w:top w:val="none" w:sz="0" w:space="0" w:color="auto"/>
                    <w:left w:val="none" w:sz="0" w:space="0" w:color="auto"/>
                    <w:bottom w:val="none" w:sz="0" w:space="0" w:color="auto"/>
                    <w:right w:val="none" w:sz="0" w:space="0" w:color="auto"/>
                  </w:divBdr>
                </w:div>
                <w:div w:id="937054890">
                  <w:marLeft w:val="0"/>
                  <w:marRight w:val="0"/>
                  <w:marTop w:val="0"/>
                  <w:marBottom w:val="0"/>
                  <w:divBdr>
                    <w:top w:val="none" w:sz="0" w:space="0" w:color="auto"/>
                    <w:left w:val="none" w:sz="0" w:space="0" w:color="auto"/>
                    <w:bottom w:val="none" w:sz="0" w:space="0" w:color="auto"/>
                    <w:right w:val="none" w:sz="0" w:space="0" w:color="auto"/>
                  </w:divBdr>
                </w:div>
                <w:div w:id="1994723303">
                  <w:marLeft w:val="0"/>
                  <w:marRight w:val="0"/>
                  <w:marTop w:val="0"/>
                  <w:marBottom w:val="0"/>
                  <w:divBdr>
                    <w:top w:val="none" w:sz="0" w:space="0" w:color="auto"/>
                    <w:left w:val="none" w:sz="0" w:space="0" w:color="auto"/>
                    <w:bottom w:val="none" w:sz="0" w:space="0" w:color="auto"/>
                    <w:right w:val="none" w:sz="0" w:space="0" w:color="auto"/>
                  </w:divBdr>
                </w:div>
                <w:div w:id="812720123">
                  <w:marLeft w:val="0"/>
                  <w:marRight w:val="0"/>
                  <w:marTop w:val="0"/>
                  <w:marBottom w:val="0"/>
                  <w:divBdr>
                    <w:top w:val="none" w:sz="0" w:space="0" w:color="auto"/>
                    <w:left w:val="none" w:sz="0" w:space="0" w:color="auto"/>
                    <w:bottom w:val="none" w:sz="0" w:space="0" w:color="auto"/>
                    <w:right w:val="none" w:sz="0" w:space="0" w:color="auto"/>
                  </w:divBdr>
                </w:div>
                <w:div w:id="1677534339">
                  <w:marLeft w:val="0"/>
                  <w:marRight w:val="0"/>
                  <w:marTop w:val="0"/>
                  <w:marBottom w:val="0"/>
                  <w:divBdr>
                    <w:top w:val="none" w:sz="0" w:space="0" w:color="auto"/>
                    <w:left w:val="none" w:sz="0" w:space="0" w:color="auto"/>
                    <w:bottom w:val="none" w:sz="0" w:space="0" w:color="auto"/>
                    <w:right w:val="none" w:sz="0" w:space="0" w:color="auto"/>
                  </w:divBdr>
                </w:div>
                <w:div w:id="1151211552">
                  <w:marLeft w:val="0"/>
                  <w:marRight w:val="0"/>
                  <w:marTop w:val="0"/>
                  <w:marBottom w:val="0"/>
                  <w:divBdr>
                    <w:top w:val="none" w:sz="0" w:space="0" w:color="auto"/>
                    <w:left w:val="none" w:sz="0" w:space="0" w:color="auto"/>
                    <w:bottom w:val="none" w:sz="0" w:space="0" w:color="auto"/>
                    <w:right w:val="none" w:sz="0" w:space="0" w:color="auto"/>
                  </w:divBdr>
                </w:div>
                <w:div w:id="20010273">
                  <w:marLeft w:val="0"/>
                  <w:marRight w:val="0"/>
                  <w:marTop w:val="0"/>
                  <w:marBottom w:val="0"/>
                  <w:divBdr>
                    <w:top w:val="none" w:sz="0" w:space="0" w:color="auto"/>
                    <w:left w:val="none" w:sz="0" w:space="0" w:color="auto"/>
                    <w:bottom w:val="none" w:sz="0" w:space="0" w:color="auto"/>
                    <w:right w:val="none" w:sz="0" w:space="0" w:color="auto"/>
                  </w:divBdr>
                </w:div>
                <w:div w:id="1967152449">
                  <w:marLeft w:val="0"/>
                  <w:marRight w:val="0"/>
                  <w:marTop w:val="0"/>
                  <w:marBottom w:val="0"/>
                  <w:divBdr>
                    <w:top w:val="none" w:sz="0" w:space="0" w:color="auto"/>
                    <w:left w:val="none" w:sz="0" w:space="0" w:color="auto"/>
                    <w:bottom w:val="none" w:sz="0" w:space="0" w:color="auto"/>
                    <w:right w:val="none" w:sz="0" w:space="0" w:color="auto"/>
                  </w:divBdr>
                </w:div>
                <w:div w:id="778916049">
                  <w:marLeft w:val="0"/>
                  <w:marRight w:val="0"/>
                  <w:marTop w:val="0"/>
                  <w:marBottom w:val="0"/>
                  <w:divBdr>
                    <w:top w:val="none" w:sz="0" w:space="0" w:color="auto"/>
                    <w:left w:val="none" w:sz="0" w:space="0" w:color="auto"/>
                    <w:bottom w:val="none" w:sz="0" w:space="0" w:color="auto"/>
                    <w:right w:val="none" w:sz="0" w:space="0" w:color="auto"/>
                  </w:divBdr>
                </w:div>
              </w:divsChild>
            </w:div>
            <w:div w:id="2097241912">
              <w:marLeft w:val="0"/>
              <w:marRight w:val="0"/>
              <w:marTop w:val="0"/>
              <w:marBottom w:val="0"/>
              <w:divBdr>
                <w:top w:val="none" w:sz="0" w:space="0" w:color="auto"/>
                <w:left w:val="none" w:sz="0" w:space="0" w:color="auto"/>
                <w:bottom w:val="none" w:sz="0" w:space="0" w:color="auto"/>
                <w:right w:val="none" w:sz="0" w:space="0" w:color="auto"/>
              </w:divBdr>
              <w:divsChild>
                <w:div w:id="750547557">
                  <w:marLeft w:val="0"/>
                  <w:marRight w:val="0"/>
                  <w:marTop w:val="0"/>
                  <w:marBottom w:val="0"/>
                  <w:divBdr>
                    <w:top w:val="none" w:sz="0" w:space="0" w:color="auto"/>
                    <w:left w:val="none" w:sz="0" w:space="0" w:color="auto"/>
                    <w:bottom w:val="none" w:sz="0" w:space="0" w:color="auto"/>
                    <w:right w:val="none" w:sz="0" w:space="0" w:color="auto"/>
                  </w:divBdr>
                </w:div>
                <w:div w:id="617025307">
                  <w:marLeft w:val="0"/>
                  <w:marRight w:val="0"/>
                  <w:marTop w:val="0"/>
                  <w:marBottom w:val="0"/>
                  <w:divBdr>
                    <w:top w:val="none" w:sz="0" w:space="0" w:color="auto"/>
                    <w:left w:val="none" w:sz="0" w:space="0" w:color="auto"/>
                    <w:bottom w:val="none" w:sz="0" w:space="0" w:color="auto"/>
                    <w:right w:val="none" w:sz="0" w:space="0" w:color="auto"/>
                  </w:divBdr>
                </w:div>
                <w:div w:id="2034110523">
                  <w:marLeft w:val="0"/>
                  <w:marRight w:val="0"/>
                  <w:marTop w:val="0"/>
                  <w:marBottom w:val="0"/>
                  <w:divBdr>
                    <w:top w:val="none" w:sz="0" w:space="0" w:color="auto"/>
                    <w:left w:val="none" w:sz="0" w:space="0" w:color="auto"/>
                    <w:bottom w:val="none" w:sz="0" w:space="0" w:color="auto"/>
                    <w:right w:val="none" w:sz="0" w:space="0" w:color="auto"/>
                  </w:divBdr>
                </w:div>
                <w:div w:id="1041175042">
                  <w:marLeft w:val="0"/>
                  <w:marRight w:val="0"/>
                  <w:marTop w:val="0"/>
                  <w:marBottom w:val="0"/>
                  <w:divBdr>
                    <w:top w:val="none" w:sz="0" w:space="0" w:color="auto"/>
                    <w:left w:val="none" w:sz="0" w:space="0" w:color="auto"/>
                    <w:bottom w:val="none" w:sz="0" w:space="0" w:color="auto"/>
                    <w:right w:val="none" w:sz="0" w:space="0" w:color="auto"/>
                  </w:divBdr>
                </w:div>
                <w:div w:id="1386375734">
                  <w:marLeft w:val="0"/>
                  <w:marRight w:val="0"/>
                  <w:marTop w:val="0"/>
                  <w:marBottom w:val="0"/>
                  <w:divBdr>
                    <w:top w:val="none" w:sz="0" w:space="0" w:color="auto"/>
                    <w:left w:val="none" w:sz="0" w:space="0" w:color="auto"/>
                    <w:bottom w:val="none" w:sz="0" w:space="0" w:color="auto"/>
                    <w:right w:val="none" w:sz="0" w:space="0" w:color="auto"/>
                  </w:divBdr>
                </w:div>
                <w:div w:id="993140469">
                  <w:marLeft w:val="0"/>
                  <w:marRight w:val="0"/>
                  <w:marTop w:val="0"/>
                  <w:marBottom w:val="0"/>
                  <w:divBdr>
                    <w:top w:val="none" w:sz="0" w:space="0" w:color="auto"/>
                    <w:left w:val="none" w:sz="0" w:space="0" w:color="auto"/>
                    <w:bottom w:val="none" w:sz="0" w:space="0" w:color="auto"/>
                    <w:right w:val="none" w:sz="0" w:space="0" w:color="auto"/>
                  </w:divBdr>
                </w:div>
                <w:div w:id="1070078223">
                  <w:marLeft w:val="0"/>
                  <w:marRight w:val="0"/>
                  <w:marTop w:val="0"/>
                  <w:marBottom w:val="0"/>
                  <w:divBdr>
                    <w:top w:val="none" w:sz="0" w:space="0" w:color="auto"/>
                    <w:left w:val="none" w:sz="0" w:space="0" w:color="auto"/>
                    <w:bottom w:val="none" w:sz="0" w:space="0" w:color="auto"/>
                    <w:right w:val="none" w:sz="0" w:space="0" w:color="auto"/>
                  </w:divBdr>
                </w:div>
                <w:div w:id="1580168924">
                  <w:marLeft w:val="0"/>
                  <w:marRight w:val="0"/>
                  <w:marTop w:val="0"/>
                  <w:marBottom w:val="0"/>
                  <w:divBdr>
                    <w:top w:val="none" w:sz="0" w:space="0" w:color="auto"/>
                    <w:left w:val="none" w:sz="0" w:space="0" w:color="auto"/>
                    <w:bottom w:val="none" w:sz="0" w:space="0" w:color="auto"/>
                    <w:right w:val="none" w:sz="0" w:space="0" w:color="auto"/>
                  </w:divBdr>
                </w:div>
                <w:div w:id="2073848034">
                  <w:marLeft w:val="0"/>
                  <w:marRight w:val="0"/>
                  <w:marTop w:val="0"/>
                  <w:marBottom w:val="0"/>
                  <w:divBdr>
                    <w:top w:val="none" w:sz="0" w:space="0" w:color="auto"/>
                    <w:left w:val="none" w:sz="0" w:space="0" w:color="auto"/>
                    <w:bottom w:val="none" w:sz="0" w:space="0" w:color="auto"/>
                    <w:right w:val="none" w:sz="0" w:space="0" w:color="auto"/>
                  </w:divBdr>
                </w:div>
                <w:div w:id="1048804087">
                  <w:marLeft w:val="0"/>
                  <w:marRight w:val="0"/>
                  <w:marTop w:val="0"/>
                  <w:marBottom w:val="0"/>
                  <w:divBdr>
                    <w:top w:val="none" w:sz="0" w:space="0" w:color="auto"/>
                    <w:left w:val="none" w:sz="0" w:space="0" w:color="auto"/>
                    <w:bottom w:val="none" w:sz="0" w:space="0" w:color="auto"/>
                    <w:right w:val="none" w:sz="0" w:space="0" w:color="auto"/>
                  </w:divBdr>
                </w:div>
                <w:div w:id="292714005">
                  <w:marLeft w:val="0"/>
                  <w:marRight w:val="0"/>
                  <w:marTop w:val="0"/>
                  <w:marBottom w:val="0"/>
                  <w:divBdr>
                    <w:top w:val="none" w:sz="0" w:space="0" w:color="auto"/>
                    <w:left w:val="none" w:sz="0" w:space="0" w:color="auto"/>
                    <w:bottom w:val="none" w:sz="0" w:space="0" w:color="auto"/>
                    <w:right w:val="none" w:sz="0" w:space="0" w:color="auto"/>
                  </w:divBdr>
                </w:div>
                <w:div w:id="825361711">
                  <w:marLeft w:val="0"/>
                  <w:marRight w:val="0"/>
                  <w:marTop w:val="0"/>
                  <w:marBottom w:val="0"/>
                  <w:divBdr>
                    <w:top w:val="none" w:sz="0" w:space="0" w:color="auto"/>
                    <w:left w:val="none" w:sz="0" w:space="0" w:color="auto"/>
                    <w:bottom w:val="none" w:sz="0" w:space="0" w:color="auto"/>
                    <w:right w:val="none" w:sz="0" w:space="0" w:color="auto"/>
                  </w:divBdr>
                </w:div>
                <w:div w:id="1919243077">
                  <w:marLeft w:val="0"/>
                  <w:marRight w:val="0"/>
                  <w:marTop w:val="0"/>
                  <w:marBottom w:val="0"/>
                  <w:divBdr>
                    <w:top w:val="none" w:sz="0" w:space="0" w:color="auto"/>
                    <w:left w:val="none" w:sz="0" w:space="0" w:color="auto"/>
                    <w:bottom w:val="none" w:sz="0" w:space="0" w:color="auto"/>
                    <w:right w:val="none" w:sz="0" w:space="0" w:color="auto"/>
                  </w:divBdr>
                </w:div>
                <w:div w:id="717318143">
                  <w:marLeft w:val="0"/>
                  <w:marRight w:val="0"/>
                  <w:marTop w:val="0"/>
                  <w:marBottom w:val="0"/>
                  <w:divBdr>
                    <w:top w:val="none" w:sz="0" w:space="0" w:color="auto"/>
                    <w:left w:val="none" w:sz="0" w:space="0" w:color="auto"/>
                    <w:bottom w:val="none" w:sz="0" w:space="0" w:color="auto"/>
                    <w:right w:val="none" w:sz="0" w:space="0" w:color="auto"/>
                  </w:divBdr>
                </w:div>
                <w:div w:id="1408650215">
                  <w:marLeft w:val="0"/>
                  <w:marRight w:val="0"/>
                  <w:marTop w:val="0"/>
                  <w:marBottom w:val="0"/>
                  <w:divBdr>
                    <w:top w:val="none" w:sz="0" w:space="0" w:color="auto"/>
                    <w:left w:val="none" w:sz="0" w:space="0" w:color="auto"/>
                    <w:bottom w:val="none" w:sz="0" w:space="0" w:color="auto"/>
                    <w:right w:val="none" w:sz="0" w:space="0" w:color="auto"/>
                  </w:divBdr>
                </w:div>
              </w:divsChild>
            </w:div>
            <w:div w:id="713430149">
              <w:marLeft w:val="0"/>
              <w:marRight w:val="0"/>
              <w:marTop w:val="0"/>
              <w:marBottom w:val="0"/>
              <w:divBdr>
                <w:top w:val="none" w:sz="0" w:space="0" w:color="auto"/>
                <w:left w:val="none" w:sz="0" w:space="0" w:color="auto"/>
                <w:bottom w:val="none" w:sz="0" w:space="0" w:color="auto"/>
                <w:right w:val="none" w:sz="0" w:space="0" w:color="auto"/>
              </w:divBdr>
              <w:divsChild>
                <w:div w:id="155462300">
                  <w:marLeft w:val="0"/>
                  <w:marRight w:val="0"/>
                  <w:marTop w:val="0"/>
                  <w:marBottom w:val="0"/>
                  <w:divBdr>
                    <w:top w:val="none" w:sz="0" w:space="0" w:color="auto"/>
                    <w:left w:val="none" w:sz="0" w:space="0" w:color="auto"/>
                    <w:bottom w:val="none" w:sz="0" w:space="0" w:color="auto"/>
                    <w:right w:val="none" w:sz="0" w:space="0" w:color="auto"/>
                  </w:divBdr>
                </w:div>
                <w:div w:id="986544370">
                  <w:marLeft w:val="0"/>
                  <w:marRight w:val="0"/>
                  <w:marTop w:val="0"/>
                  <w:marBottom w:val="0"/>
                  <w:divBdr>
                    <w:top w:val="none" w:sz="0" w:space="0" w:color="auto"/>
                    <w:left w:val="none" w:sz="0" w:space="0" w:color="auto"/>
                    <w:bottom w:val="none" w:sz="0" w:space="0" w:color="auto"/>
                    <w:right w:val="none" w:sz="0" w:space="0" w:color="auto"/>
                  </w:divBdr>
                </w:div>
                <w:div w:id="2017421381">
                  <w:marLeft w:val="0"/>
                  <w:marRight w:val="0"/>
                  <w:marTop w:val="0"/>
                  <w:marBottom w:val="0"/>
                  <w:divBdr>
                    <w:top w:val="none" w:sz="0" w:space="0" w:color="auto"/>
                    <w:left w:val="none" w:sz="0" w:space="0" w:color="auto"/>
                    <w:bottom w:val="none" w:sz="0" w:space="0" w:color="auto"/>
                    <w:right w:val="none" w:sz="0" w:space="0" w:color="auto"/>
                  </w:divBdr>
                </w:div>
                <w:div w:id="1240336018">
                  <w:marLeft w:val="0"/>
                  <w:marRight w:val="0"/>
                  <w:marTop w:val="0"/>
                  <w:marBottom w:val="0"/>
                  <w:divBdr>
                    <w:top w:val="none" w:sz="0" w:space="0" w:color="auto"/>
                    <w:left w:val="none" w:sz="0" w:space="0" w:color="auto"/>
                    <w:bottom w:val="none" w:sz="0" w:space="0" w:color="auto"/>
                    <w:right w:val="none" w:sz="0" w:space="0" w:color="auto"/>
                  </w:divBdr>
                </w:div>
                <w:div w:id="115222125">
                  <w:marLeft w:val="0"/>
                  <w:marRight w:val="0"/>
                  <w:marTop w:val="0"/>
                  <w:marBottom w:val="0"/>
                  <w:divBdr>
                    <w:top w:val="none" w:sz="0" w:space="0" w:color="auto"/>
                    <w:left w:val="none" w:sz="0" w:space="0" w:color="auto"/>
                    <w:bottom w:val="none" w:sz="0" w:space="0" w:color="auto"/>
                    <w:right w:val="none" w:sz="0" w:space="0" w:color="auto"/>
                  </w:divBdr>
                </w:div>
                <w:div w:id="761536242">
                  <w:marLeft w:val="0"/>
                  <w:marRight w:val="0"/>
                  <w:marTop w:val="0"/>
                  <w:marBottom w:val="0"/>
                  <w:divBdr>
                    <w:top w:val="none" w:sz="0" w:space="0" w:color="auto"/>
                    <w:left w:val="none" w:sz="0" w:space="0" w:color="auto"/>
                    <w:bottom w:val="none" w:sz="0" w:space="0" w:color="auto"/>
                    <w:right w:val="none" w:sz="0" w:space="0" w:color="auto"/>
                  </w:divBdr>
                </w:div>
                <w:div w:id="2027972790">
                  <w:marLeft w:val="0"/>
                  <w:marRight w:val="0"/>
                  <w:marTop w:val="0"/>
                  <w:marBottom w:val="0"/>
                  <w:divBdr>
                    <w:top w:val="none" w:sz="0" w:space="0" w:color="auto"/>
                    <w:left w:val="none" w:sz="0" w:space="0" w:color="auto"/>
                    <w:bottom w:val="none" w:sz="0" w:space="0" w:color="auto"/>
                    <w:right w:val="none" w:sz="0" w:space="0" w:color="auto"/>
                  </w:divBdr>
                </w:div>
              </w:divsChild>
            </w:div>
            <w:div w:id="1708331439">
              <w:marLeft w:val="0"/>
              <w:marRight w:val="0"/>
              <w:marTop w:val="0"/>
              <w:marBottom w:val="0"/>
              <w:divBdr>
                <w:top w:val="none" w:sz="0" w:space="0" w:color="auto"/>
                <w:left w:val="none" w:sz="0" w:space="0" w:color="auto"/>
                <w:bottom w:val="none" w:sz="0" w:space="0" w:color="auto"/>
                <w:right w:val="none" w:sz="0" w:space="0" w:color="auto"/>
              </w:divBdr>
              <w:divsChild>
                <w:div w:id="1379862518">
                  <w:marLeft w:val="0"/>
                  <w:marRight w:val="0"/>
                  <w:marTop w:val="0"/>
                  <w:marBottom w:val="0"/>
                  <w:divBdr>
                    <w:top w:val="none" w:sz="0" w:space="0" w:color="auto"/>
                    <w:left w:val="none" w:sz="0" w:space="0" w:color="auto"/>
                    <w:bottom w:val="none" w:sz="0" w:space="0" w:color="auto"/>
                    <w:right w:val="none" w:sz="0" w:space="0" w:color="auto"/>
                  </w:divBdr>
                </w:div>
                <w:div w:id="2084453370">
                  <w:marLeft w:val="0"/>
                  <w:marRight w:val="0"/>
                  <w:marTop w:val="0"/>
                  <w:marBottom w:val="0"/>
                  <w:divBdr>
                    <w:top w:val="none" w:sz="0" w:space="0" w:color="auto"/>
                    <w:left w:val="none" w:sz="0" w:space="0" w:color="auto"/>
                    <w:bottom w:val="none" w:sz="0" w:space="0" w:color="auto"/>
                    <w:right w:val="none" w:sz="0" w:space="0" w:color="auto"/>
                  </w:divBdr>
                </w:div>
                <w:div w:id="2025784600">
                  <w:marLeft w:val="0"/>
                  <w:marRight w:val="0"/>
                  <w:marTop w:val="0"/>
                  <w:marBottom w:val="0"/>
                  <w:divBdr>
                    <w:top w:val="none" w:sz="0" w:space="0" w:color="auto"/>
                    <w:left w:val="none" w:sz="0" w:space="0" w:color="auto"/>
                    <w:bottom w:val="none" w:sz="0" w:space="0" w:color="auto"/>
                    <w:right w:val="none" w:sz="0" w:space="0" w:color="auto"/>
                  </w:divBdr>
                </w:div>
                <w:div w:id="18313716">
                  <w:marLeft w:val="0"/>
                  <w:marRight w:val="0"/>
                  <w:marTop w:val="0"/>
                  <w:marBottom w:val="0"/>
                  <w:divBdr>
                    <w:top w:val="none" w:sz="0" w:space="0" w:color="auto"/>
                    <w:left w:val="none" w:sz="0" w:space="0" w:color="auto"/>
                    <w:bottom w:val="none" w:sz="0" w:space="0" w:color="auto"/>
                    <w:right w:val="none" w:sz="0" w:space="0" w:color="auto"/>
                  </w:divBdr>
                </w:div>
                <w:div w:id="1054624838">
                  <w:marLeft w:val="0"/>
                  <w:marRight w:val="0"/>
                  <w:marTop w:val="0"/>
                  <w:marBottom w:val="0"/>
                  <w:divBdr>
                    <w:top w:val="none" w:sz="0" w:space="0" w:color="auto"/>
                    <w:left w:val="none" w:sz="0" w:space="0" w:color="auto"/>
                    <w:bottom w:val="none" w:sz="0" w:space="0" w:color="auto"/>
                    <w:right w:val="none" w:sz="0" w:space="0" w:color="auto"/>
                  </w:divBdr>
                </w:div>
                <w:div w:id="721902431">
                  <w:marLeft w:val="0"/>
                  <w:marRight w:val="0"/>
                  <w:marTop w:val="0"/>
                  <w:marBottom w:val="0"/>
                  <w:divBdr>
                    <w:top w:val="none" w:sz="0" w:space="0" w:color="auto"/>
                    <w:left w:val="none" w:sz="0" w:space="0" w:color="auto"/>
                    <w:bottom w:val="none" w:sz="0" w:space="0" w:color="auto"/>
                    <w:right w:val="none" w:sz="0" w:space="0" w:color="auto"/>
                  </w:divBdr>
                </w:div>
                <w:div w:id="1856920335">
                  <w:marLeft w:val="0"/>
                  <w:marRight w:val="0"/>
                  <w:marTop w:val="0"/>
                  <w:marBottom w:val="0"/>
                  <w:divBdr>
                    <w:top w:val="none" w:sz="0" w:space="0" w:color="auto"/>
                    <w:left w:val="none" w:sz="0" w:space="0" w:color="auto"/>
                    <w:bottom w:val="none" w:sz="0" w:space="0" w:color="auto"/>
                    <w:right w:val="none" w:sz="0" w:space="0" w:color="auto"/>
                  </w:divBdr>
                </w:div>
              </w:divsChild>
            </w:div>
            <w:div w:id="901015370">
              <w:marLeft w:val="0"/>
              <w:marRight w:val="0"/>
              <w:marTop w:val="0"/>
              <w:marBottom w:val="0"/>
              <w:divBdr>
                <w:top w:val="none" w:sz="0" w:space="0" w:color="auto"/>
                <w:left w:val="none" w:sz="0" w:space="0" w:color="auto"/>
                <w:bottom w:val="none" w:sz="0" w:space="0" w:color="auto"/>
                <w:right w:val="none" w:sz="0" w:space="0" w:color="auto"/>
              </w:divBdr>
              <w:divsChild>
                <w:div w:id="40595688">
                  <w:marLeft w:val="0"/>
                  <w:marRight w:val="0"/>
                  <w:marTop w:val="0"/>
                  <w:marBottom w:val="0"/>
                  <w:divBdr>
                    <w:top w:val="none" w:sz="0" w:space="0" w:color="auto"/>
                    <w:left w:val="none" w:sz="0" w:space="0" w:color="auto"/>
                    <w:bottom w:val="none" w:sz="0" w:space="0" w:color="auto"/>
                    <w:right w:val="none" w:sz="0" w:space="0" w:color="auto"/>
                  </w:divBdr>
                </w:div>
                <w:div w:id="341974757">
                  <w:marLeft w:val="0"/>
                  <w:marRight w:val="0"/>
                  <w:marTop w:val="0"/>
                  <w:marBottom w:val="0"/>
                  <w:divBdr>
                    <w:top w:val="none" w:sz="0" w:space="0" w:color="auto"/>
                    <w:left w:val="none" w:sz="0" w:space="0" w:color="auto"/>
                    <w:bottom w:val="none" w:sz="0" w:space="0" w:color="auto"/>
                    <w:right w:val="none" w:sz="0" w:space="0" w:color="auto"/>
                  </w:divBdr>
                </w:div>
                <w:div w:id="1225335572">
                  <w:marLeft w:val="0"/>
                  <w:marRight w:val="0"/>
                  <w:marTop w:val="0"/>
                  <w:marBottom w:val="0"/>
                  <w:divBdr>
                    <w:top w:val="none" w:sz="0" w:space="0" w:color="auto"/>
                    <w:left w:val="none" w:sz="0" w:space="0" w:color="auto"/>
                    <w:bottom w:val="none" w:sz="0" w:space="0" w:color="auto"/>
                    <w:right w:val="none" w:sz="0" w:space="0" w:color="auto"/>
                  </w:divBdr>
                </w:div>
              </w:divsChild>
            </w:div>
            <w:div w:id="42946419">
              <w:marLeft w:val="0"/>
              <w:marRight w:val="0"/>
              <w:marTop w:val="0"/>
              <w:marBottom w:val="0"/>
              <w:divBdr>
                <w:top w:val="none" w:sz="0" w:space="0" w:color="auto"/>
                <w:left w:val="none" w:sz="0" w:space="0" w:color="auto"/>
                <w:bottom w:val="none" w:sz="0" w:space="0" w:color="auto"/>
                <w:right w:val="none" w:sz="0" w:space="0" w:color="auto"/>
              </w:divBdr>
              <w:divsChild>
                <w:div w:id="482700086">
                  <w:marLeft w:val="0"/>
                  <w:marRight w:val="0"/>
                  <w:marTop w:val="0"/>
                  <w:marBottom w:val="0"/>
                  <w:divBdr>
                    <w:top w:val="none" w:sz="0" w:space="0" w:color="auto"/>
                    <w:left w:val="none" w:sz="0" w:space="0" w:color="auto"/>
                    <w:bottom w:val="none" w:sz="0" w:space="0" w:color="auto"/>
                    <w:right w:val="none" w:sz="0" w:space="0" w:color="auto"/>
                  </w:divBdr>
                </w:div>
                <w:div w:id="684595201">
                  <w:marLeft w:val="0"/>
                  <w:marRight w:val="0"/>
                  <w:marTop w:val="0"/>
                  <w:marBottom w:val="0"/>
                  <w:divBdr>
                    <w:top w:val="none" w:sz="0" w:space="0" w:color="auto"/>
                    <w:left w:val="none" w:sz="0" w:space="0" w:color="auto"/>
                    <w:bottom w:val="none" w:sz="0" w:space="0" w:color="auto"/>
                    <w:right w:val="none" w:sz="0" w:space="0" w:color="auto"/>
                  </w:divBdr>
                </w:div>
                <w:div w:id="933096">
                  <w:marLeft w:val="0"/>
                  <w:marRight w:val="0"/>
                  <w:marTop w:val="0"/>
                  <w:marBottom w:val="0"/>
                  <w:divBdr>
                    <w:top w:val="none" w:sz="0" w:space="0" w:color="auto"/>
                    <w:left w:val="none" w:sz="0" w:space="0" w:color="auto"/>
                    <w:bottom w:val="none" w:sz="0" w:space="0" w:color="auto"/>
                    <w:right w:val="none" w:sz="0" w:space="0" w:color="auto"/>
                  </w:divBdr>
                </w:div>
                <w:div w:id="824319201">
                  <w:marLeft w:val="0"/>
                  <w:marRight w:val="0"/>
                  <w:marTop w:val="0"/>
                  <w:marBottom w:val="0"/>
                  <w:divBdr>
                    <w:top w:val="none" w:sz="0" w:space="0" w:color="auto"/>
                    <w:left w:val="none" w:sz="0" w:space="0" w:color="auto"/>
                    <w:bottom w:val="none" w:sz="0" w:space="0" w:color="auto"/>
                    <w:right w:val="none" w:sz="0" w:space="0" w:color="auto"/>
                  </w:divBdr>
                </w:div>
                <w:div w:id="80680847">
                  <w:marLeft w:val="0"/>
                  <w:marRight w:val="0"/>
                  <w:marTop w:val="0"/>
                  <w:marBottom w:val="0"/>
                  <w:divBdr>
                    <w:top w:val="none" w:sz="0" w:space="0" w:color="auto"/>
                    <w:left w:val="none" w:sz="0" w:space="0" w:color="auto"/>
                    <w:bottom w:val="none" w:sz="0" w:space="0" w:color="auto"/>
                    <w:right w:val="none" w:sz="0" w:space="0" w:color="auto"/>
                  </w:divBdr>
                </w:div>
                <w:div w:id="1407535536">
                  <w:marLeft w:val="0"/>
                  <w:marRight w:val="0"/>
                  <w:marTop w:val="0"/>
                  <w:marBottom w:val="0"/>
                  <w:divBdr>
                    <w:top w:val="none" w:sz="0" w:space="0" w:color="auto"/>
                    <w:left w:val="none" w:sz="0" w:space="0" w:color="auto"/>
                    <w:bottom w:val="none" w:sz="0" w:space="0" w:color="auto"/>
                    <w:right w:val="none" w:sz="0" w:space="0" w:color="auto"/>
                  </w:divBdr>
                </w:div>
              </w:divsChild>
            </w:div>
            <w:div w:id="1157038682">
              <w:marLeft w:val="0"/>
              <w:marRight w:val="0"/>
              <w:marTop w:val="0"/>
              <w:marBottom w:val="0"/>
              <w:divBdr>
                <w:top w:val="none" w:sz="0" w:space="0" w:color="auto"/>
                <w:left w:val="none" w:sz="0" w:space="0" w:color="auto"/>
                <w:bottom w:val="none" w:sz="0" w:space="0" w:color="auto"/>
                <w:right w:val="none" w:sz="0" w:space="0" w:color="auto"/>
              </w:divBdr>
              <w:divsChild>
                <w:div w:id="2133941400">
                  <w:marLeft w:val="0"/>
                  <w:marRight w:val="0"/>
                  <w:marTop w:val="0"/>
                  <w:marBottom w:val="0"/>
                  <w:divBdr>
                    <w:top w:val="none" w:sz="0" w:space="0" w:color="auto"/>
                    <w:left w:val="none" w:sz="0" w:space="0" w:color="auto"/>
                    <w:bottom w:val="none" w:sz="0" w:space="0" w:color="auto"/>
                    <w:right w:val="none" w:sz="0" w:space="0" w:color="auto"/>
                  </w:divBdr>
                </w:div>
                <w:div w:id="1654328822">
                  <w:marLeft w:val="0"/>
                  <w:marRight w:val="0"/>
                  <w:marTop w:val="0"/>
                  <w:marBottom w:val="0"/>
                  <w:divBdr>
                    <w:top w:val="none" w:sz="0" w:space="0" w:color="auto"/>
                    <w:left w:val="none" w:sz="0" w:space="0" w:color="auto"/>
                    <w:bottom w:val="none" w:sz="0" w:space="0" w:color="auto"/>
                    <w:right w:val="none" w:sz="0" w:space="0" w:color="auto"/>
                  </w:divBdr>
                </w:div>
                <w:div w:id="638917174">
                  <w:marLeft w:val="0"/>
                  <w:marRight w:val="0"/>
                  <w:marTop w:val="0"/>
                  <w:marBottom w:val="0"/>
                  <w:divBdr>
                    <w:top w:val="none" w:sz="0" w:space="0" w:color="auto"/>
                    <w:left w:val="none" w:sz="0" w:space="0" w:color="auto"/>
                    <w:bottom w:val="none" w:sz="0" w:space="0" w:color="auto"/>
                    <w:right w:val="none" w:sz="0" w:space="0" w:color="auto"/>
                  </w:divBdr>
                </w:div>
                <w:div w:id="410852791">
                  <w:marLeft w:val="0"/>
                  <w:marRight w:val="0"/>
                  <w:marTop w:val="0"/>
                  <w:marBottom w:val="0"/>
                  <w:divBdr>
                    <w:top w:val="none" w:sz="0" w:space="0" w:color="auto"/>
                    <w:left w:val="none" w:sz="0" w:space="0" w:color="auto"/>
                    <w:bottom w:val="none" w:sz="0" w:space="0" w:color="auto"/>
                    <w:right w:val="none" w:sz="0" w:space="0" w:color="auto"/>
                  </w:divBdr>
                </w:div>
                <w:div w:id="3287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0376">
          <w:marLeft w:val="0"/>
          <w:marRight w:val="0"/>
          <w:marTop w:val="0"/>
          <w:marBottom w:val="0"/>
          <w:divBdr>
            <w:top w:val="none" w:sz="0" w:space="0" w:color="auto"/>
            <w:left w:val="none" w:sz="0" w:space="0" w:color="auto"/>
            <w:bottom w:val="none" w:sz="0" w:space="0" w:color="auto"/>
            <w:right w:val="none" w:sz="0" w:space="0" w:color="auto"/>
          </w:divBdr>
        </w:div>
        <w:div w:id="1837065866">
          <w:marLeft w:val="0"/>
          <w:marRight w:val="0"/>
          <w:marTop w:val="0"/>
          <w:marBottom w:val="0"/>
          <w:divBdr>
            <w:top w:val="none" w:sz="0" w:space="0" w:color="auto"/>
            <w:left w:val="none" w:sz="0" w:space="0" w:color="auto"/>
            <w:bottom w:val="none" w:sz="0" w:space="0" w:color="auto"/>
            <w:right w:val="none" w:sz="0" w:space="0" w:color="auto"/>
          </w:divBdr>
        </w:div>
        <w:div w:id="1129471567">
          <w:marLeft w:val="0"/>
          <w:marRight w:val="0"/>
          <w:marTop w:val="0"/>
          <w:marBottom w:val="0"/>
          <w:divBdr>
            <w:top w:val="none" w:sz="0" w:space="0" w:color="auto"/>
            <w:left w:val="none" w:sz="0" w:space="0" w:color="auto"/>
            <w:bottom w:val="none" w:sz="0" w:space="0" w:color="auto"/>
            <w:right w:val="none" w:sz="0" w:space="0" w:color="auto"/>
          </w:divBdr>
        </w:div>
        <w:div w:id="159539631">
          <w:marLeft w:val="0"/>
          <w:marRight w:val="0"/>
          <w:marTop w:val="0"/>
          <w:marBottom w:val="0"/>
          <w:divBdr>
            <w:top w:val="none" w:sz="0" w:space="0" w:color="auto"/>
            <w:left w:val="none" w:sz="0" w:space="0" w:color="auto"/>
            <w:bottom w:val="none" w:sz="0" w:space="0" w:color="auto"/>
            <w:right w:val="none" w:sz="0" w:space="0" w:color="auto"/>
          </w:divBdr>
        </w:div>
        <w:div w:id="1475290797">
          <w:marLeft w:val="0"/>
          <w:marRight w:val="0"/>
          <w:marTop w:val="0"/>
          <w:marBottom w:val="0"/>
          <w:divBdr>
            <w:top w:val="none" w:sz="0" w:space="0" w:color="auto"/>
            <w:left w:val="none" w:sz="0" w:space="0" w:color="auto"/>
            <w:bottom w:val="none" w:sz="0" w:space="0" w:color="auto"/>
            <w:right w:val="none" w:sz="0" w:space="0" w:color="auto"/>
          </w:divBdr>
        </w:div>
        <w:div w:id="2075540025">
          <w:marLeft w:val="0"/>
          <w:marRight w:val="0"/>
          <w:marTop w:val="0"/>
          <w:marBottom w:val="0"/>
          <w:divBdr>
            <w:top w:val="none" w:sz="0" w:space="0" w:color="auto"/>
            <w:left w:val="none" w:sz="0" w:space="0" w:color="auto"/>
            <w:bottom w:val="none" w:sz="0" w:space="0" w:color="auto"/>
            <w:right w:val="none" w:sz="0" w:space="0" w:color="auto"/>
          </w:divBdr>
        </w:div>
        <w:div w:id="2112554041">
          <w:marLeft w:val="0"/>
          <w:marRight w:val="0"/>
          <w:marTop w:val="0"/>
          <w:marBottom w:val="0"/>
          <w:divBdr>
            <w:top w:val="none" w:sz="0" w:space="0" w:color="auto"/>
            <w:left w:val="none" w:sz="0" w:space="0" w:color="auto"/>
            <w:bottom w:val="none" w:sz="0" w:space="0" w:color="auto"/>
            <w:right w:val="none" w:sz="0" w:space="0" w:color="auto"/>
          </w:divBdr>
        </w:div>
        <w:div w:id="238448468">
          <w:marLeft w:val="0"/>
          <w:marRight w:val="0"/>
          <w:marTop w:val="0"/>
          <w:marBottom w:val="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02650532">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395952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982273409">
      <w:bodyDiv w:val="1"/>
      <w:marLeft w:val="0"/>
      <w:marRight w:val="0"/>
      <w:marTop w:val="0"/>
      <w:marBottom w:val="0"/>
      <w:divBdr>
        <w:top w:val="none" w:sz="0" w:space="0" w:color="auto"/>
        <w:left w:val="none" w:sz="0" w:space="0" w:color="auto"/>
        <w:bottom w:val="none" w:sz="0" w:space="0" w:color="auto"/>
        <w:right w:val="none" w:sz="0" w:space="0" w:color="auto"/>
      </w:divBdr>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1365182">
      <w:bodyDiv w:val="1"/>
      <w:marLeft w:val="0"/>
      <w:marRight w:val="0"/>
      <w:marTop w:val="0"/>
      <w:marBottom w:val="0"/>
      <w:divBdr>
        <w:top w:val="none" w:sz="0" w:space="0" w:color="auto"/>
        <w:left w:val="none" w:sz="0" w:space="0" w:color="auto"/>
        <w:bottom w:val="none" w:sz="0" w:space="0" w:color="auto"/>
        <w:right w:val="none" w:sz="0" w:space="0" w:color="auto"/>
      </w:divBdr>
      <w:divsChild>
        <w:div w:id="1989284274">
          <w:marLeft w:val="0"/>
          <w:marRight w:val="0"/>
          <w:marTop w:val="0"/>
          <w:marBottom w:val="0"/>
          <w:divBdr>
            <w:top w:val="none" w:sz="0" w:space="0" w:color="auto"/>
            <w:left w:val="none" w:sz="0" w:space="0" w:color="auto"/>
            <w:bottom w:val="none" w:sz="0" w:space="0" w:color="auto"/>
            <w:right w:val="none" w:sz="0" w:space="0" w:color="auto"/>
          </w:divBdr>
        </w:div>
        <w:div w:id="414712349">
          <w:marLeft w:val="0"/>
          <w:marRight w:val="0"/>
          <w:marTop w:val="0"/>
          <w:marBottom w:val="0"/>
          <w:divBdr>
            <w:top w:val="none" w:sz="0" w:space="0" w:color="auto"/>
            <w:left w:val="none" w:sz="0" w:space="0" w:color="auto"/>
            <w:bottom w:val="none" w:sz="0" w:space="0" w:color="auto"/>
            <w:right w:val="none" w:sz="0" w:space="0" w:color="auto"/>
          </w:divBdr>
        </w:div>
        <w:div w:id="1665623774">
          <w:marLeft w:val="0"/>
          <w:marRight w:val="0"/>
          <w:marTop w:val="0"/>
          <w:marBottom w:val="0"/>
          <w:divBdr>
            <w:top w:val="none" w:sz="0" w:space="0" w:color="auto"/>
            <w:left w:val="none" w:sz="0" w:space="0" w:color="auto"/>
            <w:bottom w:val="none" w:sz="0" w:space="0" w:color="auto"/>
            <w:right w:val="none" w:sz="0" w:space="0" w:color="auto"/>
          </w:divBdr>
        </w:div>
        <w:div w:id="1531802731">
          <w:marLeft w:val="0"/>
          <w:marRight w:val="0"/>
          <w:marTop w:val="0"/>
          <w:marBottom w:val="0"/>
          <w:divBdr>
            <w:top w:val="none" w:sz="0" w:space="0" w:color="auto"/>
            <w:left w:val="none" w:sz="0" w:space="0" w:color="auto"/>
            <w:bottom w:val="none" w:sz="0" w:space="0" w:color="auto"/>
            <w:right w:val="none" w:sz="0" w:space="0" w:color="auto"/>
          </w:divBdr>
        </w:div>
        <w:div w:id="983124748">
          <w:marLeft w:val="0"/>
          <w:marRight w:val="0"/>
          <w:marTop w:val="0"/>
          <w:marBottom w:val="0"/>
          <w:divBdr>
            <w:top w:val="none" w:sz="0" w:space="0" w:color="auto"/>
            <w:left w:val="none" w:sz="0" w:space="0" w:color="auto"/>
            <w:bottom w:val="none" w:sz="0" w:space="0" w:color="auto"/>
            <w:right w:val="none" w:sz="0" w:space="0" w:color="auto"/>
          </w:divBdr>
        </w:div>
        <w:div w:id="1213998024">
          <w:marLeft w:val="0"/>
          <w:marRight w:val="0"/>
          <w:marTop w:val="0"/>
          <w:marBottom w:val="0"/>
          <w:divBdr>
            <w:top w:val="none" w:sz="0" w:space="0" w:color="auto"/>
            <w:left w:val="none" w:sz="0" w:space="0" w:color="auto"/>
            <w:bottom w:val="none" w:sz="0" w:space="0" w:color="auto"/>
            <w:right w:val="none" w:sz="0" w:space="0" w:color="auto"/>
          </w:divBdr>
        </w:div>
        <w:div w:id="1553809136">
          <w:marLeft w:val="0"/>
          <w:marRight w:val="0"/>
          <w:marTop w:val="0"/>
          <w:marBottom w:val="0"/>
          <w:divBdr>
            <w:top w:val="none" w:sz="0" w:space="0" w:color="auto"/>
            <w:left w:val="none" w:sz="0" w:space="0" w:color="auto"/>
            <w:bottom w:val="none" w:sz="0" w:space="0" w:color="auto"/>
            <w:right w:val="none" w:sz="0" w:space="0" w:color="auto"/>
          </w:divBdr>
        </w:div>
        <w:div w:id="298583182">
          <w:marLeft w:val="0"/>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06500019">
      <w:bodyDiv w:val="1"/>
      <w:marLeft w:val="0"/>
      <w:marRight w:val="0"/>
      <w:marTop w:val="0"/>
      <w:marBottom w:val="0"/>
      <w:divBdr>
        <w:top w:val="none" w:sz="0" w:space="0" w:color="auto"/>
        <w:left w:val="none" w:sz="0" w:space="0" w:color="auto"/>
        <w:bottom w:val="none" w:sz="0" w:space="0" w:color="auto"/>
        <w:right w:val="none" w:sz="0" w:space="0" w:color="auto"/>
      </w:divBdr>
      <w:divsChild>
        <w:div w:id="1115949240">
          <w:marLeft w:val="0"/>
          <w:marRight w:val="0"/>
          <w:marTop w:val="0"/>
          <w:marBottom w:val="0"/>
          <w:divBdr>
            <w:top w:val="none" w:sz="0" w:space="0" w:color="auto"/>
            <w:left w:val="none" w:sz="0" w:space="0" w:color="auto"/>
            <w:bottom w:val="none" w:sz="0" w:space="0" w:color="auto"/>
            <w:right w:val="none" w:sz="0" w:space="0" w:color="auto"/>
          </w:divBdr>
          <w:divsChild>
            <w:div w:id="83310354">
              <w:marLeft w:val="0"/>
              <w:marRight w:val="0"/>
              <w:marTop w:val="0"/>
              <w:marBottom w:val="0"/>
              <w:divBdr>
                <w:top w:val="none" w:sz="0" w:space="0" w:color="auto"/>
                <w:left w:val="none" w:sz="0" w:space="0" w:color="auto"/>
                <w:bottom w:val="none" w:sz="0" w:space="0" w:color="auto"/>
                <w:right w:val="none" w:sz="0" w:space="0" w:color="auto"/>
              </w:divBdr>
            </w:div>
          </w:divsChild>
        </w:div>
        <w:div w:id="331180949">
          <w:marLeft w:val="0"/>
          <w:marRight w:val="0"/>
          <w:marTop w:val="0"/>
          <w:marBottom w:val="0"/>
          <w:divBdr>
            <w:top w:val="none" w:sz="0" w:space="0" w:color="auto"/>
            <w:left w:val="none" w:sz="0" w:space="0" w:color="auto"/>
            <w:bottom w:val="none" w:sz="0" w:space="0" w:color="auto"/>
            <w:right w:val="none" w:sz="0" w:space="0" w:color="auto"/>
          </w:divBdr>
        </w:div>
      </w:divsChild>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34C8-3683-459E-A007-AF40BCE0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130</Pages>
  <Words>45935</Words>
  <Characters>261833</Characters>
  <Application>Microsoft Office Word</Application>
  <DocSecurity>0</DocSecurity>
  <Lines>2181</Lines>
  <Paragraphs>614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2021-07-14T08:45:00Z</dcterms:created>
  <dcterms:modified xsi:type="dcterms:W3CDTF">2021-07-14T08:46:00Z</dcterms:modified>
</cp:coreProperties>
</file>