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9DFC68" w14:textId="29F033D9" w:rsidR="000B5768" w:rsidRDefault="000B5768" w:rsidP="003B5530">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b/>
          <w:bCs/>
          <w:color w:val="000000" w:themeColor="text1"/>
          <w:sz w:val="24"/>
          <w:szCs w:val="24"/>
          <w:u w:val="single"/>
        </w:rPr>
        <w:t>C.3223</w:t>
      </w:r>
      <w:r w:rsidR="003C3FF0" w:rsidRPr="00262713">
        <w:rPr>
          <w:rFonts w:asciiTheme="minorHAnsi" w:eastAsia="Times New Roman" w:hAnsiTheme="minorHAnsi" w:cs="Times New Roman"/>
          <w:color w:val="000000" w:themeColor="text1"/>
          <w:sz w:val="24"/>
          <w:szCs w:val="24"/>
        </w:rPr>
        <w:t xml:space="preserve"> - </w:t>
      </w:r>
      <w:r w:rsidR="00262713" w:rsidRPr="00262713">
        <w:rPr>
          <w:rFonts w:asciiTheme="minorHAnsi" w:eastAsia="Times New Roman" w:hAnsiTheme="minorHAnsi" w:cs="Times New Roman"/>
          <w:i/>
          <w:iCs/>
          <w:color w:val="000000" w:themeColor="text1"/>
          <w:sz w:val="24"/>
          <w:szCs w:val="24"/>
        </w:rPr>
        <w:t xml:space="preserve">Nella </w:t>
      </w:r>
      <w:r w:rsidR="004C6F62">
        <w:rPr>
          <w:rFonts w:asciiTheme="minorHAnsi" w:eastAsia="Times New Roman" w:hAnsiTheme="minorHAnsi" w:cs="Times New Roman"/>
          <w:i/>
          <w:iCs/>
          <w:color w:val="000000" w:themeColor="text1"/>
          <w:sz w:val="24"/>
          <w:szCs w:val="24"/>
        </w:rPr>
        <w:t>seduta del</w:t>
      </w:r>
      <w:r w:rsidR="006D2F23">
        <w:rPr>
          <w:rFonts w:asciiTheme="minorHAnsi" w:eastAsia="Times New Roman" w:hAnsiTheme="minorHAnsi" w:cs="Times New Roman"/>
          <w:i/>
          <w:iCs/>
          <w:color w:val="000000" w:themeColor="text1"/>
          <w:sz w:val="24"/>
          <w:szCs w:val="24"/>
        </w:rPr>
        <w:t xml:space="preserve"> </w:t>
      </w:r>
      <w:r w:rsidR="00235445">
        <w:rPr>
          <w:rFonts w:asciiTheme="minorHAnsi" w:eastAsia="Times New Roman" w:hAnsiTheme="minorHAnsi" w:cs="Times New Roman"/>
          <w:i/>
          <w:iCs/>
          <w:color w:val="000000" w:themeColor="text1"/>
          <w:sz w:val="24"/>
          <w:szCs w:val="24"/>
        </w:rPr>
        <w:t>2</w:t>
      </w:r>
      <w:r>
        <w:rPr>
          <w:rFonts w:asciiTheme="minorHAnsi" w:eastAsia="Times New Roman" w:hAnsiTheme="minorHAnsi" w:cs="Times New Roman"/>
          <w:i/>
          <w:iCs/>
          <w:color w:val="000000" w:themeColor="text1"/>
          <w:sz w:val="24"/>
          <w:szCs w:val="24"/>
        </w:rPr>
        <w:t xml:space="preserve"> settembre</w:t>
      </w:r>
      <w:r w:rsidR="006D2F23">
        <w:rPr>
          <w:rFonts w:asciiTheme="minorHAnsi" w:eastAsia="Times New Roman" w:hAnsiTheme="minorHAnsi" w:cs="Times New Roman"/>
          <w:i/>
          <w:iCs/>
          <w:color w:val="000000" w:themeColor="text1"/>
          <w:sz w:val="24"/>
          <w:szCs w:val="24"/>
        </w:rPr>
        <w:t xml:space="preserve"> 2021,</w:t>
      </w:r>
      <w:r w:rsidR="00262713" w:rsidRPr="00262713">
        <w:rPr>
          <w:rFonts w:asciiTheme="minorHAnsi" w:eastAsia="Times New Roman" w:hAnsiTheme="minorHAnsi" w:cs="Times New Roman"/>
          <w:i/>
          <w:iCs/>
          <w:color w:val="000000" w:themeColor="text1"/>
          <w:sz w:val="24"/>
          <w:szCs w:val="24"/>
        </w:rPr>
        <w:t xml:space="preserve"> l</w:t>
      </w:r>
      <w:r>
        <w:rPr>
          <w:rFonts w:asciiTheme="minorHAnsi" w:eastAsia="Times New Roman" w:hAnsiTheme="minorHAnsi" w:cs="Times New Roman"/>
          <w:i/>
          <w:iCs/>
          <w:color w:val="000000" w:themeColor="text1"/>
          <w:sz w:val="24"/>
          <w:szCs w:val="24"/>
        </w:rPr>
        <w:t xml:space="preserve">a </w:t>
      </w:r>
      <w:r w:rsidRPr="000B5768">
        <w:rPr>
          <w:rFonts w:asciiTheme="minorHAnsi" w:eastAsia="Times New Roman" w:hAnsiTheme="minorHAnsi" w:cs="Times New Roman"/>
          <w:i/>
          <w:iCs/>
          <w:color w:val="000000" w:themeColor="text1"/>
          <w:sz w:val="24"/>
          <w:szCs w:val="24"/>
        </w:rPr>
        <w:t xml:space="preserve">XII Commissione Affari sociali </w:t>
      </w:r>
      <w:r>
        <w:rPr>
          <w:rFonts w:asciiTheme="minorHAnsi" w:eastAsia="Times New Roman" w:hAnsiTheme="minorHAnsi" w:cs="Times New Roman"/>
          <w:i/>
          <w:iCs/>
          <w:color w:val="000000" w:themeColor="text1"/>
          <w:sz w:val="24"/>
          <w:szCs w:val="24"/>
        </w:rPr>
        <w:t xml:space="preserve">riunitasi </w:t>
      </w:r>
      <w:r w:rsidRPr="000B5768">
        <w:rPr>
          <w:rFonts w:asciiTheme="minorHAnsi" w:eastAsia="Times New Roman" w:hAnsiTheme="minorHAnsi" w:cs="Times New Roman"/>
          <w:i/>
          <w:iCs/>
          <w:color w:val="000000" w:themeColor="text1"/>
          <w:sz w:val="24"/>
          <w:szCs w:val="24"/>
        </w:rPr>
        <w:t>in sede Referente</w:t>
      </w:r>
      <w:r>
        <w:rPr>
          <w:rFonts w:asciiTheme="minorHAnsi" w:eastAsia="Times New Roman" w:hAnsiTheme="minorHAnsi" w:cs="Times New Roman"/>
          <w:i/>
          <w:iCs/>
          <w:color w:val="000000" w:themeColor="text1"/>
          <w:sz w:val="24"/>
          <w:szCs w:val="24"/>
        </w:rPr>
        <w:t xml:space="preserve"> ha </w:t>
      </w:r>
      <w:r w:rsidR="00235445">
        <w:rPr>
          <w:rFonts w:asciiTheme="minorHAnsi" w:eastAsia="Times New Roman" w:hAnsiTheme="minorHAnsi" w:cs="Times New Roman"/>
          <w:i/>
          <w:iCs/>
          <w:color w:val="000000" w:themeColor="text1"/>
          <w:sz w:val="24"/>
          <w:szCs w:val="24"/>
        </w:rPr>
        <w:t>concluso l’esame del provvedimento</w:t>
      </w:r>
      <w:r>
        <w:rPr>
          <w:rFonts w:asciiTheme="minorHAnsi" w:eastAsia="Times New Roman" w:hAnsiTheme="minorHAnsi" w:cs="Times New Roman"/>
          <w:i/>
          <w:iCs/>
          <w:color w:val="000000" w:themeColor="text1"/>
          <w:sz w:val="24"/>
          <w:szCs w:val="24"/>
        </w:rPr>
        <w:t xml:space="preserve"> approva</w:t>
      </w:r>
      <w:r w:rsidR="00235445">
        <w:rPr>
          <w:rFonts w:asciiTheme="minorHAnsi" w:eastAsia="Times New Roman" w:hAnsiTheme="minorHAnsi" w:cs="Times New Roman"/>
          <w:i/>
          <w:iCs/>
          <w:color w:val="000000" w:themeColor="text1"/>
          <w:sz w:val="24"/>
          <w:szCs w:val="24"/>
        </w:rPr>
        <w:t>ndo</w:t>
      </w:r>
      <w:r>
        <w:rPr>
          <w:rFonts w:asciiTheme="minorHAnsi" w:eastAsia="Times New Roman" w:hAnsiTheme="minorHAnsi" w:cs="Times New Roman"/>
          <w:i/>
          <w:iCs/>
          <w:color w:val="000000" w:themeColor="text1"/>
          <w:sz w:val="24"/>
          <w:szCs w:val="24"/>
        </w:rPr>
        <w:t xml:space="preserve"> </w:t>
      </w:r>
      <w:r w:rsidR="00235445">
        <w:rPr>
          <w:rFonts w:asciiTheme="minorHAnsi" w:eastAsia="Times New Roman" w:hAnsiTheme="minorHAnsi" w:cs="Times New Roman"/>
          <w:i/>
          <w:iCs/>
          <w:color w:val="000000" w:themeColor="text1"/>
          <w:sz w:val="24"/>
          <w:szCs w:val="24"/>
        </w:rPr>
        <w:t>una serie di</w:t>
      </w:r>
      <w:r>
        <w:rPr>
          <w:rFonts w:asciiTheme="minorHAnsi" w:eastAsia="Times New Roman" w:hAnsiTheme="minorHAnsi" w:cs="Times New Roman"/>
          <w:i/>
          <w:iCs/>
          <w:color w:val="000000" w:themeColor="text1"/>
          <w:sz w:val="24"/>
          <w:szCs w:val="24"/>
        </w:rPr>
        <w:t xml:space="preserve"> emendamenti.</w:t>
      </w:r>
    </w:p>
    <w:p w14:paraId="0AA17FAD" w14:textId="7F01C214" w:rsid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Si riporta</w:t>
      </w:r>
      <w:r w:rsidR="007B4730">
        <w:rPr>
          <w:rFonts w:asciiTheme="minorHAnsi" w:eastAsia="Times New Roman" w:hAnsiTheme="minorHAnsi" w:cs="Times New Roman"/>
          <w:i/>
          <w:iCs/>
          <w:color w:val="000000" w:themeColor="text1"/>
          <w:sz w:val="24"/>
          <w:szCs w:val="24"/>
        </w:rPr>
        <w:t>no</w:t>
      </w:r>
      <w:r w:rsidRPr="00262713">
        <w:rPr>
          <w:rFonts w:asciiTheme="minorHAnsi" w:eastAsia="Times New Roman" w:hAnsiTheme="minorHAnsi" w:cs="Times New Roman"/>
          <w:i/>
          <w:iCs/>
          <w:color w:val="000000" w:themeColor="text1"/>
          <w:sz w:val="24"/>
          <w:szCs w:val="24"/>
        </w:rPr>
        <w:t xml:space="preserve"> </w:t>
      </w:r>
      <w:r w:rsidR="00E12266">
        <w:rPr>
          <w:rFonts w:asciiTheme="minorHAnsi" w:eastAsia="Times New Roman" w:hAnsiTheme="minorHAnsi" w:cs="Times New Roman"/>
          <w:i/>
          <w:iCs/>
          <w:color w:val="000000" w:themeColor="text1"/>
          <w:sz w:val="24"/>
          <w:szCs w:val="24"/>
        </w:rPr>
        <w:t xml:space="preserve">gli </w:t>
      </w:r>
      <w:r w:rsidRPr="00262713">
        <w:rPr>
          <w:rFonts w:asciiTheme="minorHAnsi" w:eastAsia="Times New Roman" w:hAnsiTheme="minorHAnsi" w:cs="Times New Roman"/>
          <w:i/>
          <w:iCs/>
          <w:color w:val="000000" w:themeColor="text1"/>
          <w:sz w:val="24"/>
          <w:szCs w:val="24"/>
        </w:rPr>
        <w:t>articolat</w:t>
      </w:r>
      <w:r w:rsidR="00E12266">
        <w:rPr>
          <w:rFonts w:asciiTheme="minorHAnsi" w:eastAsia="Times New Roman" w:hAnsiTheme="minorHAnsi" w:cs="Times New Roman"/>
          <w:i/>
          <w:iCs/>
          <w:color w:val="000000" w:themeColor="text1"/>
          <w:sz w:val="24"/>
          <w:szCs w:val="24"/>
        </w:rPr>
        <w:t>i</w:t>
      </w:r>
      <w:r w:rsidRPr="00262713">
        <w:rPr>
          <w:rFonts w:asciiTheme="minorHAnsi" w:eastAsia="Times New Roman" w:hAnsiTheme="minorHAnsi" w:cs="Times New Roman"/>
          <w:i/>
          <w:iCs/>
          <w:color w:val="000000" w:themeColor="text1"/>
          <w:sz w:val="24"/>
          <w:szCs w:val="24"/>
        </w:rPr>
        <w:t xml:space="preserve"> del </w:t>
      </w:r>
      <w:proofErr w:type="spellStart"/>
      <w:r w:rsidR="00E12266">
        <w:rPr>
          <w:rFonts w:asciiTheme="minorHAnsi" w:eastAsia="Times New Roman" w:hAnsiTheme="minorHAnsi" w:cs="Times New Roman"/>
          <w:i/>
          <w:iCs/>
          <w:color w:val="000000" w:themeColor="text1"/>
          <w:sz w:val="24"/>
          <w:szCs w:val="24"/>
        </w:rPr>
        <w:t>ddl</w:t>
      </w:r>
      <w:proofErr w:type="spellEnd"/>
      <w:r w:rsidR="00E12266">
        <w:rPr>
          <w:rFonts w:asciiTheme="minorHAnsi" w:eastAsia="Times New Roman" w:hAnsiTheme="minorHAnsi" w:cs="Times New Roman"/>
          <w:i/>
          <w:iCs/>
          <w:color w:val="000000" w:themeColor="text1"/>
          <w:sz w:val="24"/>
          <w:szCs w:val="24"/>
        </w:rPr>
        <w:t xml:space="preserve"> e del </w:t>
      </w:r>
      <w:r w:rsidRPr="00262713">
        <w:rPr>
          <w:rFonts w:asciiTheme="minorHAnsi" w:eastAsia="Times New Roman" w:hAnsiTheme="minorHAnsi" w:cs="Times New Roman"/>
          <w:i/>
          <w:iCs/>
          <w:color w:val="000000" w:themeColor="text1"/>
          <w:sz w:val="24"/>
          <w:szCs w:val="24"/>
        </w:rPr>
        <w:t xml:space="preserve">decreto-legge con </w:t>
      </w:r>
      <w:r w:rsidR="00E12266">
        <w:rPr>
          <w:rFonts w:asciiTheme="minorHAnsi" w:eastAsia="Times New Roman" w:hAnsiTheme="minorHAnsi" w:cs="Times New Roman"/>
          <w:i/>
          <w:iCs/>
          <w:color w:val="000000" w:themeColor="text1"/>
          <w:sz w:val="24"/>
          <w:szCs w:val="24"/>
        </w:rPr>
        <w:t xml:space="preserve">tutte </w:t>
      </w:r>
      <w:r w:rsidRPr="00262713">
        <w:rPr>
          <w:rFonts w:asciiTheme="minorHAnsi" w:eastAsia="Times New Roman" w:hAnsiTheme="minorHAnsi" w:cs="Times New Roman"/>
          <w:i/>
          <w:iCs/>
          <w:color w:val="000000" w:themeColor="text1"/>
          <w:sz w:val="24"/>
          <w:szCs w:val="24"/>
        </w:rPr>
        <w:t>le modifiche apportate</w:t>
      </w:r>
      <w:r w:rsidR="00B6290E">
        <w:rPr>
          <w:rFonts w:asciiTheme="minorHAnsi" w:eastAsia="Times New Roman" w:hAnsiTheme="minorHAnsi" w:cs="Times New Roman"/>
          <w:i/>
          <w:iCs/>
          <w:color w:val="000000" w:themeColor="text1"/>
          <w:sz w:val="24"/>
          <w:szCs w:val="24"/>
        </w:rPr>
        <w:t xml:space="preserve"> dalla Commissione</w:t>
      </w:r>
      <w:r w:rsidRPr="00262713">
        <w:rPr>
          <w:rFonts w:asciiTheme="minorHAnsi" w:eastAsia="Times New Roman" w:hAnsiTheme="minorHAnsi" w:cs="Times New Roman"/>
          <w:i/>
          <w:iCs/>
          <w:color w:val="000000" w:themeColor="text1"/>
          <w:sz w:val="24"/>
          <w:szCs w:val="24"/>
        </w:rPr>
        <w:t xml:space="preserve"> in evidenza.</w:t>
      </w:r>
    </w:p>
    <w:p w14:paraId="1FEA1032" w14:textId="5EFD3B02" w:rsidR="004C6F62" w:rsidRDefault="004C6F62"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7A658588" w14:textId="77777777" w:rsidR="004C6F62" w:rsidRDefault="004C6F62" w:rsidP="004C6F62">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3CC1">
        <w:rPr>
          <w:rFonts w:asciiTheme="minorHAnsi" w:eastAsia="Times New Roman" w:hAnsiTheme="minorHAnsi" w:cs="Times New Roman"/>
          <w:b/>
          <w:bCs/>
          <w:color w:val="000000" w:themeColor="text1"/>
          <w:sz w:val="24"/>
          <w:szCs w:val="24"/>
        </w:rPr>
        <w:t xml:space="preserve">Le modifiche introdotte dagli emendamenti approvati si riportano in grassetto, 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vergate e facendo uso del colore giallo. I subemendamenti approvati si evidenziano facendo uso del colore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A piè di pagina si riportano i riferimenti della proposta di modifica approvata.</w:t>
      </w:r>
    </w:p>
    <w:p w14:paraId="33CDAF6B" w14:textId="77777777" w:rsidR="004C6F62" w:rsidRDefault="004C6F62"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70ABB95B" w14:textId="61E7CC95" w:rsidR="008F456C" w:rsidRDefault="008F456C"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14A04E51" w14:textId="77777777" w:rsidR="00BE3672" w:rsidRPr="00262713" w:rsidRDefault="00BE3672"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06F2CA07" w14:textId="77777777" w:rsidR="00262713" w:rsidRP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B3D2CA9" w14:textId="77777777" w:rsid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64E7191F" w14:textId="64E93943" w:rsidR="007B4730" w:rsidRDefault="007B4730"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246B640" w14:textId="77777777" w:rsidR="00BE3672" w:rsidRDefault="00BE3672"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0BBB047" w14:textId="77777777" w:rsidR="007B4730" w:rsidRPr="007B4730" w:rsidRDefault="007B4730" w:rsidP="007B47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DISEGNO DI LEGGE</w:t>
      </w:r>
    </w:p>
    <w:p w14:paraId="215BB4DF" w14:textId="77777777" w:rsidR="000B5768" w:rsidRPr="000B5768" w:rsidRDefault="000B5768" w:rsidP="000B57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0B5768">
        <w:rPr>
          <w:rFonts w:asciiTheme="minorHAnsi" w:eastAsia="Times New Roman" w:hAnsiTheme="minorHAnsi" w:cs="Times New Roman"/>
          <w:color w:val="000000" w:themeColor="text1"/>
          <w:sz w:val="24"/>
          <w:szCs w:val="24"/>
        </w:rPr>
        <w:t>Art. 1.</w:t>
      </w:r>
    </w:p>
    <w:p w14:paraId="56369E0F" w14:textId="77777777" w:rsidR="000B5768" w:rsidRPr="000B5768" w:rsidRDefault="000B5768" w:rsidP="000B5768">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5A977E" w14:textId="77777777" w:rsidR="000B5768" w:rsidRPr="000B5768" w:rsidRDefault="000B5768" w:rsidP="000B5768">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0B5768">
        <w:rPr>
          <w:rFonts w:asciiTheme="minorHAnsi" w:eastAsia="Times New Roman" w:hAnsiTheme="minorHAnsi" w:cs="Times New Roman"/>
          <w:color w:val="000000" w:themeColor="text1"/>
          <w:sz w:val="24"/>
          <w:szCs w:val="24"/>
        </w:rPr>
        <w:t>  1. È convertito in legge il decreto-legge 23 luglio 2021, n. 105, recante misure urgenti per fronteggiare l'emergenza epidemiologica da COVID-19 e per l'esercizio in sicurezza di attività sociali ed economiche.</w:t>
      </w:r>
    </w:p>
    <w:p w14:paraId="2675D903" w14:textId="167281C9" w:rsidR="009511AE" w:rsidRPr="007B4730" w:rsidRDefault="000B5768" w:rsidP="000B5768">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0B5768">
        <w:rPr>
          <w:rFonts w:asciiTheme="minorHAnsi" w:eastAsia="Times New Roman" w:hAnsiTheme="minorHAnsi" w:cs="Times New Roman"/>
          <w:color w:val="000000" w:themeColor="text1"/>
          <w:sz w:val="24"/>
          <w:szCs w:val="24"/>
        </w:rPr>
        <w:t>  2. La presente legge entra in vigore il giorno successivo a quello della sua pubblicazione nella Gazzetta Ufficiale.</w:t>
      </w:r>
    </w:p>
    <w:p w14:paraId="1213145F" w14:textId="77777777" w:rsidR="00470EC5" w:rsidRPr="007B4730" w:rsidRDefault="00470EC5" w:rsidP="00470EC5">
      <w:pPr>
        <w:shd w:val="clear" w:color="auto" w:fill="FFFFFF"/>
        <w:tabs>
          <w:tab w:val="left" w:pos="993"/>
        </w:tabs>
        <w:spacing w:after="120" w:line="240" w:lineRule="auto"/>
        <w:jc w:val="center"/>
        <w:rPr>
          <w:rFonts w:asciiTheme="minorHAnsi" w:eastAsia="Times New Roman" w:hAnsiTheme="minorHAnsi" w:cs="Times New Roman"/>
          <w:iCs/>
          <w:color w:val="000000" w:themeColor="text1"/>
          <w:sz w:val="24"/>
          <w:szCs w:val="24"/>
        </w:rPr>
      </w:pPr>
    </w:p>
    <w:p w14:paraId="0101308C" w14:textId="77777777" w:rsidR="00470EC5" w:rsidRDefault="00850907" w:rsidP="004D44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Pr>
          <w:rFonts w:asciiTheme="minorHAnsi" w:eastAsia="Times New Roman" w:hAnsiTheme="minorHAnsi" w:cs="Times New Roman"/>
          <w:bCs/>
          <w:iCs/>
          <w:color w:val="000000" w:themeColor="text1"/>
          <w:sz w:val="24"/>
          <w:szCs w:val="24"/>
        </w:rPr>
        <w:t>***</w:t>
      </w:r>
    </w:p>
    <w:p w14:paraId="02F0C73A" w14:textId="4DCA9934" w:rsidR="00F55D5C" w:rsidRDefault="00F55D5C" w:rsidP="00F55D5C">
      <w:pPr>
        <w:spacing w:after="160" w:line="259" w:lineRule="auto"/>
        <w:jc w:val="both"/>
        <w:rPr>
          <w:color w:val="auto"/>
          <w:sz w:val="24"/>
          <w:szCs w:val="24"/>
          <w:lang w:eastAsia="en-US"/>
        </w:rPr>
      </w:pPr>
    </w:p>
    <w:p w14:paraId="70644591" w14:textId="77777777" w:rsidR="00BE3672" w:rsidRPr="00F55D5C" w:rsidRDefault="00BE3672" w:rsidP="00F55D5C">
      <w:pPr>
        <w:spacing w:after="160" w:line="259" w:lineRule="auto"/>
        <w:jc w:val="both"/>
        <w:rPr>
          <w:color w:val="auto"/>
          <w:sz w:val="24"/>
          <w:szCs w:val="24"/>
          <w:lang w:eastAsia="en-US"/>
        </w:rPr>
      </w:pPr>
    </w:p>
    <w:p w14:paraId="6A17B683"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Decreto-legge 23 luglio 2021, n. 105, pubblicato nella Gazzetta Ufficiale n. 175 del 23 luglio 2021.</w:t>
      </w:r>
    </w:p>
    <w:p w14:paraId="2AC1B382" w14:textId="77777777" w:rsidR="00F55D5C" w:rsidRPr="00F55D5C" w:rsidRDefault="00F55D5C" w:rsidP="00F55D5C">
      <w:pPr>
        <w:spacing w:after="160" w:line="259" w:lineRule="auto"/>
        <w:jc w:val="both"/>
        <w:rPr>
          <w:color w:val="auto"/>
          <w:sz w:val="24"/>
          <w:szCs w:val="24"/>
          <w:lang w:eastAsia="en-US"/>
        </w:rPr>
      </w:pPr>
    </w:p>
    <w:p w14:paraId="64104CA1"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Misure urgenti per fronteggiare l'emergenza epidemiologica da COVID-19 e per l'esercizio in sicurezza di attività sociali ed economiche.</w:t>
      </w:r>
    </w:p>
    <w:p w14:paraId="6058A47D"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1.</w:t>
      </w:r>
    </w:p>
    <w:p w14:paraId="43AB2DBF"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(Dichiarazione stato di emergenza nazionale)</w:t>
      </w:r>
    </w:p>
    <w:p w14:paraId="1906C62A" w14:textId="77777777" w:rsidR="00F55D5C" w:rsidRPr="00F55D5C" w:rsidRDefault="00F55D5C" w:rsidP="00F55D5C">
      <w:pPr>
        <w:spacing w:after="160" w:line="259" w:lineRule="auto"/>
        <w:jc w:val="both"/>
        <w:rPr>
          <w:color w:val="auto"/>
          <w:sz w:val="24"/>
          <w:szCs w:val="24"/>
          <w:lang w:eastAsia="en-US"/>
        </w:rPr>
      </w:pPr>
    </w:p>
    <w:p w14:paraId="33ED0191"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In considerazione del rischio sanitario connesso al protrarsi della diffusione degli agenti virali da COVID-19, lo stato di emergenza dichiarato con deliberazione del Consiglio dei ministri del 31 gennaio 2020, prorogato con deliberazioni del Consiglio dei ministri del 29 luglio 2020, 7 ottobre 2020, 13 gennaio 2021 e 21 aprile 2021, è ulteriormente prorogato fino al 31 dicembre 2021.</w:t>
      </w:r>
    </w:p>
    <w:p w14:paraId="2661D605" w14:textId="77777777" w:rsidR="00F55D5C" w:rsidRPr="00F55D5C" w:rsidRDefault="00F55D5C" w:rsidP="00F55D5C">
      <w:pPr>
        <w:spacing w:after="160" w:line="259" w:lineRule="auto"/>
        <w:jc w:val="both"/>
        <w:rPr>
          <w:color w:val="auto"/>
          <w:sz w:val="24"/>
          <w:szCs w:val="24"/>
          <w:lang w:eastAsia="en-US"/>
        </w:rPr>
      </w:pPr>
    </w:p>
    <w:p w14:paraId="125C3617"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2.</w:t>
      </w:r>
    </w:p>
    <w:p w14:paraId="7693D3A3"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(Modifiche al decreto-legge 25 marzo 2020, n. 19 e al decreto-legge 16 maggio 2020, n. 33)</w:t>
      </w:r>
    </w:p>
    <w:p w14:paraId="202B18C4" w14:textId="77777777" w:rsidR="00F55D5C" w:rsidRPr="00F55D5C" w:rsidRDefault="00F55D5C" w:rsidP="00F55D5C">
      <w:pPr>
        <w:spacing w:after="160" w:line="259" w:lineRule="auto"/>
        <w:jc w:val="both"/>
        <w:rPr>
          <w:color w:val="auto"/>
          <w:sz w:val="24"/>
          <w:szCs w:val="24"/>
          <w:lang w:eastAsia="en-US"/>
        </w:rPr>
      </w:pPr>
    </w:p>
    <w:p w14:paraId="3061D71E"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All'articolo 1, comma 1, del decreto-legge 25 marzo 2020, n. 19, convertito, con modificazioni, dalla legge 22 maggio 2020, n. 35, le parole «fino al 31 luglio 2021» sono sostituite dalle seguenti: «fino al 31 dicembre 2021.». All'articolo 3, comma 1, del decreto-legge 16 maggio 2020, n. 33, convertito, con modificazioni, dalla legge 14 luglio 2020, n. 74, le parole «31 luglio 2021» sono sostituite dalle seguenti: «31 dicembre 2021».</w:t>
      </w:r>
    </w:p>
    <w:p w14:paraId="3486716A"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 All'articolo 1 del decreto-legge 16 maggio 2020, n. 33, convertito, con modificazioni, dalla legge 14 luglio 2020, n. 74, sono apportate le seguenti modificazioni:</w:t>
      </w:r>
    </w:p>
    <w:p w14:paraId="24B9CF58" w14:textId="77777777" w:rsidR="00F55D5C" w:rsidRPr="00F55D5C" w:rsidRDefault="00F55D5C" w:rsidP="00F55D5C">
      <w:pPr>
        <w:spacing w:after="160" w:line="259" w:lineRule="auto"/>
        <w:jc w:val="both"/>
        <w:rPr>
          <w:color w:val="auto"/>
          <w:sz w:val="24"/>
          <w:szCs w:val="24"/>
          <w:lang w:eastAsia="en-US"/>
        </w:rPr>
      </w:pPr>
    </w:p>
    <w:p w14:paraId="075422A9"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   a) al comma 16 le parole «e sue eventuali modificazioni» sono sostituite dalle seguenti «da modificarsi previa intesa in sede di Conferenza permanente per i rapporti tra lo Stato e le Regioni e le Province autonome di Trento e di Bolzano»;</w:t>
      </w:r>
    </w:p>
    <w:p w14:paraId="41C27002" w14:textId="77777777" w:rsidR="00F55D5C" w:rsidRPr="00F55D5C" w:rsidRDefault="00F55D5C" w:rsidP="00F55D5C">
      <w:pPr>
        <w:spacing w:after="160" w:line="259" w:lineRule="auto"/>
        <w:jc w:val="both"/>
        <w:rPr>
          <w:color w:val="auto"/>
          <w:sz w:val="24"/>
          <w:szCs w:val="24"/>
          <w:lang w:eastAsia="en-US"/>
        </w:rPr>
      </w:pPr>
    </w:p>
    <w:p w14:paraId="5B4FC28F"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   b) il comma 16-quinquies è abrogato;</w:t>
      </w:r>
    </w:p>
    <w:p w14:paraId="1DE7CCE1" w14:textId="77777777" w:rsidR="00F55D5C" w:rsidRPr="00F55D5C" w:rsidRDefault="00F55D5C" w:rsidP="00F55D5C">
      <w:pPr>
        <w:spacing w:after="160" w:line="259" w:lineRule="auto"/>
        <w:jc w:val="both"/>
        <w:rPr>
          <w:color w:val="auto"/>
          <w:sz w:val="24"/>
          <w:szCs w:val="24"/>
          <w:lang w:eastAsia="en-US"/>
        </w:rPr>
      </w:pPr>
    </w:p>
    <w:p w14:paraId="60ABA0EA"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   c) il comma 16-septies è sostituito dal seguente:</w:t>
      </w:r>
    </w:p>
    <w:p w14:paraId="33490E4B" w14:textId="77777777" w:rsidR="00F55D5C" w:rsidRPr="00F55D5C" w:rsidRDefault="00F55D5C" w:rsidP="00F55D5C">
      <w:pPr>
        <w:spacing w:after="160" w:line="259" w:lineRule="auto"/>
        <w:jc w:val="both"/>
        <w:rPr>
          <w:color w:val="auto"/>
          <w:sz w:val="24"/>
          <w:szCs w:val="24"/>
          <w:lang w:eastAsia="en-US"/>
        </w:rPr>
      </w:pPr>
    </w:p>
    <w:p w14:paraId="14B6328F"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   «16-septies. Sono denominate:</w:t>
      </w:r>
    </w:p>
    <w:p w14:paraId="2CBE4D3A" w14:textId="77777777" w:rsidR="00F55D5C" w:rsidRPr="00F55D5C" w:rsidRDefault="00F55D5C" w:rsidP="00F55D5C">
      <w:pPr>
        <w:spacing w:after="160" w:line="259" w:lineRule="auto"/>
        <w:jc w:val="both"/>
        <w:rPr>
          <w:color w:val="auto"/>
          <w:sz w:val="24"/>
          <w:szCs w:val="24"/>
          <w:lang w:eastAsia="en-US"/>
        </w:rPr>
      </w:pPr>
    </w:p>
    <w:p w14:paraId="1BA5632B"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   a) “Zona bianca”: le regioni nei cui territori alternativamente:</w:t>
      </w:r>
    </w:p>
    <w:p w14:paraId="32DA2BD5" w14:textId="77777777" w:rsidR="00F55D5C" w:rsidRPr="00F55D5C" w:rsidRDefault="00F55D5C" w:rsidP="00F55D5C">
      <w:pPr>
        <w:spacing w:after="160" w:line="259" w:lineRule="auto"/>
        <w:jc w:val="both"/>
        <w:rPr>
          <w:color w:val="auto"/>
          <w:sz w:val="24"/>
          <w:szCs w:val="24"/>
          <w:lang w:eastAsia="en-US"/>
        </w:rPr>
      </w:pPr>
    </w:p>
    <w:p w14:paraId="76D06198"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l'incidenza settimanale dei contagi è inferiore a 50 casi ogni 100.000 abitanti per tre settimane consecutive;</w:t>
      </w:r>
    </w:p>
    <w:p w14:paraId="333CEE8B" w14:textId="77777777" w:rsidR="00F55D5C" w:rsidRPr="00F55D5C" w:rsidRDefault="00F55D5C" w:rsidP="00F55D5C">
      <w:pPr>
        <w:spacing w:after="160" w:line="259" w:lineRule="auto"/>
        <w:jc w:val="both"/>
        <w:rPr>
          <w:color w:val="auto"/>
          <w:sz w:val="24"/>
          <w:szCs w:val="24"/>
          <w:lang w:eastAsia="en-US"/>
        </w:rPr>
      </w:pPr>
    </w:p>
    <w:p w14:paraId="43981ABF"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 l'incidenza settimanale dei contagi è pari o superiore a 50 casi ogni 100.000 abitanti e si verifica una delle due seguenti condizioni:</w:t>
      </w:r>
    </w:p>
    <w:p w14:paraId="3D46D978" w14:textId="77777777" w:rsidR="00F55D5C" w:rsidRPr="00F55D5C" w:rsidRDefault="00F55D5C" w:rsidP="00F55D5C">
      <w:pPr>
        <w:spacing w:after="160" w:line="259" w:lineRule="auto"/>
        <w:jc w:val="both"/>
        <w:rPr>
          <w:color w:val="auto"/>
          <w:sz w:val="24"/>
          <w:szCs w:val="24"/>
          <w:lang w:eastAsia="en-US"/>
        </w:rPr>
      </w:pPr>
    </w:p>
    <w:p w14:paraId="6211A064"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     2.1) il tasso di occupazione dei posti letto in area medica per pazienti affetti da COVID-19 è uguale o inferiore al 15 per cento;</w:t>
      </w:r>
    </w:p>
    <w:p w14:paraId="59430753" w14:textId="77777777" w:rsidR="00F55D5C" w:rsidRPr="00F55D5C" w:rsidRDefault="00F55D5C" w:rsidP="00F55D5C">
      <w:pPr>
        <w:spacing w:after="160" w:line="259" w:lineRule="auto"/>
        <w:jc w:val="both"/>
        <w:rPr>
          <w:color w:val="auto"/>
          <w:sz w:val="24"/>
          <w:szCs w:val="24"/>
          <w:lang w:eastAsia="en-US"/>
        </w:rPr>
      </w:pPr>
    </w:p>
    <w:p w14:paraId="7B7CE3AD"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     2.2) il tasso di occupazione dei posti letto in terapia intensiva per pazienti affetti da COVID-19 è uguale o inferiore al 10 per cento di quelli comunicati alla Cabina di regia di cui al decreto del Ministro della salute 30 aprile 2020, entro cinque giorni dalla data di entrata in vigore del presente decreto. La comunicazione può essere aggiornata con cadenza mensile sulla base di posti letto aggiuntivi, che non incidano su quelli già esistenti e destinati ad altre attività;</w:t>
      </w:r>
    </w:p>
    <w:p w14:paraId="01374C9A" w14:textId="77777777" w:rsidR="00F55D5C" w:rsidRPr="00F55D5C" w:rsidRDefault="00F55D5C" w:rsidP="00F55D5C">
      <w:pPr>
        <w:spacing w:after="160" w:line="259" w:lineRule="auto"/>
        <w:jc w:val="both"/>
        <w:rPr>
          <w:color w:val="auto"/>
          <w:sz w:val="24"/>
          <w:szCs w:val="24"/>
          <w:lang w:eastAsia="en-US"/>
        </w:rPr>
      </w:pPr>
    </w:p>
    <w:p w14:paraId="41826106"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   b) “Zona gialla”: le regioni nei cui territori alternativamente:</w:t>
      </w:r>
    </w:p>
    <w:p w14:paraId="41D0FC0C" w14:textId="77777777" w:rsidR="00F55D5C" w:rsidRPr="00F55D5C" w:rsidRDefault="00F55D5C" w:rsidP="00F55D5C">
      <w:pPr>
        <w:spacing w:after="160" w:line="259" w:lineRule="auto"/>
        <w:jc w:val="both"/>
        <w:rPr>
          <w:color w:val="auto"/>
          <w:sz w:val="24"/>
          <w:szCs w:val="24"/>
          <w:lang w:eastAsia="en-US"/>
        </w:rPr>
      </w:pPr>
    </w:p>
    <w:p w14:paraId="096227A3"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l'incidenza settimanale dei contagi è pari o superiore a 50 e inferiore a 150 casi ogni 100.000 abitanti, salvo che ricorrano le condizioni indicate nella lettera a);</w:t>
      </w:r>
    </w:p>
    <w:p w14:paraId="15975270" w14:textId="77777777" w:rsidR="00F55D5C" w:rsidRPr="00F55D5C" w:rsidRDefault="00F55D5C" w:rsidP="00F55D5C">
      <w:pPr>
        <w:spacing w:after="160" w:line="259" w:lineRule="auto"/>
        <w:jc w:val="both"/>
        <w:rPr>
          <w:color w:val="auto"/>
          <w:sz w:val="24"/>
          <w:szCs w:val="24"/>
          <w:lang w:eastAsia="en-US"/>
        </w:rPr>
      </w:pPr>
    </w:p>
    <w:p w14:paraId="69424B55"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lastRenderedPageBreak/>
        <w:t>    2) l'incidenza settimanale dei casi è pari o superiore a 150 casi ogni 100.000 abitanti e si verifica una delle due seguenti condizioni, salvo che ricorrano le condizioni indicate nella lettera a):</w:t>
      </w:r>
    </w:p>
    <w:p w14:paraId="2F50E202" w14:textId="77777777" w:rsidR="00F55D5C" w:rsidRPr="00F55D5C" w:rsidRDefault="00F55D5C" w:rsidP="00F55D5C">
      <w:pPr>
        <w:spacing w:after="160" w:line="259" w:lineRule="auto"/>
        <w:jc w:val="both"/>
        <w:rPr>
          <w:color w:val="auto"/>
          <w:sz w:val="24"/>
          <w:szCs w:val="24"/>
          <w:lang w:eastAsia="en-US"/>
        </w:rPr>
      </w:pPr>
    </w:p>
    <w:p w14:paraId="4CFB304E"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     2.1) il tasso di occupazione dei posti letto in area medica per pazienti affetti da COVID-19 è uguale o inferiore al 30 per cento;</w:t>
      </w:r>
    </w:p>
    <w:p w14:paraId="5B790869" w14:textId="77777777" w:rsidR="00F55D5C" w:rsidRPr="00F55D5C" w:rsidRDefault="00F55D5C" w:rsidP="00F55D5C">
      <w:pPr>
        <w:spacing w:after="160" w:line="259" w:lineRule="auto"/>
        <w:jc w:val="both"/>
        <w:rPr>
          <w:color w:val="auto"/>
          <w:sz w:val="24"/>
          <w:szCs w:val="24"/>
          <w:lang w:eastAsia="en-US"/>
        </w:rPr>
      </w:pPr>
    </w:p>
    <w:p w14:paraId="4D448972"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     2.2) il tasso di occupazione dei posti letto in terapia intensiva per pazienti affetti da COVID-19 è uguale o inferiore al 20 per cento di quelli comunicati alla predetta Cabina di regia entro cinque giorni dalla data di entrata in vigore del presente decreto. La comunicazione può essere aggiornata con cadenza mensile sulla base di posti letto aggiuntivi, che non incidano su quelli già esistenti e destinati ad altre attività;</w:t>
      </w:r>
    </w:p>
    <w:p w14:paraId="5959CA6E" w14:textId="77777777" w:rsidR="00F55D5C" w:rsidRPr="00F55D5C" w:rsidRDefault="00F55D5C" w:rsidP="00F55D5C">
      <w:pPr>
        <w:spacing w:after="160" w:line="259" w:lineRule="auto"/>
        <w:jc w:val="both"/>
        <w:rPr>
          <w:color w:val="auto"/>
          <w:sz w:val="24"/>
          <w:szCs w:val="24"/>
          <w:lang w:eastAsia="en-US"/>
        </w:rPr>
      </w:pPr>
    </w:p>
    <w:p w14:paraId="64B7CD01"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   c) “Zona arancione”: le regioni nei cui territori l'incidenza settimanale dei contagi è pari o superiore a 150 casi ogni 100.000 abitanti, salvo che ricorrano le condizioni indicate nelle lettere a), b) e d);</w:t>
      </w:r>
    </w:p>
    <w:p w14:paraId="7A40808B" w14:textId="77777777" w:rsidR="00F55D5C" w:rsidRPr="00F55D5C" w:rsidRDefault="00F55D5C" w:rsidP="00F55D5C">
      <w:pPr>
        <w:spacing w:after="160" w:line="259" w:lineRule="auto"/>
        <w:jc w:val="both"/>
        <w:rPr>
          <w:color w:val="auto"/>
          <w:sz w:val="24"/>
          <w:szCs w:val="24"/>
          <w:lang w:eastAsia="en-US"/>
        </w:rPr>
      </w:pPr>
    </w:p>
    <w:p w14:paraId="179044E4"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   d) “Zona rossa”: le regioni nei cui territori l'incidenza settimanale dei contagi è pari o superiore a 150 casi ogni 100.000 abitanti e si verificano entrambe le seguenti condizioni:</w:t>
      </w:r>
    </w:p>
    <w:p w14:paraId="14AFA3FD" w14:textId="77777777" w:rsidR="00F55D5C" w:rsidRPr="00F55D5C" w:rsidRDefault="00F55D5C" w:rsidP="00F55D5C">
      <w:pPr>
        <w:spacing w:after="160" w:line="259" w:lineRule="auto"/>
        <w:jc w:val="both"/>
        <w:rPr>
          <w:color w:val="auto"/>
          <w:sz w:val="24"/>
          <w:szCs w:val="24"/>
          <w:lang w:eastAsia="en-US"/>
        </w:rPr>
      </w:pPr>
    </w:p>
    <w:p w14:paraId="3132ED7D"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il tasso di occupazione dei posti letto in area medica per pazienti affetti da COVID-19 è superiore al 40 per cento;</w:t>
      </w:r>
    </w:p>
    <w:p w14:paraId="09CDA051" w14:textId="77777777" w:rsidR="00F55D5C" w:rsidRPr="00F55D5C" w:rsidRDefault="00F55D5C" w:rsidP="00F55D5C">
      <w:pPr>
        <w:spacing w:after="160" w:line="259" w:lineRule="auto"/>
        <w:jc w:val="both"/>
        <w:rPr>
          <w:color w:val="auto"/>
          <w:sz w:val="24"/>
          <w:szCs w:val="24"/>
          <w:lang w:eastAsia="en-US"/>
        </w:rPr>
      </w:pPr>
    </w:p>
    <w:p w14:paraId="308BF6FA"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 il tasso di occupazione dei posti letto in terapia intensiva per pazienti affetti da COVID-19 è superiore al 30 per cento di quelli comunicati alla predetta Cabina di regia entro cinque giorni dalla data di entrata in vigore del presente decreto. La comunicazione può essere aggiornata con cadenza mensile sulla base di posti letto aggiuntivi, che non incidano su quelli già esistenti e destinati ad altre attività.».</w:t>
      </w:r>
    </w:p>
    <w:p w14:paraId="048EAD77" w14:textId="77777777" w:rsidR="00F55D5C" w:rsidRPr="00F55D5C" w:rsidRDefault="00F55D5C" w:rsidP="00F55D5C">
      <w:pPr>
        <w:spacing w:after="160" w:line="259" w:lineRule="auto"/>
        <w:jc w:val="both"/>
        <w:rPr>
          <w:color w:val="auto"/>
          <w:sz w:val="24"/>
          <w:szCs w:val="24"/>
          <w:lang w:eastAsia="en-US"/>
        </w:rPr>
      </w:pPr>
    </w:p>
    <w:p w14:paraId="70A15D22"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3.</w:t>
      </w:r>
    </w:p>
    <w:p w14:paraId="797ED650"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(Impiego certificazioni verdi COVID-19)</w:t>
      </w:r>
    </w:p>
    <w:p w14:paraId="11F0A9BC" w14:textId="77777777" w:rsidR="00F55D5C" w:rsidRPr="00F55D5C" w:rsidRDefault="00F55D5C" w:rsidP="00F55D5C">
      <w:pPr>
        <w:spacing w:after="160" w:line="259" w:lineRule="auto"/>
        <w:jc w:val="both"/>
        <w:rPr>
          <w:color w:val="auto"/>
          <w:sz w:val="24"/>
          <w:szCs w:val="24"/>
          <w:lang w:eastAsia="en-US"/>
        </w:rPr>
      </w:pPr>
    </w:p>
    <w:p w14:paraId="58AC4FB6"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lastRenderedPageBreak/>
        <w:t>  1. Al decreto-legge 22 aprile 2021, n. 52, convertito, con modificazioni, dalla legge 17 giugno 2021, n. 87, dopo l'articolo 9 è inserito il seguente:</w:t>
      </w:r>
    </w:p>
    <w:p w14:paraId="657ADEB8" w14:textId="77777777" w:rsidR="00F55D5C" w:rsidRPr="00F55D5C" w:rsidRDefault="00F55D5C" w:rsidP="00F55D5C">
      <w:pPr>
        <w:spacing w:after="160" w:line="259" w:lineRule="auto"/>
        <w:jc w:val="both"/>
        <w:rPr>
          <w:color w:val="auto"/>
          <w:sz w:val="24"/>
          <w:szCs w:val="24"/>
          <w:lang w:eastAsia="en-US"/>
        </w:rPr>
      </w:pPr>
    </w:p>
    <w:p w14:paraId="35BF1E5F"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   «Art. 9-bis (Impiego certificazioni verdi COVID-19). – 1. A far data dal 6 agosto 2021, è consentito in zona bianca esclusivamente ai soggetti muniti di una delle certificazioni verdi COVID-19, di cui all'articolo 9, comma 2, l'accesso ai seguenti servizi e attività:</w:t>
      </w:r>
    </w:p>
    <w:p w14:paraId="7FFD0111" w14:textId="77777777" w:rsidR="00F55D5C" w:rsidRPr="00F55D5C" w:rsidRDefault="00F55D5C" w:rsidP="00F55D5C">
      <w:pPr>
        <w:spacing w:after="160" w:line="259" w:lineRule="auto"/>
        <w:jc w:val="both"/>
        <w:rPr>
          <w:color w:val="auto"/>
          <w:sz w:val="24"/>
          <w:szCs w:val="24"/>
          <w:lang w:eastAsia="en-US"/>
        </w:rPr>
      </w:pPr>
    </w:p>
    <w:p w14:paraId="281EF239" w14:textId="32A6824C"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   a) servizi di ristorazione svolti da qualsiasi esercizio, di cui all'articolo 4, per il consumo al tavolo, al chiuso</w:t>
      </w:r>
      <w:r w:rsidR="00397931" w:rsidRPr="00F55D5C">
        <w:rPr>
          <w:b/>
          <w:bCs/>
          <w:color w:val="auto"/>
          <w:sz w:val="24"/>
          <w:szCs w:val="24"/>
          <w:lang w:eastAsia="en-US"/>
        </w:rPr>
        <w:t>, ad eccezione dei servizi di ristorazione all'interno di alberghi e di altre strutture ricettive riservati esclusivamente ai clienti ivi alloggiati</w:t>
      </w:r>
      <w:r w:rsidR="00397931" w:rsidRPr="000B30C0">
        <w:rPr>
          <w:rStyle w:val="Rimandonotaapidipagina"/>
          <w:color w:val="auto"/>
          <w:sz w:val="24"/>
          <w:szCs w:val="24"/>
          <w:lang w:eastAsia="en-US"/>
        </w:rPr>
        <w:footnoteReference w:id="1"/>
      </w:r>
      <w:r w:rsidRPr="00F55D5C">
        <w:rPr>
          <w:color w:val="auto"/>
          <w:sz w:val="24"/>
          <w:szCs w:val="24"/>
          <w:lang w:eastAsia="en-US"/>
        </w:rPr>
        <w:t>;</w:t>
      </w:r>
    </w:p>
    <w:p w14:paraId="463F30B9" w14:textId="77777777" w:rsidR="00F55D5C" w:rsidRPr="00F55D5C" w:rsidRDefault="00F55D5C" w:rsidP="00F55D5C">
      <w:pPr>
        <w:spacing w:after="160" w:line="259" w:lineRule="auto"/>
        <w:jc w:val="both"/>
        <w:rPr>
          <w:color w:val="auto"/>
          <w:sz w:val="24"/>
          <w:szCs w:val="24"/>
          <w:lang w:eastAsia="en-US"/>
        </w:rPr>
      </w:pPr>
    </w:p>
    <w:p w14:paraId="013D1602"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   b) spettacoli aperti al pubblico, eventi e competizioni sportivi, di cui all'articolo 5;</w:t>
      </w:r>
    </w:p>
    <w:p w14:paraId="1F81F450" w14:textId="77777777" w:rsidR="00F55D5C" w:rsidRPr="00F55D5C" w:rsidRDefault="00F55D5C" w:rsidP="00F55D5C">
      <w:pPr>
        <w:spacing w:after="160" w:line="259" w:lineRule="auto"/>
        <w:jc w:val="both"/>
        <w:rPr>
          <w:color w:val="auto"/>
          <w:sz w:val="24"/>
          <w:szCs w:val="24"/>
          <w:lang w:eastAsia="en-US"/>
        </w:rPr>
      </w:pPr>
    </w:p>
    <w:p w14:paraId="578673A2"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   c) musei, altri istituti e luoghi della cultura e mostre, di cui all'articolo 5-bis;</w:t>
      </w:r>
    </w:p>
    <w:p w14:paraId="5C0EF9A2" w14:textId="77777777" w:rsidR="00F55D5C" w:rsidRPr="00F55D5C" w:rsidRDefault="00F55D5C" w:rsidP="00F55D5C">
      <w:pPr>
        <w:spacing w:after="160" w:line="259" w:lineRule="auto"/>
        <w:jc w:val="both"/>
        <w:rPr>
          <w:color w:val="auto"/>
          <w:sz w:val="24"/>
          <w:szCs w:val="24"/>
          <w:lang w:eastAsia="en-US"/>
        </w:rPr>
      </w:pPr>
    </w:p>
    <w:p w14:paraId="458BB409"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   d) piscine, centri natatori, palestre, sport di squadra, centri benessere, anche all'interno di strutture ricettive, di cui all'articolo 6, limitatamente alle attività al chiuso;</w:t>
      </w:r>
    </w:p>
    <w:p w14:paraId="1B86A499" w14:textId="77777777" w:rsidR="00F55D5C" w:rsidRPr="00F55D5C" w:rsidRDefault="00F55D5C" w:rsidP="00F55D5C">
      <w:pPr>
        <w:spacing w:after="160" w:line="259" w:lineRule="auto"/>
        <w:jc w:val="both"/>
        <w:rPr>
          <w:color w:val="auto"/>
          <w:sz w:val="24"/>
          <w:szCs w:val="24"/>
          <w:lang w:eastAsia="en-US"/>
        </w:rPr>
      </w:pPr>
    </w:p>
    <w:p w14:paraId="17654791"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   e) sagre e fiere, convegni e congressi di cui all'articolo 7;</w:t>
      </w:r>
    </w:p>
    <w:p w14:paraId="2377522E" w14:textId="77777777" w:rsidR="00F55D5C" w:rsidRPr="00F55D5C" w:rsidRDefault="00F55D5C" w:rsidP="00F55D5C">
      <w:pPr>
        <w:spacing w:after="160" w:line="259" w:lineRule="auto"/>
        <w:jc w:val="both"/>
        <w:rPr>
          <w:color w:val="auto"/>
          <w:sz w:val="24"/>
          <w:szCs w:val="24"/>
          <w:lang w:eastAsia="en-US"/>
        </w:rPr>
      </w:pPr>
    </w:p>
    <w:p w14:paraId="339873A5" w14:textId="05CE6EB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lastRenderedPageBreak/>
        <w:t>   f) centri termali</w:t>
      </w:r>
      <w:r w:rsidR="00316C2C" w:rsidRPr="00F55D5C">
        <w:rPr>
          <w:b/>
          <w:bCs/>
          <w:color w:val="auto"/>
          <w:sz w:val="24"/>
          <w:szCs w:val="24"/>
          <w:lang w:eastAsia="en-US"/>
        </w:rPr>
        <w:t>, salvo che per gli accessi necessari all'erogazione delle prestazioni rientranti nei livelli essenziali di assistenza e allo svolgimento di attività riabilitative o terapeutiche,</w:t>
      </w:r>
      <w:r w:rsidR="00316C2C" w:rsidRPr="000B30C0">
        <w:rPr>
          <w:rStyle w:val="Rimandonotaapidipagina"/>
          <w:color w:val="auto"/>
          <w:sz w:val="24"/>
          <w:szCs w:val="24"/>
          <w:lang w:eastAsia="en-US"/>
        </w:rPr>
        <w:footnoteReference w:id="2"/>
      </w:r>
      <w:r w:rsidRPr="00F55D5C">
        <w:rPr>
          <w:color w:val="auto"/>
          <w:sz w:val="24"/>
          <w:szCs w:val="24"/>
          <w:lang w:eastAsia="en-US"/>
        </w:rPr>
        <w:t xml:space="preserve"> parchi tematici e di divertimento;</w:t>
      </w:r>
    </w:p>
    <w:p w14:paraId="7A995EF9" w14:textId="77777777" w:rsidR="00F55D5C" w:rsidRPr="00F55D5C" w:rsidRDefault="00F55D5C" w:rsidP="00F55D5C">
      <w:pPr>
        <w:spacing w:after="160" w:line="259" w:lineRule="auto"/>
        <w:jc w:val="both"/>
        <w:rPr>
          <w:color w:val="auto"/>
          <w:sz w:val="24"/>
          <w:szCs w:val="24"/>
          <w:lang w:eastAsia="en-US"/>
        </w:rPr>
      </w:pPr>
    </w:p>
    <w:p w14:paraId="68DD7515" w14:textId="46907ABC" w:rsidR="00F55D5C" w:rsidRDefault="00F55D5C" w:rsidP="00F55D5C">
      <w:pPr>
        <w:spacing w:after="160" w:line="259" w:lineRule="auto"/>
        <w:jc w:val="both"/>
        <w:rPr>
          <w:color w:val="auto"/>
          <w:sz w:val="24"/>
          <w:szCs w:val="24"/>
          <w:lang w:eastAsia="en-US"/>
        </w:rPr>
      </w:pPr>
      <w:r w:rsidRPr="00F55D5C">
        <w:rPr>
          <w:color w:val="auto"/>
          <w:sz w:val="24"/>
          <w:szCs w:val="24"/>
          <w:lang w:eastAsia="en-US"/>
        </w:rPr>
        <w:t>   g) centri culturali, centri sociali e ricreativi, di cui all'articolo 8-bis, comma 1, limitatamente alle attività al chiuso e con esclusione dei centri educativi per l'infanzia, compresi i centri estivi, e le relative attività di ristorazione;</w:t>
      </w:r>
    </w:p>
    <w:p w14:paraId="2FC1621A" w14:textId="28DD5730" w:rsidR="00082471" w:rsidRDefault="00082471" w:rsidP="00F55D5C">
      <w:pPr>
        <w:spacing w:after="160" w:line="259" w:lineRule="auto"/>
        <w:jc w:val="both"/>
        <w:rPr>
          <w:color w:val="auto"/>
          <w:sz w:val="24"/>
          <w:szCs w:val="24"/>
          <w:lang w:eastAsia="en-US"/>
        </w:rPr>
      </w:pPr>
    </w:p>
    <w:p w14:paraId="4E669AD0" w14:textId="409E2251" w:rsidR="00082471" w:rsidRPr="00F55D5C" w:rsidRDefault="00082471" w:rsidP="00B467E0">
      <w:pPr>
        <w:spacing w:after="160" w:line="259" w:lineRule="auto"/>
        <w:ind w:firstLine="720"/>
        <w:jc w:val="both"/>
        <w:rPr>
          <w:color w:val="auto"/>
          <w:sz w:val="24"/>
          <w:szCs w:val="24"/>
          <w:lang w:eastAsia="en-US"/>
        </w:rPr>
      </w:pPr>
      <w:r w:rsidRPr="006E7081">
        <w:rPr>
          <w:rFonts w:asciiTheme="minorHAnsi" w:hAnsiTheme="minorHAnsi"/>
          <w:b/>
          <w:bCs/>
          <w:color w:val="000000" w:themeColor="text1"/>
          <w:sz w:val="24"/>
          <w:szCs w:val="24"/>
        </w:rPr>
        <w:t>g-bis) feste conseguenti alle cerimonie civili o religiose, di cui all'articolo 8-bis, comma 2;</w:t>
      </w:r>
      <w:r w:rsidR="00B467E0" w:rsidRPr="000B30C0">
        <w:rPr>
          <w:rStyle w:val="Rimandonotaapidipagina"/>
          <w:rFonts w:asciiTheme="minorHAnsi" w:hAnsiTheme="minorHAnsi"/>
          <w:color w:val="000000" w:themeColor="text1"/>
          <w:sz w:val="24"/>
          <w:szCs w:val="24"/>
        </w:rPr>
        <w:footnoteReference w:id="3"/>
      </w:r>
    </w:p>
    <w:p w14:paraId="12E1A5EF" w14:textId="77777777" w:rsidR="00F55D5C" w:rsidRPr="00F55D5C" w:rsidRDefault="00F55D5C" w:rsidP="00F55D5C">
      <w:pPr>
        <w:spacing w:after="160" w:line="259" w:lineRule="auto"/>
        <w:jc w:val="both"/>
        <w:rPr>
          <w:color w:val="auto"/>
          <w:sz w:val="24"/>
          <w:szCs w:val="24"/>
          <w:lang w:eastAsia="en-US"/>
        </w:rPr>
      </w:pPr>
    </w:p>
    <w:p w14:paraId="75A78C9A"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   h) attività di sale gioco, sale scommesse, sale bingo e casinò, di cui all'articolo 8-ter;</w:t>
      </w:r>
    </w:p>
    <w:p w14:paraId="37C9D46D" w14:textId="77777777" w:rsidR="00F55D5C" w:rsidRPr="00F55D5C" w:rsidRDefault="00F55D5C" w:rsidP="00F55D5C">
      <w:pPr>
        <w:spacing w:after="160" w:line="259" w:lineRule="auto"/>
        <w:jc w:val="both"/>
        <w:rPr>
          <w:color w:val="auto"/>
          <w:sz w:val="24"/>
          <w:szCs w:val="24"/>
          <w:lang w:eastAsia="en-US"/>
        </w:rPr>
      </w:pPr>
    </w:p>
    <w:p w14:paraId="54E72367"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   i) concorsi pubblici.</w:t>
      </w:r>
    </w:p>
    <w:p w14:paraId="4245FD09" w14:textId="77777777" w:rsidR="00F55D5C" w:rsidRPr="00F55D5C" w:rsidRDefault="00F55D5C" w:rsidP="00F55D5C">
      <w:pPr>
        <w:spacing w:after="160" w:line="259" w:lineRule="auto"/>
        <w:jc w:val="both"/>
        <w:rPr>
          <w:color w:val="auto"/>
          <w:sz w:val="24"/>
          <w:szCs w:val="24"/>
          <w:lang w:eastAsia="en-US"/>
        </w:rPr>
      </w:pPr>
    </w:p>
    <w:p w14:paraId="12091B36"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 Le disposizioni di cui al comma 1 si applicano anche nelle zone gialla, arancione e rossa, laddove i servizi e le attività di cui al comma 1 siano consentiti e alle condizioni previste per le singole zone.</w:t>
      </w:r>
    </w:p>
    <w:p w14:paraId="0265B166"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xml:space="preserve">   3. Le disposizioni di cui al comma 1 non si applicano ai soggetti esclusi per età dalla campagna vaccinale e ai soggetti esenti sulla base di idonea certificazione medica rilasciata secondo i criteri definiti con circolare del Ministero della salute. Con decreto del Presidente del Consiglio dei ministri, adottato di concerto con i Ministri della salute, per l'innovazione tecnologica e la transizione digitale, e dell'economia </w:t>
      </w:r>
      <w:r w:rsidRPr="00F55D5C">
        <w:rPr>
          <w:color w:val="auto"/>
          <w:sz w:val="24"/>
          <w:szCs w:val="24"/>
          <w:lang w:eastAsia="en-US"/>
        </w:rPr>
        <w:lastRenderedPageBreak/>
        <w:t>e delle finanze, sentito il Garante per la protezione dei dati personali, sono individuate le specifiche tecniche per trattare in modalità digitale le predette certificazioni, al fine di consentirne la verifica digitale, assicurando contestualmente la protezione dei dati personali in esse contenuti. Nelle more dell'adozione del predetto decreto, per le finalità di cui al presente articolo possono essere utilizzate le certificazioni rilasciate in formato cartaceo.</w:t>
      </w:r>
    </w:p>
    <w:p w14:paraId="6D23031C" w14:textId="1E9C30D2" w:rsidR="00AC2E79" w:rsidRPr="00AC2E79" w:rsidRDefault="00F55D5C" w:rsidP="00AC2E79">
      <w:pPr>
        <w:jc w:val="both"/>
        <w:rPr>
          <w:rFonts w:asciiTheme="minorHAnsi" w:hAnsiTheme="minorHAnsi"/>
          <w:b/>
          <w:bCs/>
          <w:color w:val="000000" w:themeColor="text1"/>
          <w:sz w:val="24"/>
          <w:szCs w:val="24"/>
        </w:rPr>
      </w:pPr>
      <w:r w:rsidRPr="00F55D5C">
        <w:rPr>
          <w:color w:val="auto"/>
          <w:sz w:val="24"/>
          <w:szCs w:val="24"/>
          <w:lang w:eastAsia="en-US"/>
        </w:rPr>
        <w:t>   4. I titolari o i gestori dei servizi e delle attività di cui al comma 1 sono tenuti a verificare che l'accesso ai predetti servizi e attività avvenga nel rispetto delle prescrizioni di cui al medesimo comma 1. Le verifiche delle certificazioni verdi COVID-19 sono effettuate con le modalità indicate dal decreto del Presidente del Consiglio dei ministri adottato ai sensi dell'articolo 9, comma 10</w:t>
      </w:r>
      <w:r w:rsidR="00AC2E79">
        <w:rPr>
          <w:color w:val="auto"/>
          <w:sz w:val="24"/>
          <w:szCs w:val="24"/>
          <w:lang w:eastAsia="en-US"/>
        </w:rPr>
        <w:t xml:space="preserve"> </w:t>
      </w:r>
      <w:r w:rsidR="00AC2E79" w:rsidRPr="00AC2E79">
        <w:rPr>
          <w:rFonts w:asciiTheme="minorHAnsi" w:hAnsiTheme="minorHAnsi"/>
          <w:b/>
          <w:bCs/>
          <w:color w:val="000000" w:themeColor="text1"/>
          <w:sz w:val="24"/>
          <w:szCs w:val="24"/>
        </w:rPr>
        <w:t>Nel caso di sagre e fiere locali che si svolgano all'aperto, in spazi privi di varchi di accesso, gli organizzatori informano il pubblico, con apposita segnaletica, dell'obbligo della certificazione verde Covid-19 prescritta dal comma 1, lettera e), per l'accesso all'evento. In caso di controlli a campione, la sanzione di cui all'articolo 13 si applica al solo soggetto privo di certificazione e non anche agli organizzatori che abbiano rispettato gli obblighi informativi.</w:t>
      </w:r>
      <w:r w:rsidR="00AC2E79" w:rsidRPr="000B30C0">
        <w:rPr>
          <w:rStyle w:val="Rimandonotaapidipagina"/>
          <w:rFonts w:asciiTheme="minorHAnsi" w:hAnsiTheme="minorHAnsi"/>
          <w:color w:val="000000" w:themeColor="text1"/>
          <w:sz w:val="24"/>
          <w:szCs w:val="24"/>
        </w:rPr>
        <w:footnoteReference w:id="4"/>
      </w:r>
    </w:p>
    <w:p w14:paraId="1253542C" w14:textId="6FDC2161" w:rsidR="00F55D5C" w:rsidRPr="00F55D5C" w:rsidRDefault="00F55D5C" w:rsidP="00F55D5C">
      <w:pPr>
        <w:spacing w:after="160" w:line="259" w:lineRule="auto"/>
        <w:jc w:val="both"/>
        <w:rPr>
          <w:color w:val="auto"/>
          <w:sz w:val="24"/>
          <w:szCs w:val="24"/>
          <w:lang w:eastAsia="en-US"/>
        </w:rPr>
      </w:pPr>
    </w:p>
    <w:p w14:paraId="21D0E5B8"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   5. Il Ministro della salute con propria ordinanza può definire eventuali misure necessarie in fase di attuazione del presente articolo.».</w:t>
      </w:r>
    </w:p>
    <w:p w14:paraId="66098421" w14:textId="77777777" w:rsidR="00F55D5C" w:rsidRPr="00F55D5C" w:rsidRDefault="00F55D5C" w:rsidP="00F55D5C">
      <w:pPr>
        <w:spacing w:after="160" w:line="259" w:lineRule="auto"/>
        <w:jc w:val="both"/>
        <w:rPr>
          <w:color w:val="auto"/>
          <w:sz w:val="24"/>
          <w:szCs w:val="24"/>
          <w:lang w:eastAsia="en-US"/>
        </w:rPr>
      </w:pPr>
    </w:p>
    <w:p w14:paraId="161EE059" w14:textId="210A120C" w:rsidR="00F55D5C" w:rsidRPr="003F032E" w:rsidRDefault="00F55D5C" w:rsidP="003F032E">
      <w:pPr>
        <w:jc w:val="both"/>
        <w:rPr>
          <w:rFonts w:asciiTheme="minorHAnsi" w:hAnsiTheme="minorHAnsi"/>
          <w:b/>
          <w:bCs/>
          <w:color w:val="000000" w:themeColor="text1"/>
          <w:sz w:val="24"/>
          <w:szCs w:val="24"/>
        </w:rPr>
      </w:pPr>
      <w:r w:rsidRPr="00F55D5C">
        <w:rPr>
          <w:color w:val="auto"/>
          <w:sz w:val="24"/>
          <w:szCs w:val="24"/>
          <w:lang w:eastAsia="en-US"/>
        </w:rPr>
        <w:t>  2. All'articolo 9 del decreto-legge 22 aprile 2021, n. 52, convertito, con modificazioni, dalla legge 17 giugno 2021, n. 87, il comma 10-bis è sostituito dal seguente: «10-bis. Le certificazioni verdi COVID-19 possono essere utilizzate esclusivamente ai fini di cui agli articoli 2, comma 1, 2-bis, comma 1, 2-quater, 5</w:t>
      </w:r>
      <w:r w:rsidRPr="003801C6">
        <w:rPr>
          <w:strike/>
          <w:color w:val="auto"/>
          <w:sz w:val="24"/>
          <w:szCs w:val="24"/>
          <w:highlight w:val="yellow"/>
          <w:lang w:eastAsia="en-US"/>
        </w:rPr>
        <w:t>, 8-bis, comma 2,</w:t>
      </w:r>
      <w:r w:rsidR="003801C6">
        <w:rPr>
          <w:rStyle w:val="Rimandonotaapidipagina"/>
          <w:strike/>
          <w:color w:val="auto"/>
          <w:sz w:val="24"/>
          <w:szCs w:val="24"/>
          <w:highlight w:val="yellow"/>
          <w:lang w:eastAsia="en-US"/>
        </w:rPr>
        <w:footnoteReference w:id="5"/>
      </w:r>
      <w:r w:rsidRPr="00F55D5C">
        <w:rPr>
          <w:color w:val="auto"/>
          <w:sz w:val="24"/>
          <w:szCs w:val="24"/>
          <w:lang w:eastAsia="en-US"/>
        </w:rPr>
        <w:t xml:space="preserve"> e 9-bis del presente decreto, nonché all'articolo 1-bis del decreto-legge 1</w:t>
      </w:r>
      <w:r w:rsidR="003607B7">
        <w:rPr>
          <w:color w:val="auto"/>
          <w:sz w:val="24"/>
          <w:szCs w:val="24"/>
          <w:lang w:eastAsia="en-US"/>
        </w:rPr>
        <w:t>°</w:t>
      </w:r>
      <w:r w:rsidRPr="00F55D5C">
        <w:rPr>
          <w:color w:val="auto"/>
          <w:sz w:val="24"/>
          <w:szCs w:val="24"/>
          <w:lang w:eastAsia="en-US"/>
        </w:rPr>
        <w:t xml:space="preserve"> aprile 2021, </w:t>
      </w:r>
      <w:r w:rsidRPr="00F55D5C">
        <w:rPr>
          <w:color w:val="auto"/>
          <w:sz w:val="24"/>
          <w:szCs w:val="24"/>
          <w:lang w:eastAsia="en-US"/>
        </w:rPr>
        <w:lastRenderedPageBreak/>
        <w:t>n. 44, convertito, con modificazioni, dalla legge 28 maggio 2021, n. 76</w:t>
      </w:r>
      <w:r w:rsidR="003F032E">
        <w:rPr>
          <w:color w:val="auto"/>
          <w:sz w:val="24"/>
          <w:szCs w:val="24"/>
          <w:lang w:eastAsia="en-US"/>
        </w:rPr>
        <w:t xml:space="preserve">. </w:t>
      </w:r>
      <w:r w:rsidR="003F032E" w:rsidRPr="00FF304D">
        <w:rPr>
          <w:rFonts w:asciiTheme="minorHAnsi" w:hAnsiTheme="minorHAnsi"/>
          <w:b/>
          <w:bCs/>
          <w:color w:val="000000" w:themeColor="text1"/>
          <w:sz w:val="24"/>
          <w:szCs w:val="24"/>
        </w:rPr>
        <w:t>Ogni diverso o nuovo utilizzo delle certificazioni verdi COVID-19 è disposto esclusivamente con legge dello Stato.</w:t>
      </w:r>
      <w:r w:rsidR="00033C4F" w:rsidRPr="000B30C0">
        <w:rPr>
          <w:rStyle w:val="Rimandonotaapidipagina"/>
          <w:rFonts w:asciiTheme="minorHAnsi" w:hAnsiTheme="minorHAnsi"/>
          <w:color w:val="000000" w:themeColor="text1"/>
          <w:sz w:val="24"/>
          <w:szCs w:val="24"/>
        </w:rPr>
        <w:footnoteReference w:id="6"/>
      </w:r>
      <w:r w:rsidRPr="00F55D5C">
        <w:rPr>
          <w:color w:val="auto"/>
          <w:sz w:val="24"/>
          <w:szCs w:val="24"/>
          <w:lang w:eastAsia="en-US"/>
        </w:rPr>
        <w:t>».</w:t>
      </w:r>
    </w:p>
    <w:p w14:paraId="39918190" w14:textId="77777777" w:rsidR="00F55D5C" w:rsidRPr="00F55D5C" w:rsidRDefault="00F55D5C" w:rsidP="00F55D5C">
      <w:pPr>
        <w:spacing w:after="160" w:line="259" w:lineRule="auto"/>
        <w:jc w:val="both"/>
        <w:rPr>
          <w:color w:val="auto"/>
          <w:sz w:val="24"/>
          <w:szCs w:val="24"/>
          <w:lang w:eastAsia="en-US"/>
        </w:rPr>
      </w:pPr>
    </w:p>
    <w:p w14:paraId="1E2432E1"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4.</w:t>
      </w:r>
    </w:p>
    <w:p w14:paraId="6DC092BD"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(Modifiche al decreto-legge 22 aprile 2021, n. 52)</w:t>
      </w:r>
    </w:p>
    <w:p w14:paraId="0FCA54EC" w14:textId="77777777" w:rsidR="00F55D5C" w:rsidRPr="00F55D5C" w:rsidRDefault="00F55D5C" w:rsidP="007D74F4">
      <w:pPr>
        <w:spacing w:after="160" w:line="259" w:lineRule="auto"/>
        <w:jc w:val="center"/>
        <w:rPr>
          <w:color w:val="auto"/>
          <w:sz w:val="24"/>
          <w:szCs w:val="24"/>
          <w:lang w:eastAsia="en-US"/>
        </w:rPr>
      </w:pPr>
    </w:p>
    <w:p w14:paraId="6028A9BD"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Al decreto-legge 22 aprile 2021, n. 52, convertito, con modificazioni, dalla legge 17 giugno 2021, n. 87, sono apportate le seguenti modificazioni:</w:t>
      </w:r>
    </w:p>
    <w:p w14:paraId="1304A6DB" w14:textId="77777777" w:rsidR="00F55D5C" w:rsidRPr="00F55D5C" w:rsidRDefault="00F55D5C" w:rsidP="00F55D5C">
      <w:pPr>
        <w:spacing w:after="160" w:line="259" w:lineRule="auto"/>
        <w:jc w:val="both"/>
        <w:rPr>
          <w:color w:val="auto"/>
          <w:sz w:val="24"/>
          <w:szCs w:val="24"/>
          <w:lang w:eastAsia="en-US"/>
        </w:rPr>
      </w:pPr>
    </w:p>
    <w:p w14:paraId="3481E851"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   a) all'articolo 1, i commi 3 e 4 sono abrogati;</w:t>
      </w:r>
    </w:p>
    <w:p w14:paraId="76BA2D36" w14:textId="77777777" w:rsidR="00F55D5C" w:rsidRPr="00F55D5C" w:rsidRDefault="00F55D5C" w:rsidP="00F55D5C">
      <w:pPr>
        <w:spacing w:after="160" w:line="259" w:lineRule="auto"/>
        <w:jc w:val="both"/>
        <w:rPr>
          <w:color w:val="auto"/>
          <w:sz w:val="24"/>
          <w:szCs w:val="24"/>
          <w:lang w:eastAsia="en-US"/>
        </w:rPr>
      </w:pPr>
    </w:p>
    <w:p w14:paraId="5F655CE3" w14:textId="6D6F05E7" w:rsidR="00F55D5C" w:rsidRPr="00F55D5C" w:rsidRDefault="00F55D5C" w:rsidP="00304A7A">
      <w:pPr>
        <w:jc w:val="both"/>
        <w:rPr>
          <w:color w:val="auto"/>
          <w:sz w:val="24"/>
          <w:szCs w:val="24"/>
          <w:lang w:eastAsia="en-US"/>
        </w:rPr>
      </w:pPr>
      <w:r w:rsidRPr="00F55D5C">
        <w:rPr>
          <w:color w:val="auto"/>
          <w:sz w:val="24"/>
          <w:szCs w:val="24"/>
          <w:lang w:eastAsia="en-US"/>
        </w:rPr>
        <w:t>   b) all'articolo 2-bis, comma 1, primo periodo, dopo le parole «e dei reparti di pronto soccorso» sono inserite le seguenti: «nonché dei reparti delle strutture ospedaliere</w:t>
      </w:r>
      <w:r w:rsidR="00304A7A" w:rsidRPr="0021779C">
        <w:rPr>
          <w:rFonts w:asciiTheme="minorHAnsi" w:hAnsiTheme="minorHAnsi"/>
          <w:b/>
          <w:bCs/>
          <w:color w:val="000000" w:themeColor="text1"/>
          <w:sz w:val="24"/>
          <w:szCs w:val="24"/>
        </w:rPr>
        <w:t>, dei centri di diagnostica e dei poliambulatori specialistici. Salvi i casi di oggettiva impossibilità dovuta all'urgenza, valutati dal personale sanitario, per l'accesso alle prestazioni di pronto soccorso è sempre necessario sottoporsi al test antigenico rapido o molecolare.</w:t>
      </w:r>
      <w:r w:rsidR="00304A7A" w:rsidRPr="000B30C0">
        <w:rPr>
          <w:rStyle w:val="Rimandonotaapidipagina"/>
          <w:rFonts w:asciiTheme="minorHAnsi" w:hAnsiTheme="minorHAnsi"/>
          <w:color w:val="000000" w:themeColor="text1"/>
          <w:sz w:val="24"/>
          <w:szCs w:val="24"/>
        </w:rPr>
        <w:footnoteReference w:id="7"/>
      </w:r>
      <w:r w:rsidRPr="00F55D5C">
        <w:rPr>
          <w:color w:val="auto"/>
          <w:sz w:val="24"/>
          <w:szCs w:val="24"/>
          <w:lang w:eastAsia="en-US"/>
        </w:rPr>
        <w:t>»;</w:t>
      </w:r>
    </w:p>
    <w:p w14:paraId="4EA95C70" w14:textId="77777777" w:rsidR="00F55D5C" w:rsidRPr="00F55D5C" w:rsidRDefault="00F55D5C" w:rsidP="00F55D5C">
      <w:pPr>
        <w:spacing w:after="160" w:line="259" w:lineRule="auto"/>
        <w:jc w:val="both"/>
        <w:rPr>
          <w:color w:val="auto"/>
          <w:sz w:val="24"/>
          <w:szCs w:val="24"/>
          <w:lang w:eastAsia="en-US"/>
        </w:rPr>
      </w:pPr>
    </w:p>
    <w:p w14:paraId="524C04B6"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   c) all'articolo 5:</w:t>
      </w:r>
    </w:p>
    <w:p w14:paraId="495D93A8" w14:textId="77777777" w:rsidR="00F55D5C" w:rsidRPr="00F55D5C" w:rsidRDefault="00F55D5C" w:rsidP="00F55D5C">
      <w:pPr>
        <w:spacing w:after="160" w:line="259" w:lineRule="auto"/>
        <w:jc w:val="both"/>
        <w:rPr>
          <w:color w:val="auto"/>
          <w:sz w:val="24"/>
          <w:szCs w:val="24"/>
          <w:lang w:eastAsia="en-US"/>
        </w:rPr>
      </w:pPr>
    </w:p>
    <w:p w14:paraId="25F67032"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lastRenderedPageBreak/>
        <w:t>    1) i commi 1 e 2 sono sostituiti dai seguenti:</w:t>
      </w:r>
    </w:p>
    <w:p w14:paraId="7A3AF1AC" w14:textId="77777777" w:rsidR="00F55D5C" w:rsidRPr="00F55D5C" w:rsidRDefault="00F55D5C" w:rsidP="00F55D5C">
      <w:pPr>
        <w:spacing w:after="160" w:line="259" w:lineRule="auto"/>
        <w:jc w:val="both"/>
        <w:rPr>
          <w:color w:val="auto"/>
          <w:sz w:val="24"/>
          <w:szCs w:val="24"/>
          <w:lang w:eastAsia="en-US"/>
        </w:rPr>
      </w:pPr>
    </w:p>
    <w:p w14:paraId="42564693"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In zona bianca e in zona gialla, gli spettacoli aperti al pubblico in sale teatrali, sale da concerto, sale cinematografiche, locali di intrattenimento e musica dal vivo e in altri locali o spazi anche all'aperto, sono svolti esclusivamente con posti a sedere preassegnati e a condizione che sia assicurato il rispetto della distanza interpersonale di almeno un metro, sia per gli spettatori che non siano abitualmente conviventi, sia per il personale, e l'accesso è consentito esclusivamente ai soggetti muniti di una delle certificazioni verdi COVID-19 di cui all'articolo 9, comma 2. In zona bianca, la capienza consentita non può essere superiore al 50 per cento di quella massima autorizzata all'aperto e al 25 per cento al chiuso nel caso di eventi con un numero di spettatori superiore rispettivamente a 5.000 all'aperto e 2.500 al chiuso. In zona gialla la capienza consentita non può essere superiore al 50 per cento di quella massima autorizzata e il numero massimo di spettatori non può comunque essere superiore a 2.500 per gli spettacoli all'aperto e a 1.000 per gli spettacoli in luoghi chiusi, per ogni singola sala. Le attività devono svolgersi nel rispetto di linee guida adottate ai sensi dell'articolo 1, comma 14, del decreto-legge 16 maggio 2020, n. 33, convertito, con modificazioni, dalla legge 14 luglio 2020, n. 74. Restano sospesi gli spettacoli aperti al pubblico quando non è possibile assicurare il rispetto delle condizioni di cui al presente articolo, nonché le attività che abbiano luogo in sale da ballo, discoteche e locali assimilati.</w:t>
      </w:r>
    </w:p>
    <w:p w14:paraId="02DE4F3F"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 Le misure di cui al primo periodo del comma 1 si applicano anche per la partecipazione del pubblico sia agli eventi e alle competizioni di livello agonistico riconosciuti di preminente interesse nazionale con provvedimento del Comitato olimpico nazionale italiano (CONI) e del Comitato italiano paralimpico (CIP), riguardanti gli sport individuali e di squadra, organizzati dalle rispettive federazioni sportive nazionali, discipline sportive associate, enti di promozione sportiva ovvero da organismi sportivi internazionali sia agli eventi e alle competizioni sportivi diversi da quelli sopra richiamati. In zona bianca, la capienza consentita non può essere superiore 50 per cento di quella massima autorizzata all'aperto e al 25 per cento al chiuso. In zona gialla la capienza consentita non può essere superiore al 25 per cento di quella massima autorizzata e, comunque, il numero massimo di spettatori non può essere superiore a 2.500 per gli impianti all'aperto e a 1.000 per gli impianti al chiuso. Le attività devono svolgersi nel rispetto delle linee guida adottate dalla Presidenza del Consiglio dei ministri – Dipartimento per lo sport, sentita la Federazione medico sportiva italiana, sulla base di criteri definiti dal Comitato tecnico-scientifico. Quando non è possibile assicurare il rispetto delle condizioni di cui al presente comma, gli eventi e le competizioni sportivi si svolgono senza la presenza di pubblico.»;</w:t>
      </w:r>
    </w:p>
    <w:p w14:paraId="2592CF32" w14:textId="77777777" w:rsidR="00F55D5C" w:rsidRPr="00F55D5C" w:rsidRDefault="00F55D5C" w:rsidP="00F55D5C">
      <w:pPr>
        <w:spacing w:after="160" w:line="259" w:lineRule="auto"/>
        <w:jc w:val="both"/>
        <w:rPr>
          <w:color w:val="auto"/>
          <w:sz w:val="24"/>
          <w:szCs w:val="24"/>
          <w:lang w:eastAsia="en-US"/>
        </w:rPr>
      </w:pPr>
    </w:p>
    <w:p w14:paraId="0C238A8F"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 al comma 3, primo periodo, dopo le parole «In zona» sono inserite le seguenti: «bianca e» e il secondo periodo è soppresso;</w:t>
      </w:r>
    </w:p>
    <w:p w14:paraId="4A874ED0" w14:textId="77777777" w:rsidR="00F55D5C" w:rsidRPr="00F55D5C" w:rsidRDefault="00F55D5C" w:rsidP="00F55D5C">
      <w:pPr>
        <w:spacing w:after="160" w:line="259" w:lineRule="auto"/>
        <w:jc w:val="both"/>
        <w:rPr>
          <w:color w:val="auto"/>
          <w:sz w:val="24"/>
          <w:szCs w:val="24"/>
          <w:lang w:eastAsia="en-US"/>
        </w:rPr>
      </w:pPr>
    </w:p>
    <w:p w14:paraId="43E76A9D"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    3) i commi 2-bis e 4 sono abrogati;</w:t>
      </w:r>
    </w:p>
    <w:p w14:paraId="1FF1D5D7" w14:textId="77777777" w:rsidR="00F55D5C" w:rsidRPr="00F55D5C" w:rsidRDefault="00F55D5C" w:rsidP="00F55D5C">
      <w:pPr>
        <w:spacing w:after="160" w:line="259" w:lineRule="auto"/>
        <w:jc w:val="both"/>
        <w:rPr>
          <w:color w:val="auto"/>
          <w:sz w:val="24"/>
          <w:szCs w:val="24"/>
          <w:lang w:eastAsia="en-US"/>
        </w:rPr>
      </w:pPr>
    </w:p>
    <w:p w14:paraId="1BA5538D" w14:textId="23341283" w:rsidR="00F55D5C" w:rsidRDefault="00F55D5C" w:rsidP="00F55D5C">
      <w:pPr>
        <w:spacing w:after="160" w:line="259" w:lineRule="auto"/>
        <w:jc w:val="both"/>
        <w:rPr>
          <w:color w:val="auto"/>
          <w:sz w:val="24"/>
          <w:szCs w:val="24"/>
          <w:lang w:eastAsia="en-US"/>
        </w:rPr>
      </w:pPr>
      <w:r w:rsidRPr="00F55D5C">
        <w:rPr>
          <w:color w:val="auto"/>
          <w:sz w:val="24"/>
          <w:szCs w:val="24"/>
          <w:lang w:eastAsia="en-US"/>
        </w:rPr>
        <w:t>   d) all'articolo 5-bis, comma 1, dopo le parole «In zona» sono inserite le seguenti: «bianca e»;</w:t>
      </w:r>
    </w:p>
    <w:p w14:paraId="1FB6F609" w14:textId="49096936" w:rsidR="003801C6" w:rsidRDefault="003801C6" w:rsidP="00F55D5C">
      <w:pPr>
        <w:spacing w:after="160" w:line="259" w:lineRule="auto"/>
        <w:jc w:val="both"/>
        <w:rPr>
          <w:color w:val="auto"/>
          <w:sz w:val="24"/>
          <w:szCs w:val="24"/>
          <w:lang w:eastAsia="en-US"/>
        </w:rPr>
      </w:pPr>
    </w:p>
    <w:p w14:paraId="2CE5E50B" w14:textId="77777777" w:rsidR="003801C6" w:rsidRPr="00FF304D" w:rsidRDefault="003801C6" w:rsidP="003801C6">
      <w:pPr>
        <w:jc w:val="both"/>
        <w:rPr>
          <w:rFonts w:asciiTheme="minorHAnsi" w:hAnsiTheme="minorHAnsi"/>
          <w:b/>
          <w:bCs/>
          <w:color w:val="000000" w:themeColor="text1"/>
          <w:sz w:val="24"/>
          <w:szCs w:val="24"/>
        </w:rPr>
      </w:pPr>
      <w:r w:rsidRPr="00FF304D">
        <w:rPr>
          <w:rFonts w:asciiTheme="minorHAnsi" w:hAnsiTheme="minorHAnsi"/>
          <w:b/>
          <w:bCs/>
          <w:color w:val="000000" w:themeColor="text1"/>
          <w:sz w:val="24"/>
          <w:szCs w:val="24"/>
        </w:rPr>
        <w:t>   d-bis) all'articolo 8-bis:</w:t>
      </w:r>
    </w:p>
    <w:p w14:paraId="0A90AD3E" w14:textId="77777777" w:rsidR="003801C6" w:rsidRPr="00FF304D" w:rsidRDefault="003801C6" w:rsidP="003801C6">
      <w:pPr>
        <w:jc w:val="both"/>
        <w:rPr>
          <w:rFonts w:asciiTheme="minorHAnsi" w:hAnsiTheme="minorHAnsi"/>
          <w:b/>
          <w:bCs/>
          <w:color w:val="000000" w:themeColor="text1"/>
          <w:sz w:val="24"/>
          <w:szCs w:val="24"/>
        </w:rPr>
      </w:pPr>
    </w:p>
    <w:p w14:paraId="6B52D99F" w14:textId="61542681" w:rsidR="003801C6" w:rsidRPr="00FF304D" w:rsidRDefault="003801C6" w:rsidP="003801C6">
      <w:pPr>
        <w:ind w:left="720"/>
        <w:jc w:val="both"/>
        <w:rPr>
          <w:rFonts w:asciiTheme="minorHAnsi" w:hAnsiTheme="minorHAnsi"/>
          <w:b/>
          <w:bCs/>
          <w:color w:val="000000" w:themeColor="text1"/>
          <w:sz w:val="24"/>
          <w:szCs w:val="24"/>
        </w:rPr>
      </w:pPr>
      <w:r w:rsidRPr="00FF304D">
        <w:rPr>
          <w:rFonts w:asciiTheme="minorHAnsi" w:hAnsiTheme="minorHAnsi"/>
          <w:b/>
          <w:bCs/>
          <w:color w:val="000000" w:themeColor="text1"/>
          <w:sz w:val="24"/>
          <w:szCs w:val="24"/>
        </w:rPr>
        <w:t>1) al comma 2, le parole: «e con la prescrizione che i partecipanti siano muniti di una delle certificazioni verdi COVID-19 di cui all'articolo 9 del presente decreto» sono soppresse;</w:t>
      </w:r>
    </w:p>
    <w:p w14:paraId="64738825" w14:textId="77777777" w:rsidR="003801C6" w:rsidRPr="00FF304D" w:rsidRDefault="003801C6" w:rsidP="003801C6">
      <w:pPr>
        <w:jc w:val="both"/>
        <w:rPr>
          <w:rFonts w:asciiTheme="minorHAnsi" w:hAnsiTheme="minorHAnsi"/>
          <w:b/>
          <w:bCs/>
          <w:color w:val="000000" w:themeColor="text1"/>
          <w:sz w:val="24"/>
          <w:szCs w:val="24"/>
        </w:rPr>
      </w:pPr>
    </w:p>
    <w:p w14:paraId="3F3AD61F" w14:textId="23870326" w:rsidR="003801C6" w:rsidRPr="00FF304D" w:rsidRDefault="003801C6" w:rsidP="003801C6">
      <w:pPr>
        <w:jc w:val="both"/>
        <w:rPr>
          <w:rFonts w:asciiTheme="minorHAnsi" w:hAnsiTheme="minorHAnsi"/>
          <w:b/>
          <w:bCs/>
          <w:color w:val="000000" w:themeColor="text1"/>
          <w:sz w:val="24"/>
          <w:szCs w:val="24"/>
        </w:rPr>
      </w:pPr>
      <w:r w:rsidRPr="00FF304D">
        <w:rPr>
          <w:rFonts w:asciiTheme="minorHAnsi" w:hAnsiTheme="minorHAnsi"/>
          <w:b/>
          <w:bCs/>
          <w:color w:val="000000" w:themeColor="text1"/>
          <w:sz w:val="24"/>
          <w:szCs w:val="24"/>
        </w:rPr>
        <w:t>    2) il comma 2-bis è abrogato.</w:t>
      </w:r>
      <w:r w:rsidRPr="000B30C0">
        <w:rPr>
          <w:rStyle w:val="Rimandonotaapidipagina"/>
          <w:rFonts w:asciiTheme="minorHAnsi" w:hAnsiTheme="minorHAnsi"/>
          <w:color w:val="000000" w:themeColor="text1"/>
          <w:sz w:val="24"/>
          <w:szCs w:val="24"/>
        </w:rPr>
        <w:footnoteReference w:id="8"/>
      </w:r>
    </w:p>
    <w:p w14:paraId="091605B7" w14:textId="77777777" w:rsidR="003801C6" w:rsidRPr="00F55D5C" w:rsidRDefault="003801C6" w:rsidP="00F55D5C">
      <w:pPr>
        <w:spacing w:after="160" w:line="259" w:lineRule="auto"/>
        <w:jc w:val="both"/>
        <w:rPr>
          <w:color w:val="auto"/>
          <w:sz w:val="24"/>
          <w:szCs w:val="24"/>
          <w:lang w:eastAsia="en-US"/>
        </w:rPr>
      </w:pPr>
    </w:p>
    <w:p w14:paraId="308315C6" w14:textId="77777777" w:rsidR="00F55D5C" w:rsidRPr="00F55D5C" w:rsidRDefault="00F55D5C" w:rsidP="00F55D5C">
      <w:pPr>
        <w:spacing w:after="160" w:line="259" w:lineRule="auto"/>
        <w:jc w:val="both"/>
        <w:rPr>
          <w:color w:val="auto"/>
          <w:sz w:val="24"/>
          <w:szCs w:val="24"/>
          <w:lang w:eastAsia="en-US"/>
        </w:rPr>
      </w:pPr>
    </w:p>
    <w:p w14:paraId="2FE726B2" w14:textId="79AA9D7D" w:rsidR="00F55D5C" w:rsidRDefault="00F55D5C" w:rsidP="00F55D5C">
      <w:pPr>
        <w:spacing w:after="160" w:line="259" w:lineRule="auto"/>
        <w:jc w:val="both"/>
        <w:rPr>
          <w:color w:val="auto"/>
          <w:sz w:val="24"/>
          <w:szCs w:val="24"/>
          <w:lang w:eastAsia="en-US"/>
        </w:rPr>
      </w:pPr>
      <w:r w:rsidRPr="00F55D5C">
        <w:rPr>
          <w:color w:val="auto"/>
          <w:sz w:val="24"/>
          <w:szCs w:val="24"/>
          <w:lang w:eastAsia="en-US"/>
        </w:rPr>
        <w:t>   e) all'articolo 9:</w:t>
      </w:r>
    </w:p>
    <w:p w14:paraId="2168B93A" w14:textId="4996A070" w:rsidR="00171C64" w:rsidRDefault="00171C64" w:rsidP="00F55D5C">
      <w:pPr>
        <w:spacing w:after="160" w:line="259" w:lineRule="auto"/>
        <w:jc w:val="both"/>
        <w:rPr>
          <w:color w:val="auto"/>
          <w:sz w:val="24"/>
          <w:szCs w:val="24"/>
          <w:lang w:eastAsia="en-US"/>
        </w:rPr>
      </w:pPr>
    </w:p>
    <w:p w14:paraId="393185BD" w14:textId="77777777" w:rsidR="00171C64" w:rsidRPr="0021779C" w:rsidRDefault="00171C64" w:rsidP="00171C64">
      <w:pPr>
        <w:jc w:val="both"/>
        <w:rPr>
          <w:rFonts w:asciiTheme="minorHAnsi" w:hAnsiTheme="minorHAnsi"/>
          <w:b/>
          <w:bCs/>
          <w:color w:val="000000" w:themeColor="text1"/>
          <w:sz w:val="24"/>
          <w:szCs w:val="24"/>
        </w:rPr>
      </w:pPr>
      <w:r w:rsidRPr="0021779C">
        <w:rPr>
          <w:rFonts w:asciiTheme="minorHAnsi" w:hAnsiTheme="minorHAnsi"/>
          <w:b/>
          <w:bCs/>
          <w:color w:val="000000" w:themeColor="text1"/>
          <w:sz w:val="24"/>
          <w:szCs w:val="24"/>
        </w:rPr>
        <w:t>    01) al comma 1, lettera a), le parole da: «ovvero» fino a: «SARS-CoV-2» sono sostituite dalle seguenti: «ovvero l'effettuazione di un test antigenico rapido o molecolare, quest'ultimo anche su campione salivare e nel rispetto dei criteri stabiliti con circolare del Ministero della salute, con esito negativo al virus SARS-CoV-2»;</w:t>
      </w:r>
    </w:p>
    <w:p w14:paraId="3BE46DFD" w14:textId="77777777" w:rsidR="00171C64" w:rsidRPr="0021779C" w:rsidRDefault="00171C64" w:rsidP="00171C64">
      <w:pPr>
        <w:jc w:val="both"/>
        <w:rPr>
          <w:rFonts w:asciiTheme="minorHAnsi" w:hAnsiTheme="minorHAnsi"/>
          <w:b/>
          <w:bCs/>
          <w:color w:val="000000" w:themeColor="text1"/>
          <w:sz w:val="24"/>
          <w:szCs w:val="24"/>
        </w:rPr>
      </w:pPr>
    </w:p>
    <w:p w14:paraId="455C63F1" w14:textId="5E5E0ADF" w:rsidR="00171C64" w:rsidRPr="0021779C" w:rsidRDefault="00171C64" w:rsidP="00171C64">
      <w:pPr>
        <w:jc w:val="both"/>
        <w:rPr>
          <w:rFonts w:asciiTheme="minorHAnsi" w:hAnsiTheme="minorHAnsi"/>
          <w:b/>
          <w:bCs/>
          <w:color w:val="000000" w:themeColor="text1"/>
          <w:sz w:val="24"/>
          <w:szCs w:val="24"/>
        </w:rPr>
      </w:pPr>
      <w:r w:rsidRPr="0021779C">
        <w:rPr>
          <w:rFonts w:asciiTheme="minorHAnsi" w:hAnsiTheme="minorHAnsi"/>
          <w:b/>
          <w:bCs/>
          <w:color w:val="000000" w:themeColor="text1"/>
          <w:sz w:val="24"/>
          <w:szCs w:val="24"/>
        </w:rPr>
        <w:lastRenderedPageBreak/>
        <w:t>    02) al comma 2, lettera c), dopo la parola: «molecolare» sono inserite le seguenti: «, quest'ultimo anche su campione salivare e nel rispetto dei criteri stabiliti con circolare del Ministero della salute,».</w:t>
      </w:r>
      <w:r>
        <w:rPr>
          <w:rStyle w:val="Rimandonotaapidipagina"/>
          <w:rFonts w:asciiTheme="minorHAnsi" w:hAnsiTheme="minorHAnsi"/>
          <w:b/>
          <w:bCs/>
          <w:color w:val="000000" w:themeColor="text1"/>
          <w:sz w:val="24"/>
          <w:szCs w:val="24"/>
        </w:rPr>
        <w:footnoteReference w:id="9"/>
      </w:r>
    </w:p>
    <w:p w14:paraId="51C4455E" w14:textId="77777777" w:rsidR="00F55D5C" w:rsidRPr="00F55D5C" w:rsidRDefault="00F55D5C" w:rsidP="00F55D5C">
      <w:pPr>
        <w:spacing w:after="160" w:line="259" w:lineRule="auto"/>
        <w:jc w:val="both"/>
        <w:rPr>
          <w:color w:val="auto"/>
          <w:sz w:val="24"/>
          <w:szCs w:val="24"/>
          <w:lang w:eastAsia="en-US"/>
        </w:rPr>
      </w:pPr>
    </w:p>
    <w:p w14:paraId="71A604A8" w14:textId="50F0C217" w:rsidR="00F55D5C" w:rsidRPr="00F55D5C" w:rsidRDefault="00F55D5C" w:rsidP="0090746A">
      <w:pPr>
        <w:jc w:val="both"/>
        <w:rPr>
          <w:color w:val="auto"/>
          <w:sz w:val="24"/>
          <w:szCs w:val="24"/>
          <w:lang w:eastAsia="en-US"/>
        </w:rPr>
      </w:pPr>
      <w:r w:rsidRPr="00F55D5C">
        <w:rPr>
          <w:color w:val="auto"/>
          <w:sz w:val="24"/>
          <w:szCs w:val="24"/>
          <w:lang w:eastAsia="en-US"/>
        </w:rPr>
        <w:t>    1) al comma 3</w:t>
      </w:r>
      <w:r w:rsidR="0090746A">
        <w:rPr>
          <w:color w:val="auto"/>
          <w:sz w:val="24"/>
          <w:szCs w:val="24"/>
          <w:lang w:eastAsia="en-US"/>
        </w:rPr>
        <w:t xml:space="preserve"> </w:t>
      </w:r>
      <w:r w:rsidR="0090746A" w:rsidRPr="0021779C">
        <w:rPr>
          <w:rFonts w:asciiTheme="minorHAnsi" w:hAnsiTheme="minorHAnsi"/>
          <w:b/>
          <w:bCs/>
          <w:color w:val="000000" w:themeColor="text1"/>
          <w:sz w:val="24"/>
          <w:szCs w:val="24"/>
        </w:rPr>
        <w:t>al primo periodo, le parole: «validità di nove mesi» sono sostituite dalle seguenti: «validità di dodici mesi» e</w:t>
      </w:r>
      <w:r w:rsidR="0090746A" w:rsidRPr="000B30C0">
        <w:rPr>
          <w:rStyle w:val="Rimandonotaapidipagina"/>
          <w:rFonts w:asciiTheme="minorHAnsi" w:hAnsiTheme="minorHAnsi"/>
          <w:color w:val="000000" w:themeColor="text1"/>
          <w:sz w:val="24"/>
          <w:szCs w:val="24"/>
        </w:rPr>
        <w:footnoteReference w:id="10"/>
      </w:r>
      <w:r w:rsidRPr="00F55D5C">
        <w:rPr>
          <w:color w:val="auto"/>
          <w:sz w:val="24"/>
          <w:szCs w:val="24"/>
          <w:lang w:eastAsia="en-US"/>
        </w:rPr>
        <w:t xml:space="preserve"> dopo il secondo periodo è inserito il seguente: «La certificazione verde COVID-19 di cui al primo periodo è rilasciata altresì contestualmente all'avvenuta somministrazione di una sola dose di un vaccino dopo una precedente infezione da SARS-COV 2 e ha validità dal quindicesimo giorno successivo alla somministrazione.»;</w:t>
      </w:r>
    </w:p>
    <w:p w14:paraId="090D9540" w14:textId="77777777" w:rsidR="00F55D5C" w:rsidRPr="00F55D5C" w:rsidRDefault="00F55D5C" w:rsidP="00F55D5C">
      <w:pPr>
        <w:spacing w:after="160" w:line="259" w:lineRule="auto"/>
        <w:jc w:val="both"/>
        <w:rPr>
          <w:color w:val="auto"/>
          <w:sz w:val="24"/>
          <w:szCs w:val="24"/>
          <w:lang w:eastAsia="en-US"/>
        </w:rPr>
      </w:pPr>
    </w:p>
    <w:p w14:paraId="6923613C"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 il comma 9 è sostituito dal seguente:</w:t>
      </w:r>
    </w:p>
    <w:p w14:paraId="0D56225A" w14:textId="77777777" w:rsidR="00F55D5C" w:rsidRPr="00F55D5C" w:rsidRDefault="00F55D5C" w:rsidP="00F55D5C">
      <w:pPr>
        <w:spacing w:after="160" w:line="259" w:lineRule="auto"/>
        <w:jc w:val="both"/>
        <w:rPr>
          <w:color w:val="auto"/>
          <w:sz w:val="24"/>
          <w:szCs w:val="24"/>
          <w:lang w:eastAsia="en-US"/>
        </w:rPr>
      </w:pPr>
    </w:p>
    <w:p w14:paraId="3C708B38"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   «9. Le disposizioni dei commi da 1 a 8 continuano ad applicarsi ove compatibili con i regolamenti (UE) 2021/953 e 2021/954 del Parlamento europeo e del Consiglio del 14 giugno 2021.»;</w:t>
      </w:r>
    </w:p>
    <w:p w14:paraId="4499C9D8" w14:textId="77777777" w:rsidR="00F55D5C" w:rsidRPr="00F55D5C" w:rsidRDefault="00F55D5C" w:rsidP="00F55D5C">
      <w:pPr>
        <w:spacing w:after="160" w:line="259" w:lineRule="auto"/>
        <w:jc w:val="both"/>
        <w:rPr>
          <w:color w:val="auto"/>
          <w:sz w:val="24"/>
          <w:szCs w:val="24"/>
          <w:lang w:eastAsia="en-US"/>
        </w:rPr>
      </w:pPr>
    </w:p>
    <w:p w14:paraId="5AE14FE3"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    3) al comma 10, terzo periodo, le parole «Nelle more dell'adozione del predetto decreto» sono soppresse;</w:t>
      </w:r>
    </w:p>
    <w:p w14:paraId="10C2B14D" w14:textId="77777777" w:rsidR="00F55D5C" w:rsidRPr="00F55D5C" w:rsidRDefault="00F55D5C" w:rsidP="00F55D5C">
      <w:pPr>
        <w:spacing w:after="160" w:line="259" w:lineRule="auto"/>
        <w:jc w:val="both"/>
        <w:rPr>
          <w:color w:val="auto"/>
          <w:sz w:val="24"/>
          <w:szCs w:val="24"/>
          <w:lang w:eastAsia="en-US"/>
        </w:rPr>
      </w:pPr>
    </w:p>
    <w:p w14:paraId="181897CA"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   f) all'articolo 13:</w:t>
      </w:r>
    </w:p>
    <w:p w14:paraId="0283D86F" w14:textId="77777777" w:rsidR="00F55D5C" w:rsidRPr="00F55D5C" w:rsidRDefault="00F55D5C" w:rsidP="00F55D5C">
      <w:pPr>
        <w:spacing w:after="160" w:line="259" w:lineRule="auto"/>
        <w:jc w:val="both"/>
        <w:rPr>
          <w:color w:val="auto"/>
          <w:sz w:val="24"/>
          <w:szCs w:val="24"/>
          <w:lang w:eastAsia="en-US"/>
        </w:rPr>
      </w:pPr>
    </w:p>
    <w:p w14:paraId="1712C8B5"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lastRenderedPageBreak/>
        <w:t>    1) al comma 1, le parole «e 8-ter» sono sostituite dalle seguenti: «, 8-ter e 9-bis», ed è aggiunto in fine il seguente periodo: «Dopo due violazioni delle disposizioni di cui al comma 4 dell'articolo 9-bis, commesse in giornate diverse, si applica, a partire dalla terza violazione, la sanzione amministrativa accessoria della chiusura dell'esercizio o dell'attività da uno a dieci giorni.»;</w:t>
      </w:r>
    </w:p>
    <w:p w14:paraId="46AA8BF1" w14:textId="77777777" w:rsidR="00F55D5C" w:rsidRPr="00F55D5C" w:rsidRDefault="00F55D5C" w:rsidP="00F55D5C">
      <w:pPr>
        <w:spacing w:after="160" w:line="259" w:lineRule="auto"/>
        <w:jc w:val="both"/>
        <w:rPr>
          <w:color w:val="auto"/>
          <w:sz w:val="24"/>
          <w:szCs w:val="24"/>
          <w:lang w:eastAsia="en-US"/>
        </w:rPr>
      </w:pPr>
    </w:p>
    <w:p w14:paraId="17C77246" w14:textId="76B55846" w:rsidR="00F55D5C" w:rsidRDefault="00F55D5C" w:rsidP="00F55D5C">
      <w:pPr>
        <w:spacing w:after="160" w:line="259" w:lineRule="auto"/>
        <w:jc w:val="both"/>
        <w:rPr>
          <w:color w:val="auto"/>
          <w:sz w:val="24"/>
          <w:szCs w:val="24"/>
          <w:lang w:eastAsia="en-US"/>
        </w:rPr>
      </w:pPr>
      <w:r w:rsidRPr="00F55D5C">
        <w:rPr>
          <w:color w:val="auto"/>
          <w:sz w:val="24"/>
          <w:szCs w:val="24"/>
          <w:lang w:eastAsia="en-US"/>
        </w:rPr>
        <w:t>    2) al comma 2 le parole «di cui all'articolo 9, comma 2» sono sostituite dalle seguenti: «in formato digitale o analogico».</w:t>
      </w:r>
    </w:p>
    <w:p w14:paraId="26087B2E" w14:textId="2E6A5008" w:rsidR="00C77FEA" w:rsidRDefault="00C77FEA" w:rsidP="00F55D5C">
      <w:pPr>
        <w:spacing w:after="160" w:line="259" w:lineRule="auto"/>
        <w:jc w:val="both"/>
        <w:rPr>
          <w:color w:val="auto"/>
          <w:sz w:val="24"/>
          <w:szCs w:val="24"/>
          <w:lang w:eastAsia="en-US"/>
        </w:rPr>
      </w:pPr>
    </w:p>
    <w:p w14:paraId="1F19B0A9" w14:textId="77777777" w:rsidR="00C77FEA" w:rsidRPr="00EB77CB" w:rsidRDefault="00C77FEA" w:rsidP="00C77FEA">
      <w:pPr>
        <w:jc w:val="center"/>
        <w:rPr>
          <w:b/>
          <w:bCs/>
          <w:color w:val="000000" w:themeColor="text1"/>
          <w:sz w:val="24"/>
          <w:szCs w:val="24"/>
        </w:rPr>
      </w:pPr>
      <w:r w:rsidRPr="00EB77CB">
        <w:rPr>
          <w:rFonts w:asciiTheme="minorHAnsi" w:hAnsiTheme="minorHAnsi"/>
          <w:b/>
          <w:bCs/>
          <w:color w:val="000000" w:themeColor="text1"/>
          <w:sz w:val="24"/>
          <w:szCs w:val="24"/>
        </w:rPr>
        <w:t>Articolo 4-bis.</w:t>
      </w:r>
    </w:p>
    <w:p w14:paraId="379B1777" w14:textId="77777777" w:rsidR="00C77FEA" w:rsidRPr="00EB77CB" w:rsidRDefault="00C77FEA" w:rsidP="00C77FEA">
      <w:pPr>
        <w:jc w:val="center"/>
        <w:rPr>
          <w:b/>
          <w:bCs/>
          <w:color w:val="000000" w:themeColor="text1"/>
          <w:sz w:val="24"/>
          <w:szCs w:val="24"/>
        </w:rPr>
      </w:pPr>
      <w:r w:rsidRPr="00EB77CB">
        <w:rPr>
          <w:rFonts w:asciiTheme="minorHAnsi" w:hAnsiTheme="minorHAnsi"/>
          <w:b/>
          <w:bCs/>
          <w:color w:val="000000" w:themeColor="text1"/>
          <w:sz w:val="24"/>
          <w:szCs w:val="24"/>
        </w:rPr>
        <w:t xml:space="preserve"> (Modifica all'articolo 1-bis del decreto-legge 1° aprile 2021, n. 44, convertito, con modificazioni, dalla legge 28 maggio 2021, n. 76)</w:t>
      </w:r>
    </w:p>
    <w:p w14:paraId="53E0026D" w14:textId="1573F5C2" w:rsidR="00C77FEA" w:rsidRPr="00EB77CB" w:rsidRDefault="00C77FEA" w:rsidP="00C77FEA">
      <w:pPr>
        <w:jc w:val="both"/>
        <w:rPr>
          <w:rFonts w:asciiTheme="minorHAnsi" w:hAnsiTheme="minorHAnsi"/>
          <w:b/>
          <w:bCs/>
          <w:color w:val="000000" w:themeColor="text1"/>
          <w:sz w:val="24"/>
          <w:szCs w:val="24"/>
        </w:rPr>
      </w:pPr>
      <w:r w:rsidRPr="00EB77CB">
        <w:rPr>
          <w:rFonts w:asciiTheme="minorHAnsi" w:hAnsiTheme="minorHAnsi"/>
          <w:b/>
          <w:bCs/>
          <w:color w:val="000000" w:themeColor="text1"/>
          <w:sz w:val="24"/>
          <w:szCs w:val="24"/>
        </w:rPr>
        <w:t>1. All'articolo 1-bis del decreto-legge 1° aprile 2021, n. 44, convertito, con modificazioni, dalla legge 28 maggio 2021, n. 76, è aggiunto, in fine, il seguente periodo: «Nel rispetto delle predette misure e, in ogni caso, a condizione che siano assicurate idonee misure di protezione individuale, le direzioni sanitarie garantiscono la possibilità di visita da parte di familiari muniti delle suddette certificazioni verdi COVID-19 con cadenza giornaliera, consentendo loro anche di prestare assistenza quotidiana nel caso in cui la persona ospitata sia non autosufficiente».</w:t>
      </w:r>
      <w:r w:rsidRPr="000B30C0">
        <w:rPr>
          <w:rStyle w:val="Rimandonotaapidipagina"/>
          <w:rFonts w:asciiTheme="minorHAnsi" w:hAnsiTheme="minorHAnsi"/>
          <w:color w:val="000000" w:themeColor="text1"/>
          <w:sz w:val="24"/>
          <w:szCs w:val="24"/>
        </w:rPr>
        <w:footnoteReference w:id="11"/>
      </w:r>
    </w:p>
    <w:p w14:paraId="5977931D" w14:textId="77777777" w:rsidR="00F55D5C" w:rsidRPr="00F55D5C" w:rsidRDefault="00F55D5C" w:rsidP="007D74F4">
      <w:pPr>
        <w:spacing w:after="160" w:line="259" w:lineRule="auto"/>
        <w:jc w:val="center"/>
        <w:rPr>
          <w:color w:val="auto"/>
          <w:sz w:val="24"/>
          <w:szCs w:val="24"/>
          <w:lang w:eastAsia="en-US"/>
        </w:rPr>
      </w:pPr>
    </w:p>
    <w:p w14:paraId="5B539567"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5.</w:t>
      </w:r>
    </w:p>
    <w:p w14:paraId="30977067" w14:textId="35525C04"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(Misure urgenti per la somministrazione di test antigenici rapidi</w:t>
      </w:r>
      <w:r w:rsidR="00972AC9">
        <w:rPr>
          <w:color w:val="auto"/>
          <w:sz w:val="24"/>
          <w:szCs w:val="24"/>
          <w:lang w:eastAsia="en-US"/>
        </w:rPr>
        <w:t xml:space="preserve"> </w:t>
      </w:r>
      <w:r w:rsidR="00972AC9" w:rsidRPr="00EB77CB">
        <w:rPr>
          <w:rFonts w:asciiTheme="minorHAnsi" w:hAnsiTheme="minorHAnsi"/>
          <w:b/>
          <w:bCs/>
          <w:color w:val="000000" w:themeColor="text1"/>
          <w:sz w:val="24"/>
          <w:szCs w:val="24"/>
        </w:rPr>
        <w:t>e per la campagna vaccinale antinfluenzale 2021/2022</w:t>
      </w:r>
      <w:r w:rsidR="00972AC9" w:rsidRPr="00972AC9">
        <w:rPr>
          <w:rStyle w:val="Rimandonotaapidipagina"/>
          <w:rFonts w:asciiTheme="minorHAnsi" w:hAnsiTheme="minorHAnsi"/>
          <w:color w:val="000000" w:themeColor="text1"/>
          <w:sz w:val="24"/>
          <w:szCs w:val="24"/>
        </w:rPr>
        <w:footnoteReference w:id="12"/>
      </w:r>
      <w:r w:rsidRPr="00F55D5C">
        <w:rPr>
          <w:color w:val="auto"/>
          <w:sz w:val="24"/>
          <w:szCs w:val="24"/>
          <w:lang w:eastAsia="en-US"/>
        </w:rPr>
        <w:t>)</w:t>
      </w:r>
    </w:p>
    <w:p w14:paraId="3CBFED0B" w14:textId="77777777" w:rsidR="00F55D5C" w:rsidRPr="00F55D5C" w:rsidRDefault="00F55D5C" w:rsidP="00F55D5C">
      <w:pPr>
        <w:spacing w:after="160" w:line="259" w:lineRule="auto"/>
        <w:jc w:val="both"/>
        <w:rPr>
          <w:color w:val="auto"/>
          <w:sz w:val="24"/>
          <w:szCs w:val="24"/>
          <w:lang w:eastAsia="en-US"/>
        </w:rPr>
      </w:pPr>
    </w:p>
    <w:p w14:paraId="29F59FBB" w14:textId="40A1EC12" w:rsidR="00F55D5C" w:rsidRPr="00F55D5C" w:rsidRDefault="00F55D5C" w:rsidP="00BD6B17">
      <w:pPr>
        <w:jc w:val="both"/>
        <w:rPr>
          <w:color w:val="auto"/>
          <w:sz w:val="24"/>
          <w:szCs w:val="24"/>
          <w:lang w:eastAsia="en-US"/>
        </w:rPr>
      </w:pPr>
      <w:r w:rsidRPr="00F55D5C">
        <w:rPr>
          <w:color w:val="auto"/>
          <w:sz w:val="24"/>
          <w:szCs w:val="24"/>
          <w:lang w:eastAsia="en-US"/>
        </w:rPr>
        <w:lastRenderedPageBreak/>
        <w:t xml:space="preserve">  1. Il Commissario straordinario per l'attuazione e il coordinamento delle misure di contenimento e contrasto dell'emergenza epidemiologica COVID-19 definisce, d'intesa con il Ministro della salute, un protocollo d'intesa con le farmacie e con le altre strutture sanitarie al fine di assicurare fino al </w:t>
      </w:r>
      <w:r w:rsidRPr="00BD6B17">
        <w:rPr>
          <w:strike/>
          <w:color w:val="auto"/>
          <w:sz w:val="24"/>
          <w:szCs w:val="24"/>
          <w:highlight w:val="yellow"/>
          <w:lang w:eastAsia="en-US"/>
        </w:rPr>
        <w:t>30 settembre 2021</w:t>
      </w:r>
      <w:r w:rsidR="00BD6B17">
        <w:rPr>
          <w:color w:val="auto"/>
          <w:sz w:val="24"/>
          <w:szCs w:val="24"/>
          <w:lang w:eastAsia="en-US"/>
        </w:rPr>
        <w:t xml:space="preserve"> </w:t>
      </w:r>
      <w:r w:rsidR="00BD6B17" w:rsidRPr="00EB77CB">
        <w:rPr>
          <w:rFonts w:asciiTheme="minorHAnsi" w:hAnsiTheme="minorHAnsi"/>
          <w:b/>
          <w:bCs/>
          <w:color w:val="000000" w:themeColor="text1"/>
          <w:sz w:val="24"/>
          <w:szCs w:val="24"/>
        </w:rPr>
        <w:t>30 novembre 2021</w:t>
      </w:r>
      <w:r w:rsidR="00BD6B17" w:rsidRPr="00BD6B17">
        <w:rPr>
          <w:rStyle w:val="Rimandonotaapidipagina"/>
          <w:rFonts w:asciiTheme="minorHAnsi" w:hAnsiTheme="minorHAnsi"/>
          <w:color w:val="000000" w:themeColor="text1"/>
          <w:sz w:val="24"/>
          <w:szCs w:val="24"/>
        </w:rPr>
        <w:footnoteReference w:id="13"/>
      </w:r>
      <w:r w:rsidR="00BD6B17">
        <w:rPr>
          <w:rFonts w:asciiTheme="minorHAnsi" w:hAnsiTheme="minorHAnsi"/>
          <w:b/>
          <w:bCs/>
          <w:color w:val="000000" w:themeColor="text1"/>
          <w:sz w:val="24"/>
          <w:szCs w:val="24"/>
        </w:rPr>
        <w:t xml:space="preserve"> </w:t>
      </w:r>
      <w:r w:rsidRPr="00F55D5C">
        <w:rPr>
          <w:color w:val="auto"/>
          <w:sz w:val="24"/>
          <w:szCs w:val="24"/>
          <w:lang w:eastAsia="en-US"/>
        </w:rPr>
        <w:t xml:space="preserve"> la somministrazione di test antigenici rapidi per la rilevazione di antigene SARSCoV-2, di cui all'articolo 9, comma 1, lettera d), del decreto-legge 22 aprile 2021, n. 52, convertito, con modificazioni, dalla legge 17 giugno 2021, n. 87, a prezzi contenuti. Il protocollo tiene conto in particolare dell'esigenza di agevolare ulteriormente i minori di età compresa tra i 12 e i 18 anni.</w:t>
      </w:r>
    </w:p>
    <w:p w14:paraId="4EFD8F84"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 Al fine di contribuire al contenimento dei costi dei testi antigenici rapidi di cui al comma 1, è autorizzata a favore del Commissario straordinario di cui al comma 1, la spesa di 45 milioni di euro per l'anno 2021, a valere sulle risorse di cui all'articolo 34, comma 1, del decreto legge 25 maggio 2021, n. 73, che sono, per il medesimo anno, corrispondentemente incrementate. Il Commissario straordinario provvede al trasferimento delle predette risorse alle regioni e alle province autonome di Trento e Bolzano sulla base dei dati disponibili sul sistema Tessera Sanitaria. Al relativo onere, pari a 45 milioni di euro per l'anno 2021, si provvede mediante corrispondente utilizzo delle risorse rivenienti dalle modifiche di cui al comma 3.</w:t>
      </w:r>
    </w:p>
    <w:p w14:paraId="707798D6"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  3. All'articolo 1, comma 394, della legge 28 dicembre 2015, n. 208, apportare le seguenti modificazioni:</w:t>
      </w:r>
    </w:p>
    <w:p w14:paraId="372F3A6F" w14:textId="77777777" w:rsidR="00F55D5C" w:rsidRPr="00F55D5C" w:rsidRDefault="00F55D5C" w:rsidP="00F55D5C">
      <w:pPr>
        <w:spacing w:after="160" w:line="259" w:lineRule="auto"/>
        <w:jc w:val="both"/>
        <w:rPr>
          <w:color w:val="auto"/>
          <w:sz w:val="24"/>
          <w:szCs w:val="24"/>
          <w:lang w:eastAsia="en-US"/>
        </w:rPr>
      </w:pPr>
    </w:p>
    <w:p w14:paraId="29E1955C"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   a) al primo periodo, le parole «2021 e 2022» sono sostituite dalle parole «2021, 2022 e 2023»;</w:t>
      </w:r>
    </w:p>
    <w:p w14:paraId="4E2BA684" w14:textId="77777777" w:rsidR="00F55D5C" w:rsidRPr="00F55D5C" w:rsidRDefault="00F55D5C" w:rsidP="00F55D5C">
      <w:pPr>
        <w:spacing w:after="160" w:line="259" w:lineRule="auto"/>
        <w:jc w:val="both"/>
        <w:rPr>
          <w:color w:val="auto"/>
          <w:sz w:val="24"/>
          <w:szCs w:val="24"/>
          <w:lang w:eastAsia="en-US"/>
        </w:rPr>
      </w:pPr>
    </w:p>
    <w:p w14:paraId="7B9FE35A"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   b) al secondo periodo, le parole: «, a 55 milioni di euro per ciascuno degli anni 2019, 2020, a 100 milioni di euro per l'anno 2021 e a 55 milioni di euro per l'anno 2022» sono sostituite dalle seguenti: «, a 55 milioni di euro per ciascuno degli anni dal 2019 al 2022 e a 45 milioni di euro per l'anno 2023».</w:t>
      </w:r>
    </w:p>
    <w:p w14:paraId="3FE1E5E3" w14:textId="77777777" w:rsidR="00F55D5C" w:rsidRPr="00F55D5C" w:rsidRDefault="00F55D5C" w:rsidP="00F55D5C">
      <w:pPr>
        <w:spacing w:after="160" w:line="259" w:lineRule="auto"/>
        <w:jc w:val="both"/>
        <w:rPr>
          <w:color w:val="auto"/>
          <w:sz w:val="24"/>
          <w:szCs w:val="24"/>
          <w:lang w:eastAsia="en-US"/>
        </w:rPr>
      </w:pPr>
    </w:p>
    <w:p w14:paraId="583D0869"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  4. Agli oneri derivanti dal comma 3, pari a 45 milioni di euro per l'anno 2023, si provvede:</w:t>
      </w:r>
    </w:p>
    <w:p w14:paraId="387880E8" w14:textId="77777777" w:rsidR="00F55D5C" w:rsidRPr="00F55D5C" w:rsidRDefault="00F55D5C" w:rsidP="00F55D5C">
      <w:pPr>
        <w:spacing w:after="160" w:line="259" w:lineRule="auto"/>
        <w:jc w:val="both"/>
        <w:rPr>
          <w:color w:val="auto"/>
          <w:sz w:val="24"/>
          <w:szCs w:val="24"/>
          <w:lang w:eastAsia="en-US"/>
        </w:rPr>
      </w:pPr>
    </w:p>
    <w:p w14:paraId="01F6192E"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lastRenderedPageBreak/>
        <w:t>   a) quanto a 20 milioni di euro mediante corrispondente riduzione del fondo di cui all'articolo 1, comma 200, della legge 23 dicembre 2014, n. 190;</w:t>
      </w:r>
    </w:p>
    <w:p w14:paraId="5930A578" w14:textId="77777777" w:rsidR="00F55D5C" w:rsidRPr="00F55D5C" w:rsidRDefault="00F55D5C" w:rsidP="00F55D5C">
      <w:pPr>
        <w:spacing w:after="160" w:line="259" w:lineRule="auto"/>
        <w:jc w:val="both"/>
        <w:rPr>
          <w:color w:val="auto"/>
          <w:sz w:val="24"/>
          <w:szCs w:val="24"/>
          <w:lang w:eastAsia="en-US"/>
        </w:rPr>
      </w:pPr>
    </w:p>
    <w:p w14:paraId="3A48C96F" w14:textId="6A7D6CD5" w:rsidR="00F55D5C" w:rsidRDefault="00F55D5C" w:rsidP="00F55D5C">
      <w:pPr>
        <w:spacing w:after="160" w:line="259" w:lineRule="auto"/>
        <w:jc w:val="both"/>
        <w:rPr>
          <w:color w:val="auto"/>
          <w:sz w:val="24"/>
          <w:szCs w:val="24"/>
          <w:lang w:eastAsia="en-US"/>
        </w:rPr>
      </w:pPr>
      <w:r w:rsidRPr="00F55D5C">
        <w:rPr>
          <w:color w:val="auto"/>
          <w:sz w:val="24"/>
          <w:szCs w:val="24"/>
          <w:lang w:eastAsia="en-US"/>
        </w:rPr>
        <w:t>   b) quanto a 25 milioni di euro mediante corrispondente riduzione del Fondo per interventi strutturali di politica economica, di cui all'articolo 10, comma 5, del decreto-legge 29 novembre 2004, n. 282, convertito, con modificazioni, dalla legge 27 dicembre 2004, n. 307.</w:t>
      </w:r>
    </w:p>
    <w:p w14:paraId="6C7888B9" w14:textId="0F52AC42" w:rsidR="00616C6F" w:rsidRPr="00EB77CB" w:rsidRDefault="00616C6F" w:rsidP="00616C6F">
      <w:pPr>
        <w:jc w:val="both"/>
        <w:rPr>
          <w:rFonts w:asciiTheme="minorHAnsi" w:hAnsiTheme="minorHAnsi"/>
          <w:b/>
          <w:bCs/>
          <w:color w:val="000000" w:themeColor="text1"/>
          <w:sz w:val="24"/>
          <w:szCs w:val="24"/>
        </w:rPr>
      </w:pPr>
      <w:r w:rsidRPr="00EB77CB">
        <w:rPr>
          <w:rFonts w:asciiTheme="minorHAnsi" w:hAnsiTheme="minorHAnsi"/>
          <w:b/>
          <w:bCs/>
          <w:color w:val="000000" w:themeColor="text1"/>
          <w:sz w:val="24"/>
          <w:szCs w:val="24"/>
        </w:rPr>
        <w:t>4-bis. Al fine di rafforzare la prossimità e la tempestività dei servizi di vaccinazione antinfluenzale per la stagione 2021/2022 e di assicurarne il coordinamento con la campagna vaccinale contro il SARS-CoV-2, il Ministero della salute, sentiti il Commissario straordinario per l'attuazione e il coordinamento delle misure occorrenti per il contenimento e contrasto dell'emergenza epidemiologica COVID-19 e la Federazione degli Ordini dei farmacisti italiani, previa intesa in sede di Conferenza permanente per i rapporti tra lo Stato, le regioni e le province autonome di Trento e Bolzano ai sensi dell'articolo 3 del decreto legislativo 28 agosto 1997, n. 281, definisce, tramite apposito protocollo d'intesa stipulato con le organizzazioni sindacali maggiormente rappresentative delle farmacie, le procedure e le condizioni nel rispetto delle quali i farmacisti delle farmacie aperte al pubblico, a seguito del superamento di specifico corso organizzato dall'Istituto superiore di sanità, concorrono alla campagna vaccinale antinfluenzale per la stagione 2021/2022 nei confronti dei soggetti di età non inferiore a diciotto anni. La remunerazione del servizio erogato dalle farmacie ai sensi del presente comma è definita dal citato protocollo d'intesa a valere sulle risorse del fabbisogno sanitario nazionale standard. Con il medesimo protocollo d'intesa sono disciplinate altresì le procedure di registrazione delle somministrazioni eseguite presso le farmacie per l'alimentazione dell'Anagrafe nazionale vaccini di cui al decreto del Ministro della salute 17 settembre 2018, pubblicato nella Gazzetta Ufficiale n. 257 del 5 novembre 2018, anche per consentire il monitoraggio del servizio erogato ai fini della remunerazione dello stesso. Le previsioni del predetto protocollo d'intesa esauriscono gli obblighi e gli adempimenti a carico delle farmacie. Resta fermo quanto previsto dall'articolo 1, comma 471, della legge 30 dicembre 2020, n. 178. Dall'attuazione del presente comma non devono derivare nuovi o maggiori oneri a carico della finanza pubblica.</w:t>
      </w:r>
      <w:r w:rsidRPr="000B30C0">
        <w:rPr>
          <w:rStyle w:val="Rimandonotaapidipagina"/>
          <w:rFonts w:asciiTheme="minorHAnsi" w:hAnsiTheme="minorHAnsi"/>
          <w:color w:val="000000" w:themeColor="text1"/>
          <w:sz w:val="24"/>
          <w:szCs w:val="24"/>
        </w:rPr>
        <w:footnoteReference w:id="14"/>
      </w:r>
    </w:p>
    <w:p w14:paraId="68C519B8" w14:textId="77777777" w:rsidR="00616C6F" w:rsidRPr="00F55D5C" w:rsidRDefault="00616C6F" w:rsidP="00F55D5C">
      <w:pPr>
        <w:spacing w:after="160" w:line="259" w:lineRule="auto"/>
        <w:jc w:val="both"/>
        <w:rPr>
          <w:color w:val="auto"/>
          <w:sz w:val="24"/>
          <w:szCs w:val="24"/>
          <w:lang w:eastAsia="en-US"/>
        </w:rPr>
      </w:pPr>
    </w:p>
    <w:p w14:paraId="156473D4" w14:textId="77777777" w:rsidR="00F55D5C" w:rsidRPr="00F55D5C" w:rsidRDefault="00F55D5C" w:rsidP="00F55D5C">
      <w:pPr>
        <w:spacing w:after="160" w:line="259" w:lineRule="auto"/>
        <w:jc w:val="both"/>
        <w:rPr>
          <w:color w:val="auto"/>
          <w:sz w:val="24"/>
          <w:szCs w:val="24"/>
          <w:lang w:eastAsia="en-US"/>
        </w:rPr>
      </w:pPr>
    </w:p>
    <w:p w14:paraId="49BC50F3"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lastRenderedPageBreak/>
        <w:t>Articolo 6.</w:t>
      </w:r>
    </w:p>
    <w:p w14:paraId="587A5850"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(Proroga dei termini correlati con lo stato di emergenza epidemiologica da COVID-19)</w:t>
      </w:r>
    </w:p>
    <w:p w14:paraId="689ACD53" w14:textId="77777777" w:rsidR="00F55D5C" w:rsidRPr="00F55D5C" w:rsidRDefault="00F55D5C" w:rsidP="00F55D5C">
      <w:pPr>
        <w:spacing w:after="160" w:line="259" w:lineRule="auto"/>
        <w:jc w:val="both"/>
        <w:rPr>
          <w:color w:val="auto"/>
          <w:sz w:val="24"/>
          <w:szCs w:val="24"/>
          <w:lang w:eastAsia="en-US"/>
        </w:rPr>
      </w:pPr>
    </w:p>
    <w:p w14:paraId="15C3E84F" w14:textId="41AF9AC4" w:rsidR="00F55D5C" w:rsidRDefault="00F55D5C" w:rsidP="00F55D5C">
      <w:pPr>
        <w:spacing w:after="160" w:line="259" w:lineRule="auto"/>
        <w:jc w:val="both"/>
        <w:rPr>
          <w:color w:val="auto"/>
          <w:sz w:val="24"/>
          <w:szCs w:val="24"/>
          <w:lang w:eastAsia="en-US"/>
        </w:rPr>
      </w:pPr>
      <w:r w:rsidRPr="00F55D5C">
        <w:rPr>
          <w:color w:val="auto"/>
          <w:sz w:val="24"/>
          <w:szCs w:val="24"/>
          <w:lang w:eastAsia="en-US"/>
        </w:rPr>
        <w:t>  1. I termini previsti dalle disposizioni legislative di cui all'allegato A sono prorogati fino al 31 dicembre 2021, e le relative disposizioni vengono attuate nei limiti delle risorse disponibili autorizzate a legislazione vigente.</w:t>
      </w:r>
    </w:p>
    <w:p w14:paraId="08D13B88" w14:textId="5DE57A37" w:rsidR="006225CD" w:rsidRDefault="006225CD" w:rsidP="00F55D5C">
      <w:pPr>
        <w:spacing w:after="160" w:line="259" w:lineRule="auto"/>
        <w:jc w:val="both"/>
        <w:rPr>
          <w:color w:val="auto"/>
          <w:sz w:val="24"/>
          <w:szCs w:val="24"/>
          <w:lang w:eastAsia="en-US"/>
        </w:rPr>
      </w:pPr>
    </w:p>
    <w:p w14:paraId="3F89976D" w14:textId="77777777" w:rsidR="006225CD" w:rsidRPr="001F6527" w:rsidRDefault="006225CD" w:rsidP="006225CD">
      <w:pPr>
        <w:jc w:val="center"/>
        <w:rPr>
          <w:b/>
          <w:bCs/>
          <w:color w:val="000000" w:themeColor="text1"/>
          <w:sz w:val="24"/>
          <w:szCs w:val="24"/>
        </w:rPr>
      </w:pPr>
      <w:r w:rsidRPr="001F6527">
        <w:rPr>
          <w:rFonts w:asciiTheme="minorHAnsi" w:hAnsiTheme="minorHAnsi"/>
          <w:b/>
          <w:bCs/>
          <w:color w:val="000000" w:themeColor="text1"/>
          <w:sz w:val="24"/>
          <w:szCs w:val="24"/>
        </w:rPr>
        <w:t>Art. 6-bis.</w:t>
      </w:r>
    </w:p>
    <w:p w14:paraId="1C82F4DC" w14:textId="77777777" w:rsidR="006225CD" w:rsidRPr="001F6527" w:rsidRDefault="006225CD" w:rsidP="006225CD">
      <w:pPr>
        <w:jc w:val="center"/>
        <w:rPr>
          <w:b/>
          <w:bCs/>
          <w:color w:val="000000" w:themeColor="text1"/>
          <w:sz w:val="24"/>
          <w:szCs w:val="24"/>
        </w:rPr>
      </w:pPr>
      <w:r w:rsidRPr="001F6527">
        <w:rPr>
          <w:rFonts w:asciiTheme="minorHAnsi" w:hAnsiTheme="minorHAnsi"/>
          <w:b/>
          <w:bCs/>
          <w:color w:val="000000" w:themeColor="text1"/>
          <w:sz w:val="24"/>
          <w:szCs w:val="24"/>
        </w:rPr>
        <w:t>(Proroga delle deroghe alle norme in materia di riconoscimento delle qualifiche professionali sanitarie)</w:t>
      </w:r>
    </w:p>
    <w:p w14:paraId="66F8619A" w14:textId="136B99A4" w:rsidR="006225CD" w:rsidRPr="001F6527" w:rsidRDefault="006225CD" w:rsidP="006225CD">
      <w:pPr>
        <w:jc w:val="both"/>
        <w:rPr>
          <w:b/>
          <w:bCs/>
          <w:color w:val="000000" w:themeColor="text1"/>
          <w:sz w:val="24"/>
          <w:szCs w:val="24"/>
        </w:rPr>
      </w:pPr>
      <w:r w:rsidRPr="001F6527">
        <w:rPr>
          <w:rFonts w:asciiTheme="minorHAnsi" w:hAnsiTheme="minorHAnsi"/>
          <w:b/>
          <w:bCs/>
          <w:color w:val="000000" w:themeColor="text1"/>
          <w:sz w:val="24"/>
          <w:szCs w:val="24"/>
        </w:rPr>
        <w:t>1. Al fine di fronteggiare la grave carenza di personale sanitario e socio-sanitario che si riscontra nel territorio nazionale, fino al 31 dicembre 2022 è consentito l'esercizio temporaneo, nel territorio nazionale, delle qualifiche professionali sanitarie e della qualifica di operatore socio-sanitario, in deroga alle norme sul riconoscimento delle predette qualifiche professionali, secondo le procedure di cui all'articolo 13 del decreto-legge 17 marzo 2020, n. 18, convertito, con modificazioni, dalla legge 24 aprile 2020, n. 27.</w:t>
      </w:r>
      <w:r w:rsidRPr="000B30C0">
        <w:rPr>
          <w:rStyle w:val="Rimandonotaapidipagina"/>
          <w:rFonts w:asciiTheme="minorHAnsi" w:hAnsiTheme="minorHAnsi"/>
          <w:color w:val="000000" w:themeColor="text1"/>
          <w:sz w:val="24"/>
          <w:szCs w:val="24"/>
        </w:rPr>
        <w:footnoteReference w:id="15"/>
      </w:r>
    </w:p>
    <w:p w14:paraId="17B3DB8B" w14:textId="77777777" w:rsidR="00F55D5C" w:rsidRPr="00F55D5C" w:rsidRDefault="00F55D5C" w:rsidP="00F55D5C">
      <w:pPr>
        <w:spacing w:after="160" w:line="259" w:lineRule="auto"/>
        <w:jc w:val="both"/>
        <w:rPr>
          <w:color w:val="auto"/>
          <w:sz w:val="24"/>
          <w:szCs w:val="24"/>
          <w:lang w:eastAsia="en-US"/>
        </w:rPr>
      </w:pPr>
    </w:p>
    <w:p w14:paraId="69FA29DA"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7.</w:t>
      </w:r>
    </w:p>
    <w:p w14:paraId="3D247F8A"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(Misure urgenti in materia di processo civile e penale)</w:t>
      </w:r>
    </w:p>
    <w:p w14:paraId="3C3DA7D3" w14:textId="77777777" w:rsidR="00F55D5C" w:rsidRPr="00F55D5C" w:rsidRDefault="00F55D5C" w:rsidP="00F55D5C">
      <w:pPr>
        <w:spacing w:after="160" w:line="259" w:lineRule="auto"/>
        <w:jc w:val="both"/>
        <w:rPr>
          <w:color w:val="auto"/>
          <w:sz w:val="24"/>
          <w:szCs w:val="24"/>
          <w:lang w:eastAsia="en-US"/>
        </w:rPr>
      </w:pPr>
    </w:p>
    <w:p w14:paraId="245C2990"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Le disposizioni di cui all'articolo 221, commi 3, 4, 5, 6, 7, 8, e 10 del decreto-legge 19 maggio 2020, n. 34, convertito, con modificazioni, dalla legge 17 luglio 2020, n. 77, nonché le disposizioni di cui all'articolo 23, commi 2, 4, 6, 7, 8, primo, secondo, terzo, quarto e quinto periodo, 8-bis, primo, secondo, terzo e quarto periodo, 9, 9-bis, 10, e agli articoli 23-bis, commi 1, 2, 3, 4 e 7, e 24 del decreto-legge 28 ottobre 2020 n. 137, convertito, con modificazioni, dalla legge 18 dicembre 2020, n. 176, continuano ad applicarsi fino alla data del 31 dicembre 2021.</w:t>
      </w:r>
    </w:p>
    <w:p w14:paraId="7EB33FF7" w14:textId="41DE6D32" w:rsidR="00F55D5C" w:rsidRDefault="00F55D5C" w:rsidP="00F55D5C">
      <w:pPr>
        <w:spacing w:after="160" w:line="259" w:lineRule="auto"/>
        <w:jc w:val="both"/>
        <w:rPr>
          <w:color w:val="auto"/>
          <w:sz w:val="24"/>
          <w:szCs w:val="24"/>
          <w:lang w:eastAsia="en-US"/>
        </w:rPr>
      </w:pPr>
      <w:r w:rsidRPr="00F55D5C">
        <w:rPr>
          <w:color w:val="auto"/>
          <w:sz w:val="24"/>
          <w:szCs w:val="24"/>
          <w:lang w:eastAsia="en-US"/>
        </w:rPr>
        <w:lastRenderedPageBreak/>
        <w:t>  2. Le disposizioni di cui all'articolo 23, commi 8, primo, secondo, terzo, quarto e quinto periodo, e 8-bis, primo, secondo, terzo e quarto periodo, e all'articolo 23-bis, commi 1, 2, 3, 4 e 7, del decreto-legge n. 137 del 2020 non si applicano ai procedimenti per i quali l'udienza di trattazione è fissata tra il 1° agosto 2021 e il 30 settembre 2021.</w:t>
      </w:r>
    </w:p>
    <w:p w14:paraId="0D0FF474" w14:textId="3821BF16" w:rsidR="000B30C0" w:rsidRDefault="000B30C0" w:rsidP="00F55D5C">
      <w:pPr>
        <w:spacing w:after="160" w:line="259" w:lineRule="auto"/>
        <w:jc w:val="both"/>
        <w:rPr>
          <w:color w:val="auto"/>
          <w:sz w:val="24"/>
          <w:szCs w:val="24"/>
          <w:lang w:eastAsia="en-US"/>
        </w:rPr>
      </w:pPr>
    </w:p>
    <w:p w14:paraId="534F21F2" w14:textId="77777777" w:rsidR="000B30C0" w:rsidRPr="001F6527" w:rsidRDefault="000B30C0" w:rsidP="000B30C0">
      <w:pPr>
        <w:jc w:val="center"/>
        <w:rPr>
          <w:b/>
          <w:bCs/>
          <w:color w:val="000000" w:themeColor="text1"/>
          <w:sz w:val="24"/>
          <w:szCs w:val="24"/>
        </w:rPr>
      </w:pPr>
      <w:r w:rsidRPr="001F6527">
        <w:rPr>
          <w:rFonts w:asciiTheme="minorHAnsi" w:hAnsiTheme="minorHAnsi"/>
          <w:b/>
          <w:bCs/>
          <w:color w:val="000000" w:themeColor="text1"/>
          <w:sz w:val="24"/>
          <w:szCs w:val="24"/>
        </w:rPr>
        <w:t>Art. 7-bis.</w:t>
      </w:r>
    </w:p>
    <w:p w14:paraId="1DD62A7E" w14:textId="77777777" w:rsidR="000B30C0" w:rsidRPr="001F6527" w:rsidRDefault="000B30C0" w:rsidP="000B30C0">
      <w:pPr>
        <w:jc w:val="center"/>
        <w:rPr>
          <w:b/>
          <w:bCs/>
          <w:color w:val="000000" w:themeColor="text1"/>
          <w:sz w:val="24"/>
          <w:szCs w:val="24"/>
        </w:rPr>
      </w:pPr>
      <w:r w:rsidRPr="001F6527">
        <w:rPr>
          <w:rFonts w:asciiTheme="minorHAnsi" w:hAnsiTheme="minorHAnsi"/>
          <w:b/>
          <w:bCs/>
          <w:color w:val="000000" w:themeColor="text1"/>
          <w:sz w:val="24"/>
          <w:szCs w:val="24"/>
        </w:rPr>
        <w:t>(Misure urgenti in materia di processo amministrativo)</w:t>
      </w:r>
    </w:p>
    <w:p w14:paraId="3C28EBA1" w14:textId="3F2B9E51" w:rsidR="000B30C0" w:rsidRPr="001F6527" w:rsidRDefault="000B30C0" w:rsidP="000B30C0">
      <w:pPr>
        <w:jc w:val="both"/>
        <w:rPr>
          <w:rFonts w:asciiTheme="minorHAnsi" w:hAnsiTheme="minorHAnsi"/>
          <w:b/>
          <w:bCs/>
          <w:color w:val="000000" w:themeColor="text1"/>
          <w:sz w:val="24"/>
          <w:szCs w:val="24"/>
        </w:rPr>
      </w:pPr>
      <w:r w:rsidRPr="001F6527">
        <w:rPr>
          <w:rFonts w:asciiTheme="minorHAnsi" w:hAnsiTheme="minorHAnsi"/>
          <w:b/>
          <w:bCs/>
          <w:color w:val="000000" w:themeColor="text1"/>
          <w:sz w:val="24"/>
          <w:szCs w:val="24"/>
        </w:rPr>
        <w:t>1. Fino al 31 dicembre 2021, in presenza di situazioni eccezionali non altrimenti fronteggiabili e correlate a provvedimenti assunti dalla pubblica autorità per contrastare la pandemia da COVID-19, i presidenti titolari delle sezioni del Consiglio di Stato, il presidente del Consiglio di giustizia amministrativa per la Regione siciliana e i presidenti dei tribunali amministrativi regionali e delle relative sezioni staccate possono autorizzare con decreto motivato, in alternativa al rinvio, la trattazione da remoto delle cause per cui non è possibile la presenza fisica in udienza di singoli difensori o, in casi assolutamente eccezionali, di singoli magistrati. In tali casi la trattazione si svolge con le modalità di cui all'articolo 13-quater delle norme di attuazione del codice del processo amministrativo, di cui all'allegato 2 al decreto legislativo 2 luglio 2010, n. 104.</w:t>
      </w:r>
      <w:r w:rsidRPr="000B30C0">
        <w:rPr>
          <w:rStyle w:val="Rimandonotaapidipagina"/>
          <w:rFonts w:asciiTheme="minorHAnsi" w:hAnsiTheme="minorHAnsi"/>
          <w:color w:val="000000" w:themeColor="text1"/>
          <w:sz w:val="24"/>
          <w:szCs w:val="24"/>
        </w:rPr>
        <w:footnoteReference w:id="16"/>
      </w:r>
    </w:p>
    <w:p w14:paraId="01AC8AA2" w14:textId="77777777" w:rsidR="000B30C0" w:rsidRPr="00F55D5C" w:rsidRDefault="000B30C0" w:rsidP="00F55D5C">
      <w:pPr>
        <w:spacing w:after="160" w:line="259" w:lineRule="auto"/>
        <w:jc w:val="both"/>
        <w:rPr>
          <w:color w:val="auto"/>
          <w:sz w:val="24"/>
          <w:szCs w:val="24"/>
          <w:lang w:eastAsia="en-US"/>
        </w:rPr>
      </w:pPr>
    </w:p>
    <w:p w14:paraId="3DA9F1F3" w14:textId="77777777" w:rsidR="00F55D5C" w:rsidRPr="00F55D5C" w:rsidRDefault="00F55D5C" w:rsidP="00F55D5C">
      <w:pPr>
        <w:spacing w:after="160" w:line="259" w:lineRule="auto"/>
        <w:jc w:val="both"/>
        <w:rPr>
          <w:color w:val="auto"/>
          <w:sz w:val="24"/>
          <w:szCs w:val="24"/>
          <w:lang w:eastAsia="en-US"/>
        </w:rPr>
      </w:pPr>
    </w:p>
    <w:p w14:paraId="3BB3BDA3"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8.</w:t>
      </w:r>
    </w:p>
    <w:p w14:paraId="797EDF31"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(Modifiche all'articolo 85 del decreto-legge n. 18 del 2020)</w:t>
      </w:r>
    </w:p>
    <w:p w14:paraId="134557DC" w14:textId="77777777" w:rsidR="00F55D5C" w:rsidRPr="00F55D5C" w:rsidRDefault="00F55D5C" w:rsidP="00F55D5C">
      <w:pPr>
        <w:spacing w:after="160" w:line="259" w:lineRule="auto"/>
        <w:jc w:val="both"/>
        <w:rPr>
          <w:color w:val="auto"/>
          <w:sz w:val="24"/>
          <w:szCs w:val="24"/>
          <w:lang w:eastAsia="en-US"/>
        </w:rPr>
      </w:pPr>
    </w:p>
    <w:p w14:paraId="66484C8A"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xml:space="preserve">  1. All'articolo 85, comma 6, del decreto-legge 17 marzo 2020, n. 18, convertito, con modificazioni, dalla legge 24 aprile 2020, n. 27, il secondo e il terzo periodo sono sostituiti dai seguenti: «In caso di deferimento alla sede collegiale di atti delle amministrazioni centrali dello Stato, il collegio, fino al 31 dicembre 2021, delibera in adunanze organizzabili tempestivamente anche in via telematica. In relazione alle esigenze di salvaguardia dello svolgimento delle attività istituzionali della Corte dei conti, il collegio delle sezioni riunite in sede di controllo, fino al 31 dicembre 2021, è composto dai presidenti di coordinamento e da quindici magistrati, individuati, in relazione alle materie, con specifici provvedimenti </w:t>
      </w:r>
      <w:r w:rsidRPr="00F55D5C">
        <w:rPr>
          <w:color w:val="auto"/>
          <w:sz w:val="24"/>
          <w:szCs w:val="24"/>
          <w:lang w:eastAsia="en-US"/>
        </w:rPr>
        <w:lastRenderedPageBreak/>
        <w:t>del presidente della Corte dei conti, e delibera con almeno dodici magistrati, in adunanze organizzabili tempestivamente anche in via telematica.».</w:t>
      </w:r>
    </w:p>
    <w:p w14:paraId="7EAD3E1E" w14:textId="77777777" w:rsidR="00F55D5C" w:rsidRPr="00F55D5C" w:rsidRDefault="00F55D5C" w:rsidP="00F55D5C">
      <w:pPr>
        <w:spacing w:after="160" w:line="259" w:lineRule="auto"/>
        <w:jc w:val="both"/>
        <w:rPr>
          <w:color w:val="auto"/>
          <w:sz w:val="24"/>
          <w:szCs w:val="24"/>
          <w:lang w:eastAsia="en-US"/>
        </w:rPr>
      </w:pPr>
    </w:p>
    <w:p w14:paraId="57350BFE"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9.</w:t>
      </w:r>
    </w:p>
    <w:p w14:paraId="2919FC4C"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(Proroga delle misure emergenziali in materia di disabilità)</w:t>
      </w:r>
    </w:p>
    <w:p w14:paraId="64F0AE19" w14:textId="77777777" w:rsidR="00F55D5C" w:rsidRPr="00F55D5C" w:rsidRDefault="00F55D5C" w:rsidP="00F55D5C">
      <w:pPr>
        <w:spacing w:after="160" w:line="259" w:lineRule="auto"/>
        <w:jc w:val="both"/>
        <w:rPr>
          <w:color w:val="auto"/>
          <w:sz w:val="24"/>
          <w:szCs w:val="24"/>
          <w:lang w:eastAsia="en-US"/>
        </w:rPr>
      </w:pPr>
    </w:p>
    <w:p w14:paraId="0053E1A8"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All'articolo 26, comma 2-bis, del decreto-legge 17 marzo 2020, n. 18, convertito, con modificazioni, dalla legge 24 aprile 2020, n. 27, le parole «fino al 30 giugno 2021» sono sostituite dalle seguenti: «fino al 31 ottobre 2021».</w:t>
      </w:r>
    </w:p>
    <w:p w14:paraId="2D04A514"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 Per il periodo dal 1° luglio 2021 alla data di entrata in vigore del presente decreto si applica la disciplina di cui all'articolo 26, comma 2-bis, del decreto-legge 17 marzo 2020, n. 18, convertito, con modificazioni, dalla legge 24 aprile 2020, n. 27, così come modificato dal presente articolo.</w:t>
      </w:r>
    </w:p>
    <w:p w14:paraId="263DA8D7"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  3. All'articolo 1, comma 483, della legge 30 dicembre 2020, n. 178, e successive modificazioni e integrazioni, le parole «157 milioni di euro» sono sostituite dalle seguenti: «173,95 milioni di euro».</w:t>
      </w:r>
    </w:p>
    <w:p w14:paraId="2683074A"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  4. Agli oneri derivanti dal comma 3 del presente articolo, pari a 16,950 milioni di euro per l'anno 2021, si provvede:</w:t>
      </w:r>
    </w:p>
    <w:p w14:paraId="0BBB6ACB" w14:textId="77777777" w:rsidR="00F55D5C" w:rsidRPr="00F55D5C" w:rsidRDefault="00F55D5C" w:rsidP="00F55D5C">
      <w:pPr>
        <w:spacing w:after="160" w:line="259" w:lineRule="auto"/>
        <w:jc w:val="both"/>
        <w:rPr>
          <w:color w:val="auto"/>
          <w:sz w:val="24"/>
          <w:szCs w:val="24"/>
          <w:lang w:eastAsia="en-US"/>
        </w:rPr>
      </w:pPr>
    </w:p>
    <w:p w14:paraId="2FFC971C"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   a) per 8,475 milioni di euro mediante corrispondente riduzione del fondo di cui all'articolo 1, comma 200, della legge 23 dicembre 2014, n. 190;</w:t>
      </w:r>
    </w:p>
    <w:p w14:paraId="083DCAD7" w14:textId="77777777" w:rsidR="00F55D5C" w:rsidRPr="00F55D5C" w:rsidRDefault="00F55D5C" w:rsidP="00F55D5C">
      <w:pPr>
        <w:spacing w:after="160" w:line="259" w:lineRule="auto"/>
        <w:jc w:val="both"/>
        <w:rPr>
          <w:color w:val="auto"/>
          <w:sz w:val="24"/>
          <w:szCs w:val="24"/>
          <w:lang w:eastAsia="en-US"/>
        </w:rPr>
      </w:pPr>
    </w:p>
    <w:p w14:paraId="459B6063"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   b) per 8,475 milioni di euro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medesimo.</w:t>
      </w:r>
    </w:p>
    <w:p w14:paraId="74CD9E56" w14:textId="77777777" w:rsidR="00F55D5C" w:rsidRPr="00F55D5C" w:rsidRDefault="00F55D5C" w:rsidP="00F55D5C">
      <w:pPr>
        <w:spacing w:after="160" w:line="259" w:lineRule="auto"/>
        <w:jc w:val="both"/>
        <w:rPr>
          <w:color w:val="auto"/>
          <w:sz w:val="24"/>
          <w:szCs w:val="24"/>
          <w:lang w:eastAsia="en-US"/>
        </w:rPr>
      </w:pPr>
    </w:p>
    <w:p w14:paraId="0F404A6C"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10.</w:t>
      </w:r>
    </w:p>
    <w:p w14:paraId="3073CA68"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(Misure urgenti in materia di impiego delle guardie giurate in servizi antipirateria)</w:t>
      </w:r>
    </w:p>
    <w:p w14:paraId="6528C1F5" w14:textId="77777777" w:rsidR="00F55D5C" w:rsidRPr="00F55D5C" w:rsidRDefault="00F55D5C" w:rsidP="00F55D5C">
      <w:pPr>
        <w:spacing w:after="160" w:line="259" w:lineRule="auto"/>
        <w:jc w:val="both"/>
        <w:rPr>
          <w:color w:val="auto"/>
          <w:sz w:val="24"/>
          <w:szCs w:val="24"/>
          <w:lang w:eastAsia="en-US"/>
        </w:rPr>
      </w:pPr>
    </w:p>
    <w:p w14:paraId="67A5CD76"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lastRenderedPageBreak/>
        <w:t>  1. In considerazione dell'emergenza epidemiologica da COVID-19, fino al 31 marzo 2022 non è richiesto il corso previsto dall'articolo 5, comma 5, primo periodo, del decreto-legge 12 luglio 2011, n. 107, convertito, con modificazioni, dalla legge 2 agosto 2011, n. 130, per le guardie giurate da impiegare in servizi antipirateria. Nel periodo di cui al presente articolo si applica il regime di cui al secondo periodo dell'articolo 5, comma 5, del citato decreto-legge n. 107 del 2011.</w:t>
      </w:r>
    </w:p>
    <w:p w14:paraId="5EC81290" w14:textId="77777777" w:rsidR="00F55D5C" w:rsidRPr="00F55D5C" w:rsidRDefault="00F55D5C" w:rsidP="00F55D5C">
      <w:pPr>
        <w:spacing w:after="160" w:line="259" w:lineRule="auto"/>
        <w:jc w:val="both"/>
        <w:rPr>
          <w:color w:val="auto"/>
          <w:sz w:val="24"/>
          <w:szCs w:val="24"/>
          <w:lang w:eastAsia="en-US"/>
        </w:rPr>
      </w:pPr>
    </w:p>
    <w:p w14:paraId="3C7D1154"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11.</w:t>
      </w:r>
    </w:p>
    <w:p w14:paraId="250E9663"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(Fondo per il sostegno delle attività economiche chiuse)</w:t>
      </w:r>
    </w:p>
    <w:p w14:paraId="3BAC29C2" w14:textId="77777777" w:rsidR="00F55D5C" w:rsidRPr="00F55D5C" w:rsidRDefault="00F55D5C" w:rsidP="00F55D5C">
      <w:pPr>
        <w:spacing w:after="160" w:line="259" w:lineRule="auto"/>
        <w:jc w:val="both"/>
        <w:rPr>
          <w:color w:val="auto"/>
          <w:sz w:val="24"/>
          <w:szCs w:val="24"/>
          <w:lang w:eastAsia="en-US"/>
        </w:rPr>
      </w:pPr>
    </w:p>
    <w:p w14:paraId="56CAD07E"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Una quota, pari a 20 milioni di euro del Fondo per il sostegno delle attività economiche chiuse di cui all'articolo 2 del decreto-legge 25 maggio 2021, n. 73, convertito, con modificazioni, dalla legge 27 luglio 2018, n. 93, è destinata in via prioritaria alle attività che alla data di entrata del vigore del presente decreto risultano chiuse in conseguenza delle misure di prevenzione adottate ai sensi degli articoli 1 e 2 del decreto-legge 25 marzo 2020, n. 19, convertito, con modificazioni, dalla legge 22 maggio 2020, n. 35. Per l'attuazione della presente disposizione si applicano, in quanto compatibili, le misure attuative previste dal predetto articolo 2 del decreto-legge n. 73 del 2021.</w:t>
      </w:r>
    </w:p>
    <w:p w14:paraId="3DAD4385" w14:textId="77777777" w:rsidR="00F55D5C" w:rsidRPr="00F55D5C" w:rsidRDefault="00F55D5C" w:rsidP="00F55D5C">
      <w:pPr>
        <w:spacing w:after="160" w:line="259" w:lineRule="auto"/>
        <w:jc w:val="both"/>
        <w:rPr>
          <w:color w:val="auto"/>
          <w:sz w:val="24"/>
          <w:szCs w:val="24"/>
          <w:lang w:eastAsia="en-US"/>
        </w:rPr>
      </w:pPr>
    </w:p>
    <w:p w14:paraId="3B0425AD"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12.</w:t>
      </w:r>
    </w:p>
    <w:p w14:paraId="292627F4"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(Disposizioni transitorie e finali)</w:t>
      </w:r>
    </w:p>
    <w:p w14:paraId="37D787C5" w14:textId="77777777" w:rsidR="00F55D5C" w:rsidRPr="00F55D5C" w:rsidRDefault="00F55D5C" w:rsidP="00F55D5C">
      <w:pPr>
        <w:spacing w:after="160" w:line="259" w:lineRule="auto"/>
        <w:jc w:val="both"/>
        <w:rPr>
          <w:color w:val="auto"/>
          <w:sz w:val="24"/>
          <w:szCs w:val="24"/>
          <w:lang w:eastAsia="en-US"/>
        </w:rPr>
      </w:pPr>
    </w:p>
    <w:p w14:paraId="62805905"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Resta fermo, per quanto non diversamente disposto dal presente decreto, quanto previsto dal decreto-legge n. 19 del 2020, dal decreto-legge n. 33 del 2020 e dal decreto-legge n. 52 del 2021.</w:t>
      </w:r>
    </w:p>
    <w:p w14:paraId="70E40774"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  2. Fatto salvo quanto diversamente disposto dal presente decreto, dal 1° agosto al 31 dicembre 2021, si applicano le misure di cui al decreto del Presidente del Consiglio dei ministri 2 marzo 2021, pubblicato nel supplemento ordinario alla Gazzetta Ufficiale n. 52 del 2 marzo 2021, adottato in attuazione dell'articolo 2, comma 1, del decreto-legge n. 19 del 2020.</w:t>
      </w:r>
    </w:p>
    <w:p w14:paraId="76FEE9E5"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  3. All'articolo 1 della legge 30 dicembre 2020, n. 178, dopo il comma 621, è inserito il seguente:</w:t>
      </w:r>
    </w:p>
    <w:p w14:paraId="2C5FE0AB" w14:textId="77777777" w:rsidR="00F55D5C" w:rsidRPr="00F55D5C" w:rsidRDefault="00F55D5C" w:rsidP="00F55D5C">
      <w:pPr>
        <w:spacing w:after="160" w:line="259" w:lineRule="auto"/>
        <w:jc w:val="both"/>
        <w:rPr>
          <w:color w:val="auto"/>
          <w:sz w:val="24"/>
          <w:szCs w:val="24"/>
          <w:lang w:eastAsia="en-US"/>
        </w:rPr>
      </w:pPr>
    </w:p>
    <w:p w14:paraId="753AB7F1"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xml:space="preserve">   «621-bis. La competente struttura per l'innovazione tecnologica e la digitalizzazione della Presidenza del Consiglio dei ministri assicura il servizio di assistenza tecnica, mediante risposta telefonica </w:t>
      </w:r>
      <w:r w:rsidRPr="00F55D5C">
        <w:rPr>
          <w:color w:val="auto"/>
          <w:sz w:val="24"/>
          <w:szCs w:val="24"/>
          <w:lang w:eastAsia="en-US"/>
        </w:rPr>
        <w:lastRenderedPageBreak/>
        <w:t>o di posta elettronica, per l'acquisizione delle certificazioni verdi COVID-19, di cui all'articolo 9 del decreto-legge 22 aprile 2021, n. 52, convertito, con modificazioni, dalla legge 17 giugno 2021, n. 87. Per il servizio di assistenza tecnica per l'acquisizione delle certificazioni verdi COVID-19 è autorizzata, per l'anno 2021, la spesa di 1 milione di euro.</w:t>
      </w:r>
    </w:p>
    <w:p w14:paraId="68AF7EC0" w14:textId="77777777" w:rsidR="00F55D5C" w:rsidRPr="00F55D5C" w:rsidRDefault="00F55D5C" w:rsidP="00F55D5C">
      <w:pPr>
        <w:spacing w:after="160" w:line="259" w:lineRule="auto"/>
        <w:jc w:val="both"/>
        <w:rPr>
          <w:color w:val="auto"/>
          <w:sz w:val="24"/>
          <w:szCs w:val="24"/>
          <w:lang w:eastAsia="en-US"/>
        </w:rPr>
      </w:pPr>
    </w:p>
    <w:p w14:paraId="2F9E82AA"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  4. Alla copertura degli oneri derivanti dal comma 3, pari a 1 milione di euro per l'anno 2021, si provvede mediante corrispondente riduzione del fondo di cui all'articolo 1, comma 200, della legge 23 dicembre 2014, n. 190.</w:t>
      </w:r>
    </w:p>
    <w:p w14:paraId="6F077159" w14:textId="77777777" w:rsidR="00F55D5C" w:rsidRPr="00F55D5C" w:rsidRDefault="00F55D5C" w:rsidP="00F55D5C">
      <w:pPr>
        <w:spacing w:after="160" w:line="259" w:lineRule="auto"/>
        <w:jc w:val="both"/>
        <w:rPr>
          <w:color w:val="auto"/>
          <w:sz w:val="24"/>
          <w:szCs w:val="24"/>
          <w:lang w:eastAsia="en-US"/>
        </w:rPr>
      </w:pPr>
    </w:p>
    <w:p w14:paraId="0B944903"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13.</w:t>
      </w:r>
    </w:p>
    <w:p w14:paraId="52C1BE4C"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(Disposizioni finanziarie)</w:t>
      </w:r>
    </w:p>
    <w:p w14:paraId="6DAE4B04" w14:textId="77777777" w:rsidR="00F55D5C" w:rsidRPr="00F55D5C" w:rsidRDefault="00F55D5C" w:rsidP="00F55D5C">
      <w:pPr>
        <w:spacing w:after="160" w:line="259" w:lineRule="auto"/>
        <w:jc w:val="both"/>
        <w:rPr>
          <w:color w:val="auto"/>
          <w:sz w:val="24"/>
          <w:szCs w:val="24"/>
          <w:lang w:eastAsia="en-US"/>
        </w:rPr>
      </w:pPr>
    </w:p>
    <w:p w14:paraId="5280B763" w14:textId="3FBCB2E3" w:rsidR="00F55D5C" w:rsidRDefault="00F55D5C" w:rsidP="00F55D5C">
      <w:pPr>
        <w:spacing w:after="160" w:line="259" w:lineRule="auto"/>
        <w:jc w:val="both"/>
        <w:rPr>
          <w:color w:val="auto"/>
          <w:sz w:val="24"/>
          <w:szCs w:val="24"/>
          <w:lang w:eastAsia="en-US"/>
        </w:rPr>
      </w:pPr>
      <w:r w:rsidRPr="00F55D5C">
        <w:rPr>
          <w:color w:val="auto"/>
          <w:sz w:val="24"/>
          <w:szCs w:val="24"/>
          <w:lang w:eastAsia="en-US"/>
        </w:rPr>
        <w:t>  1. Ai fini dell'immediata attuazione delle disposizioni del presente decreto il Ministro dell'economia e delle finanze è autorizzato ad apportare, con propri decreti, le occorrenti variazioni di bilancio.</w:t>
      </w:r>
    </w:p>
    <w:p w14:paraId="45277A98" w14:textId="1696E1AD" w:rsidR="00924250" w:rsidRDefault="00924250" w:rsidP="00F55D5C">
      <w:pPr>
        <w:spacing w:after="160" w:line="259" w:lineRule="auto"/>
        <w:jc w:val="both"/>
        <w:rPr>
          <w:color w:val="auto"/>
          <w:sz w:val="24"/>
          <w:szCs w:val="24"/>
          <w:lang w:eastAsia="en-US"/>
        </w:rPr>
      </w:pPr>
    </w:p>
    <w:p w14:paraId="372C8005" w14:textId="77777777" w:rsidR="00924250" w:rsidRPr="001F6527" w:rsidRDefault="00924250" w:rsidP="00924250">
      <w:pPr>
        <w:jc w:val="center"/>
        <w:rPr>
          <w:b/>
          <w:bCs/>
          <w:color w:val="000000" w:themeColor="text1"/>
          <w:sz w:val="24"/>
          <w:szCs w:val="24"/>
        </w:rPr>
      </w:pPr>
      <w:r w:rsidRPr="001F6527">
        <w:rPr>
          <w:rFonts w:asciiTheme="minorHAnsi" w:hAnsiTheme="minorHAnsi"/>
          <w:b/>
          <w:bCs/>
          <w:color w:val="000000" w:themeColor="text1"/>
          <w:sz w:val="24"/>
          <w:szCs w:val="24"/>
        </w:rPr>
        <w:t>Art. 13-bis.</w:t>
      </w:r>
    </w:p>
    <w:p w14:paraId="413803DA" w14:textId="77777777" w:rsidR="00924250" w:rsidRPr="001F6527" w:rsidRDefault="00924250" w:rsidP="00924250">
      <w:pPr>
        <w:jc w:val="center"/>
        <w:rPr>
          <w:b/>
          <w:bCs/>
          <w:color w:val="000000" w:themeColor="text1"/>
          <w:sz w:val="24"/>
          <w:szCs w:val="24"/>
        </w:rPr>
      </w:pPr>
      <w:r w:rsidRPr="001F6527">
        <w:rPr>
          <w:rFonts w:asciiTheme="minorHAnsi" w:hAnsiTheme="minorHAnsi"/>
          <w:b/>
          <w:bCs/>
          <w:color w:val="000000" w:themeColor="text1"/>
          <w:sz w:val="24"/>
          <w:szCs w:val="24"/>
        </w:rPr>
        <w:t>(Clausola di salvaguardia)</w:t>
      </w:r>
    </w:p>
    <w:p w14:paraId="1CF89957" w14:textId="3D1507C3" w:rsidR="00924250" w:rsidRPr="001F6527" w:rsidRDefault="00924250" w:rsidP="00924250">
      <w:pPr>
        <w:jc w:val="both"/>
        <w:rPr>
          <w:rFonts w:asciiTheme="minorHAnsi" w:hAnsiTheme="minorHAnsi"/>
          <w:b/>
          <w:bCs/>
          <w:color w:val="000000" w:themeColor="text1"/>
          <w:sz w:val="24"/>
          <w:szCs w:val="24"/>
        </w:rPr>
      </w:pPr>
      <w:r w:rsidRPr="001F6527">
        <w:rPr>
          <w:rFonts w:asciiTheme="minorHAnsi" w:hAnsiTheme="minorHAnsi"/>
          <w:b/>
          <w:bCs/>
          <w:color w:val="000000" w:themeColor="text1"/>
          <w:sz w:val="24"/>
          <w:szCs w:val="24"/>
        </w:rPr>
        <w:t>1. Le disposizioni del presente decreto sono applicabili nelle regioni a statuto speciale e nelle province autonome di Trento e di Bolzano compatibilmente con i rispettivi statuti e le relative norme di attuazione.</w:t>
      </w:r>
      <w:r>
        <w:rPr>
          <w:rStyle w:val="Rimandonotaapidipagina"/>
          <w:rFonts w:asciiTheme="minorHAnsi" w:hAnsiTheme="minorHAnsi"/>
          <w:b/>
          <w:bCs/>
          <w:color w:val="000000" w:themeColor="text1"/>
          <w:sz w:val="24"/>
          <w:szCs w:val="24"/>
        </w:rPr>
        <w:footnoteReference w:id="17"/>
      </w:r>
    </w:p>
    <w:p w14:paraId="355C7620" w14:textId="77777777" w:rsidR="00924250" w:rsidRPr="00F55D5C" w:rsidRDefault="00924250" w:rsidP="00F55D5C">
      <w:pPr>
        <w:spacing w:after="160" w:line="259" w:lineRule="auto"/>
        <w:jc w:val="both"/>
        <w:rPr>
          <w:color w:val="auto"/>
          <w:sz w:val="24"/>
          <w:szCs w:val="24"/>
          <w:lang w:eastAsia="en-US"/>
        </w:rPr>
      </w:pPr>
    </w:p>
    <w:p w14:paraId="2F083033" w14:textId="77777777" w:rsidR="00F55D5C" w:rsidRPr="00F55D5C" w:rsidRDefault="00F55D5C" w:rsidP="00F55D5C">
      <w:pPr>
        <w:spacing w:after="160" w:line="259" w:lineRule="auto"/>
        <w:jc w:val="both"/>
        <w:rPr>
          <w:color w:val="auto"/>
          <w:sz w:val="24"/>
          <w:szCs w:val="24"/>
          <w:lang w:eastAsia="en-US"/>
        </w:rPr>
      </w:pPr>
    </w:p>
    <w:p w14:paraId="682DE932"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Articolo 14.</w:t>
      </w:r>
    </w:p>
    <w:p w14:paraId="445806BE" w14:textId="77777777" w:rsidR="00F55D5C" w:rsidRPr="00F55D5C" w:rsidRDefault="00F55D5C" w:rsidP="007D74F4">
      <w:pPr>
        <w:spacing w:after="160" w:line="259" w:lineRule="auto"/>
        <w:jc w:val="center"/>
        <w:rPr>
          <w:color w:val="auto"/>
          <w:sz w:val="24"/>
          <w:szCs w:val="24"/>
          <w:lang w:eastAsia="en-US"/>
        </w:rPr>
      </w:pPr>
      <w:r w:rsidRPr="00F55D5C">
        <w:rPr>
          <w:color w:val="auto"/>
          <w:sz w:val="24"/>
          <w:szCs w:val="24"/>
          <w:lang w:eastAsia="en-US"/>
        </w:rPr>
        <w:t>(Entrata in vigore)</w:t>
      </w:r>
    </w:p>
    <w:p w14:paraId="0007903A" w14:textId="77777777" w:rsidR="00F55D5C" w:rsidRPr="00F55D5C" w:rsidRDefault="00F55D5C" w:rsidP="00F55D5C">
      <w:pPr>
        <w:spacing w:after="160" w:line="259" w:lineRule="auto"/>
        <w:jc w:val="both"/>
        <w:rPr>
          <w:color w:val="auto"/>
          <w:sz w:val="24"/>
          <w:szCs w:val="24"/>
          <w:lang w:eastAsia="en-US"/>
        </w:rPr>
      </w:pPr>
    </w:p>
    <w:p w14:paraId="3D34B572"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  1. Il presente decreto entra in vigore il giorno stesso della sua pubblicazione nella Gazzetta Ufficiale della Repubblica italiana e sarà presentato alle Camere per la conversione in legge.</w:t>
      </w:r>
    </w:p>
    <w:p w14:paraId="2A21AEFB" w14:textId="77777777" w:rsidR="00F55D5C" w:rsidRPr="00F55D5C" w:rsidRDefault="00F55D5C" w:rsidP="00F55D5C">
      <w:pPr>
        <w:spacing w:after="160" w:line="259" w:lineRule="auto"/>
        <w:jc w:val="both"/>
        <w:rPr>
          <w:color w:val="auto"/>
          <w:sz w:val="24"/>
          <w:szCs w:val="24"/>
          <w:lang w:eastAsia="en-US"/>
        </w:rPr>
      </w:pPr>
    </w:p>
    <w:p w14:paraId="6942AF1E" w14:textId="77777777" w:rsidR="00F55D5C" w:rsidRPr="00F55D5C" w:rsidRDefault="00F55D5C" w:rsidP="00F55D5C">
      <w:pPr>
        <w:spacing w:after="160" w:line="259" w:lineRule="auto"/>
        <w:jc w:val="both"/>
        <w:rPr>
          <w:color w:val="auto"/>
          <w:sz w:val="24"/>
          <w:szCs w:val="24"/>
          <w:lang w:eastAsia="en-US"/>
        </w:rPr>
      </w:pPr>
      <w:r w:rsidRPr="00F55D5C">
        <w:rPr>
          <w:color w:val="auto"/>
          <w:sz w:val="24"/>
          <w:szCs w:val="24"/>
          <w:lang w:eastAsia="en-US"/>
        </w:rPr>
        <w:t>  Il presente decreto, munito del sigillo dello Stato, sarà inserito nella Raccolta degli atti normativi della Repubblica italiana. È fatto obbligo a chiunque spetti di osservarlo e di farlo osservare.</w:t>
      </w:r>
    </w:p>
    <w:p w14:paraId="3E450D3B" w14:textId="77777777" w:rsidR="00F55D5C" w:rsidRPr="00F55D5C" w:rsidRDefault="00F55D5C" w:rsidP="00F55D5C">
      <w:pPr>
        <w:spacing w:after="160" w:line="259" w:lineRule="auto"/>
        <w:jc w:val="both"/>
        <w:rPr>
          <w:color w:val="auto"/>
          <w:sz w:val="24"/>
          <w:szCs w:val="24"/>
          <w:lang w:eastAsia="en-US"/>
        </w:rPr>
      </w:pPr>
    </w:p>
    <w:p w14:paraId="7A196985" w14:textId="77777777" w:rsidR="00F55D5C" w:rsidRPr="00F55D5C" w:rsidRDefault="00F55D5C" w:rsidP="00F55D5C">
      <w:pPr>
        <w:spacing w:after="160" w:line="259" w:lineRule="auto"/>
        <w:jc w:val="both"/>
        <w:rPr>
          <w:color w:val="auto"/>
          <w:sz w:val="24"/>
          <w:szCs w:val="24"/>
          <w:lang w:eastAsia="en-US"/>
        </w:rPr>
      </w:pPr>
    </w:p>
    <w:p w14:paraId="3BF21265" w14:textId="77777777" w:rsidR="00F55D5C" w:rsidRPr="00F55D5C" w:rsidRDefault="00F55D5C" w:rsidP="00F55D5C">
      <w:pPr>
        <w:shd w:val="clear" w:color="auto" w:fill="FFFFFF"/>
        <w:spacing w:before="100" w:beforeAutospacing="1" w:after="100" w:afterAutospacing="1" w:line="240" w:lineRule="auto"/>
        <w:jc w:val="right"/>
        <w:rPr>
          <w:rFonts w:eastAsia="Times New Roman"/>
          <w:color w:val="000000"/>
        </w:rPr>
      </w:pPr>
      <w:r w:rsidRPr="00F55D5C">
        <w:rPr>
          <w:rFonts w:eastAsia="Times New Roman"/>
          <w:color w:val="000000"/>
        </w:rPr>
        <w:t>ALLEGATO A</w:t>
      </w:r>
      <w:r w:rsidRPr="00F55D5C">
        <w:rPr>
          <w:rFonts w:eastAsia="Times New Roman"/>
          <w:color w:val="000000"/>
        </w:rPr>
        <w:br/>
      </w:r>
      <w:r w:rsidRPr="00F55D5C">
        <w:rPr>
          <w:rFonts w:eastAsia="Times New Roman"/>
          <w:i/>
          <w:iCs/>
          <w:color w:val="000000"/>
        </w:rPr>
        <w:t>(art. 6)</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8"/>
        <w:gridCol w:w="9614"/>
      </w:tblGrid>
      <w:tr w:rsidR="00F55D5C" w:rsidRPr="00F55D5C" w14:paraId="424DD228"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B888ED"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69DCF0"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17-</w:t>
            </w:r>
            <w:r w:rsidRPr="00F55D5C">
              <w:rPr>
                <w:rFonts w:eastAsia="Times New Roman"/>
                <w:i/>
                <w:iCs/>
                <w:color w:val="000000"/>
              </w:rPr>
              <w:t>bis</w:t>
            </w:r>
            <w:r w:rsidRPr="00F55D5C">
              <w:rPr>
                <w:rFonts w:eastAsia="Times New Roman"/>
                <w:color w:val="000000"/>
              </w:rPr>
              <w:t>, commi 1 e 6, del decreto-legge 17 marzo 2020, n. 18, convertito, con modificazioni, dalla legge 24 aprile 2020, n. 27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Disposizioni sul trattamento dei dati personali nel contesto emergenziale</w:t>
            </w:r>
          </w:p>
        </w:tc>
      </w:tr>
      <w:tr w:rsidR="00F55D5C" w:rsidRPr="00F55D5C" w14:paraId="2034BDEB"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8422BF"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5C789"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73 del decreto-legge 17 marzo 2020, n. 18, convertito, con modificazioni, dalla legge 24 aprile 2020, n. 27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Semplificazioni in materia di organi collegiali</w:t>
            </w:r>
          </w:p>
        </w:tc>
      </w:tr>
      <w:tr w:rsidR="00F55D5C" w:rsidRPr="00F55D5C" w14:paraId="090BAD45"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66B09F"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928BD7"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73-</w:t>
            </w:r>
            <w:r w:rsidRPr="00F55D5C">
              <w:rPr>
                <w:rFonts w:eastAsia="Times New Roman"/>
                <w:i/>
                <w:iCs/>
                <w:color w:val="000000"/>
              </w:rPr>
              <w:t>bis</w:t>
            </w:r>
            <w:r w:rsidRPr="00F55D5C">
              <w:rPr>
                <w:rFonts w:eastAsia="Times New Roman"/>
                <w:color w:val="000000"/>
              </w:rPr>
              <w:t> del decreto-legge 17 marzo 2020, n. 18, convertito, con modificazioni, dalla legge 24 aprile 2020, n. 27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Misure per la profilassi del personale delle Forze di polizia, delle Forze armate e del Corpo nazionale dei vigili del fuoco</w:t>
            </w:r>
          </w:p>
        </w:tc>
      </w:tr>
      <w:tr w:rsidR="00F55D5C" w:rsidRPr="00F55D5C" w14:paraId="3AC88CF9"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02F4B4"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725F8E"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85, commi 2, 5 e 8-</w:t>
            </w:r>
            <w:r w:rsidRPr="00F55D5C">
              <w:rPr>
                <w:rFonts w:eastAsia="Times New Roman"/>
                <w:i/>
                <w:iCs/>
                <w:color w:val="000000"/>
              </w:rPr>
              <w:t>bis</w:t>
            </w:r>
            <w:r w:rsidRPr="00F55D5C">
              <w:rPr>
                <w:rFonts w:eastAsia="Times New Roman"/>
                <w:color w:val="000000"/>
              </w:rPr>
              <w:t>, del decreto-legge 17 marzo 2020, n. 18, convertito, con modificazioni, dalla legge 24 aprile 2020, n. 27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Misure urgenti per contrastare l'emergenza epidemiologica da COVID-19 e contenerne gli effetti in materia di giustizia contabile</w:t>
            </w:r>
          </w:p>
        </w:tc>
      </w:tr>
      <w:tr w:rsidR="00F55D5C" w:rsidRPr="00F55D5C" w14:paraId="56168A43"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D503C0"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1D8173" w14:textId="77777777" w:rsidR="00F55D5C" w:rsidRDefault="00F55D5C" w:rsidP="00F55D5C">
            <w:pPr>
              <w:spacing w:before="100" w:beforeAutospacing="1" w:after="100" w:afterAutospacing="1" w:line="240" w:lineRule="auto"/>
              <w:rPr>
                <w:rFonts w:eastAsia="Times New Roman"/>
                <w:i/>
                <w:iCs/>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87, commi 6 e 7, del decreto-legge 17 marzo 2020, n. 18, convertito, con modificazioni, dalla legge 24 aprile 2020, n. 27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Dispensa temporanea dal servizio e non computabilità di alcuni periodi di assenza dal servizio</w:t>
            </w:r>
          </w:p>
          <w:p w14:paraId="60FBE115" w14:textId="105E1759" w:rsidR="001956A3" w:rsidRPr="001956A3" w:rsidRDefault="001956A3" w:rsidP="001956A3">
            <w:pPr>
              <w:jc w:val="both"/>
              <w:rPr>
                <w:rFonts w:asciiTheme="minorHAnsi" w:hAnsiTheme="minorHAnsi"/>
                <w:b/>
                <w:bCs/>
                <w:color w:val="000000" w:themeColor="text1"/>
              </w:rPr>
            </w:pPr>
            <w:r w:rsidRPr="001956A3">
              <w:rPr>
                <w:rFonts w:asciiTheme="minorHAnsi" w:hAnsiTheme="minorHAnsi"/>
                <w:b/>
                <w:bCs/>
                <w:color w:val="000000" w:themeColor="text1"/>
              </w:rPr>
              <w:t>5-bis. Articolo 92, comma 4-bis del decreto-legge 17 marzo 2020, n. 18, convertito,</w:t>
            </w:r>
            <w:r w:rsidRPr="001956A3">
              <w:rPr>
                <w:b/>
                <w:bCs/>
                <w:color w:val="000000" w:themeColor="text1"/>
              </w:rPr>
              <w:t xml:space="preserve"> </w:t>
            </w:r>
            <w:r w:rsidRPr="001956A3">
              <w:rPr>
                <w:rFonts w:asciiTheme="minorHAnsi" w:hAnsiTheme="minorHAnsi"/>
                <w:b/>
                <w:bCs/>
                <w:color w:val="000000" w:themeColor="text1"/>
              </w:rPr>
              <w:t>con modificazioni, dalla legge 24 aprile 2020, n. 27. Disposizioni concernenti il trasporto pubblico locale.</w:t>
            </w:r>
            <w:r>
              <w:rPr>
                <w:rStyle w:val="Rimandonotaapidipagina"/>
                <w:rFonts w:asciiTheme="minorHAnsi" w:hAnsiTheme="minorHAnsi"/>
                <w:b/>
                <w:bCs/>
                <w:color w:val="000000" w:themeColor="text1"/>
              </w:rPr>
              <w:footnoteReference w:id="18"/>
            </w:r>
          </w:p>
          <w:p w14:paraId="18FDA7AE" w14:textId="5C436F9B" w:rsidR="001956A3" w:rsidRPr="00F55D5C" w:rsidRDefault="001956A3" w:rsidP="00F55D5C">
            <w:pPr>
              <w:spacing w:before="100" w:beforeAutospacing="1" w:after="100" w:afterAutospacing="1" w:line="240" w:lineRule="auto"/>
              <w:rPr>
                <w:rFonts w:eastAsia="Times New Roman"/>
                <w:color w:val="000000"/>
              </w:rPr>
            </w:pPr>
          </w:p>
        </w:tc>
      </w:tr>
      <w:tr w:rsidR="00F55D5C" w:rsidRPr="00F55D5C" w14:paraId="3B45B68C"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31431"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lastRenderedPageBreak/>
              <w:t> </w:t>
            </w:r>
            <w:r w:rsidRPr="00F55D5C">
              <w:rPr>
                <w:rFonts w:eastAsia="Times New Roman"/>
                <w:color w:val="000000"/>
              </w:rPr>
              <w:t> </w:t>
            </w:r>
            <w:r w:rsidRPr="00F55D5C">
              <w:rPr>
                <w:rFonts w:eastAsia="Times New Roman"/>
                <w:color w:val="00000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EA6C34"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101, comma 6-</w:t>
            </w:r>
            <w:r w:rsidRPr="00F55D5C">
              <w:rPr>
                <w:rFonts w:eastAsia="Times New Roman"/>
                <w:i/>
                <w:iCs/>
                <w:color w:val="000000"/>
              </w:rPr>
              <w:t>ter</w:t>
            </w:r>
            <w:r w:rsidRPr="00F55D5C">
              <w:rPr>
                <w:rFonts w:eastAsia="Times New Roman"/>
                <w:color w:val="000000"/>
              </w:rPr>
              <w:t>, del decreto-legge 17 marzo 2020, n. 18, convertito, con modificazioni, dalla legge 24 aprile 2020, n. 27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Misure urgenti per la continuità dell'attività formativa delle Università e delle Istituzioni di alta formazione artistica musicale e coreutica</w:t>
            </w:r>
          </w:p>
        </w:tc>
      </w:tr>
      <w:tr w:rsidR="00F55D5C" w:rsidRPr="00F55D5C" w14:paraId="5369553E"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8E06A"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462E41"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106, comma 7, del decreto-legge 17 marzo 2020, n. 18, convertito, con modificazioni, dalla legge 24 aprile 2020, n. 27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Norme in materia di svolgimento delle assemblee di società ed enti</w:t>
            </w:r>
          </w:p>
        </w:tc>
      </w:tr>
      <w:tr w:rsidR="00F55D5C" w:rsidRPr="00F55D5C" w14:paraId="595AF3F4"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F81F5E"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D80594"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122, comma 4, del decreto-legge 17 marzo 2020, n. 18, convertito, con modificazioni, dalla legge 24 aprile 2020, n. 27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Durata dell'incarico del Commissario straordinario per l'attuazione e il coordinamento delle misure di contenimento e contrasto dell'emergenza epidemiologica COVID-19</w:t>
            </w:r>
          </w:p>
        </w:tc>
      </w:tr>
      <w:tr w:rsidR="00F55D5C" w:rsidRPr="00F55D5C" w14:paraId="0DBBE8A4"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4DB4C8"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1D07AA"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1, comma 4-</w:t>
            </w:r>
            <w:r w:rsidRPr="00F55D5C">
              <w:rPr>
                <w:rFonts w:eastAsia="Times New Roman"/>
                <w:i/>
                <w:iCs/>
                <w:color w:val="000000"/>
              </w:rPr>
              <w:t>bis</w:t>
            </w:r>
            <w:r w:rsidRPr="00F55D5C">
              <w:rPr>
                <w:rFonts w:eastAsia="Times New Roman"/>
                <w:color w:val="000000"/>
              </w:rPr>
              <w:t>, del decreto-legge 8 aprile 2020, n. 22, convertito, con modificazioni, dalla legge 6 giugno 2020, n. 41</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Modalità di svolgimento dell'attività dei gruppi di lavoro per l'inclusione scolastica</w:t>
            </w:r>
          </w:p>
        </w:tc>
      </w:tr>
      <w:tr w:rsidR="00F55D5C" w:rsidRPr="00F55D5C" w14:paraId="2D1381A7"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D893FF"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B2953A"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3, comma 1, del decreto-legge 8 aprile 2020, n. 22, convertito, con modificazioni, dalla legge 6 giugno 2020, n. 41</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Misure urgenti per la tempestiva adozione dei provvedimenti del Ministero dell'istruzione</w:t>
            </w:r>
          </w:p>
        </w:tc>
      </w:tr>
      <w:tr w:rsidR="00F55D5C" w:rsidRPr="00F55D5C" w14:paraId="6EC7ECCA"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61A441"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E7417C"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6, comma 4, del decreto-legge 8 aprile 2020, n. 22, convertito, con modificazioni, dalla legge 6 giugno 2020, n. 41</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Misure urgenti per lo svolgimento degli esami di Stato di abilitazione all'esercizio delle professioni e dei tirocini professionalizzanti e curriculari</w:t>
            </w:r>
          </w:p>
        </w:tc>
      </w:tr>
      <w:tr w:rsidR="00F55D5C" w:rsidRPr="00F55D5C" w14:paraId="60C4AAC1"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3EAD0"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E3D08F"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38, commi 1 e 6, del decreto-legge 8 aprile 2020, n. 23, convertito, con modificazioni, dalla legge 5 giugno 2020, n. 40</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Disposizioni urgenti in materia contrattuale per la medicina convenzionata</w:t>
            </w:r>
          </w:p>
        </w:tc>
      </w:tr>
      <w:tr w:rsidR="00F55D5C" w:rsidRPr="00F55D5C" w14:paraId="17F0F8B0"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D79FC7"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198430"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40, commi 1, 3 e 5, del decreto-legge 8 aprile 2020, n. 23, convertito, con modificazioni, dalla legge 5 giugno 2020, n. 40</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Disposizioni urgenti in materia di sperimentazione dei medicinali per l'emergenza epidemiologica da COVID-19</w:t>
            </w:r>
          </w:p>
        </w:tc>
      </w:tr>
      <w:tr w:rsidR="00F55D5C" w:rsidRPr="00F55D5C" w14:paraId="2E9B1E25"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8123D9"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49003D"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4, commi 1 e 3, del decreto-legge 19 maggio 2020, n. 34, convertito, con modificazioni, dalla legge 17 luglio 2020, n. 77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Misure urgenti per l'avvio di specifiche funzioni assistenziali per l'emergenza COVID-19</w:t>
            </w:r>
          </w:p>
        </w:tc>
      </w:tr>
      <w:tr w:rsidR="00F55D5C" w:rsidRPr="00F55D5C" w14:paraId="36869896"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E04032"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0B6DF8"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83 del decreto-legge 19 maggio 2020, n. 34, convertito, con modificazioni, dalla legge 17 luglio 2020, n. 77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Sorveglianza sanitaria</w:t>
            </w:r>
          </w:p>
        </w:tc>
      </w:tr>
      <w:tr w:rsidR="00F55D5C" w:rsidRPr="00F55D5C" w14:paraId="5F1BD882"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9895FF"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BF39DE"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100 del decreto-legge 19 maggio 2020, n. 34, convertito, con modificazioni, dalla legge 17 luglio 2020, n. 77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Impiego del Comando dei carabinieri per la tutela del lavoro da parte del Ministro del lavoro e delle politiche sociali</w:t>
            </w:r>
          </w:p>
        </w:tc>
      </w:tr>
      <w:tr w:rsidR="00F55D5C" w:rsidRPr="00F55D5C" w14:paraId="77F202A0"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DCB6B"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8199B2"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232, commi 4 e 5, del decreto-legge 19 maggio 2020, n. 34, convertito, con modificazioni, dalla legge 17 luglio 2020, n. 77</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Edilizia scolastica</w:t>
            </w:r>
          </w:p>
        </w:tc>
      </w:tr>
      <w:tr w:rsidR="00F55D5C" w:rsidRPr="00F55D5C" w14:paraId="43C5498B"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5BA079"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80E9C"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26, comma 1, del decreto-legge 28 ottobre 2020, n. 137, convertito, con modificazioni, dalla legge 18 dicembre 2020, n. 176</w:t>
            </w:r>
            <w:r w:rsidRPr="00F55D5C">
              <w:rPr>
                <w:rFonts w:eastAsia="Times New Roman"/>
                <w:color w:val="000000"/>
              </w:rPr>
              <w:br/>
            </w:r>
            <w:r w:rsidRPr="00F55D5C">
              <w:rPr>
                <w:rFonts w:eastAsia="Times New Roman"/>
                <w:color w:val="000000"/>
              </w:rPr>
              <w:lastRenderedPageBreak/>
              <w:t> </w:t>
            </w:r>
            <w:r w:rsidRPr="00F55D5C">
              <w:rPr>
                <w:rFonts w:eastAsia="Times New Roman"/>
                <w:color w:val="000000"/>
              </w:rPr>
              <w:t> </w:t>
            </w:r>
            <w:r w:rsidRPr="00F55D5C">
              <w:rPr>
                <w:rFonts w:eastAsia="Times New Roman"/>
                <w:i/>
                <w:iCs/>
                <w:color w:val="000000"/>
              </w:rPr>
              <w:t>Disposizioni in materia di giudizio contabile nonché misure urgenti relative allo svolgimento delle adunanze e delle udienze del processo contabile</w:t>
            </w:r>
          </w:p>
        </w:tc>
      </w:tr>
      <w:tr w:rsidR="00F55D5C" w:rsidRPr="00F55D5C" w14:paraId="1D2E034E"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A32F4B"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lastRenderedPageBreak/>
              <w:t> </w:t>
            </w:r>
            <w:r w:rsidRPr="00F55D5C">
              <w:rPr>
                <w:rFonts w:eastAsia="Times New Roman"/>
                <w:color w:val="000000"/>
              </w:rPr>
              <w:t> </w:t>
            </w:r>
            <w:r w:rsidRPr="00F55D5C">
              <w:rPr>
                <w:rFonts w:eastAsia="Times New Roman"/>
                <w:color w:val="000000"/>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5A02E6"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27, comma 1, primo periodo, del decreto-legge 28 ottobre 2020, n. 137, convertito, con modificazioni, dalla legge 18 dicembre 2020, n. 176</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Proroga udienze da remoto processo tributario</w:t>
            </w:r>
          </w:p>
        </w:tc>
      </w:tr>
      <w:tr w:rsidR="00F55D5C" w:rsidRPr="00F55D5C" w14:paraId="5B78831B"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419856"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7DDC48"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28, comma 2, del decreto-legge 28 ottobre 2020, n. 137, convertito, con modificazioni, dalla legge 18 dicembre 2020, n. 176</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Licenze premio straordinarie per i detenuti in regime di semilibertà</w:t>
            </w:r>
          </w:p>
        </w:tc>
      </w:tr>
      <w:tr w:rsidR="00F55D5C" w:rsidRPr="00F55D5C" w14:paraId="3BEE60B5"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4A918E"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BEB9E4"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29, comma 1, del decreto-legge 28 ottobre 2020, n. 137, convertito, con modificazioni, dalla legge 18 dicembre 2020, n. 176</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Durata straordinaria dei permessi premio</w:t>
            </w:r>
          </w:p>
        </w:tc>
      </w:tr>
      <w:tr w:rsidR="00F55D5C" w:rsidRPr="00F55D5C" w14:paraId="61222D94"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00C36A"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55942D"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30, comma 1, del decreto-legge 28 ottobre 2020, n. 137, convertito, con modificazioni, dalla legge 18 dicembre 2020, n. 176</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Detenzione domiciliare</w:t>
            </w:r>
          </w:p>
        </w:tc>
      </w:tr>
      <w:tr w:rsidR="00F55D5C" w:rsidRPr="00F55D5C" w14:paraId="4C03AA7E" w14:textId="77777777" w:rsidTr="004150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B7F8C" w14:textId="77777777"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991692" w14:textId="604738B3" w:rsidR="00F55D5C" w:rsidRPr="00F55D5C" w:rsidRDefault="00F55D5C" w:rsidP="00F55D5C">
            <w:pPr>
              <w:spacing w:before="100" w:beforeAutospacing="1" w:after="100" w:afterAutospacing="1" w:line="240" w:lineRule="auto"/>
              <w:rPr>
                <w:rFonts w:eastAsia="Times New Roman"/>
                <w:color w:val="000000"/>
              </w:rPr>
            </w:pPr>
            <w:r w:rsidRPr="00F55D5C">
              <w:rPr>
                <w:rFonts w:eastAsia="Times New Roman"/>
                <w:color w:val="000000"/>
              </w:rPr>
              <w:t> </w:t>
            </w:r>
            <w:r w:rsidRPr="00F55D5C">
              <w:rPr>
                <w:rFonts w:eastAsia="Times New Roman"/>
                <w:color w:val="000000"/>
              </w:rPr>
              <w:t> </w:t>
            </w:r>
            <w:r w:rsidRPr="00F55D5C">
              <w:rPr>
                <w:rFonts w:eastAsia="Times New Roman"/>
                <w:color w:val="000000"/>
              </w:rPr>
              <w:t>Articolo 10, commi 2 e 3, del decreto-legge 1</w:t>
            </w:r>
            <w:r w:rsidR="00BE485A">
              <w:rPr>
                <w:rFonts w:eastAsia="Times New Roman"/>
                <w:color w:val="000000"/>
              </w:rPr>
              <w:t>°</w:t>
            </w:r>
            <w:r w:rsidRPr="00F55D5C">
              <w:rPr>
                <w:rFonts w:eastAsia="Times New Roman"/>
                <w:color w:val="000000"/>
              </w:rPr>
              <w:t xml:space="preserve"> aprile 2021, n. 44, convertito, con modificazioni, dalla legge 28 maggio 2021, n. 76</w:t>
            </w:r>
            <w:r w:rsidRPr="00F55D5C">
              <w:rPr>
                <w:rFonts w:eastAsia="Times New Roman"/>
                <w:color w:val="000000"/>
              </w:rPr>
              <w:br/>
            </w:r>
            <w:r w:rsidRPr="00F55D5C">
              <w:rPr>
                <w:rFonts w:eastAsia="Times New Roman"/>
                <w:color w:val="000000"/>
              </w:rPr>
              <w:t> </w:t>
            </w:r>
            <w:r w:rsidRPr="00F55D5C">
              <w:rPr>
                <w:rFonts w:eastAsia="Times New Roman"/>
                <w:color w:val="000000"/>
              </w:rPr>
              <w:t> </w:t>
            </w:r>
            <w:r w:rsidRPr="00F55D5C">
              <w:rPr>
                <w:rFonts w:eastAsia="Times New Roman"/>
                <w:i/>
                <w:iCs/>
                <w:color w:val="000000"/>
              </w:rPr>
              <w:t>Modalità di svolgimento dei concorsi pubblici</w:t>
            </w:r>
          </w:p>
        </w:tc>
      </w:tr>
    </w:tbl>
    <w:p w14:paraId="43B07A3E" w14:textId="77777777" w:rsidR="00F55D5C" w:rsidRPr="00F55D5C" w:rsidRDefault="00F55D5C" w:rsidP="00F55D5C">
      <w:pPr>
        <w:spacing w:after="160" w:line="259" w:lineRule="auto"/>
        <w:jc w:val="both"/>
        <w:rPr>
          <w:color w:val="auto"/>
          <w:sz w:val="24"/>
          <w:szCs w:val="24"/>
          <w:lang w:eastAsia="en-US"/>
        </w:rPr>
      </w:pPr>
    </w:p>
    <w:p w14:paraId="140AE059" w14:textId="77777777" w:rsidR="00F516A4" w:rsidRPr="0017636E" w:rsidRDefault="00F516A4" w:rsidP="00DB715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sectPr w:rsidR="00F516A4" w:rsidRPr="0017636E"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F849" w14:textId="77777777" w:rsidR="00F51BB3" w:rsidRDefault="00F51BB3">
      <w:pPr>
        <w:spacing w:after="0" w:line="240" w:lineRule="auto"/>
      </w:pPr>
      <w:r>
        <w:separator/>
      </w:r>
    </w:p>
  </w:endnote>
  <w:endnote w:type="continuationSeparator" w:id="0">
    <w:p w14:paraId="3BA476D9" w14:textId="77777777" w:rsidR="00F51BB3" w:rsidRDefault="00F5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13CCA5B5" w:rsidR="00A06B48" w:rsidRPr="004D0F93" w:rsidRDefault="00A06B48"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F51BB3">
      <w:fldChar w:fldCharType="begin"/>
    </w:r>
    <w:r w:rsidR="00F51BB3">
      <w:instrText>NUMPAGES  \* Arabic  \* MERGEFORMAT</w:instrText>
    </w:r>
    <w:r w:rsidR="00F51BB3">
      <w:fldChar w:fldCharType="separate"/>
    </w:r>
    <w:r w:rsidRPr="0017636E">
      <w:rPr>
        <w:rFonts w:asciiTheme="majorHAnsi" w:hAnsiTheme="majorHAnsi"/>
        <w:noProof/>
        <w:color w:val="595959" w:themeColor="text1" w:themeTint="A6"/>
        <w:sz w:val="18"/>
        <w:szCs w:val="18"/>
      </w:rPr>
      <w:t>8</w:t>
    </w:r>
    <w:r w:rsidR="00F51BB3">
      <w:rPr>
        <w:rFonts w:asciiTheme="majorHAnsi" w:hAnsiTheme="majorHAnsi"/>
        <w:noProof/>
        <w:color w:val="595959" w:themeColor="text1" w:themeTint="A6"/>
        <w:sz w:val="18"/>
        <w:szCs w:val="18"/>
      </w:rPr>
      <w:fldChar w:fldCharType="end"/>
    </w:r>
  </w:p>
  <w:p w14:paraId="797CCC7F" w14:textId="77777777" w:rsidR="00A06B48" w:rsidRDefault="00A06B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448ECA05" w:rsidR="00A06B48" w:rsidRDefault="00A06B48" w:rsidP="004532C6">
    <w:pPr>
      <w:pStyle w:val="Pidipagina"/>
      <w:tabs>
        <w:tab w:val="clear" w:pos="9638"/>
        <w:tab w:val="right" w:pos="10034"/>
      </w:tabs>
      <w:rPr>
        <w:rFonts w:asciiTheme="majorHAnsi" w:hAnsiTheme="majorHAnsi"/>
        <w:sz w:val="18"/>
        <w:szCs w:val="18"/>
      </w:rPr>
    </w:pPr>
  </w:p>
  <w:p w14:paraId="3B296C9C" w14:textId="77777777" w:rsidR="00A06B48" w:rsidRPr="005F27F8" w:rsidRDefault="00A06B48"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A06B48" w:rsidRPr="005F27F8" w:rsidRDefault="00A06B48"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F51BB3">
      <w:fldChar w:fldCharType="begin"/>
    </w:r>
    <w:r w:rsidR="00F51BB3">
      <w:instrText>NUMPAGES  \* Arabic  \* MERGEFORMAT</w:instrText>
    </w:r>
    <w:r w:rsidR="00F51BB3">
      <w:fldChar w:fldCharType="separate"/>
    </w:r>
    <w:r w:rsidRPr="0017636E">
      <w:rPr>
        <w:rFonts w:asciiTheme="majorHAnsi" w:hAnsiTheme="majorHAnsi"/>
        <w:noProof/>
        <w:color w:val="595959" w:themeColor="text1" w:themeTint="A6"/>
        <w:sz w:val="18"/>
        <w:szCs w:val="18"/>
      </w:rPr>
      <w:t>8</w:t>
    </w:r>
    <w:r w:rsidR="00F51BB3">
      <w:rPr>
        <w:rFonts w:asciiTheme="majorHAnsi" w:hAnsiTheme="majorHAnsi"/>
        <w:noProof/>
        <w:color w:val="595959" w:themeColor="text1" w:themeTint="A6"/>
        <w:sz w:val="18"/>
        <w:szCs w:val="18"/>
      </w:rPr>
      <w:fldChar w:fldCharType="end"/>
    </w:r>
  </w:p>
  <w:p w14:paraId="72C2E14C" w14:textId="77777777" w:rsidR="00A06B48" w:rsidRPr="002739D4" w:rsidRDefault="00A06B48"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769949"/>
      <w:docPartObj>
        <w:docPartGallery w:val="Page Numbers (Bottom of Page)"/>
        <w:docPartUnique/>
      </w:docPartObj>
    </w:sdtPr>
    <w:sdtEndPr/>
    <w:sdtContent>
      <w:p w14:paraId="54CA1037" w14:textId="44824BC7" w:rsidR="004C6F62" w:rsidRDefault="004C6F62">
        <w:pPr>
          <w:pStyle w:val="Pidipagina"/>
          <w:jc w:val="center"/>
        </w:pPr>
        <w:r>
          <w:fldChar w:fldCharType="begin"/>
        </w:r>
        <w:r>
          <w:instrText>PAGE   \* MERGEFORMAT</w:instrText>
        </w:r>
        <w:r>
          <w:fldChar w:fldCharType="separate"/>
        </w:r>
        <w:r>
          <w:t>2</w:t>
        </w:r>
        <w:r>
          <w:fldChar w:fldCharType="end"/>
        </w:r>
      </w:p>
    </w:sdtContent>
  </w:sdt>
  <w:p w14:paraId="13EF4817" w14:textId="77777777" w:rsidR="00A06B48" w:rsidRPr="002739D4" w:rsidRDefault="00A06B48"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4CC6" w14:textId="77777777" w:rsidR="00F51BB3" w:rsidRDefault="00F51BB3">
      <w:pPr>
        <w:spacing w:after="0" w:line="240" w:lineRule="auto"/>
      </w:pPr>
      <w:r>
        <w:separator/>
      </w:r>
    </w:p>
  </w:footnote>
  <w:footnote w:type="continuationSeparator" w:id="0">
    <w:p w14:paraId="7DB80CBC" w14:textId="77777777" w:rsidR="00F51BB3" w:rsidRDefault="00F51BB3">
      <w:pPr>
        <w:spacing w:after="0" w:line="240" w:lineRule="auto"/>
      </w:pPr>
      <w:r>
        <w:continuationSeparator/>
      </w:r>
    </w:p>
  </w:footnote>
  <w:footnote w:id="1">
    <w:p w14:paraId="6D50A3A3" w14:textId="77777777" w:rsidR="00397931" w:rsidRPr="00F55D5C" w:rsidRDefault="00397931" w:rsidP="00397931">
      <w:pPr>
        <w:spacing w:after="160" w:line="259" w:lineRule="auto"/>
        <w:jc w:val="both"/>
        <w:rPr>
          <w:color w:val="auto"/>
          <w:lang w:eastAsia="en-US"/>
        </w:rPr>
      </w:pPr>
      <w:r>
        <w:rPr>
          <w:rStyle w:val="Rimandonotaapidipagina"/>
        </w:rPr>
        <w:footnoteRef/>
      </w:r>
      <w:r>
        <w:t xml:space="preserve"> </w:t>
      </w:r>
      <w:r w:rsidRPr="00F55D5C">
        <w:rPr>
          <w:color w:val="auto"/>
          <w:lang w:eastAsia="en-US"/>
        </w:rPr>
        <w:t>3.75. (Nuova formulazione). Spena, Bagnasco, Versace, Novelli, Bond, Brambilla, Marrocco, Nevi</w:t>
      </w:r>
      <w:r w:rsidRPr="00397931">
        <w:rPr>
          <w:color w:val="auto"/>
          <w:lang w:eastAsia="en-US"/>
        </w:rPr>
        <w:t xml:space="preserve">; </w:t>
      </w:r>
      <w:r w:rsidRPr="00F55D5C">
        <w:rPr>
          <w:color w:val="auto"/>
          <w:lang w:eastAsia="en-US"/>
        </w:rPr>
        <w:t>3.13. (Nuova formulazione). Schullian, Gebhard, Plangger, Emanuela Rossini</w:t>
      </w:r>
      <w:r w:rsidRPr="00397931">
        <w:rPr>
          <w:color w:val="auto"/>
          <w:lang w:eastAsia="en-US"/>
        </w:rPr>
        <w:t xml:space="preserve">; </w:t>
      </w:r>
      <w:r w:rsidRPr="00F55D5C">
        <w:rPr>
          <w:color w:val="auto"/>
          <w:lang w:eastAsia="en-US"/>
        </w:rPr>
        <w:t>3.345. (Nuova formulazione). Panizzut, Boldi, Foscolo, Lazzarini, Paolin, Sutto, Zanella</w:t>
      </w:r>
      <w:r w:rsidRPr="00397931">
        <w:rPr>
          <w:color w:val="auto"/>
          <w:lang w:eastAsia="en-US"/>
        </w:rPr>
        <w:t xml:space="preserve">; </w:t>
      </w:r>
      <w:r w:rsidRPr="00F55D5C">
        <w:rPr>
          <w:color w:val="auto"/>
          <w:lang w:eastAsia="en-US"/>
        </w:rPr>
        <w:t>3.261. (Nuova formulazione). Andreuzza, Binelli, Carrara, Colla, Fiorini, Galli, Micheli, Pettazzi, Piastra, Saltamartini, Vanessa Cattoi, Frassini, Boldi, Panizzut, De Martini, Foscolo, Lazzarini, Paolin, Sutto, Tiramani, Zanella, Snider.</w:t>
      </w:r>
    </w:p>
    <w:p w14:paraId="578CEBF3" w14:textId="49A28FE3" w:rsidR="00397931" w:rsidRDefault="00397931">
      <w:pPr>
        <w:pStyle w:val="Testonotaapidipagina"/>
      </w:pPr>
    </w:p>
  </w:footnote>
  <w:footnote w:id="2">
    <w:p w14:paraId="1AD30964" w14:textId="77777777" w:rsidR="00316C2C" w:rsidRPr="00F55D5C" w:rsidRDefault="00316C2C" w:rsidP="00316C2C">
      <w:pPr>
        <w:spacing w:after="160" w:line="259" w:lineRule="auto"/>
        <w:jc w:val="both"/>
        <w:rPr>
          <w:color w:val="auto"/>
          <w:sz w:val="24"/>
          <w:szCs w:val="24"/>
          <w:lang w:eastAsia="en-US"/>
        </w:rPr>
      </w:pPr>
      <w:r>
        <w:rPr>
          <w:rStyle w:val="Rimandonotaapidipagina"/>
        </w:rPr>
        <w:footnoteRef/>
      </w:r>
      <w:r>
        <w:t xml:space="preserve"> </w:t>
      </w:r>
      <w:r w:rsidRPr="00F55D5C">
        <w:rPr>
          <w:color w:val="auto"/>
          <w:sz w:val="24"/>
          <w:szCs w:val="24"/>
          <w:lang w:eastAsia="en-US"/>
        </w:rPr>
        <w:t>3.92. Bagnasco, Novelli, Bond, Versace, Brambilla</w:t>
      </w:r>
      <w:r>
        <w:rPr>
          <w:color w:val="auto"/>
          <w:sz w:val="24"/>
          <w:szCs w:val="24"/>
          <w:lang w:eastAsia="en-US"/>
        </w:rPr>
        <w:t xml:space="preserve">; </w:t>
      </w:r>
      <w:r w:rsidRPr="00F55D5C">
        <w:rPr>
          <w:color w:val="auto"/>
          <w:sz w:val="24"/>
          <w:szCs w:val="24"/>
          <w:lang w:eastAsia="en-US"/>
        </w:rPr>
        <w:t>3.269. Lucchini, Andreuzza, Frassini, Gerardi, De Angelis, Boldi, Panizzut, De Martini, Foscolo, Lazzarini, Sutto, Zanella, Bellucci, Gemmato</w:t>
      </w:r>
      <w:r>
        <w:rPr>
          <w:color w:val="auto"/>
          <w:sz w:val="24"/>
          <w:szCs w:val="24"/>
          <w:lang w:eastAsia="en-US"/>
        </w:rPr>
        <w:t xml:space="preserve">; </w:t>
      </w:r>
      <w:r w:rsidRPr="00F55D5C">
        <w:rPr>
          <w:color w:val="auto"/>
          <w:sz w:val="24"/>
          <w:szCs w:val="24"/>
          <w:lang w:eastAsia="en-US"/>
        </w:rPr>
        <w:t>3.372. Ianaro, D'Arrando, Federico, Lorefice, Mammì, Misiti, Nappi, Penna, Provenza, Ruggiero, Sportiello, Villani, Carnevali, De Filippo, Lepri, Pini, Rizzo Nervo, Schirò, Siani, Noja, Rosato, Stumpo.</w:t>
      </w:r>
    </w:p>
    <w:p w14:paraId="5B7A1ECC" w14:textId="2D1BF422" w:rsidR="00316C2C" w:rsidRDefault="00316C2C">
      <w:pPr>
        <w:pStyle w:val="Testonotaapidipagina"/>
      </w:pPr>
    </w:p>
  </w:footnote>
  <w:footnote w:id="3">
    <w:p w14:paraId="4E7365CA" w14:textId="77777777" w:rsidR="00B467E0" w:rsidRPr="006E7081" w:rsidRDefault="00B467E0" w:rsidP="00B467E0">
      <w:pPr>
        <w:jc w:val="both"/>
        <w:rPr>
          <w:color w:val="000000" w:themeColor="text1"/>
        </w:rPr>
      </w:pPr>
      <w:r>
        <w:rPr>
          <w:rStyle w:val="Rimandonotaapidipagina"/>
        </w:rPr>
        <w:footnoteRef/>
      </w:r>
      <w:r>
        <w:t xml:space="preserve"> </w:t>
      </w:r>
      <w:r w:rsidRPr="006E7081">
        <w:rPr>
          <w:rFonts w:asciiTheme="minorHAnsi" w:hAnsiTheme="minorHAnsi"/>
          <w:color w:val="000000" w:themeColor="text1"/>
        </w:rPr>
        <w:t>3.368. (Nuova formulazione). Ianaro, D'Arrando, Federico, Lorefice, Mammì, Misiti, Nappi, Penna, Provenza, Ruggiero, Sportiello, Villani</w:t>
      </w:r>
      <w:r w:rsidRPr="006E7081">
        <w:rPr>
          <w:color w:val="000000" w:themeColor="text1"/>
        </w:rPr>
        <w:t xml:space="preserve">; </w:t>
      </w:r>
      <w:r w:rsidRPr="006E7081">
        <w:rPr>
          <w:rFonts w:asciiTheme="minorHAnsi" w:hAnsiTheme="minorHAnsi"/>
          <w:color w:val="000000" w:themeColor="text1"/>
        </w:rPr>
        <w:t>3.430. (Nuova formulazione). Bologna, Mugnai</w:t>
      </w:r>
      <w:r w:rsidRPr="006E7081">
        <w:rPr>
          <w:color w:val="000000" w:themeColor="text1"/>
        </w:rPr>
        <w:t xml:space="preserve">; </w:t>
      </w:r>
      <w:r w:rsidRPr="006E7081">
        <w:rPr>
          <w:rFonts w:asciiTheme="minorHAnsi" w:hAnsiTheme="minorHAnsi"/>
          <w:color w:val="000000" w:themeColor="text1"/>
        </w:rPr>
        <w:t>3.80. (Nuova formulazione). Novelli, Bagnasco, Bond, Versace, Brambilla, Porchietto, Giacometto, Nevi</w:t>
      </w:r>
      <w:r w:rsidRPr="006E7081">
        <w:rPr>
          <w:color w:val="000000" w:themeColor="text1"/>
        </w:rPr>
        <w:t xml:space="preserve">; </w:t>
      </w:r>
      <w:r w:rsidRPr="006E7081">
        <w:rPr>
          <w:rFonts w:asciiTheme="minorHAnsi" w:hAnsiTheme="minorHAnsi"/>
          <w:color w:val="000000" w:themeColor="text1"/>
        </w:rPr>
        <w:t>3.22. (Nuova formulazione). Toccafondi, Noja</w:t>
      </w:r>
      <w:r w:rsidRPr="006E7081">
        <w:rPr>
          <w:color w:val="000000" w:themeColor="text1"/>
        </w:rPr>
        <w:t xml:space="preserve">; </w:t>
      </w:r>
      <w:r w:rsidRPr="006E7081">
        <w:rPr>
          <w:rFonts w:asciiTheme="minorHAnsi" w:hAnsiTheme="minorHAnsi"/>
          <w:color w:val="000000" w:themeColor="text1"/>
        </w:rPr>
        <w:t>3.390. (Nuova formulazione). Bonomo, Carnevali, De Filippo, Lepri, Pini, Rizzo Nervo, Schirò, Siani.</w:t>
      </w:r>
    </w:p>
    <w:p w14:paraId="0D975386" w14:textId="3C14E444" w:rsidR="00B467E0" w:rsidRDefault="00B467E0">
      <w:pPr>
        <w:pStyle w:val="Testonotaapidipagina"/>
      </w:pPr>
    </w:p>
  </w:footnote>
  <w:footnote w:id="4">
    <w:p w14:paraId="762EBDF2" w14:textId="77777777" w:rsidR="00AC2E79" w:rsidRPr="006E7081" w:rsidRDefault="00AC2E79" w:rsidP="00AC2E79">
      <w:pPr>
        <w:jc w:val="both"/>
        <w:rPr>
          <w:rFonts w:asciiTheme="minorHAnsi" w:hAnsiTheme="minorHAnsi"/>
          <w:color w:val="000000" w:themeColor="text1"/>
        </w:rPr>
      </w:pPr>
      <w:r>
        <w:rPr>
          <w:rStyle w:val="Rimandonotaapidipagina"/>
        </w:rPr>
        <w:footnoteRef/>
      </w:r>
      <w:r>
        <w:t xml:space="preserve"> </w:t>
      </w:r>
      <w:r w:rsidRPr="006E7081">
        <w:rPr>
          <w:rFonts w:asciiTheme="minorHAnsi" w:hAnsiTheme="minorHAnsi"/>
          <w:color w:val="000000" w:themeColor="text1"/>
        </w:rPr>
        <w:t>3.326. (Nuova formulazione). Sutto, Panizzut, Boldi, De Martini, Foscolo, Lazzarini, Paolin, Zanella, Lucentini, Di Muro</w:t>
      </w:r>
      <w:r w:rsidRPr="006E7081">
        <w:rPr>
          <w:color w:val="000000" w:themeColor="text1"/>
        </w:rPr>
        <w:t xml:space="preserve">; </w:t>
      </w:r>
      <w:r w:rsidRPr="006E7081">
        <w:rPr>
          <w:rFonts w:asciiTheme="minorHAnsi" w:hAnsiTheme="minorHAnsi"/>
          <w:color w:val="000000" w:themeColor="text1"/>
        </w:rPr>
        <w:t>3.246. (Nuova formulazione). Snider, Murelli, Giaccone, Parolo, Legnaioli, Minardo, Moschioni, Caffaratto, Caparvi, Boldi, De Martini, Foscolo, Lazzarini, Panizzut, Paolin, Sutto, Tiramani, Zanella</w:t>
      </w:r>
      <w:r w:rsidRPr="006E7081">
        <w:rPr>
          <w:color w:val="000000" w:themeColor="text1"/>
        </w:rPr>
        <w:t xml:space="preserve">; </w:t>
      </w:r>
      <w:r w:rsidRPr="006E7081">
        <w:rPr>
          <w:rFonts w:asciiTheme="minorHAnsi" w:hAnsiTheme="minorHAnsi"/>
          <w:color w:val="000000" w:themeColor="text1"/>
        </w:rPr>
        <w:t>3.243. (Nuova formulazione). Di Muro, Boldi, Foscolo, Lazzarini, Panizzut, Paolin, Sutto, Zanella</w:t>
      </w:r>
      <w:r w:rsidRPr="006E7081">
        <w:rPr>
          <w:color w:val="000000" w:themeColor="text1"/>
        </w:rPr>
        <w:t xml:space="preserve">; </w:t>
      </w:r>
      <w:r w:rsidRPr="006E7081">
        <w:rPr>
          <w:rFonts w:asciiTheme="minorHAnsi" w:hAnsiTheme="minorHAnsi"/>
          <w:color w:val="000000" w:themeColor="text1"/>
        </w:rPr>
        <w:t>3.79. (Nuova formulazione). Bagnasco, Novelli, Bond, Versace, Brambilla</w:t>
      </w:r>
      <w:r w:rsidRPr="006E7081">
        <w:rPr>
          <w:color w:val="000000" w:themeColor="text1"/>
        </w:rPr>
        <w:t xml:space="preserve">; </w:t>
      </w:r>
      <w:r w:rsidRPr="006E7081">
        <w:rPr>
          <w:rFonts w:asciiTheme="minorHAnsi" w:hAnsiTheme="minorHAnsi"/>
          <w:color w:val="000000" w:themeColor="text1"/>
        </w:rPr>
        <w:t>3.432. (Nuova formulazione). Gagliardi, Bologna</w:t>
      </w:r>
      <w:r w:rsidRPr="006E7081">
        <w:rPr>
          <w:color w:val="000000" w:themeColor="text1"/>
        </w:rPr>
        <w:t xml:space="preserve">; </w:t>
      </w:r>
      <w:r w:rsidRPr="006E7081">
        <w:rPr>
          <w:rFonts w:asciiTheme="minorHAnsi" w:hAnsiTheme="minorHAnsi"/>
          <w:color w:val="000000" w:themeColor="text1"/>
        </w:rPr>
        <w:t>3.327. (Nuova formulazione). Boldi, Sutto, Panizzut, Foscolo, Lazzarini, Paolin, Zanella</w:t>
      </w:r>
      <w:r w:rsidRPr="006E7081">
        <w:rPr>
          <w:color w:val="000000" w:themeColor="text1"/>
        </w:rPr>
        <w:t xml:space="preserve">; </w:t>
      </w:r>
      <w:r w:rsidRPr="006E7081">
        <w:rPr>
          <w:rFonts w:asciiTheme="minorHAnsi" w:hAnsiTheme="minorHAnsi"/>
          <w:color w:val="000000" w:themeColor="text1"/>
        </w:rPr>
        <w:t>3.264. (Nuova formulazione). Andreuzza, Binelli, Carrara, Colla, Fiorini, Galli, Micheli, Pettazzi, Piastra, Saltamartini, Vanessa Cattoi, Frassini, Boldi, Di Muro, Panizzut, De Martini, Foscolo, Lazzarini, Paolin, Sutto, Zanella, Lucentini</w:t>
      </w:r>
      <w:r w:rsidRPr="006E7081">
        <w:rPr>
          <w:color w:val="000000" w:themeColor="text1"/>
        </w:rPr>
        <w:t xml:space="preserve">; </w:t>
      </w:r>
      <w:r w:rsidRPr="006E7081">
        <w:rPr>
          <w:rFonts w:asciiTheme="minorHAnsi" w:hAnsiTheme="minorHAnsi"/>
          <w:color w:val="000000" w:themeColor="text1"/>
        </w:rPr>
        <w:t>3.387. (Nuova formulazione). Bonomo, Schirò, Carnevali</w:t>
      </w:r>
      <w:r w:rsidRPr="006E7081">
        <w:rPr>
          <w:color w:val="000000" w:themeColor="text1"/>
        </w:rPr>
        <w:t xml:space="preserve">; </w:t>
      </w:r>
      <w:r w:rsidRPr="006E7081">
        <w:rPr>
          <w:rFonts w:asciiTheme="minorHAnsi" w:hAnsiTheme="minorHAnsi"/>
          <w:color w:val="000000" w:themeColor="text1"/>
        </w:rPr>
        <w:t>3.389. (Nuova formulazione). Buratti, Carnevali, D'Arrando, Federico, Ianaro, Lorefice, Mammì, Misiti, Nappi, Penna, Provenza, Ruggiero, Sportiello, Villani.</w:t>
      </w:r>
    </w:p>
    <w:p w14:paraId="6909A474" w14:textId="7A39EC84" w:rsidR="00AC2E79" w:rsidRDefault="00AC2E79">
      <w:pPr>
        <w:pStyle w:val="Testonotaapidipagina"/>
      </w:pPr>
    </w:p>
  </w:footnote>
  <w:footnote w:id="5">
    <w:p w14:paraId="1B6FC367" w14:textId="77777777" w:rsidR="003801C6" w:rsidRPr="006E7081" w:rsidRDefault="003801C6" w:rsidP="003801C6">
      <w:pPr>
        <w:jc w:val="both"/>
        <w:rPr>
          <w:color w:val="000000" w:themeColor="text1"/>
        </w:rPr>
      </w:pPr>
      <w:r>
        <w:rPr>
          <w:rStyle w:val="Rimandonotaapidipagina"/>
        </w:rPr>
        <w:footnoteRef/>
      </w:r>
      <w:r>
        <w:t xml:space="preserve"> </w:t>
      </w:r>
      <w:r w:rsidRPr="006E7081">
        <w:rPr>
          <w:rFonts w:asciiTheme="minorHAnsi" w:hAnsiTheme="minorHAnsi"/>
          <w:color w:val="000000" w:themeColor="text1"/>
        </w:rPr>
        <w:t>3.368. (Nuova formulazione). Ianaro, D'Arrando, Federico, Lorefice, Mammì, Misiti, Nappi, Penna, Provenza, Ruggiero, Sportiello, Villani</w:t>
      </w:r>
      <w:r w:rsidRPr="006E7081">
        <w:rPr>
          <w:color w:val="000000" w:themeColor="text1"/>
        </w:rPr>
        <w:t xml:space="preserve">; </w:t>
      </w:r>
      <w:r w:rsidRPr="006E7081">
        <w:rPr>
          <w:rFonts w:asciiTheme="minorHAnsi" w:hAnsiTheme="minorHAnsi"/>
          <w:color w:val="000000" w:themeColor="text1"/>
        </w:rPr>
        <w:t>3.430. (Nuova formulazione). Bologna, Mugnai</w:t>
      </w:r>
      <w:r w:rsidRPr="006E7081">
        <w:rPr>
          <w:color w:val="000000" w:themeColor="text1"/>
        </w:rPr>
        <w:t xml:space="preserve">; </w:t>
      </w:r>
      <w:r w:rsidRPr="006E7081">
        <w:rPr>
          <w:rFonts w:asciiTheme="minorHAnsi" w:hAnsiTheme="minorHAnsi"/>
          <w:color w:val="000000" w:themeColor="text1"/>
        </w:rPr>
        <w:t>3.80. (Nuova formulazione). Novelli, Bagnasco, Bond, Versace, Brambilla, Porchietto, Giacometto, Nevi</w:t>
      </w:r>
      <w:r w:rsidRPr="006E7081">
        <w:rPr>
          <w:color w:val="000000" w:themeColor="text1"/>
        </w:rPr>
        <w:t xml:space="preserve">; </w:t>
      </w:r>
      <w:r w:rsidRPr="006E7081">
        <w:rPr>
          <w:rFonts w:asciiTheme="minorHAnsi" w:hAnsiTheme="minorHAnsi"/>
          <w:color w:val="000000" w:themeColor="text1"/>
        </w:rPr>
        <w:t>3.22. (Nuova formulazione). Toccafondi, Noja</w:t>
      </w:r>
      <w:r w:rsidRPr="006E7081">
        <w:rPr>
          <w:color w:val="000000" w:themeColor="text1"/>
        </w:rPr>
        <w:t xml:space="preserve">; </w:t>
      </w:r>
      <w:r w:rsidRPr="006E7081">
        <w:rPr>
          <w:rFonts w:asciiTheme="minorHAnsi" w:hAnsiTheme="minorHAnsi"/>
          <w:color w:val="000000" w:themeColor="text1"/>
        </w:rPr>
        <w:t>3.390. (Nuova formulazione). Bonomo, Carnevali, De Filippo, Lepri, Pini, Rizzo Nervo, Schirò, Siani.</w:t>
      </w:r>
    </w:p>
    <w:p w14:paraId="32E7A310" w14:textId="29A7F420" w:rsidR="003801C6" w:rsidRDefault="003801C6">
      <w:pPr>
        <w:pStyle w:val="Testonotaapidipagina"/>
      </w:pPr>
    </w:p>
  </w:footnote>
  <w:footnote w:id="6">
    <w:p w14:paraId="73ED5CDF" w14:textId="77777777" w:rsidR="00033C4F" w:rsidRPr="0021779C" w:rsidRDefault="00033C4F" w:rsidP="00033C4F">
      <w:pPr>
        <w:jc w:val="both"/>
        <w:rPr>
          <w:rFonts w:asciiTheme="minorHAnsi" w:hAnsiTheme="minorHAnsi"/>
          <w:color w:val="000000" w:themeColor="text1"/>
        </w:rPr>
      </w:pPr>
      <w:r>
        <w:rPr>
          <w:rStyle w:val="Rimandonotaapidipagina"/>
        </w:rPr>
        <w:footnoteRef/>
      </w:r>
      <w:r>
        <w:t xml:space="preserve"> </w:t>
      </w:r>
      <w:r w:rsidRPr="0021779C">
        <w:rPr>
          <w:rFonts w:asciiTheme="minorHAnsi" w:hAnsiTheme="minorHAnsi"/>
          <w:color w:val="000000" w:themeColor="text1"/>
        </w:rPr>
        <w:t>3.365. (Ulteriore nuova formulazione). Provenza, D'Arrando, Federico, Ianaro, Lorefice, Mammì, Misiti, Nappi, Penna, Ruggiero, Sportiello, Villani.</w:t>
      </w:r>
    </w:p>
    <w:p w14:paraId="1A63276F" w14:textId="7410BF29" w:rsidR="00033C4F" w:rsidRDefault="00033C4F">
      <w:pPr>
        <w:pStyle w:val="Testonotaapidipagina"/>
      </w:pPr>
    </w:p>
  </w:footnote>
  <w:footnote w:id="7">
    <w:p w14:paraId="21B4F295" w14:textId="77777777" w:rsidR="00304A7A" w:rsidRPr="0021779C" w:rsidRDefault="00304A7A" w:rsidP="00304A7A">
      <w:pPr>
        <w:jc w:val="both"/>
        <w:rPr>
          <w:rFonts w:asciiTheme="minorHAnsi" w:hAnsiTheme="minorHAnsi"/>
          <w:color w:val="000000" w:themeColor="text1"/>
        </w:rPr>
      </w:pPr>
      <w:r>
        <w:rPr>
          <w:rStyle w:val="Rimandonotaapidipagina"/>
        </w:rPr>
        <w:footnoteRef/>
      </w:r>
      <w:r>
        <w:t xml:space="preserve"> </w:t>
      </w:r>
      <w:r w:rsidRPr="0021779C">
        <w:rPr>
          <w:rFonts w:asciiTheme="minorHAnsi" w:hAnsiTheme="minorHAnsi"/>
          <w:color w:val="000000" w:themeColor="text1"/>
        </w:rPr>
        <w:t>4.151. (Nuova formulazione). Grippa, D'Arrando, Federico, Ianaro, Lorefice, Mammì, Misiti, Nappi, Penna, Provenza, Ruggiero, Sportiello, Villani.</w:t>
      </w:r>
    </w:p>
    <w:p w14:paraId="574258B7" w14:textId="35CAF4AD" w:rsidR="00304A7A" w:rsidRDefault="00304A7A">
      <w:pPr>
        <w:pStyle w:val="Testonotaapidipagina"/>
      </w:pPr>
    </w:p>
  </w:footnote>
  <w:footnote w:id="8">
    <w:p w14:paraId="3A675750" w14:textId="77777777" w:rsidR="003801C6" w:rsidRPr="006E7081" w:rsidRDefault="003801C6" w:rsidP="003801C6">
      <w:pPr>
        <w:jc w:val="both"/>
        <w:rPr>
          <w:color w:val="000000" w:themeColor="text1"/>
        </w:rPr>
      </w:pPr>
      <w:r>
        <w:rPr>
          <w:rStyle w:val="Rimandonotaapidipagina"/>
        </w:rPr>
        <w:footnoteRef/>
      </w:r>
      <w:r>
        <w:t xml:space="preserve"> </w:t>
      </w:r>
      <w:r w:rsidRPr="006E7081">
        <w:rPr>
          <w:rFonts w:asciiTheme="minorHAnsi" w:hAnsiTheme="minorHAnsi"/>
          <w:color w:val="000000" w:themeColor="text1"/>
        </w:rPr>
        <w:t>3.368. (Nuova formulazione). Ianaro, D'Arrando, Federico, Lorefice, Mammì, Misiti, Nappi, Penna, Provenza, Ruggiero, Sportiello, Villani</w:t>
      </w:r>
      <w:r w:rsidRPr="006E7081">
        <w:rPr>
          <w:color w:val="000000" w:themeColor="text1"/>
        </w:rPr>
        <w:t xml:space="preserve">; </w:t>
      </w:r>
      <w:r w:rsidRPr="006E7081">
        <w:rPr>
          <w:rFonts w:asciiTheme="minorHAnsi" w:hAnsiTheme="minorHAnsi"/>
          <w:color w:val="000000" w:themeColor="text1"/>
        </w:rPr>
        <w:t>3.430. (Nuova formulazione). Bologna, Mugnai</w:t>
      </w:r>
      <w:r w:rsidRPr="006E7081">
        <w:rPr>
          <w:color w:val="000000" w:themeColor="text1"/>
        </w:rPr>
        <w:t xml:space="preserve">; </w:t>
      </w:r>
      <w:r w:rsidRPr="006E7081">
        <w:rPr>
          <w:rFonts w:asciiTheme="minorHAnsi" w:hAnsiTheme="minorHAnsi"/>
          <w:color w:val="000000" w:themeColor="text1"/>
        </w:rPr>
        <w:t>3.80. (Nuova formulazione). Novelli, Bagnasco, Bond, Versace, Brambilla, Porchietto, Giacometto, Nevi</w:t>
      </w:r>
      <w:r w:rsidRPr="006E7081">
        <w:rPr>
          <w:color w:val="000000" w:themeColor="text1"/>
        </w:rPr>
        <w:t xml:space="preserve">; </w:t>
      </w:r>
      <w:r w:rsidRPr="006E7081">
        <w:rPr>
          <w:rFonts w:asciiTheme="minorHAnsi" w:hAnsiTheme="minorHAnsi"/>
          <w:color w:val="000000" w:themeColor="text1"/>
        </w:rPr>
        <w:t>3.22. (Nuova formulazione). Toccafondi, Noja</w:t>
      </w:r>
      <w:r w:rsidRPr="006E7081">
        <w:rPr>
          <w:color w:val="000000" w:themeColor="text1"/>
        </w:rPr>
        <w:t xml:space="preserve">; </w:t>
      </w:r>
      <w:r w:rsidRPr="006E7081">
        <w:rPr>
          <w:rFonts w:asciiTheme="minorHAnsi" w:hAnsiTheme="minorHAnsi"/>
          <w:color w:val="000000" w:themeColor="text1"/>
        </w:rPr>
        <w:t>3.390. (Nuova formulazione). Bonomo, Carnevali, De Filippo, Lepri, Pini, Rizzo Nervo, Schirò, Siani.</w:t>
      </w:r>
    </w:p>
    <w:p w14:paraId="0D908D5E" w14:textId="298D6D7C" w:rsidR="003801C6" w:rsidRDefault="003801C6">
      <w:pPr>
        <w:pStyle w:val="Testonotaapidipagina"/>
      </w:pPr>
    </w:p>
  </w:footnote>
  <w:footnote w:id="9">
    <w:p w14:paraId="1CF945C5" w14:textId="77777777" w:rsidR="00171C64" w:rsidRPr="0021779C" w:rsidRDefault="00171C64" w:rsidP="00171C64">
      <w:pPr>
        <w:jc w:val="both"/>
        <w:rPr>
          <w:rFonts w:asciiTheme="minorHAnsi" w:hAnsiTheme="minorHAnsi"/>
          <w:color w:val="000000" w:themeColor="text1"/>
        </w:rPr>
      </w:pPr>
      <w:r>
        <w:rPr>
          <w:rStyle w:val="Rimandonotaapidipagina"/>
        </w:rPr>
        <w:footnoteRef/>
      </w:r>
      <w:r>
        <w:t xml:space="preserve"> </w:t>
      </w:r>
      <w:r w:rsidRPr="0021779C">
        <w:rPr>
          <w:rFonts w:asciiTheme="minorHAnsi" w:hAnsiTheme="minorHAnsi"/>
          <w:color w:val="000000" w:themeColor="text1"/>
        </w:rPr>
        <w:t>4.155. (Nuova formulazione). Ianaro, D'Arrando, Federico, Lorefice, Mammì, Misiti, Nappi, Penna, Provenza, Ruggiero, Sportiello, Villani, Carnevali, Noja, Stumpo</w:t>
      </w:r>
      <w:r w:rsidRPr="0021779C">
        <w:rPr>
          <w:color w:val="000000" w:themeColor="text1"/>
        </w:rPr>
        <w:t xml:space="preserve">; </w:t>
      </w:r>
      <w:r w:rsidRPr="0021779C">
        <w:rPr>
          <w:rFonts w:asciiTheme="minorHAnsi" w:hAnsiTheme="minorHAnsi"/>
          <w:color w:val="000000" w:themeColor="text1"/>
        </w:rPr>
        <w:t>4.177. (ex 5.02). (Nuova formulazione). Lucchini, Cavandoli, Piccolo, Panizzut, Foscolo, Boldi, Lazzarini, Paolin, Sutto, Tiramani, Zanella, Murelli, Snider, Raffaelli, Alessandro Pagano.</w:t>
      </w:r>
    </w:p>
    <w:p w14:paraId="58D3E9C6" w14:textId="21F64C11" w:rsidR="00171C64" w:rsidRDefault="00171C64">
      <w:pPr>
        <w:pStyle w:val="Testonotaapidipagina"/>
      </w:pPr>
    </w:p>
  </w:footnote>
  <w:footnote w:id="10">
    <w:p w14:paraId="30225657" w14:textId="77777777" w:rsidR="0090746A" w:rsidRPr="0021779C" w:rsidRDefault="0090746A" w:rsidP="0090746A">
      <w:pPr>
        <w:jc w:val="both"/>
        <w:rPr>
          <w:rFonts w:asciiTheme="minorHAnsi" w:hAnsiTheme="minorHAnsi"/>
          <w:color w:val="000000" w:themeColor="text1"/>
        </w:rPr>
      </w:pPr>
      <w:r>
        <w:rPr>
          <w:rStyle w:val="Rimandonotaapidipagina"/>
        </w:rPr>
        <w:footnoteRef/>
      </w:r>
      <w:r>
        <w:t xml:space="preserve"> </w:t>
      </w:r>
      <w:r w:rsidRPr="0021779C">
        <w:rPr>
          <w:rFonts w:asciiTheme="minorHAnsi" w:hAnsiTheme="minorHAnsi"/>
          <w:color w:val="000000" w:themeColor="text1"/>
        </w:rPr>
        <w:t>4.176. Carnevali, Siani, De Filippo, Pini, Lepri, Noja, Stumpo</w:t>
      </w:r>
      <w:r w:rsidRPr="0021779C">
        <w:rPr>
          <w:color w:val="000000" w:themeColor="text1"/>
        </w:rPr>
        <w:t xml:space="preserve">; </w:t>
      </w:r>
      <w:r w:rsidRPr="0021779C">
        <w:rPr>
          <w:rFonts w:asciiTheme="minorHAnsi" w:hAnsiTheme="minorHAnsi"/>
          <w:color w:val="000000" w:themeColor="text1"/>
        </w:rPr>
        <w:t>4.135. Boldi, Panizzut, Foscolo, Lazzarini, Paolin, Sutto, Tiramani, Zanella</w:t>
      </w:r>
      <w:r w:rsidRPr="0021779C">
        <w:rPr>
          <w:color w:val="000000" w:themeColor="text1"/>
        </w:rPr>
        <w:t xml:space="preserve">; </w:t>
      </w:r>
      <w:r w:rsidRPr="0021779C">
        <w:rPr>
          <w:rFonts w:asciiTheme="minorHAnsi" w:hAnsiTheme="minorHAnsi"/>
          <w:color w:val="000000" w:themeColor="text1"/>
        </w:rPr>
        <w:t>4.157. (Nuova formulazione). Ianaro, D'Arrando, Federico, Lorefice, Mammì, Misiti, Nappi, Penna, Provenza, Ruggiero, Sportiello, Villani.</w:t>
      </w:r>
    </w:p>
    <w:p w14:paraId="3F52CA8A" w14:textId="30570712" w:rsidR="0090746A" w:rsidRDefault="0090746A">
      <w:pPr>
        <w:pStyle w:val="Testonotaapidipagina"/>
      </w:pPr>
    </w:p>
  </w:footnote>
  <w:footnote w:id="11">
    <w:p w14:paraId="2FAEBA84" w14:textId="77777777" w:rsidR="00C77FEA" w:rsidRPr="00EB77CB" w:rsidRDefault="00C77FEA" w:rsidP="00C77FEA">
      <w:pPr>
        <w:jc w:val="both"/>
        <w:rPr>
          <w:rFonts w:asciiTheme="minorHAnsi" w:hAnsiTheme="minorHAnsi"/>
          <w:color w:val="000000" w:themeColor="text1"/>
        </w:rPr>
      </w:pPr>
      <w:r>
        <w:rPr>
          <w:rStyle w:val="Rimandonotaapidipagina"/>
        </w:rPr>
        <w:footnoteRef/>
      </w:r>
      <w:r>
        <w:t xml:space="preserve"> </w:t>
      </w:r>
      <w:r w:rsidRPr="00EB77CB">
        <w:rPr>
          <w:rFonts w:asciiTheme="minorHAnsi" w:hAnsiTheme="minorHAnsi"/>
          <w:color w:val="000000" w:themeColor="text1"/>
        </w:rPr>
        <w:t>4.01. (Nuova formulazione). Noja</w:t>
      </w:r>
      <w:r w:rsidRPr="00EB77CB">
        <w:rPr>
          <w:color w:val="000000" w:themeColor="text1"/>
        </w:rPr>
        <w:t xml:space="preserve">; </w:t>
      </w:r>
      <w:r w:rsidRPr="00EB77CB">
        <w:rPr>
          <w:rFonts w:asciiTheme="minorHAnsi" w:hAnsiTheme="minorHAnsi"/>
          <w:color w:val="000000" w:themeColor="text1"/>
        </w:rPr>
        <w:t>4.044. (ex 4.147). (Nuova formulazione). Lorefice, D'Arrando, Federico, Ianaro, Mammì, Misiti, Nappi, Penna, Provenza, Ruggiero, Sportiello, Villani</w:t>
      </w:r>
      <w:r w:rsidRPr="00EB77CB">
        <w:rPr>
          <w:color w:val="000000" w:themeColor="text1"/>
        </w:rPr>
        <w:t xml:space="preserve">; </w:t>
      </w:r>
      <w:r w:rsidRPr="00EB77CB">
        <w:rPr>
          <w:rFonts w:asciiTheme="minorHAnsi" w:hAnsiTheme="minorHAnsi"/>
          <w:color w:val="000000" w:themeColor="text1"/>
        </w:rPr>
        <w:t>4.045. (ex 4.175). (Nuova formulazione). Lepri, Pini, Carnevali, Siani, De Filippo, Bagnasco, Bond, Brambilla, Novelli, Versace, Boldi, De Martini, Foscolo, Lazzarini, Panizzut, Paolin, Sutto, Tiramani, Zanella.</w:t>
      </w:r>
    </w:p>
    <w:p w14:paraId="1CA7D737" w14:textId="5D3636B7" w:rsidR="00C77FEA" w:rsidRDefault="00C77FEA">
      <w:pPr>
        <w:pStyle w:val="Testonotaapidipagina"/>
      </w:pPr>
    </w:p>
  </w:footnote>
  <w:footnote w:id="12">
    <w:p w14:paraId="133F891A" w14:textId="77777777" w:rsidR="00972AC9" w:rsidRPr="00EB77CB" w:rsidRDefault="00972AC9" w:rsidP="00972AC9">
      <w:pPr>
        <w:jc w:val="both"/>
        <w:rPr>
          <w:rFonts w:asciiTheme="minorHAnsi" w:hAnsiTheme="minorHAnsi"/>
          <w:color w:val="000000" w:themeColor="text1"/>
        </w:rPr>
      </w:pPr>
      <w:r>
        <w:rPr>
          <w:rStyle w:val="Rimandonotaapidipagina"/>
        </w:rPr>
        <w:footnoteRef/>
      </w:r>
      <w:r>
        <w:t xml:space="preserve"> </w:t>
      </w:r>
      <w:r w:rsidRPr="00EB77CB">
        <w:rPr>
          <w:rFonts w:asciiTheme="minorHAnsi" w:hAnsiTheme="minorHAnsi"/>
          <w:color w:val="000000" w:themeColor="text1"/>
        </w:rPr>
        <w:t>5.26. (Nuova formulazione). Mandelli, Saccani Jotti, Bagnasco, Versace, Bond, Novelli, Brambilla, Boldi, De Martini, Foscolo, Lazzarini, Panizzut, Paolin, Sutto, Tiramani, Zanella, Bellucci, Gemmato, Lucaselli.</w:t>
      </w:r>
    </w:p>
    <w:p w14:paraId="33A0C511" w14:textId="077B54EF" w:rsidR="00972AC9" w:rsidRDefault="00972AC9">
      <w:pPr>
        <w:pStyle w:val="Testonotaapidipagina"/>
      </w:pPr>
    </w:p>
  </w:footnote>
  <w:footnote w:id="13">
    <w:p w14:paraId="5E43214A" w14:textId="77777777" w:rsidR="00BD6B17" w:rsidRPr="006E7081" w:rsidRDefault="00BD6B17" w:rsidP="00BD6B17">
      <w:pPr>
        <w:jc w:val="both"/>
        <w:rPr>
          <w:rFonts w:asciiTheme="minorHAnsi" w:hAnsiTheme="minorHAnsi"/>
          <w:color w:val="000000" w:themeColor="text1"/>
          <w:sz w:val="24"/>
          <w:szCs w:val="24"/>
        </w:rPr>
      </w:pPr>
      <w:r>
        <w:rPr>
          <w:rStyle w:val="Rimandonotaapidipagina"/>
        </w:rPr>
        <w:footnoteRef/>
      </w:r>
      <w:r>
        <w:t xml:space="preserve"> </w:t>
      </w:r>
      <w:r w:rsidRPr="00EB77CB">
        <w:rPr>
          <w:color w:val="000000" w:themeColor="text1"/>
        </w:rPr>
        <w:t xml:space="preserve"> </w:t>
      </w:r>
      <w:r w:rsidRPr="00EB77CB">
        <w:rPr>
          <w:rFonts w:asciiTheme="minorHAnsi" w:hAnsiTheme="minorHAnsi"/>
          <w:color w:val="000000" w:themeColor="text1"/>
        </w:rPr>
        <w:t>5.5. (Nuova formulazione). Menga, Sapia</w:t>
      </w:r>
      <w:r w:rsidRPr="00EB77CB">
        <w:rPr>
          <w:color w:val="000000" w:themeColor="text1"/>
        </w:rPr>
        <w:t xml:space="preserve">; </w:t>
      </w:r>
      <w:r w:rsidRPr="00EB77CB">
        <w:rPr>
          <w:rFonts w:asciiTheme="minorHAnsi" w:hAnsiTheme="minorHAnsi"/>
          <w:color w:val="000000" w:themeColor="text1"/>
        </w:rPr>
        <w:t>5.17. (Nuova formulazione). Ciaburro, Caretta, Bellucci, Gemmato, Lucaselli</w:t>
      </w:r>
      <w:r w:rsidRPr="00EB77CB">
        <w:rPr>
          <w:color w:val="000000" w:themeColor="text1"/>
        </w:rPr>
        <w:t xml:space="preserve">; </w:t>
      </w:r>
      <w:r w:rsidRPr="00EB77CB">
        <w:rPr>
          <w:rFonts w:asciiTheme="minorHAnsi" w:hAnsiTheme="minorHAnsi"/>
          <w:color w:val="000000" w:themeColor="text1"/>
        </w:rPr>
        <w:t>5.22. (Nuova formulazione). Bagnasco, Spena, Novelli, Versace, Bond, Brambilla, D'Arrando, Federico, Ianaro, Lorefice, Mammì, Misiti, Nappi, Penna, Provenza, Ruggiero, Sportiello, Villani, Carnevali, De Filippo, Lepri, Pini, Rizzo Nervo, Schirò, Siani</w:t>
      </w:r>
      <w:r w:rsidRPr="00EB77CB">
        <w:rPr>
          <w:color w:val="000000" w:themeColor="text1"/>
        </w:rPr>
        <w:t xml:space="preserve">; </w:t>
      </w:r>
      <w:r w:rsidRPr="00EB77CB">
        <w:rPr>
          <w:rFonts w:asciiTheme="minorHAnsi" w:hAnsiTheme="minorHAnsi"/>
          <w:color w:val="000000" w:themeColor="text1"/>
        </w:rPr>
        <w:t>5.84. (Nuova formulazione). Foscolo, Panizzut, Boldi, Lazzarini, Paolin, Sutto, Tiramani, Zanella</w:t>
      </w:r>
      <w:r w:rsidRPr="006E7081">
        <w:rPr>
          <w:rFonts w:asciiTheme="minorHAnsi" w:hAnsiTheme="minorHAnsi"/>
          <w:color w:val="000000" w:themeColor="text1"/>
          <w:sz w:val="24"/>
          <w:szCs w:val="24"/>
        </w:rPr>
        <w:t>.</w:t>
      </w:r>
    </w:p>
    <w:p w14:paraId="1EEA380C" w14:textId="50610673" w:rsidR="00BD6B17" w:rsidRDefault="00BD6B17">
      <w:pPr>
        <w:pStyle w:val="Testonotaapidipagina"/>
      </w:pPr>
    </w:p>
  </w:footnote>
  <w:footnote w:id="14">
    <w:p w14:paraId="0C363C5A" w14:textId="77777777" w:rsidR="00616C6F" w:rsidRPr="00EB77CB" w:rsidRDefault="00616C6F" w:rsidP="00616C6F">
      <w:pPr>
        <w:jc w:val="both"/>
        <w:rPr>
          <w:rFonts w:asciiTheme="minorHAnsi" w:hAnsiTheme="minorHAnsi"/>
          <w:color w:val="000000" w:themeColor="text1"/>
        </w:rPr>
      </w:pPr>
      <w:r>
        <w:rPr>
          <w:rStyle w:val="Rimandonotaapidipagina"/>
        </w:rPr>
        <w:footnoteRef/>
      </w:r>
      <w:r>
        <w:t xml:space="preserve"> </w:t>
      </w:r>
      <w:r w:rsidRPr="00EB77CB">
        <w:rPr>
          <w:rFonts w:asciiTheme="minorHAnsi" w:hAnsiTheme="minorHAnsi"/>
          <w:color w:val="000000" w:themeColor="text1"/>
        </w:rPr>
        <w:t>5.26. (Nuova formulazione). Mandelli, Saccani Jotti, Bagnasco, Versace, Bond, Novelli, Brambilla, Boldi, De Martini, Foscolo, Lazzarini, Panizzut, Paolin, Sutto, Tiramani, Zanella, Bellucci, Gemmato, Lucaselli.</w:t>
      </w:r>
    </w:p>
    <w:p w14:paraId="71A71938" w14:textId="17B60DB5" w:rsidR="00616C6F" w:rsidRDefault="00616C6F">
      <w:pPr>
        <w:pStyle w:val="Testonotaapidipagina"/>
      </w:pPr>
    </w:p>
  </w:footnote>
  <w:footnote w:id="15">
    <w:p w14:paraId="47D6E472" w14:textId="77777777" w:rsidR="006225CD" w:rsidRPr="001F6527" w:rsidRDefault="006225CD" w:rsidP="006225CD">
      <w:pPr>
        <w:jc w:val="both"/>
        <w:rPr>
          <w:rFonts w:asciiTheme="minorHAnsi" w:hAnsiTheme="minorHAnsi"/>
          <w:color w:val="000000" w:themeColor="text1"/>
        </w:rPr>
      </w:pPr>
      <w:r>
        <w:rPr>
          <w:rStyle w:val="Rimandonotaapidipagina"/>
        </w:rPr>
        <w:footnoteRef/>
      </w:r>
      <w:r>
        <w:t xml:space="preserve"> </w:t>
      </w:r>
      <w:r w:rsidRPr="001F6527">
        <w:rPr>
          <w:rFonts w:asciiTheme="minorHAnsi" w:hAnsiTheme="minorHAnsi"/>
          <w:color w:val="000000" w:themeColor="text1"/>
        </w:rPr>
        <w:t>6.04. (Nuova formulazione). Paolin, Panizzut, Boldi, De Martini, Foscolo, Lazzarini, Sutto, Tiramani, Zanella, Carnevali.</w:t>
      </w:r>
    </w:p>
    <w:p w14:paraId="21F1E0B4" w14:textId="1A06C102" w:rsidR="006225CD" w:rsidRDefault="006225CD">
      <w:pPr>
        <w:pStyle w:val="Testonotaapidipagina"/>
      </w:pPr>
    </w:p>
  </w:footnote>
  <w:footnote w:id="16">
    <w:p w14:paraId="314C4CAF" w14:textId="77777777" w:rsidR="000B30C0" w:rsidRPr="001F6527" w:rsidRDefault="000B30C0" w:rsidP="000B30C0">
      <w:pPr>
        <w:jc w:val="both"/>
        <w:rPr>
          <w:rFonts w:asciiTheme="minorHAnsi" w:hAnsiTheme="minorHAnsi"/>
          <w:color w:val="000000" w:themeColor="text1"/>
        </w:rPr>
      </w:pPr>
      <w:r>
        <w:rPr>
          <w:rStyle w:val="Rimandonotaapidipagina"/>
        </w:rPr>
        <w:footnoteRef/>
      </w:r>
      <w:r>
        <w:t xml:space="preserve"> </w:t>
      </w:r>
      <w:r w:rsidRPr="001F6527">
        <w:rPr>
          <w:rFonts w:asciiTheme="minorHAnsi" w:hAnsiTheme="minorHAnsi"/>
          <w:color w:val="000000" w:themeColor="text1"/>
        </w:rPr>
        <w:t>7.08. (ex 7.100) (Nuova formulazione). Noja, Marco Di Maio</w:t>
      </w:r>
      <w:r w:rsidRPr="001F6527">
        <w:rPr>
          <w:color w:val="000000" w:themeColor="text1"/>
        </w:rPr>
        <w:t xml:space="preserve">; </w:t>
      </w:r>
      <w:r w:rsidRPr="001F6527">
        <w:rPr>
          <w:rFonts w:asciiTheme="minorHAnsi" w:hAnsiTheme="minorHAnsi"/>
          <w:color w:val="000000" w:themeColor="text1"/>
        </w:rPr>
        <w:t>7.07. (Nuova formulazione). Giuliano, Ianaro.</w:t>
      </w:r>
    </w:p>
    <w:p w14:paraId="076551CF" w14:textId="5726B03D" w:rsidR="000B30C0" w:rsidRDefault="000B30C0">
      <w:pPr>
        <w:pStyle w:val="Testonotaapidipagina"/>
      </w:pPr>
    </w:p>
  </w:footnote>
  <w:footnote w:id="17">
    <w:p w14:paraId="53200D4F" w14:textId="77777777" w:rsidR="00924250" w:rsidRPr="001F6527" w:rsidRDefault="00924250" w:rsidP="00924250">
      <w:pPr>
        <w:jc w:val="both"/>
        <w:rPr>
          <w:rFonts w:asciiTheme="minorHAnsi" w:hAnsiTheme="minorHAnsi"/>
          <w:color w:val="000000" w:themeColor="text1"/>
        </w:rPr>
      </w:pPr>
      <w:r>
        <w:rPr>
          <w:rStyle w:val="Rimandonotaapidipagina"/>
        </w:rPr>
        <w:footnoteRef/>
      </w:r>
      <w:r>
        <w:t xml:space="preserve"> </w:t>
      </w:r>
      <w:r w:rsidRPr="001F6527">
        <w:rPr>
          <w:rFonts w:asciiTheme="minorHAnsi" w:hAnsiTheme="minorHAnsi"/>
          <w:color w:val="000000" w:themeColor="text1"/>
        </w:rPr>
        <w:t>13.02. Sutto, Binelli, Vanessa Cattoi, Loss</w:t>
      </w:r>
      <w:r w:rsidRPr="001F6527">
        <w:rPr>
          <w:color w:val="000000" w:themeColor="text1"/>
        </w:rPr>
        <w:t xml:space="preserve">; </w:t>
      </w:r>
      <w:r w:rsidRPr="001F6527">
        <w:rPr>
          <w:rFonts w:asciiTheme="minorHAnsi" w:hAnsiTheme="minorHAnsi"/>
          <w:color w:val="000000" w:themeColor="text1"/>
        </w:rPr>
        <w:t>13.01. (Nuova formulazione). Gebhard, Plangger, Schullian, Emanuela Rossini, Stumpo.</w:t>
      </w:r>
    </w:p>
    <w:p w14:paraId="6AD79CB4" w14:textId="0FAB65B8" w:rsidR="00924250" w:rsidRDefault="00924250">
      <w:pPr>
        <w:pStyle w:val="Testonotaapidipagina"/>
      </w:pPr>
    </w:p>
  </w:footnote>
  <w:footnote w:id="18">
    <w:p w14:paraId="3A83ED4E" w14:textId="77777777" w:rsidR="001956A3" w:rsidRPr="00EB77CB" w:rsidRDefault="001956A3" w:rsidP="001956A3">
      <w:pPr>
        <w:jc w:val="both"/>
        <w:rPr>
          <w:rFonts w:asciiTheme="minorHAnsi" w:hAnsiTheme="minorHAnsi"/>
          <w:color w:val="000000" w:themeColor="text1"/>
        </w:rPr>
      </w:pPr>
      <w:r>
        <w:rPr>
          <w:rStyle w:val="Rimandonotaapidipagina"/>
        </w:rPr>
        <w:footnoteRef/>
      </w:r>
      <w:r>
        <w:t xml:space="preserve"> </w:t>
      </w:r>
      <w:r w:rsidRPr="00EB77CB">
        <w:rPr>
          <w:rFonts w:asciiTheme="minorHAnsi" w:hAnsiTheme="minorHAnsi"/>
          <w:color w:val="000000" w:themeColor="text1"/>
        </w:rPr>
        <w:t>6.3. Paita, Noja</w:t>
      </w:r>
      <w:r w:rsidRPr="00EB77CB">
        <w:rPr>
          <w:color w:val="000000" w:themeColor="text1"/>
        </w:rPr>
        <w:t xml:space="preserve">; </w:t>
      </w:r>
      <w:r w:rsidRPr="00EB77CB">
        <w:rPr>
          <w:rFonts w:asciiTheme="minorHAnsi" w:hAnsiTheme="minorHAnsi"/>
          <w:color w:val="000000" w:themeColor="text1"/>
        </w:rPr>
        <w:t>6.7. Maccanti, Donina, Rixi, Fogliani, Furgiuele, Giacometti, Tombolato, Zanella, Zordan, Capitanio, Boldi, Foscolo, Lazzarini, Panizzut, Paolin, Sutto</w:t>
      </w:r>
      <w:r w:rsidRPr="00EB77CB">
        <w:rPr>
          <w:color w:val="000000" w:themeColor="text1"/>
        </w:rPr>
        <w:t xml:space="preserve">; </w:t>
      </w:r>
      <w:r w:rsidRPr="00EB77CB">
        <w:rPr>
          <w:rFonts w:asciiTheme="minorHAnsi" w:hAnsiTheme="minorHAnsi"/>
          <w:color w:val="000000" w:themeColor="text1"/>
        </w:rPr>
        <w:t>6.9. Tiramani, Panizzut, Boldi, De Martini, Foscolo, Lazzarini, Paolin, Sutto, Zanella</w:t>
      </w:r>
      <w:r w:rsidRPr="00EB77CB">
        <w:rPr>
          <w:color w:val="000000" w:themeColor="text1"/>
        </w:rPr>
        <w:t xml:space="preserve">; </w:t>
      </w:r>
      <w:r w:rsidRPr="00EB77CB">
        <w:rPr>
          <w:rFonts w:asciiTheme="minorHAnsi" w:hAnsiTheme="minorHAnsi"/>
          <w:color w:val="000000" w:themeColor="text1"/>
        </w:rPr>
        <w:t>6.11. Gariglio, Carnevali</w:t>
      </w:r>
      <w:r w:rsidRPr="00EB77CB">
        <w:rPr>
          <w:color w:val="000000" w:themeColor="text1"/>
        </w:rPr>
        <w:t xml:space="preserve">; </w:t>
      </w:r>
      <w:r w:rsidRPr="00EB77CB">
        <w:rPr>
          <w:rFonts w:asciiTheme="minorHAnsi" w:hAnsiTheme="minorHAnsi"/>
          <w:color w:val="000000" w:themeColor="text1"/>
        </w:rPr>
        <w:t>6.12. D'Ettore, Bagnasco, Novelli.</w:t>
      </w:r>
    </w:p>
    <w:p w14:paraId="04B27140" w14:textId="72338C18" w:rsidR="001956A3" w:rsidRDefault="001956A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4F01D170" w:rsidR="00A06B48" w:rsidRDefault="00A06B48"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2CFDD970" w:rsidR="00A06B48" w:rsidRPr="00A82891" w:rsidRDefault="00A06B48"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0D033480" w:rsidR="00A06B48" w:rsidRDefault="00A06B48"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20E62"/>
    <w:rsid w:val="000312C3"/>
    <w:rsid w:val="000331CC"/>
    <w:rsid w:val="000334E1"/>
    <w:rsid w:val="00033C4F"/>
    <w:rsid w:val="00040E4A"/>
    <w:rsid w:val="00042E03"/>
    <w:rsid w:val="00043185"/>
    <w:rsid w:val="0004407E"/>
    <w:rsid w:val="00051A57"/>
    <w:rsid w:val="000525CC"/>
    <w:rsid w:val="0005286F"/>
    <w:rsid w:val="000548FD"/>
    <w:rsid w:val="00055E6C"/>
    <w:rsid w:val="00056A4A"/>
    <w:rsid w:val="00062B9B"/>
    <w:rsid w:val="00065D85"/>
    <w:rsid w:val="00082471"/>
    <w:rsid w:val="0009180C"/>
    <w:rsid w:val="00093EF1"/>
    <w:rsid w:val="00095FE5"/>
    <w:rsid w:val="000A078D"/>
    <w:rsid w:val="000A0A41"/>
    <w:rsid w:val="000B30C0"/>
    <w:rsid w:val="000B4E72"/>
    <w:rsid w:val="000B5768"/>
    <w:rsid w:val="000B5D07"/>
    <w:rsid w:val="000C2735"/>
    <w:rsid w:val="000C32B0"/>
    <w:rsid w:val="000C3A15"/>
    <w:rsid w:val="000C45FD"/>
    <w:rsid w:val="000C50F1"/>
    <w:rsid w:val="000C7656"/>
    <w:rsid w:val="000D6B51"/>
    <w:rsid w:val="000D78D2"/>
    <w:rsid w:val="000E2A19"/>
    <w:rsid w:val="000E58CB"/>
    <w:rsid w:val="000E653E"/>
    <w:rsid w:val="000F53CD"/>
    <w:rsid w:val="000F7413"/>
    <w:rsid w:val="000F7F93"/>
    <w:rsid w:val="00105332"/>
    <w:rsid w:val="0011107C"/>
    <w:rsid w:val="00112F2F"/>
    <w:rsid w:val="00113CFE"/>
    <w:rsid w:val="00113F64"/>
    <w:rsid w:val="001157EA"/>
    <w:rsid w:val="00115AA5"/>
    <w:rsid w:val="0012190D"/>
    <w:rsid w:val="00125203"/>
    <w:rsid w:val="00125CBA"/>
    <w:rsid w:val="00126E8F"/>
    <w:rsid w:val="0013117C"/>
    <w:rsid w:val="00133E8D"/>
    <w:rsid w:val="00134C90"/>
    <w:rsid w:val="00134CFD"/>
    <w:rsid w:val="00135CEE"/>
    <w:rsid w:val="00136AAD"/>
    <w:rsid w:val="00137B3F"/>
    <w:rsid w:val="001406E9"/>
    <w:rsid w:val="001413DF"/>
    <w:rsid w:val="00141485"/>
    <w:rsid w:val="001434D9"/>
    <w:rsid w:val="00150DE0"/>
    <w:rsid w:val="0015538C"/>
    <w:rsid w:val="00156165"/>
    <w:rsid w:val="001636BB"/>
    <w:rsid w:val="00165484"/>
    <w:rsid w:val="00166CB1"/>
    <w:rsid w:val="0017004E"/>
    <w:rsid w:val="001718BB"/>
    <w:rsid w:val="00171C64"/>
    <w:rsid w:val="0017636E"/>
    <w:rsid w:val="0017723D"/>
    <w:rsid w:val="00182895"/>
    <w:rsid w:val="00187D36"/>
    <w:rsid w:val="0019195A"/>
    <w:rsid w:val="001927D7"/>
    <w:rsid w:val="00195034"/>
    <w:rsid w:val="001956A3"/>
    <w:rsid w:val="001A1A70"/>
    <w:rsid w:val="001A22CF"/>
    <w:rsid w:val="001A275C"/>
    <w:rsid w:val="001A669C"/>
    <w:rsid w:val="001A749A"/>
    <w:rsid w:val="001B3F84"/>
    <w:rsid w:val="001B687E"/>
    <w:rsid w:val="001C0AB0"/>
    <w:rsid w:val="001C56A3"/>
    <w:rsid w:val="001D04E2"/>
    <w:rsid w:val="001D1E46"/>
    <w:rsid w:val="001F378B"/>
    <w:rsid w:val="001F5EA4"/>
    <w:rsid w:val="001F6D3A"/>
    <w:rsid w:val="001F75AD"/>
    <w:rsid w:val="0020198A"/>
    <w:rsid w:val="00201A99"/>
    <w:rsid w:val="00201AFD"/>
    <w:rsid w:val="00205D32"/>
    <w:rsid w:val="0020737D"/>
    <w:rsid w:val="0021022B"/>
    <w:rsid w:val="00211BFD"/>
    <w:rsid w:val="00213445"/>
    <w:rsid w:val="0021358A"/>
    <w:rsid w:val="00214034"/>
    <w:rsid w:val="00215E69"/>
    <w:rsid w:val="00220748"/>
    <w:rsid w:val="0022078B"/>
    <w:rsid w:val="00226A4C"/>
    <w:rsid w:val="002273FB"/>
    <w:rsid w:val="00227FEC"/>
    <w:rsid w:val="00234096"/>
    <w:rsid w:val="00235445"/>
    <w:rsid w:val="00236326"/>
    <w:rsid w:val="0024213A"/>
    <w:rsid w:val="00245F0E"/>
    <w:rsid w:val="00251FEF"/>
    <w:rsid w:val="00252A4F"/>
    <w:rsid w:val="002565F2"/>
    <w:rsid w:val="00262713"/>
    <w:rsid w:val="00262F41"/>
    <w:rsid w:val="00264750"/>
    <w:rsid w:val="002739D4"/>
    <w:rsid w:val="0027465D"/>
    <w:rsid w:val="00276E23"/>
    <w:rsid w:val="00283401"/>
    <w:rsid w:val="00283714"/>
    <w:rsid w:val="002846E6"/>
    <w:rsid w:val="002857B8"/>
    <w:rsid w:val="00285A07"/>
    <w:rsid w:val="002870B4"/>
    <w:rsid w:val="00291278"/>
    <w:rsid w:val="00294ADF"/>
    <w:rsid w:val="0029625E"/>
    <w:rsid w:val="002971FC"/>
    <w:rsid w:val="002A02BE"/>
    <w:rsid w:val="002A0A24"/>
    <w:rsid w:val="002B44C9"/>
    <w:rsid w:val="002C7E0D"/>
    <w:rsid w:val="002D4D31"/>
    <w:rsid w:val="002D6ED1"/>
    <w:rsid w:val="002D7720"/>
    <w:rsid w:val="002E1C7C"/>
    <w:rsid w:val="002E413C"/>
    <w:rsid w:val="002F18B4"/>
    <w:rsid w:val="002F2BAA"/>
    <w:rsid w:val="002F7AEC"/>
    <w:rsid w:val="00304A7A"/>
    <w:rsid w:val="003063A8"/>
    <w:rsid w:val="003078B7"/>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41212"/>
    <w:rsid w:val="0034367D"/>
    <w:rsid w:val="00346C59"/>
    <w:rsid w:val="00351552"/>
    <w:rsid w:val="00354FAF"/>
    <w:rsid w:val="0035669D"/>
    <w:rsid w:val="003607B7"/>
    <w:rsid w:val="0036194E"/>
    <w:rsid w:val="00363304"/>
    <w:rsid w:val="00364A97"/>
    <w:rsid w:val="00366E11"/>
    <w:rsid w:val="00372076"/>
    <w:rsid w:val="00375658"/>
    <w:rsid w:val="00377D10"/>
    <w:rsid w:val="003801C6"/>
    <w:rsid w:val="003905DB"/>
    <w:rsid w:val="00397931"/>
    <w:rsid w:val="003A0287"/>
    <w:rsid w:val="003B5530"/>
    <w:rsid w:val="003B55CF"/>
    <w:rsid w:val="003B618F"/>
    <w:rsid w:val="003C0333"/>
    <w:rsid w:val="003C13CE"/>
    <w:rsid w:val="003C2822"/>
    <w:rsid w:val="003C382C"/>
    <w:rsid w:val="003C3FF0"/>
    <w:rsid w:val="003D1E5D"/>
    <w:rsid w:val="003D24F9"/>
    <w:rsid w:val="003D2A0B"/>
    <w:rsid w:val="003D492A"/>
    <w:rsid w:val="003D602D"/>
    <w:rsid w:val="003D6F56"/>
    <w:rsid w:val="003E19B6"/>
    <w:rsid w:val="003E6C3F"/>
    <w:rsid w:val="003E7840"/>
    <w:rsid w:val="003F032E"/>
    <w:rsid w:val="003F2553"/>
    <w:rsid w:val="003F3306"/>
    <w:rsid w:val="003F51F8"/>
    <w:rsid w:val="004033D2"/>
    <w:rsid w:val="004035C7"/>
    <w:rsid w:val="004041F4"/>
    <w:rsid w:val="00410BE0"/>
    <w:rsid w:val="00410C42"/>
    <w:rsid w:val="0041357C"/>
    <w:rsid w:val="00420460"/>
    <w:rsid w:val="004226BC"/>
    <w:rsid w:val="00422E52"/>
    <w:rsid w:val="00424DB6"/>
    <w:rsid w:val="00434AA2"/>
    <w:rsid w:val="00440F4A"/>
    <w:rsid w:val="00441A04"/>
    <w:rsid w:val="00450D5B"/>
    <w:rsid w:val="004519D7"/>
    <w:rsid w:val="004532C6"/>
    <w:rsid w:val="004545F6"/>
    <w:rsid w:val="00454637"/>
    <w:rsid w:val="00456787"/>
    <w:rsid w:val="0045727A"/>
    <w:rsid w:val="00465F1C"/>
    <w:rsid w:val="00470EC5"/>
    <w:rsid w:val="00473B76"/>
    <w:rsid w:val="004764A8"/>
    <w:rsid w:val="0048054C"/>
    <w:rsid w:val="00481C8C"/>
    <w:rsid w:val="004832BA"/>
    <w:rsid w:val="0048371F"/>
    <w:rsid w:val="004850A2"/>
    <w:rsid w:val="00487615"/>
    <w:rsid w:val="004A76FE"/>
    <w:rsid w:val="004B288A"/>
    <w:rsid w:val="004B4327"/>
    <w:rsid w:val="004B7F8A"/>
    <w:rsid w:val="004C00AE"/>
    <w:rsid w:val="004C0C9F"/>
    <w:rsid w:val="004C16CF"/>
    <w:rsid w:val="004C6F62"/>
    <w:rsid w:val="004C7ECF"/>
    <w:rsid w:val="004D04A9"/>
    <w:rsid w:val="004D0F93"/>
    <w:rsid w:val="004D4424"/>
    <w:rsid w:val="004D533E"/>
    <w:rsid w:val="004D588C"/>
    <w:rsid w:val="004D72A3"/>
    <w:rsid w:val="004D7FDD"/>
    <w:rsid w:val="004E4696"/>
    <w:rsid w:val="004E56A0"/>
    <w:rsid w:val="004E6060"/>
    <w:rsid w:val="004F0EE3"/>
    <w:rsid w:val="004F227F"/>
    <w:rsid w:val="004F5448"/>
    <w:rsid w:val="0050205B"/>
    <w:rsid w:val="005028B7"/>
    <w:rsid w:val="00505A7D"/>
    <w:rsid w:val="00507E3D"/>
    <w:rsid w:val="00510FB9"/>
    <w:rsid w:val="005127BF"/>
    <w:rsid w:val="005155CB"/>
    <w:rsid w:val="00516E7D"/>
    <w:rsid w:val="005171AF"/>
    <w:rsid w:val="00522697"/>
    <w:rsid w:val="00523A2C"/>
    <w:rsid w:val="00525326"/>
    <w:rsid w:val="00533418"/>
    <w:rsid w:val="005334F4"/>
    <w:rsid w:val="005345AF"/>
    <w:rsid w:val="00535DE3"/>
    <w:rsid w:val="0053600A"/>
    <w:rsid w:val="00536959"/>
    <w:rsid w:val="00537EE1"/>
    <w:rsid w:val="00541E41"/>
    <w:rsid w:val="005455B5"/>
    <w:rsid w:val="00553F54"/>
    <w:rsid w:val="00562CBE"/>
    <w:rsid w:val="005705AA"/>
    <w:rsid w:val="0057099F"/>
    <w:rsid w:val="00571386"/>
    <w:rsid w:val="00572BE9"/>
    <w:rsid w:val="0057525D"/>
    <w:rsid w:val="005753C8"/>
    <w:rsid w:val="0058489B"/>
    <w:rsid w:val="00590380"/>
    <w:rsid w:val="00592362"/>
    <w:rsid w:val="005926F7"/>
    <w:rsid w:val="005934CD"/>
    <w:rsid w:val="005A0F9A"/>
    <w:rsid w:val="005B1E86"/>
    <w:rsid w:val="005B3648"/>
    <w:rsid w:val="005B48F7"/>
    <w:rsid w:val="005B4FD5"/>
    <w:rsid w:val="005B74C3"/>
    <w:rsid w:val="005C16F5"/>
    <w:rsid w:val="005C4A39"/>
    <w:rsid w:val="005C7C10"/>
    <w:rsid w:val="005D50F5"/>
    <w:rsid w:val="005D520C"/>
    <w:rsid w:val="005D53A6"/>
    <w:rsid w:val="005E0892"/>
    <w:rsid w:val="005E472D"/>
    <w:rsid w:val="005E72C2"/>
    <w:rsid w:val="005F1255"/>
    <w:rsid w:val="005F1A2D"/>
    <w:rsid w:val="005F27F8"/>
    <w:rsid w:val="005F4267"/>
    <w:rsid w:val="006054DE"/>
    <w:rsid w:val="00605EB9"/>
    <w:rsid w:val="00606053"/>
    <w:rsid w:val="0061002C"/>
    <w:rsid w:val="00616C6F"/>
    <w:rsid w:val="006173DE"/>
    <w:rsid w:val="0062159B"/>
    <w:rsid w:val="006225CD"/>
    <w:rsid w:val="00623045"/>
    <w:rsid w:val="00623577"/>
    <w:rsid w:val="006361BB"/>
    <w:rsid w:val="00644AD8"/>
    <w:rsid w:val="006508D0"/>
    <w:rsid w:val="006517AA"/>
    <w:rsid w:val="00652AF5"/>
    <w:rsid w:val="00652CF5"/>
    <w:rsid w:val="00652DC6"/>
    <w:rsid w:val="00653758"/>
    <w:rsid w:val="0065552E"/>
    <w:rsid w:val="0065699F"/>
    <w:rsid w:val="00656B6D"/>
    <w:rsid w:val="006603A2"/>
    <w:rsid w:val="00666366"/>
    <w:rsid w:val="00671FC2"/>
    <w:rsid w:val="00677E92"/>
    <w:rsid w:val="00682580"/>
    <w:rsid w:val="006839D6"/>
    <w:rsid w:val="0069179E"/>
    <w:rsid w:val="006973EE"/>
    <w:rsid w:val="006A144C"/>
    <w:rsid w:val="006A1DE0"/>
    <w:rsid w:val="006A579B"/>
    <w:rsid w:val="006B30B2"/>
    <w:rsid w:val="006B56BC"/>
    <w:rsid w:val="006C4C74"/>
    <w:rsid w:val="006D1C75"/>
    <w:rsid w:val="006D2F23"/>
    <w:rsid w:val="006E2B63"/>
    <w:rsid w:val="006E302B"/>
    <w:rsid w:val="006E522F"/>
    <w:rsid w:val="006E7E70"/>
    <w:rsid w:val="006F455D"/>
    <w:rsid w:val="006F5E11"/>
    <w:rsid w:val="006F6F3C"/>
    <w:rsid w:val="00704B03"/>
    <w:rsid w:val="007053B8"/>
    <w:rsid w:val="0070663F"/>
    <w:rsid w:val="007156B5"/>
    <w:rsid w:val="007207DA"/>
    <w:rsid w:val="0072446D"/>
    <w:rsid w:val="0072734B"/>
    <w:rsid w:val="007329D0"/>
    <w:rsid w:val="00734D39"/>
    <w:rsid w:val="007364A2"/>
    <w:rsid w:val="00740F55"/>
    <w:rsid w:val="00744976"/>
    <w:rsid w:val="0074650F"/>
    <w:rsid w:val="00747EC8"/>
    <w:rsid w:val="00750EB1"/>
    <w:rsid w:val="00751D46"/>
    <w:rsid w:val="00753E34"/>
    <w:rsid w:val="00754B81"/>
    <w:rsid w:val="0076318E"/>
    <w:rsid w:val="0077029C"/>
    <w:rsid w:val="0077462B"/>
    <w:rsid w:val="007754B1"/>
    <w:rsid w:val="007811E7"/>
    <w:rsid w:val="007831F4"/>
    <w:rsid w:val="00783AF0"/>
    <w:rsid w:val="00792ADB"/>
    <w:rsid w:val="00793B10"/>
    <w:rsid w:val="00793CC1"/>
    <w:rsid w:val="007A1606"/>
    <w:rsid w:val="007A303D"/>
    <w:rsid w:val="007A35B6"/>
    <w:rsid w:val="007A66FC"/>
    <w:rsid w:val="007B16C8"/>
    <w:rsid w:val="007B3A12"/>
    <w:rsid w:val="007B4730"/>
    <w:rsid w:val="007B5023"/>
    <w:rsid w:val="007B5275"/>
    <w:rsid w:val="007C3B1E"/>
    <w:rsid w:val="007C436B"/>
    <w:rsid w:val="007C573D"/>
    <w:rsid w:val="007C70BC"/>
    <w:rsid w:val="007D14FF"/>
    <w:rsid w:val="007D36E1"/>
    <w:rsid w:val="007D51FE"/>
    <w:rsid w:val="007D7409"/>
    <w:rsid w:val="007D74F4"/>
    <w:rsid w:val="007E1F1F"/>
    <w:rsid w:val="007E4D43"/>
    <w:rsid w:val="007E4F90"/>
    <w:rsid w:val="007E5FDD"/>
    <w:rsid w:val="007F0465"/>
    <w:rsid w:val="007F2DFA"/>
    <w:rsid w:val="007F34E5"/>
    <w:rsid w:val="007F4B1D"/>
    <w:rsid w:val="007F50A8"/>
    <w:rsid w:val="00800796"/>
    <w:rsid w:val="00800D74"/>
    <w:rsid w:val="0080396B"/>
    <w:rsid w:val="008039B2"/>
    <w:rsid w:val="00804187"/>
    <w:rsid w:val="00816A2D"/>
    <w:rsid w:val="00820CB4"/>
    <w:rsid w:val="008246C0"/>
    <w:rsid w:val="00830635"/>
    <w:rsid w:val="008413E2"/>
    <w:rsid w:val="0084772D"/>
    <w:rsid w:val="00850907"/>
    <w:rsid w:val="00854469"/>
    <w:rsid w:val="008555E4"/>
    <w:rsid w:val="0086411D"/>
    <w:rsid w:val="00873812"/>
    <w:rsid w:val="0088040D"/>
    <w:rsid w:val="00880CE0"/>
    <w:rsid w:val="008857CB"/>
    <w:rsid w:val="00885EE4"/>
    <w:rsid w:val="00891EE5"/>
    <w:rsid w:val="00892983"/>
    <w:rsid w:val="0089371A"/>
    <w:rsid w:val="008978CE"/>
    <w:rsid w:val="008A1436"/>
    <w:rsid w:val="008A15BB"/>
    <w:rsid w:val="008A2963"/>
    <w:rsid w:val="008A2975"/>
    <w:rsid w:val="008A5034"/>
    <w:rsid w:val="008A5AAC"/>
    <w:rsid w:val="008A7373"/>
    <w:rsid w:val="008B2177"/>
    <w:rsid w:val="008C1950"/>
    <w:rsid w:val="008C6A11"/>
    <w:rsid w:val="008D0E7A"/>
    <w:rsid w:val="008D3ABD"/>
    <w:rsid w:val="008D403E"/>
    <w:rsid w:val="008D50F8"/>
    <w:rsid w:val="008D5A12"/>
    <w:rsid w:val="008E3353"/>
    <w:rsid w:val="008E3C4F"/>
    <w:rsid w:val="008F0165"/>
    <w:rsid w:val="008F1B4E"/>
    <w:rsid w:val="008F456C"/>
    <w:rsid w:val="008F7901"/>
    <w:rsid w:val="00902675"/>
    <w:rsid w:val="00903114"/>
    <w:rsid w:val="00906464"/>
    <w:rsid w:val="00906668"/>
    <w:rsid w:val="00906D72"/>
    <w:rsid w:val="0090746A"/>
    <w:rsid w:val="00911352"/>
    <w:rsid w:val="009154FE"/>
    <w:rsid w:val="00916000"/>
    <w:rsid w:val="00917B1C"/>
    <w:rsid w:val="0092229A"/>
    <w:rsid w:val="00924250"/>
    <w:rsid w:val="00924849"/>
    <w:rsid w:val="00930666"/>
    <w:rsid w:val="00930989"/>
    <w:rsid w:val="00936B62"/>
    <w:rsid w:val="00936FBB"/>
    <w:rsid w:val="00937028"/>
    <w:rsid w:val="009407F9"/>
    <w:rsid w:val="009413E8"/>
    <w:rsid w:val="00950203"/>
    <w:rsid w:val="00950DD3"/>
    <w:rsid w:val="009511AE"/>
    <w:rsid w:val="00952A50"/>
    <w:rsid w:val="00954A51"/>
    <w:rsid w:val="00954CF6"/>
    <w:rsid w:val="00954E5F"/>
    <w:rsid w:val="00954FA6"/>
    <w:rsid w:val="009553AE"/>
    <w:rsid w:val="00955763"/>
    <w:rsid w:val="00956698"/>
    <w:rsid w:val="0096056C"/>
    <w:rsid w:val="009624C1"/>
    <w:rsid w:val="009636B3"/>
    <w:rsid w:val="00966AE2"/>
    <w:rsid w:val="00971381"/>
    <w:rsid w:val="00972961"/>
    <w:rsid w:val="00972AC9"/>
    <w:rsid w:val="00974127"/>
    <w:rsid w:val="00977105"/>
    <w:rsid w:val="0099337D"/>
    <w:rsid w:val="00993538"/>
    <w:rsid w:val="00994F45"/>
    <w:rsid w:val="009962ED"/>
    <w:rsid w:val="009A74B2"/>
    <w:rsid w:val="009B23A9"/>
    <w:rsid w:val="009B2899"/>
    <w:rsid w:val="009B53F9"/>
    <w:rsid w:val="009C53EF"/>
    <w:rsid w:val="009C570D"/>
    <w:rsid w:val="009D4C28"/>
    <w:rsid w:val="009E014F"/>
    <w:rsid w:val="009F11A4"/>
    <w:rsid w:val="009F26AF"/>
    <w:rsid w:val="009F3802"/>
    <w:rsid w:val="009F3C67"/>
    <w:rsid w:val="009F5D98"/>
    <w:rsid w:val="00A00765"/>
    <w:rsid w:val="00A03B51"/>
    <w:rsid w:val="00A06B48"/>
    <w:rsid w:val="00A07323"/>
    <w:rsid w:val="00A07672"/>
    <w:rsid w:val="00A16EC0"/>
    <w:rsid w:val="00A16FC1"/>
    <w:rsid w:val="00A20BEE"/>
    <w:rsid w:val="00A21E66"/>
    <w:rsid w:val="00A24F3A"/>
    <w:rsid w:val="00A30BD7"/>
    <w:rsid w:val="00A313F5"/>
    <w:rsid w:val="00A33CDD"/>
    <w:rsid w:val="00A34AE9"/>
    <w:rsid w:val="00A37720"/>
    <w:rsid w:val="00A43B43"/>
    <w:rsid w:val="00A5014D"/>
    <w:rsid w:val="00A51DA0"/>
    <w:rsid w:val="00A5211E"/>
    <w:rsid w:val="00A54685"/>
    <w:rsid w:val="00A55A78"/>
    <w:rsid w:val="00A61AF7"/>
    <w:rsid w:val="00A6378C"/>
    <w:rsid w:val="00A67759"/>
    <w:rsid w:val="00A705D9"/>
    <w:rsid w:val="00A75719"/>
    <w:rsid w:val="00A808EB"/>
    <w:rsid w:val="00A82891"/>
    <w:rsid w:val="00A854AD"/>
    <w:rsid w:val="00A918F9"/>
    <w:rsid w:val="00A92EF0"/>
    <w:rsid w:val="00AA11AD"/>
    <w:rsid w:val="00AA120E"/>
    <w:rsid w:val="00AA127C"/>
    <w:rsid w:val="00AA5107"/>
    <w:rsid w:val="00AA706F"/>
    <w:rsid w:val="00AB6F71"/>
    <w:rsid w:val="00AC111B"/>
    <w:rsid w:val="00AC18FC"/>
    <w:rsid w:val="00AC2E79"/>
    <w:rsid w:val="00AC3A3B"/>
    <w:rsid w:val="00AD1B0C"/>
    <w:rsid w:val="00AD3DA4"/>
    <w:rsid w:val="00AD5AFD"/>
    <w:rsid w:val="00AE708D"/>
    <w:rsid w:val="00AF590A"/>
    <w:rsid w:val="00B0286F"/>
    <w:rsid w:val="00B07423"/>
    <w:rsid w:val="00B10817"/>
    <w:rsid w:val="00B10821"/>
    <w:rsid w:val="00B13F9F"/>
    <w:rsid w:val="00B159D2"/>
    <w:rsid w:val="00B16393"/>
    <w:rsid w:val="00B2344F"/>
    <w:rsid w:val="00B23C5F"/>
    <w:rsid w:val="00B2603D"/>
    <w:rsid w:val="00B26435"/>
    <w:rsid w:val="00B32CFF"/>
    <w:rsid w:val="00B32F3D"/>
    <w:rsid w:val="00B32FC9"/>
    <w:rsid w:val="00B34C24"/>
    <w:rsid w:val="00B379AF"/>
    <w:rsid w:val="00B42702"/>
    <w:rsid w:val="00B42FCB"/>
    <w:rsid w:val="00B4529F"/>
    <w:rsid w:val="00B45315"/>
    <w:rsid w:val="00B467E0"/>
    <w:rsid w:val="00B51638"/>
    <w:rsid w:val="00B520D6"/>
    <w:rsid w:val="00B522DE"/>
    <w:rsid w:val="00B5230B"/>
    <w:rsid w:val="00B52F6C"/>
    <w:rsid w:val="00B56801"/>
    <w:rsid w:val="00B61054"/>
    <w:rsid w:val="00B62016"/>
    <w:rsid w:val="00B6290E"/>
    <w:rsid w:val="00B645F5"/>
    <w:rsid w:val="00B67116"/>
    <w:rsid w:val="00B67C39"/>
    <w:rsid w:val="00B7653B"/>
    <w:rsid w:val="00B76C9A"/>
    <w:rsid w:val="00B778D4"/>
    <w:rsid w:val="00B82448"/>
    <w:rsid w:val="00B82DA5"/>
    <w:rsid w:val="00B93B12"/>
    <w:rsid w:val="00B95499"/>
    <w:rsid w:val="00BA3423"/>
    <w:rsid w:val="00BA3516"/>
    <w:rsid w:val="00BB2691"/>
    <w:rsid w:val="00BB608C"/>
    <w:rsid w:val="00BB62AF"/>
    <w:rsid w:val="00BC14B9"/>
    <w:rsid w:val="00BC2C29"/>
    <w:rsid w:val="00BC2F2E"/>
    <w:rsid w:val="00BC2F98"/>
    <w:rsid w:val="00BC49F4"/>
    <w:rsid w:val="00BC4B89"/>
    <w:rsid w:val="00BD155F"/>
    <w:rsid w:val="00BD415D"/>
    <w:rsid w:val="00BD4A22"/>
    <w:rsid w:val="00BD52BC"/>
    <w:rsid w:val="00BD6B17"/>
    <w:rsid w:val="00BE1D3A"/>
    <w:rsid w:val="00BE31DC"/>
    <w:rsid w:val="00BE3369"/>
    <w:rsid w:val="00BE3672"/>
    <w:rsid w:val="00BE3C18"/>
    <w:rsid w:val="00BE42ED"/>
    <w:rsid w:val="00BE485A"/>
    <w:rsid w:val="00BE50CB"/>
    <w:rsid w:val="00BE5171"/>
    <w:rsid w:val="00BE5A1B"/>
    <w:rsid w:val="00BE5EE1"/>
    <w:rsid w:val="00BE6A6C"/>
    <w:rsid w:val="00BF1F82"/>
    <w:rsid w:val="00C02901"/>
    <w:rsid w:val="00C051A0"/>
    <w:rsid w:val="00C0623F"/>
    <w:rsid w:val="00C13B2F"/>
    <w:rsid w:val="00C14E8D"/>
    <w:rsid w:val="00C2005D"/>
    <w:rsid w:val="00C20DE6"/>
    <w:rsid w:val="00C2564D"/>
    <w:rsid w:val="00C27BE4"/>
    <w:rsid w:val="00C32577"/>
    <w:rsid w:val="00C4624D"/>
    <w:rsid w:val="00C466AF"/>
    <w:rsid w:val="00C50F7C"/>
    <w:rsid w:val="00C51C68"/>
    <w:rsid w:val="00C5243A"/>
    <w:rsid w:val="00C553DF"/>
    <w:rsid w:val="00C65A6F"/>
    <w:rsid w:val="00C76E5E"/>
    <w:rsid w:val="00C77FEA"/>
    <w:rsid w:val="00C86438"/>
    <w:rsid w:val="00C86901"/>
    <w:rsid w:val="00C8754B"/>
    <w:rsid w:val="00C908BC"/>
    <w:rsid w:val="00C91B38"/>
    <w:rsid w:val="00C9381B"/>
    <w:rsid w:val="00C93C0E"/>
    <w:rsid w:val="00C973FC"/>
    <w:rsid w:val="00CA6FB6"/>
    <w:rsid w:val="00CA7386"/>
    <w:rsid w:val="00CB0296"/>
    <w:rsid w:val="00CB2D1D"/>
    <w:rsid w:val="00CB3CA1"/>
    <w:rsid w:val="00CB5E62"/>
    <w:rsid w:val="00CB5F02"/>
    <w:rsid w:val="00CC165B"/>
    <w:rsid w:val="00CC3DC5"/>
    <w:rsid w:val="00CC46ED"/>
    <w:rsid w:val="00CD386D"/>
    <w:rsid w:val="00CE0751"/>
    <w:rsid w:val="00CE5181"/>
    <w:rsid w:val="00CE64F8"/>
    <w:rsid w:val="00CE692C"/>
    <w:rsid w:val="00CE7AE2"/>
    <w:rsid w:val="00CF5ED7"/>
    <w:rsid w:val="00D015AC"/>
    <w:rsid w:val="00D025C8"/>
    <w:rsid w:val="00D03F5F"/>
    <w:rsid w:val="00D13684"/>
    <w:rsid w:val="00D13A58"/>
    <w:rsid w:val="00D16843"/>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54D2"/>
    <w:rsid w:val="00D90935"/>
    <w:rsid w:val="00D90D1C"/>
    <w:rsid w:val="00D920B0"/>
    <w:rsid w:val="00D946FA"/>
    <w:rsid w:val="00DA1D50"/>
    <w:rsid w:val="00DB715D"/>
    <w:rsid w:val="00DC3B6D"/>
    <w:rsid w:val="00DC3FF7"/>
    <w:rsid w:val="00DC77AE"/>
    <w:rsid w:val="00DD1A90"/>
    <w:rsid w:val="00DD243B"/>
    <w:rsid w:val="00DD35DF"/>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3A3A"/>
    <w:rsid w:val="00E10939"/>
    <w:rsid w:val="00E10B48"/>
    <w:rsid w:val="00E10F35"/>
    <w:rsid w:val="00E11665"/>
    <w:rsid w:val="00E119AB"/>
    <w:rsid w:val="00E12266"/>
    <w:rsid w:val="00E124C9"/>
    <w:rsid w:val="00E129C6"/>
    <w:rsid w:val="00E12D33"/>
    <w:rsid w:val="00E12DC7"/>
    <w:rsid w:val="00E149B5"/>
    <w:rsid w:val="00E20887"/>
    <w:rsid w:val="00E24809"/>
    <w:rsid w:val="00E257C8"/>
    <w:rsid w:val="00E34094"/>
    <w:rsid w:val="00E36BE7"/>
    <w:rsid w:val="00E37BEC"/>
    <w:rsid w:val="00E444DA"/>
    <w:rsid w:val="00E447A6"/>
    <w:rsid w:val="00E44F44"/>
    <w:rsid w:val="00E4730A"/>
    <w:rsid w:val="00E477A5"/>
    <w:rsid w:val="00E52027"/>
    <w:rsid w:val="00E5236F"/>
    <w:rsid w:val="00E52913"/>
    <w:rsid w:val="00E55C7F"/>
    <w:rsid w:val="00E600A5"/>
    <w:rsid w:val="00E74D4F"/>
    <w:rsid w:val="00E76304"/>
    <w:rsid w:val="00E7709B"/>
    <w:rsid w:val="00E80AF6"/>
    <w:rsid w:val="00E810E2"/>
    <w:rsid w:val="00E831A3"/>
    <w:rsid w:val="00E8364C"/>
    <w:rsid w:val="00E87237"/>
    <w:rsid w:val="00E94B93"/>
    <w:rsid w:val="00EA41FC"/>
    <w:rsid w:val="00EA6B07"/>
    <w:rsid w:val="00EB108E"/>
    <w:rsid w:val="00EB3B2C"/>
    <w:rsid w:val="00EB45F6"/>
    <w:rsid w:val="00EB6C23"/>
    <w:rsid w:val="00EC1DCD"/>
    <w:rsid w:val="00EC58C7"/>
    <w:rsid w:val="00ED0087"/>
    <w:rsid w:val="00ED3475"/>
    <w:rsid w:val="00EE1DD8"/>
    <w:rsid w:val="00EE4D49"/>
    <w:rsid w:val="00EE5B75"/>
    <w:rsid w:val="00EE5D4B"/>
    <w:rsid w:val="00EE7D35"/>
    <w:rsid w:val="00EF0D42"/>
    <w:rsid w:val="00EF3D6D"/>
    <w:rsid w:val="00EF5680"/>
    <w:rsid w:val="00EF7DC4"/>
    <w:rsid w:val="00EF7E38"/>
    <w:rsid w:val="00F00276"/>
    <w:rsid w:val="00F009FD"/>
    <w:rsid w:val="00F00B1C"/>
    <w:rsid w:val="00F05A11"/>
    <w:rsid w:val="00F11632"/>
    <w:rsid w:val="00F13D70"/>
    <w:rsid w:val="00F1515B"/>
    <w:rsid w:val="00F164A0"/>
    <w:rsid w:val="00F17175"/>
    <w:rsid w:val="00F25B8E"/>
    <w:rsid w:val="00F25BDF"/>
    <w:rsid w:val="00F305F6"/>
    <w:rsid w:val="00F347CD"/>
    <w:rsid w:val="00F41ECE"/>
    <w:rsid w:val="00F41FA0"/>
    <w:rsid w:val="00F42C0E"/>
    <w:rsid w:val="00F43227"/>
    <w:rsid w:val="00F46BB9"/>
    <w:rsid w:val="00F51528"/>
    <w:rsid w:val="00F516A4"/>
    <w:rsid w:val="00F51BB3"/>
    <w:rsid w:val="00F5379F"/>
    <w:rsid w:val="00F55D5C"/>
    <w:rsid w:val="00F61292"/>
    <w:rsid w:val="00F627C9"/>
    <w:rsid w:val="00F64885"/>
    <w:rsid w:val="00F64921"/>
    <w:rsid w:val="00F65524"/>
    <w:rsid w:val="00F65A63"/>
    <w:rsid w:val="00F6661B"/>
    <w:rsid w:val="00F679DD"/>
    <w:rsid w:val="00F70338"/>
    <w:rsid w:val="00F74A55"/>
    <w:rsid w:val="00F77BB8"/>
    <w:rsid w:val="00F80181"/>
    <w:rsid w:val="00F8139A"/>
    <w:rsid w:val="00F8188D"/>
    <w:rsid w:val="00F86181"/>
    <w:rsid w:val="00F863AD"/>
    <w:rsid w:val="00F86472"/>
    <w:rsid w:val="00F916C7"/>
    <w:rsid w:val="00F96968"/>
    <w:rsid w:val="00FA0928"/>
    <w:rsid w:val="00FA0BE3"/>
    <w:rsid w:val="00FB097F"/>
    <w:rsid w:val="00FB0FF9"/>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2C778-B54A-4B92-9DFB-13355A57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5492</Words>
  <Characters>31307</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4</cp:revision>
  <cp:lastPrinted>2019-01-08T11:23:00Z</cp:lastPrinted>
  <dcterms:created xsi:type="dcterms:W3CDTF">2021-09-03T09:26:00Z</dcterms:created>
  <dcterms:modified xsi:type="dcterms:W3CDTF">2021-09-03T09:27:00Z</dcterms:modified>
</cp:coreProperties>
</file>