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09DFC68" w14:textId="486D8D26" w:rsidR="000B5768" w:rsidRDefault="000B5768" w:rsidP="003B5530">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b/>
          <w:bCs/>
          <w:color w:val="000000" w:themeColor="text1"/>
          <w:sz w:val="24"/>
          <w:szCs w:val="24"/>
          <w:u w:val="single"/>
        </w:rPr>
        <w:t>C.</w:t>
      </w:r>
      <w:r w:rsidR="006770A1">
        <w:rPr>
          <w:rFonts w:asciiTheme="minorHAnsi" w:eastAsia="Times New Roman" w:hAnsiTheme="minorHAnsi" w:cs="Times New Roman"/>
          <w:b/>
          <w:bCs/>
          <w:color w:val="000000" w:themeColor="text1"/>
          <w:sz w:val="24"/>
          <w:szCs w:val="24"/>
          <w:u w:val="single"/>
        </w:rPr>
        <w:t>3264</w:t>
      </w:r>
      <w:r w:rsidR="003C3FF0" w:rsidRPr="00262713">
        <w:rPr>
          <w:rFonts w:asciiTheme="minorHAnsi" w:eastAsia="Times New Roman" w:hAnsiTheme="minorHAnsi" w:cs="Times New Roman"/>
          <w:color w:val="000000" w:themeColor="text1"/>
          <w:sz w:val="24"/>
          <w:szCs w:val="24"/>
        </w:rPr>
        <w:t xml:space="preserve"> - </w:t>
      </w:r>
      <w:r w:rsidR="00262713" w:rsidRPr="00262713">
        <w:rPr>
          <w:rFonts w:asciiTheme="minorHAnsi" w:eastAsia="Times New Roman" w:hAnsiTheme="minorHAnsi" w:cs="Times New Roman"/>
          <w:i/>
          <w:iCs/>
          <w:color w:val="000000" w:themeColor="text1"/>
          <w:sz w:val="24"/>
          <w:szCs w:val="24"/>
        </w:rPr>
        <w:t xml:space="preserve">Nella </w:t>
      </w:r>
      <w:r w:rsidR="009815F1">
        <w:rPr>
          <w:rFonts w:asciiTheme="minorHAnsi" w:eastAsia="Times New Roman" w:hAnsiTheme="minorHAnsi" w:cs="Times New Roman"/>
          <w:i/>
          <w:iCs/>
          <w:color w:val="000000" w:themeColor="text1"/>
          <w:sz w:val="24"/>
          <w:szCs w:val="24"/>
        </w:rPr>
        <w:t>seduta del</w:t>
      </w:r>
      <w:r w:rsidR="006D2F23">
        <w:rPr>
          <w:rFonts w:asciiTheme="minorHAnsi" w:eastAsia="Times New Roman" w:hAnsiTheme="minorHAnsi" w:cs="Times New Roman"/>
          <w:i/>
          <w:iCs/>
          <w:color w:val="000000" w:themeColor="text1"/>
          <w:sz w:val="24"/>
          <w:szCs w:val="24"/>
        </w:rPr>
        <w:t xml:space="preserve"> </w:t>
      </w:r>
      <w:r w:rsidR="008B27CD">
        <w:rPr>
          <w:rFonts w:asciiTheme="minorHAnsi" w:eastAsia="Times New Roman" w:hAnsiTheme="minorHAnsi" w:cs="Times New Roman"/>
          <w:i/>
          <w:iCs/>
          <w:color w:val="000000" w:themeColor="text1"/>
          <w:sz w:val="24"/>
          <w:szCs w:val="24"/>
        </w:rPr>
        <w:t>16</w:t>
      </w:r>
      <w:r w:rsidR="00B9128A">
        <w:rPr>
          <w:rFonts w:asciiTheme="minorHAnsi" w:eastAsia="Times New Roman" w:hAnsiTheme="minorHAnsi" w:cs="Times New Roman"/>
          <w:i/>
          <w:iCs/>
          <w:color w:val="000000" w:themeColor="text1"/>
          <w:sz w:val="24"/>
          <w:szCs w:val="24"/>
        </w:rPr>
        <w:t xml:space="preserve"> </w:t>
      </w:r>
      <w:r>
        <w:rPr>
          <w:rFonts w:asciiTheme="minorHAnsi" w:eastAsia="Times New Roman" w:hAnsiTheme="minorHAnsi" w:cs="Times New Roman"/>
          <w:i/>
          <w:iCs/>
          <w:color w:val="000000" w:themeColor="text1"/>
          <w:sz w:val="24"/>
          <w:szCs w:val="24"/>
        </w:rPr>
        <w:t>settembre</w:t>
      </w:r>
      <w:r w:rsidR="006D2F23">
        <w:rPr>
          <w:rFonts w:asciiTheme="minorHAnsi" w:eastAsia="Times New Roman" w:hAnsiTheme="minorHAnsi" w:cs="Times New Roman"/>
          <w:i/>
          <w:iCs/>
          <w:color w:val="000000" w:themeColor="text1"/>
          <w:sz w:val="24"/>
          <w:szCs w:val="24"/>
        </w:rPr>
        <w:t xml:space="preserve"> 2021,</w:t>
      </w:r>
      <w:r w:rsidR="00262713" w:rsidRPr="00262713">
        <w:rPr>
          <w:rFonts w:asciiTheme="minorHAnsi" w:eastAsia="Times New Roman" w:hAnsiTheme="minorHAnsi" w:cs="Times New Roman"/>
          <w:i/>
          <w:iCs/>
          <w:color w:val="000000" w:themeColor="text1"/>
          <w:sz w:val="24"/>
          <w:szCs w:val="24"/>
        </w:rPr>
        <w:t xml:space="preserve"> l</w:t>
      </w:r>
      <w:r>
        <w:rPr>
          <w:rFonts w:asciiTheme="minorHAnsi" w:eastAsia="Times New Roman" w:hAnsiTheme="minorHAnsi" w:cs="Times New Roman"/>
          <w:i/>
          <w:iCs/>
          <w:color w:val="000000" w:themeColor="text1"/>
          <w:sz w:val="24"/>
          <w:szCs w:val="24"/>
        </w:rPr>
        <w:t xml:space="preserve">a </w:t>
      </w:r>
      <w:r w:rsidRPr="000B5768">
        <w:rPr>
          <w:rFonts w:asciiTheme="minorHAnsi" w:eastAsia="Times New Roman" w:hAnsiTheme="minorHAnsi" w:cs="Times New Roman"/>
          <w:i/>
          <w:iCs/>
          <w:color w:val="000000" w:themeColor="text1"/>
          <w:sz w:val="24"/>
          <w:szCs w:val="24"/>
        </w:rPr>
        <w:t xml:space="preserve">XII Commissione Affari sociali </w:t>
      </w:r>
      <w:r>
        <w:rPr>
          <w:rFonts w:asciiTheme="minorHAnsi" w:eastAsia="Times New Roman" w:hAnsiTheme="minorHAnsi" w:cs="Times New Roman"/>
          <w:i/>
          <w:iCs/>
          <w:color w:val="000000" w:themeColor="text1"/>
          <w:sz w:val="24"/>
          <w:szCs w:val="24"/>
        </w:rPr>
        <w:t xml:space="preserve">riunitasi </w:t>
      </w:r>
      <w:r w:rsidRPr="000B5768">
        <w:rPr>
          <w:rFonts w:asciiTheme="minorHAnsi" w:eastAsia="Times New Roman" w:hAnsiTheme="minorHAnsi" w:cs="Times New Roman"/>
          <w:i/>
          <w:iCs/>
          <w:color w:val="000000" w:themeColor="text1"/>
          <w:sz w:val="24"/>
          <w:szCs w:val="24"/>
        </w:rPr>
        <w:t>in sede Referente</w:t>
      </w:r>
      <w:r>
        <w:rPr>
          <w:rFonts w:asciiTheme="minorHAnsi" w:eastAsia="Times New Roman" w:hAnsiTheme="minorHAnsi" w:cs="Times New Roman"/>
          <w:i/>
          <w:iCs/>
          <w:color w:val="000000" w:themeColor="text1"/>
          <w:sz w:val="24"/>
          <w:szCs w:val="24"/>
        </w:rPr>
        <w:t xml:space="preserve"> ha </w:t>
      </w:r>
      <w:r w:rsidR="00961FD2">
        <w:rPr>
          <w:rFonts w:asciiTheme="minorHAnsi" w:eastAsia="Times New Roman" w:hAnsiTheme="minorHAnsi" w:cs="Times New Roman"/>
          <w:i/>
          <w:iCs/>
          <w:color w:val="000000" w:themeColor="text1"/>
          <w:sz w:val="24"/>
          <w:szCs w:val="24"/>
        </w:rPr>
        <w:t>proseguito l’esame del</w:t>
      </w:r>
      <w:r w:rsidR="00B9128A">
        <w:rPr>
          <w:rFonts w:asciiTheme="minorHAnsi" w:eastAsia="Times New Roman" w:hAnsiTheme="minorHAnsi" w:cs="Times New Roman"/>
          <w:i/>
          <w:iCs/>
          <w:color w:val="000000" w:themeColor="text1"/>
          <w:sz w:val="24"/>
          <w:szCs w:val="24"/>
        </w:rPr>
        <w:t xml:space="preserve"> </w:t>
      </w:r>
      <w:r w:rsidR="00235445">
        <w:rPr>
          <w:rFonts w:asciiTheme="minorHAnsi" w:eastAsia="Times New Roman" w:hAnsiTheme="minorHAnsi" w:cs="Times New Roman"/>
          <w:i/>
          <w:iCs/>
          <w:color w:val="000000" w:themeColor="text1"/>
          <w:sz w:val="24"/>
          <w:szCs w:val="24"/>
        </w:rPr>
        <w:t>provvedimento</w:t>
      </w:r>
      <w:r>
        <w:rPr>
          <w:rFonts w:asciiTheme="minorHAnsi" w:eastAsia="Times New Roman" w:hAnsiTheme="minorHAnsi" w:cs="Times New Roman"/>
          <w:i/>
          <w:iCs/>
          <w:color w:val="000000" w:themeColor="text1"/>
          <w:sz w:val="24"/>
          <w:szCs w:val="24"/>
        </w:rPr>
        <w:t xml:space="preserve"> approva</w:t>
      </w:r>
      <w:r w:rsidR="00235445">
        <w:rPr>
          <w:rFonts w:asciiTheme="minorHAnsi" w:eastAsia="Times New Roman" w:hAnsiTheme="minorHAnsi" w:cs="Times New Roman"/>
          <w:i/>
          <w:iCs/>
          <w:color w:val="000000" w:themeColor="text1"/>
          <w:sz w:val="24"/>
          <w:szCs w:val="24"/>
        </w:rPr>
        <w:t>ndo</w:t>
      </w:r>
      <w:r>
        <w:rPr>
          <w:rFonts w:asciiTheme="minorHAnsi" w:eastAsia="Times New Roman" w:hAnsiTheme="minorHAnsi" w:cs="Times New Roman"/>
          <w:i/>
          <w:iCs/>
          <w:color w:val="000000" w:themeColor="text1"/>
          <w:sz w:val="24"/>
          <w:szCs w:val="24"/>
        </w:rPr>
        <w:t xml:space="preserve"> </w:t>
      </w:r>
      <w:r w:rsidR="00235445">
        <w:rPr>
          <w:rFonts w:asciiTheme="minorHAnsi" w:eastAsia="Times New Roman" w:hAnsiTheme="minorHAnsi" w:cs="Times New Roman"/>
          <w:i/>
          <w:iCs/>
          <w:color w:val="000000" w:themeColor="text1"/>
          <w:sz w:val="24"/>
          <w:szCs w:val="24"/>
        </w:rPr>
        <w:t>una serie di</w:t>
      </w:r>
      <w:r>
        <w:rPr>
          <w:rFonts w:asciiTheme="minorHAnsi" w:eastAsia="Times New Roman" w:hAnsiTheme="minorHAnsi" w:cs="Times New Roman"/>
          <w:i/>
          <w:iCs/>
          <w:color w:val="000000" w:themeColor="text1"/>
          <w:sz w:val="24"/>
          <w:szCs w:val="24"/>
        </w:rPr>
        <w:t xml:space="preserve"> emendamenti.</w:t>
      </w:r>
      <w:r w:rsidR="00623560">
        <w:rPr>
          <w:rFonts w:asciiTheme="minorHAnsi" w:eastAsia="Times New Roman" w:hAnsiTheme="minorHAnsi" w:cs="Times New Roman"/>
          <w:i/>
          <w:iCs/>
          <w:color w:val="000000" w:themeColor="text1"/>
          <w:sz w:val="24"/>
          <w:szCs w:val="24"/>
        </w:rPr>
        <w:t xml:space="preserve"> Infine ha rinviato il prosieguo dell’esame ad altra Seduta.</w:t>
      </w:r>
    </w:p>
    <w:p w14:paraId="0AA17FAD" w14:textId="2DCCD295" w:rsid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Si riporta</w:t>
      </w:r>
      <w:r w:rsidR="007B4730">
        <w:rPr>
          <w:rFonts w:asciiTheme="minorHAnsi" w:eastAsia="Times New Roman" w:hAnsiTheme="minorHAnsi" w:cs="Times New Roman"/>
          <w:i/>
          <w:iCs/>
          <w:color w:val="000000" w:themeColor="text1"/>
          <w:sz w:val="24"/>
          <w:szCs w:val="24"/>
        </w:rPr>
        <w:t>no</w:t>
      </w:r>
      <w:r w:rsidRPr="00262713">
        <w:rPr>
          <w:rFonts w:asciiTheme="minorHAnsi" w:eastAsia="Times New Roman" w:hAnsiTheme="minorHAnsi" w:cs="Times New Roman"/>
          <w:i/>
          <w:iCs/>
          <w:color w:val="000000" w:themeColor="text1"/>
          <w:sz w:val="24"/>
          <w:szCs w:val="24"/>
        </w:rPr>
        <w:t xml:space="preserve"> </w:t>
      </w:r>
      <w:r w:rsidR="00E12266">
        <w:rPr>
          <w:rFonts w:asciiTheme="minorHAnsi" w:eastAsia="Times New Roman" w:hAnsiTheme="minorHAnsi" w:cs="Times New Roman"/>
          <w:i/>
          <w:iCs/>
          <w:color w:val="000000" w:themeColor="text1"/>
          <w:sz w:val="24"/>
          <w:szCs w:val="24"/>
        </w:rPr>
        <w:t xml:space="preserve">gli </w:t>
      </w:r>
      <w:r w:rsidRPr="00262713">
        <w:rPr>
          <w:rFonts w:asciiTheme="minorHAnsi" w:eastAsia="Times New Roman" w:hAnsiTheme="minorHAnsi" w:cs="Times New Roman"/>
          <w:i/>
          <w:iCs/>
          <w:color w:val="000000" w:themeColor="text1"/>
          <w:sz w:val="24"/>
          <w:szCs w:val="24"/>
        </w:rPr>
        <w:t>articolat</w:t>
      </w:r>
      <w:r w:rsidR="00E12266">
        <w:rPr>
          <w:rFonts w:asciiTheme="minorHAnsi" w:eastAsia="Times New Roman" w:hAnsiTheme="minorHAnsi" w:cs="Times New Roman"/>
          <w:i/>
          <w:iCs/>
          <w:color w:val="000000" w:themeColor="text1"/>
          <w:sz w:val="24"/>
          <w:szCs w:val="24"/>
        </w:rPr>
        <w:t>i</w:t>
      </w:r>
      <w:r w:rsidRPr="00262713">
        <w:rPr>
          <w:rFonts w:asciiTheme="minorHAnsi" w:eastAsia="Times New Roman" w:hAnsiTheme="minorHAnsi" w:cs="Times New Roman"/>
          <w:i/>
          <w:iCs/>
          <w:color w:val="000000" w:themeColor="text1"/>
          <w:sz w:val="24"/>
          <w:szCs w:val="24"/>
        </w:rPr>
        <w:t xml:space="preserve"> del </w:t>
      </w:r>
      <w:proofErr w:type="spellStart"/>
      <w:r w:rsidR="00E12266">
        <w:rPr>
          <w:rFonts w:asciiTheme="minorHAnsi" w:eastAsia="Times New Roman" w:hAnsiTheme="minorHAnsi" w:cs="Times New Roman"/>
          <w:i/>
          <w:iCs/>
          <w:color w:val="000000" w:themeColor="text1"/>
          <w:sz w:val="24"/>
          <w:szCs w:val="24"/>
        </w:rPr>
        <w:t>ddl</w:t>
      </w:r>
      <w:proofErr w:type="spellEnd"/>
      <w:r w:rsidR="00E12266">
        <w:rPr>
          <w:rFonts w:asciiTheme="minorHAnsi" w:eastAsia="Times New Roman" w:hAnsiTheme="minorHAnsi" w:cs="Times New Roman"/>
          <w:i/>
          <w:iCs/>
          <w:color w:val="000000" w:themeColor="text1"/>
          <w:sz w:val="24"/>
          <w:szCs w:val="24"/>
        </w:rPr>
        <w:t xml:space="preserve"> e del </w:t>
      </w:r>
      <w:r w:rsidRPr="00262713">
        <w:rPr>
          <w:rFonts w:asciiTheme="minorHAnsi" w:eastAsia="Times New Roman" w:hAnsiTheme="minorHAnsi" w:cs="Times New Roman"/>
          <w:i/>
          <w:iCs/>
          <w:color w:val="000000" w:themeColor="text1"/>
          <w:sz w:val="24"/>
          <w:szCs w:val="24"/>
        </w:rPr>
        <w:t xml:space="preserve">decreto-legge con </w:t>
      </w:r>
      <w:r w:rsidR="00E12266">
        <w:rPr>
          <w:rFonts w:asciiTheme="minorHAnsi" w:eastAsia="Times New Roman" w:hAnsiTheme="minorHAnsi" w:cs="Times New Roman"/>
          <w:i/>
          <w:iCs/>
          <w:color w:val="000000" w:themeColor="text1"/>
          <w:sz w:val="24"/>
          <w:szCs w:val="24"/>
        </w:rPr>
        <w:t xml:space="preserve">tutte </w:t>
      </w:r>
      <w:r w:rsidRPr="00262713">
        <w:rPr>
          <w:rFonts w:asciiTheme="minorHAnsi" w:eastAsia="Times New Roman" w:hAnsiTheme="minorHAnsi" w:cs="Times New Roman"/>
          <w:i/>
          <w:iCs/>
          <w:color w:val="000000" w:themeColor="text1"/>
          <w:sz w:val="24"/>
          <w:szCs w:val="24"/>
        </w:rPr>
        <w:t>le modifiche apportate</w:t>
      </w:r>
      <w:r w:rsidR="00B6290E">
        <w:rPr>
          <w:rFonts w:asciiTheme="minorHAnsi" w:eastAsia="Times New Roman" w:hAnsiTheme="minorHAnsi" w:cs="Times New Roman"/>
          <w:i/>
          <w:iCs/>
          <w:color w:val="000000" w:themeColor="text1"/>
          <w:sz w:val="24"/>
          <w:szCs w:val="24"/>
        </w:rPr>
        <w:t xml:space="preserve"> dalla Commissione</w:t>
      </w:r>
      <w:r w:rsidRPr="00262713">
        <w:rPr>
          <w:rFonts w:asciiTheme="minorHAnsi" w:eastAsia="Times New Roman" w:hAnsiTheme="minorHAnsi" w:cs="Times New Roman"/>
          <w:i/>
          <w:iCs/>
          <w:color w:val="000000" w:themeColor="text1"/>
          <w:sz w:val="24"/>
          <w:szCs w:val="24"/>
        </w:rPr>
        <w:t xml:space="preserve"> in evidenza.</w:t>
      </w:r>
    </w:p>
    <w:p w14:paraId="09EDCC7C" w14:textId="77777777" w:rsidR="009815F1" w:rsidRDefault="009815F1"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5540F7F5" w14:textId="5DD45B7F" w:rsidR="009815F1" w:rsidRDefault="009815F1" w:rsidP="009815F1">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93CC1">
        <w:rPr>
          <w:rFonts w:asciiTheme="minorHAnsi" w:eastAsia="Times New Roman" w:hAnsiTheme="minorHAnsi" w:cs="Times New Roman"/>
          <w:b/>
          <w:bCs/>
          <w:color w:val="000000" w:themeColor="text1"/>
          <w:sz w:val="24"/>
          <w:szCs w:val="24"/>
        </w:rPr>
        <w:t xml:space="preserve">Le modifiche introdotte dagli emendamenti approvati si riportano in grassetto, mentre le soppressioni (sostituzioni comprese) si riportano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Pr>
          <w:rFonts w:asciiTheme="minorHAnsi" w:eastAsia="Times New Roman" w:hAnsiTheme="minorHAnsi" w:cs="Times New Roman"/>
          <w:b/>
          <w:bCs/>
          <w:color w:val="000000" w:themeColor="text1"/>
          <w:sz w:val="24"/>
          <w:szCs w:val="24"/>
        </w:rPr>
        <w:t>Gli eventuali</w:t>
      </w:r>
      <w:r w:rsidRPr="00793CC1">
        <w:rPr>
          <w:rFonts w:asciiTheme="minorHAnsi" w:eastAsia="Times New Roman" w:hAnsiTheme="minorHAnsi" w:cs="Times New Roman"/>
          <w:b/>
          <w:bCs/>
          <w:color w:val="000000" w:themeColor="text1"/>
          <w:sz w:val="24"/>
          <w:szCs w:val="24"/>
        </w:rPr>
        <w:t xml:space="preserve"> subemendamenti approvati si evidenziano facendo uso del colore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A piè di pagina si riportano i riferimenti della proposta di modifica approvata.</w:t>
      </w:r>
    </w:p>
    <w:p w14:paraId="14A04E51" w14:textId="77777777" w:rsidR="00BE3672" w:rsidRPr="00262713" w:rsidRDefault="00BE3672"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06F2CA07" w14:textId="77777777"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B3D2CA9" w14:textId="77777777" w:rsid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64E7191F" w14:textId="64E93943" w:rsidR="007B4730" w:rsidRDefault="007B4730"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A767A40" w14:textId="77777777" w:rsidR="00F40161" w:rsidRPr="00F40161" w:rsidRDefault="00F40161" w:rsidP="00F40161">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DISEGNO DI LEGGE</w:t>
      </w:r>
    </w:p>
    <w:p w14:paraId="0E3CDEE4" w14:textId="77777777" w:rsidR="00F40161" w:rsidRPr="00F40161" w:rsidRDefault="00F40161" w:rsidP="00F40161">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0C62A5F" w14:textId="6454A680" w:rsidR="00F40161" w:rsidRPr="00F40161" w:rsidRDefault="00F40161" w:rsidP="00F40161">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Art. 1.</w:t>
      </w:r>
    </w:p>
    <w:p w14:paraId="3D543E47" w14:textId="0305FAD8"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  1. È convertito in legge il decreto-legge 6 agosto 2021, n. 111, recante misure urgenti per l'esercizio in sicurezza delle attività scolastiche, universitarie, sociali e in materia di trasporti.</w:t>
      </w:r>
    </w:p>
    <w:p w14:paraId="7B0604D3" w14:textId="38F090AE" w:rsidR="009525DA" w:rsidRPr="006E08D7" w:rsidRDefault="009525DA" w:rsidP="009525DA">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r w:rsidRPr="006E08D7">
        <w:rPr>
          <w:rFonts w:asciiTheme="minorHAnsi" w:eastAsia="Times New Roman" w:hAnsiTheme="minorHAnsi" w:cs="Times New Roman"/>
          <w:b/>
          <w:color w:val="000000" w:themeColor="text1"/>
          <w:sz w:val="24"/>
          <w:szCs w:val="24"/>
        </w:rPr>
        <w:t>  1-bis. Il decreto-legge 10 settembre 2021, n. 122, è abrogato. Restano validi gli atti e i provvedimenti adottati e sono fatti salvi gli effetti prodottisi e i rapporti giuridici sorti sulla base del medesimo decreto-legge n. 122 del 2021.</w:t>
      </w:r>
      <w:r w:rsidRPr="009525DA">
        <w:rPr>
          <w:rStyle w:val="Rimandonotaapidipagina"/>
          <w:rFonts w:asciiTheme="minorHAnsi" w:eastAsia="Times New Roman" w:hAnsiTheme="minorHAnsi" w:cs="Times New Roman"/>
          <w:bCs/>
          <w:color w:val="000000" w:themeColor="text1"/>
          <w:sz w:val="24"/>
          <w:szCs w:val="24"/>
        </w:rPr>
        <w:footnoteReference w:id="1"/>
      </w:r>
    </w:p>
    <w:p w14:paraId="63E5F35F"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  2. La presente legge entra in vigore il giorno successivo a quello della sua pubblicazione nella Gazzetta Ufficiale.</w:t>
      </w:r>
    </w:p>
    <w:p w14:paraId="07B66B97" w14:textId="1E846614"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84CBE1E" w14:textId="19B5BB5C" w:rsidR="005B1A30" w:rsidRDefault="005B1A30" w:rsidP="005B1A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lastRenderedPageBreak/>
        <w:t>***</w:t>
      </w:r>
    </w:p>
    <w:p w14:paraId="6BE17C4E" w14:textId="77777777" w:rsidR="005B1A30" w:rsidRDefault="005B1A30" w:rsidP="005B1A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485ADE1" w14:textId="79661100" w:rsidR="005B1A30" w:rsidRPr="00F40161" w:rsidRDefault="005B1A30" w:rsidP="005B1A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DECRETO LEGGE</w:t>
      </w:r>
    </w:p>
    <w:p w14:paraId="37CB9239" w14:textId="77777777" w:rsidR="005B1A30" w:rsidRDefault="005B1A30"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57E1C4" w14:textId="16BD835F"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Decreto-legge 6 agosto 2021, n. 111, pubblicato nella Gazzetta Ufficiale n. 187 del 6 agosto 2021.</w:t>
      </w:r>
    </w:p>
    <w:p w14:paraId="117CE4F6"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Misure urgenti per l'esercizio in sicurezza delle attività scolastiche, universitarie, sociali e in materia di trasporti.</w:t>
      </w:r>
    </w:p>
    <w:p w14:paraId="7F687327" w14:textId="3B68B191"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B62A6C" w14:textId="77777777" w:rsidR="00D55834" w:rsidRPr="001C73E0" w:rsidRDefault="00D55834" w:rsidP="00D55834">
      <w:pPr>
        <w:jc w:val="center"/>
        <w:rPr>
          <w:b/>
          <w:bCs/>
          <w:color w:val="000000" w:themeColor="text1"/>
          <w:sz w:val="24"/>
          <w:szCs w:val="24"/>
        </w:rPr>
      </w:pPr>
      <w:bookmarkStart w:id="0" w:name="_Hlk82761635"/>
      <w:r w:rsidRPr="001C73E0">
        <w:rPr>
          <w:b/>
          <w:bCs/>
          <w:color w:val="000000" w:themeColor="text1"/>
          <w:sz w:val="24"/>
          <w:szCs w:val="24"/>
        </w:rPr>
        <w:t>Art. 01.</w:t>
      </w:r>
    </w:p>
    <w:p w14:paraId="618643A7" w14:textId="77777777" w:rsidR="00D55834" w:rsidRPr="001C73E0" w:rsidRDefault="00D55834" w:rsidP="00D55834">
      <w:pPr>
        <w:jc w:val="center"/>
        <w:rPr>
          <w:b/>
          <w:bCs/>
          <w:color w:val="000000" w:themeColor="text1"/>
          <w:sz w:val="24"/>
          <w:szCs w:val="24"/>
        </w:rPr>
      </w:pPr>
      <w:r w:rsidRPr="001C73E0">
        <w:rPr>
          <w:b/>
          <w:bCs/>
          <w:color w:val="000000" w:themeColor="text1"/>
          <w:sz w:val="24"/>
          <w:szCs w:val="24"/>
        </w:rPr>
        <w:t>(Modifica all'articolo 9 del decreto-legge 22 aprile 2021, n. 52, in materia di validità della certificazione verde COVID-19)</w:t>
      </w:r>
    </w:p>
    <w:p w14:paraId="76DE5660" w14:textId="77777777" w:rsidR="00D55834" w:rsidRPr="001C73E0" w:rsidRDefault="00D55834" w:rsidP="00D55834">
      <w:pPr>
        <w:jc w:val="both"/>
        <w:rPr>
          <w:b/>
          <w:bCs/>
          <w:color w:val="000000" w:themeColor="text1"/>
          <w:sz w:val="24"/>
          <w:szCs w:val="24"/>
        </w:rPr>
      </w:pPr>
    </w:p>
    <w:p w14:paraId="4AA4929E" w14:textId="61611E4A" w:rsidR="00D55834" w:rsidRPr="001C73E0" w:rsidRDefault="00D55834" w:rsidP="00D55834">
      <w:pPr>
        <w:jc w:val="both"/>
        <w:rPr>
          <w:b/>
          <w:bCs/>
          <w:color w:val="000000" w:themeColor="text1"/>
          <w:sz w:val="24"/>
          <w:szCs w:val="24"/>
        </w:rPr>
      </w:pPr>
      <w:r w:rsidRPr="001C73E0">
        <w:rPr>
          <w:b/>
          <w:bCs/>
          <w:color w:val="000000" w:themeColor="text1"/>
          <w:sz w:val="24"/>
          <w:szCs w:val="24"/>
        </w:rPr>
        <w:t>  1. All'articolo 9, comma 5, del decreto-legge 22 aprile 2021, n. 52, convertito, con modificazioni, dalla legge 17 giugno 2021, n. 87, dopo le parole: «dall'esecuzione del test» sono inserite le seguenti: «antigenico rapido e di settantadue ore dall'esecuzione del test molecolare».</w:t>
      </w:r>
      <w:r>
        <w:rPr>
          <w:rStyle w:val="Rimandonotaapidipagina"/>
          <w:b/>
          <w:bCs/>
          <w:color w:val="000000" w:themeColor="text1"/>
          <w:sz w:val="24"/>
          <w:szCs w:val="24"/>
        </w:rPr>
        <w:footnoteReference w:id="2"/>
      </w:r>
    </w:p>
    <w:bookmarkEnd w:id="0"/>
    <w:p w14:paraId="3A70D3E1" w14:textId="77777777" w:rsidR="00D55834" w:rsidRPr="00F40161" w:rsidRDefault="00D55834"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168B70"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F033A9" w14:textId="77777777" w:rsidR="00F40161" w:rsidRPr="00F40161" w:rsidRDefault="00F40161" w:rsidP="005B1A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Articolo 1.</w:t>
      </w:r>
    </w:p>
    <w:p w14:paraId="15FAAA6C" w14:textId="54B0DBEA" w:rsidR="00F40161" w:rsidRPr="00F40161" w:rsidRDefault="00F40161" w:rsidP="005B1A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xml:space="preserve">(Disposizioni urgenti per l'anno scolastico 2021/2022 e misure per prevenire il contagio da SARS-CoV-2 nelle istituzioni </w:t>
      </w:r>
      <w:r w:rsidRPr="007C1DAB">
        <w:rPr>
          <w:rFonts w:asciiTheme="minorHAnsi" w:eastAsia="Times New Roman" w:hAnsiTheme="minorHAnsi" w:cs="Times New Roman"/>
          <w:strike/>
          <w:color w:val="000000" w:themeColor="text1"/>
          <w:sz w:val="24"/>
          <w:szCs w:val="24"/>
          <w:highlight w:val="yellow"/>
        </w:rPr>
        <w:t>del sistema nazionale di istruzione e nelle università</w:t>
      </w:r>
      <w:r w:rsidR="007C1DAB">
        <w:rPr>
          <w:rFonts w:asciiTheme="minorHAnsi" w:eastAsia="Times New Roman" w:hAnsiTheme="minorHAnsi" w:cs="Times New Roman"/>
          <w:color w:val="000000" w:themeColor="text1"/>
          <w:sz w:val="24"/>
          <w:szCs w:val="24"/>
        </w:rPr>
        <w:t xml:space="preserve"> </w:t>
      </w:r>
      <w:r w:rsidR="007C1DAB" w:rsidRPr="00B92D52">
        <w:rPr>
          <w:b/>
          <w:bCs/>
          <w:color w:val="000000" w:themeColor="text1"/>
          <w:sz w:val="24"/>
          <w:szCs w:val="24"/>
        </w:rPr>
        <w:t>educative, scolastiche e universitarie</w:t>
      </w:r>
      <w:r w:rsidR="007C1DAB">
        <w:rPr>
          <w:rStyle w:val="Rimandonotaapidipagina"/>
          <w:b/>
          <w:bCs/>
          <w:color w:val="000000" w:themeColor="text1"/>
          <w:sz w:val="24"/>
          <w:szCs w:val="24"/>
        </w:rPr>
        <w:footnoteReference w:id="3"/>
      </w:r>
      <w:r w:rsidRPr="00F40161">
        <w:rPr>
          <w:rFonts w:asciiTheme="minorHAnsi" w:eastAsia="Times New Roman" w:hAnsiTheme="minorHAnsi" w:cs="Times New Roman"/>
          <w:color w:val="000000" w:themeColor="text1"/>
          <w:sz w:val="24"/>
          <w:szCs w:val="24"/>
        </w:rPr>
        <w:t>)</w:t>
      </w:r>
    </w:p>
    <w:p w14:paraId="4C68A469"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66F057" w14:textId="388423F3" w:rsidR="00A4049F" w:rsidRPr="00A33A21" w:rsidRDefault="00F40161" w:rsidP="00A4049F">
      <w:pPr>
        <w:jc w:val="both"/>
        <w:rPr>
          <w:b/>
          <w:bCs/>
          <w:color w:val="000000" w:themeColor="text1"/>
          <w:sz w:val="24"/>
          <w:szCs w:val="24"/>
        </w:rPr>
      </w:pPr>
      <w:r w:rsidRPr="00F40161">
        <w:rPr>
          <w:rFonts w:asciiTheme="minorHAnsi" w:eastAsia="Times New Roman" w:hAnsiTheme="minorHAnsi" w:cs="Times New Roman"/>
          <w:color w:val="000000" w:themeColor="text1"/>
          <w:sz w:val="24"/>
          <w:szCs w:val="24"/>
        </w:rPr>
        <w:t xml:space="preserve">  1. Nell'anno scolastico 2021-2022, al fine di assicurare il valore della scuola come comunità e di tutelare la sfera sociale e psico-affettiva della popolazione scolastica, sull'intero territorio nazionale, i servizi educativi per l'infanzia di cui all'articolo 2 del decreto legislativo 13 aprile 2017, n. 65, e l'attività scolastica e didattica della scuola dell'infanzia, della scuola primaria e della scuola secondaria di primo e secondo grado sono svolti in presenza. </w:t>
      </w:r>
      <w:r w:rsidR="009769CB" w:rsidRPr="004E6B37">
        <w:rPr>
          <w:rFonts w:asciiTheme="minorHAnsi" w:eastAsia="Times New Roman" w:hAnsiTheme="minorHAnsi" w:cs="Times New Roman"/>
          <w:strike/>
          <w:color w:val="000000" w:themeColor="text1"/>
          <w:sz w:val="24"/>
          <w:szCs w:val="24"/>
          <w:highlight w:val="yellow"/>
        </w:rPr>
        <w:t>Le attività didattiche</w:t>
      </w:r>
      <w:r w:rsidR="009769CB">
        <w:rPr>
          <w:rFonts w:asciiTheme="minorHAnsi" w:eastAsia="Times New Roman" w:hAnsiTheme="minorHAnsi" w:cs="Times New Roman"/>
          <w:color w:val="000000" w:themeColor="text1"/>
          <w:sz w:val="24"/>
          <w:szCs w:val="24"/>
        </w:rPr>
        <w:t xml:space="preserve"> </w:t>
      </w:r>
      <w:r w:rsidR="009769CB" w:rsidRPr="004E6B37">
        <w:rPr>
          <w:rFonts w:asciiTheme="minorHAnsi" w:eastAsia="Times New Roman" w:hAnsiTheme="minorHAnsi" w:cs="Times New Roman"/>
          <w:b/>
          <w:bCs/>
          <w:color w:val="000000" w:themeColor="text1"/>
          <w:sz w:val="24"/>
          <w:szCs w:val="24"/>
        </w:rPr>
        <w:t>Nell'anno accademico 2021-2022, le attività didattiche</w:t>
      </w:r>
      <w:r w:rsidR="00E4606A">
        <w:rPr>
          <w:rStyle w:val="Rimandonotaapidipagina"/>
          <w:rFonts w:asciiTheme="minorHAnsi" w:eastAsia="Times New Roman" w:hAnsiTheme="minorHAnsi" w:cs="Times New Roman"/>
          <w:b/>
          <w:bCs/>
          <w:color w:val="000000" w:themeColor="text1"/>
          <w:sz w:val="24"/>
          <w:szCs w:val="24"/>
        </w:rPr>
        <w:footnoteReference w:id="4"/>
      </w:r>
      <w:r w:rsidRPr="00F40161">
        <w:rPr>
          <w:rFonts w:asciiTheme="minorHAnsi" w:eastAsia="Times New Roman" w:hAnsiTheme="minorHAnsi" w:cs="Times New Roman"/>
          <w:color w:val="000000" w:themeColor="text1"/>
          <w:sz w:val="24"/>
          <w:szCs w:val="24"/>
        </w:rPr>
        <w:t xml:space="preserve"> e curriculari delle università sono svolte prioritariamente in presenza.</w:t>
      </w:r>
      <w:r w:rsidR="00A4049F">
        <w:rPr>
          <w:rFonts w:asciiTheme="minorHAnsi" w:eastAsia="Times New Roman" w:hAnsiTheme="minorHAnsi" w:cs="Times New Roman"/>
          <w:color w:val="000000" w:themeColor="text1"/>
          <w:sz w:val="24"/>
          <w:szCs w:val="24"/>
        </w:rPr>
        <w:t xml:space="preserve"> </w:t>
      </w:r>
      <w:r w:rsidR="00A4049F" w:rsidRPr="00A33A21">
        <w:rPr>
          <w:b/>
          <w:bCs/>
          <w:color w:val="000000" w:themeColor="text1"/>
          <w:sz w:val="24"/>
          <w:szCs w:val="24"/>
        </w:rPr>
        <w:t>Sono svolte prioritariamente in presenza, altresì, le attività formative e di tirocinio dei percorsi formativi degli istituti tecnici superiori.</w:t>
      </w:r>
      <w:r w:rsidR="00A4049F" w:rsidRPr="00A4049F">
        <w:rPr>
          <w:rStyle w:val="Rimandonotaapidipagina"/>
          <w:color w:val="000000" w:themeColor="text1"/>
          <w:sz w:val="24"/>
          <w:szCs w:val="24"/>
        </w:rPr>
        <w:footnoteReference w:id="5"/>
      </w:r>
    </w:p>
    <w:p w14:paraId="65782C4E" w14:textId="681F2BF2"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489636" w14:textId="329AC6FD"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xml:space="preserve">  2. Per consentire lo svolgimento in presenza dei servizi e delle attività di cui al comma 1 e per prevenire la diffusione dell'infezione da SARS-CoV-2, fino al 31 dicembre 2021, termine di cessazione dello stato di emergenza, sono adottate, in tutte le istituzioni </w:t>
      </w:r>
      <w:r w:rsidRPr="0003007C">
        <w:rPr>
          <w:rFonts w:asciiTheme="minorHAnsi" w:eastAsia="Times New Roman" w:hAnsiTheme="minorHAnsi" w:cs="Times New Roman"/>
          <w:strike/>
          <w:color w:val="000000" w:themeColor="text1"/>
          <w:sz w:val="24"/>
          <w:szCs w:val="24"/>
          <w:highlight w:val="yellow"/>
        </w:rPr>
        <w:t>del sistema nazionale di istruzione, e nelle università</w:t>
      </w:r>
      <w:r w:rsidR="0003007C">
        <w:rPr>
          <w:rFonts w:asciiTheme="minorHAnsi" w:eastAsia="Times New Roman" w:hAnsiTheme="minorHAnsi" w:cs="Times New Roman"/>
          <w:color w:val="000000" w:themeColor="text1"/>
          <w:sz w:val="24"/>
          <w:szCs w:val="24"/>
        </w:rPr>
        <w:t xml:space="preserve"> </w:t>
      </w:r>
      <w:r w:rsidR="0003007C" w:rsidRPr="00A33A21">
        <w:rPr>
          <w:b/>
          <w:bCs/>
          <w:color w:val="000000" w:themeColor="text1"/>
          <w:sz w:val="24"/>
          <w:szCs w:val="24"/>
        </w:rPr>
        <w:t>educative, scolastiche e universitarie</w:t>
      </w:r>
      <w:r w:rsidR="0003007C" w:rsidRPr="008F2D7C">
        <w:rPr>
          <w:rStyle w:val="Rimandonotaapidipagina"/>
          <w:color w:val="000000" w:themeColor="text1"/>
          <w:sz w:val="24"/>
          <w:szCs w:val="24"/>
        </w:rPr>
        <w:footnoteReference w:id="6"/>
      </w:r>
      <w:r w:rsidRPr="00F40161">
        <w:rPr>
          <w:rFonts w:asciiTheme="minorHAnsi" w:eastAsia="Times New Roman" w:hAnsiTheme="minorHAnsi" w:cs="Times New Roman"/>
          <w:color w:val="000000" w:themeColor="text1"/>
          <w:sz w:val="24"/>
          <w:szCs w:val="24"/>
        </w:rPr>
        <w:t>, le seguenti misure minime di sicurezza:</w:t>
      </w:r>
    </w:p>
    <w:p w14:paraId="51B76258"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44A3D0" w14:textId="7F608FD3"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xml:space="preserve">   a) è fatto obbligo di utilizzo dei dispositivi di protezione delle vie respiratorie, fatta eccezione per i bambini </w:t>
      </w:r>
      <w:r w:rsidRPr="008F2D7C">
        <w:rPr>
          <w:rFonts w:asciiTheme="minorHAnsi" w:eastAsia="Times New Roman" w:hAnsiTheme="minorHAnsi" w:cs="Times New Roman"/>
          <w:strike/>
          <w:color w:val="000000" w:themeColor="text1"/>
          <w:sz w:val="24"/>
          <w:szCs w:val="24"/>
          <w:highlight w:val="yellow"/>
        </w:rPr>
        <w:t>di età inferiore ai sei anni</w:t>
      </w:r>
      <w:r w:rsidR="008F2D7C">
        <w:rPr>
          <w:rFonts w:asciiTheme="minorHAnsi" w:eastAsia="Times New Roman" w:hAnsiTheme="minorHAnsi" w:cs="Times New Roman"/>
          <w:color w:val="000000" w:themeColor="text1"/>
          <w:sz w:val="24"/>
          <w:szCs w:val="24"/>
        </w:rPr>
        <w:t xml:space="preserve"> </w:t>
      </w:r>
      <w:r w:rsidR="008F2D7C" w:rsidRPr="00A33A21">
        <w:rPr>
          <w:b/>
          <w:bCs/>
          <w:color w:val="000000" w:themeColor="text1"/>
          <w:sz w:val="24"/>
          <w:szCs w:val="24"/>
        </w:rPr>
        <w:t>che frequentano i servizi educativi per l'infanzia di cui all'articolo 2 del decreto legislativo 13 aprile 2017, n. 65 e la scuola dell'infanzia</w:t>
      </w:r>
      <w:r w:rsidR="008F2D7C" w:rsidRPr="008F2D7C">
        <w:rPr>
          <w:rStyle w:val="Rimandonotaapidipagina"/>
          <w:color w:val="000000" w:themeColor="text1"/>
          <w:sz w:val="24"/>
          <w:szCs w:val="24"/>
        </w:rPr>
        <w:footnoteReference w:id="7"/>
      </w:r>
      <w:r w:rsidRPr="00F40161">
        <w:rPr>
          <w:rFonts w:asciiTheme="minorHAnsi" w:eastAsia="Times New Roman" w:hAnsiTheme="minorHAnsi" w:cs="Times New Roman"/>
          <w:color w:val="000000" w:themeColor="text1"/>
          <w:sz w:val="24"/>
          <w:szCs w:val="24"/>
        </w:rPr>
        <w:t>, per i soggetti con patologie o disabilità incompatibili con l'uso dei predetti dispositivi e per lo svolgimento delle attività sportive;</w:t>
      </w:r>
    </w:p>
    <w:p w14:paraId="52E3AACB" w14:textId="77777777" w:rsidR="00B858EF" w:rsidRDefault="00B858EF"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31D808" w14:textId="28DA560A" w:rsidR="00B858EF" w:rsidRPr="00F40161" w:rsidRDefault="00B858EF" w:rsidP="00B858EF">
      <w:pPr>
        <w:jc w:val="both"/>
        <w:rPr>
          <w:rFonts w:asciiTheme="minorHAnsi" w:eastAsia="Times New Roman" w:hAnsiTheme="minorHAnsi" w:cs="Times New Roman"/>
          <w:color w:val="000000" w:themeColor="text1"/>
          <w:sz w:val="24"/>
          <w:szCs w:val="24"/>
        </w:rPr>
      </w:pPr>
      <w:r w:rsidRPr="00FD59A7">
        <w:rPr>
          <w:b/>
          <w:bCs/>
          <w:color w:val="000000" w:themeColor="text1"/>
          <w:sz w:val="24"/>
          <w:szCs w:val="24"/>
        </w:rPr>
        <w:t>a-bis) sulla base della valutazione del rischio e al fine di prevenire la diffusione dell'infezione da SARS-CoV-2, al personale preposto alle attività scolastiche e didattiche nei servizi educativi per l'infanzia, nelle scuole dell'infanzia e nelle scuole di ogni ordine e grado, dove sono presenti bambini e alunni esonerati dall'obbligo di utilizzo dei dispositivi di protezione delle vie respiratorie, è assicurata la fornitura di mascherine di tipo FFP2 o FFP3, in ottemperanza a quanto disposto dai commi 4 e 4-bis dell'articolo 58 del decreto-legge 25 maggio 2021, n. 73, convertito, con modificazioni, dalla legge 23 luglio 2021, n. 106</w:t>
      </w:r>
      <w:r>
        <w:rPr>
          <w:b/>
          <w:bCs/>
          <w:color w:val="000000" w:themeColor="text1"/>
          <w:sz w:val="24"/>
          <w:szCs w:val="24"/>
        </w:rPr>
        <w:t>;</w:t>
      </w:r>
      <w:r>
        <w:rPr>
          <w:rStyle w:val="Rimandonotaapidipagina"/>
          <w:b/>
          <w:bCs/>
          <w:color w:val="000000" w:themeColor="text1"/>
          <w:sz w:val="24"/>
          <w:szCs w:val="24"/>
        </w:rPr>
        <w:footnoteReference w:id="8"/>
      </w:r>
    </w:p>
    <w:p w14:paraId="7B4D0DDE"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19FD67"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   b) è raccomandato il rispetto di una distanza di sicurezza interpersonale di almeno un metro salvo che le condizioni strutturali-logistiche degli edifici non lo consentano;</w:t>
      </w:r>
    </w:p>
    <w:p w14:paraId="3E1B3DA6"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18CBFE"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   c) è fatto divieto di accedere o permanere nei locali scolastici e universitari ai soggetti con sintomatologia respiratoria o temperatura corporea superiore a 37,5°.</w:t>
      </w:r>
    </w:p>
    <w:p w14:paraId="70569C13"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AE65B6" w14:textId="0B32779C" w:rsidR="00F40161" w:rsidRPr="00F40161" w:rsidRDefault="00F40161" w:rsidP="00AC288E">
      <w:pPr>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xml:space="preserve">  3. In presenza di soggetti risultati positivi all'infezione da SARS-CoV-2 o di casi sospetti, </w:t>
      </w:r>
      <w:r w:rsidRPr="00AC288E">
        <w:rPr>
          <w:rFonts w:asciiTheme="minorHAnsi" w:eastAsia="Times New Roman" w:hAnsiTheme="minorHAnsi" w:cs="Times New Roman"/>
          <w:strike/>
          <w:color w:val="000000" w:themeColor="text1"/>
          <w:sz w:val="24"/>
          <w:szCs w:val="24"/>
          <w:highlight w:val="yellow"/>
        </w:rPr>
        <w:t>nell'ambito scolastico e dei servizi educativi dell'infanzia</w:t>
      </w:r>
      <w:r w:rsidR="00AC288E" w:rsidRPr="00FD59A7">
        <w:rPr>
          <w:b/>
          <w:bCs/>
          <w:color w:val="000000" w:themeColor="text1"/>
          <w:sz w:val="24"/>
          <w:szCs w:val="24"/>
        </w:rPr>
        <w:t>, nei servizi educativi per l'infanzia di cui all'articolo 2 del decreto legislativo 13 aprile 2017, n. 65, e nelle istituzioni del sistema nazionale di istruzione e formazione nonché nelle università,</w:t>
      </w:r>
      <w:r w:rsidR="00AC288E">
        <w:rPr>
          <w:rStyle w:val="Rimandonotaapidipagina"/>
          <w:b/>
          <w:bCs/>
          <w:color w:val="000000" w:themeColor="text1"/>
          <w:sz w:val="24"/>
          <w:szCs w:val="24"/>
        </w:rPr>
        <w:footnoteReference w:id="9"/>
      </w:r>
      <w:r w:rsidRPr="00F40161">
        <w:rPr>
          <w:rFonts w:asciiTheme="minorHAnsi" w:eastAsia="Times New Roman" w:hAnsiTheme="minorHAnsi" w:cs="Times New Roman"/>
          <w:color w:val="000000" w:themeColor="text1"/>
          <w:sz w:val="24"/>
          <w:szCs w:val="24"/>
        </w:rPr>
        <w:t xml:space="preserve"> si applicano le linee guida e i protocolli adottati ai sensi dell'articolo 1, comma 14, del decreto-legge 16 maggio 2020, n. 33, convertito con modificazioni, dalla legge 14 luglio 2020, n. 74, nonché ai sensi dell'articolo 10-bis del decreto-legge 22 aprile 2021, n. 52, convertito, con modificazioni, dalla legge 17 giugno 2021, n. 87. I protocolli e le linee guida possono disciplinare ogni altro aspetto concernente le condizioni di sicurezza relative allo svolgimento delle attività didattiche e </w:t>
      </w:r>
      <w:r w:rsidRPr="00F40161">
        <w:rPr>
          <w:rFonts w:asciiTheme="minorHAnsi" w:eastAsia="Times New Roman" w:hAnsiTheme="minorHAnsi" w:cs="Times New Roman"/>
          <w:color w:val="000000" w:themeColor="text1"/>
          <w:sz w:val="24"/>
          <w:szCs w:val="24"/>
        </w:rPr>
        <w:lastRenderedPageBreak/>
        <w:t>scolastiche, ivi inclusa la deroga alle disposizioni di cui al comma 2, lettera a), per le classi composte da studenti che abbiano tutti completato il ciclo vaccinale o abbiano un certificato di guarigione in corso di validità</w:t>
      </w:r>
      <w:r w:rsidR="008F2D7C" w:rsidRPr="00A33A21">
        <w:rPr>
          <w:b/>
          <w:bCs/>
          <w:color w:val="000000" w:themeColor="text1"/>
          <w:sz w:val="24"/>
          <w:szCs w:val="24"/>
        </w:rPr>
        <w:t>, nonché per le classi formate da alunni che per ragioni anagrafiche sono esclusi dalla campagna vaccinale</w:t>
      </w:r>
      <w:r w:rsidR="008F2D7C" w:rsidRPr="008F2D7C">
        <w:rPr>
          <w:rStyle w:val="Rimandonotaapidipagina"/>
          <w:color w:val="000000" w:themeColor="text1"/>
          <w:sz w:val="24"/>
          <w:szCs w:val="24"/>
        </w:rPr>
        <w:footnoteReference w:id="10"/>
      </w:r>
      <w:r w:rsidR="008F2D7C" w:rsidRPr="00A33A21">
        <w:rPr>
          <w:b/>
          <w:bCs/>
          <w:color w:val="000000" w:themeColor="text1"/>
          <w:sz w:val="24"/>
          <w:szCs w:val="24"/>
        </w:rPr>
        <w:t>.</w:t>
      </w:r>
      <w:r w:rsidRPr="00F40161">
        <w:rPr>
          <w:rFonts w:asciiTheme="minorHAnsi" w:eastAsia="Times New Roman" w:hAnsiTheme="minorHAnsi" w:cs="Times New Roman"/>
          <w:color w:val="000000" w:themeColor="text1"/>
          <w:sz w:val="24"/>
          <w:szCs w:val="24"/>
        </w:rPr>
        <w:t xml:space="preserve"> </w:t>
      </w:r>
      <w:r w:rsidRPr="00D3305F">
        <w:rPr>
          <w:rFonts w:asciiTheme="minorHAnsi" w:eastAsia="Times New Roman" w:hAnsiTheme="minorHAnsi" w:cs="Times New Roman"/>
          <w:strike/>
          <w:color w:val="000000" w:themeColor="text1"/>
          <w:sz w:val="24"/>
          <w:szCs w:val="24"/>
          <w:highlight w:val="yellow"/>
        </w:rPr>
        <w:t>Le università possono derogare alle disposizioni di cui al comma 2, lettera a), qualora alle attività didattiche e curriculari partecipino esclusivamente studenti che abbiano completato il ciclo vaccinale o abbiano un certificato di guarigione in corso di validità</w:t>
      </w:r>
      <w:r w:rsidR="00D3305F" w:rsidRPr="00D3305F">
        <w:rPr>
          <w:rStyle w:val="Rimandonotaapidipagina"/>
          <w:rFonts w:asciiTheme="minorHAnsi" w:eastAsia="Times New Roman" w:hAnsiTheme="minorHAnsi" w:cs="Times New Roman"/>
          <w:color w:val="000000" w:themeColor="text1"/>
          <w:sz w:val="24"/>
          <w:szCs w:val="24"/>
        </w:rPr>
        <w:footnoteReference w:id="11"/>
      </w:r>
      <w:r w:rsidRPr="00F40161">
        <w:rPr>
          <w:rFonts w:asciiTheme="minorHAnsi" w:eastAsia="Times New Roman" w:hAnsiTheme="minorHAnsi" w:cs="Times New Roman"/>
          <w:color w:val="000000" w:themeColor="text1"/>
          <w:sz w:val="24"/>
          <w:szCs w:val="24"/>
        </w:rPr>
        <w:t>.</w:t>
      </w:r>
    </w:p>
    <w:p w14:paraId="4E80C4AB" w14:textId="36F720BF"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xml:space="preserve">  4. Fino al 31 dicembre 2021, termine di cessazione dello stato di emergenza, i Presidenti delle regioni e delle province autonome di Trento e di Bolzano e i Sindaci possono derogare, per specifiche aree del territorio o per singoli istituti, alle disposizioni di cui al comma 1 esclusivamente in zona rossa </w:t>
      </w:r>
      <w:r w:rsidRPr="004B7F2F">
        <w:rPr>
          <w:rFonts w:asciiTheme="minorHAnsi" w:eastAsia="Times New Roman" w:hAnsiTheme="minorHAnsi" w:cs="Times New Roman"/>
          <w:strike/>
          <w:color w:val="000000" w:themeColor="text1"/>
          <w:sz w:val="24"/>
          <w:szCs w:val="24"/>
          <w:highlight w:val="yellow"/>
        </w:rPr>
        <w:t>o arancione</w:t>
      </w:r>
      <w:r w:rsidR="004B7F2F">
        <w:rPr>
          <w:rStyle w:val="Rimandonotaapidipagina"/>
          <w:rFonts w:asciiTheme="minorHAnsi" w:eastAsia="Times New Roman" w:hAnsiTheme="minorHAnsi" w:cs="Times New Roman"/>
          <w:color w:val="000000" w:themeColor="text1"/>
          <w:sz w:val="24"/>
          <w:szCs w:val="24"/>
        </w:rPr>
        <w:footnoteReference w:id="12"/>
      </w:r>
      <w:r w:rsidRPr="00F40161">
        <w:rPr>
          <w:rFonts w:asciiTheme="minorHAnsi" w:eastAsia="Times New Roman" w:hAnsiTheme="minorHAnsi" w:cs="Times New Roman"/>
          <w:color w:val="000000" w:themeColor="text1"/>
          <w:sz w:val="24"/>
          <w:szCs w:val="24"/>
        </w:rPr>
        <w:t>e in circostanze di eccezionale e straordinaria necessità dovuta all'insorgenza di focolai o al rischio estremamente elevato di diffusione del virus SARS-CoV-2 o di sue varianti nella popolazione scolastica. I provvedimenti di cui al primo periodo sono motivatamente adottati sentite le competenti autorità sanitarie e nel rispetto dei princìpi di adeguatezza e proporzionalità, in particolare con riferimento al loro ambito di applicazione. Laddove siano adottati i predetti provvedimenti di deroga, resta sempre garantita la possibilità di svolgere attività in presenza qualora sia necessario l'uso di laboratori o per mantenere una relazione educativa che realizzi l'effettiva inclusione scolastica degli alunni con disabilità e con bisogni educativi speciali.</w:t>
      </w:r>
    </w:p>
    <w:p w14:paraId="3D05ADE3"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  5. Ai fini della tutela contro il rischio di contagio da COVID-19, al personale scolastico e universitario si applica l'articolo 29-bis del decreto-legge 8 aprile 2020, n. 23, convertito, con modificazioni, dalla legge 5 giugno 2020, n. 40, quando sono rispettate le prescrizioni previste dal presente decreto, nonché dalle linee guida e dai protocolli di cui al comma 3.</w:t>
      </w:r>
    </w:p>
    <w:p w14:paraId="1DECA82C" w14:textId="260E86C9"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lastRenderedPageBreak/>
        <w:t xml:space="preserve">  6. Al decreto-legge 22 aprile 2021, n. 52, convertito, con modificazioni, dalla legge 17 giugno 2021, n. 87, dopo l'articolo 9-bis </w:t>
      </w:r>
      <w:r w:rsidRPr="00730F23">
        <w:rPr>
          <w:rFonts w:asciiTheme="minorHAnsi" w:eastAsia="Times New Roman" w:hAnsiTheme="minorHAnsi" w:cs="Times New Roman"/>
          <w:strike/>
          <w:color w:val="000000" w:themeColor="text1"/>
          <w:sz w:val="24"/>
          <w:szCs w:val="24"/>
          <w:highlight w:val="yellow"/>
        </w:rPr>
        <w:t>è inserito il seguente</w:t>
      </w:r>
      <w:r w:rsidR="00730F23">
        <w:rPr>
          <w:rFonts w:asciiTheme="minorHAnsi" w:eastAsia="Times New Roman" w:hAnsiTheme="minorHAnsi" w:cs="Times New Roman"/>
          <w:color w:val="000000" w:themeColor="text1"/>
          <w:sz w:val="24"/>
          <w:szCs w:val="24"/>
        </w:rPr>
        <w:t xml:space="preserve"> </w:t>
      </w:r>
      <w:r w:rsidR="00730F23" w:rsidRPr="00BE779F">
        <w:rPr>
          <w:rFonts w:asciiTheme="minorHAnsi" w:eastAsia="Times New Roman" w:hAnsiTheme="minorHAnsi" w:cs="Times New Roman"/>
          <w:b/>
          <w:color w:val="000000" w:themeColor="text1"/>
          <w:sz w:val="24"/>
          <w:szCs w:val="24"/>
        </w:rPr>
        <w:t>sono inseriti i seguenti</w:t>
      </w:r>
      <w:r w:rsidR="00E17CFA" w:rsidRPr="00FB5749">
        <w:rPr>
          <w:rStyle w:val="Rimandonotaapidipagina"/>
          <w:rFonts w:asciiTheme="minorHAnsi" w:eastAsia="Times New Roman" w:hAnsiTheme="minorHAnsi" w:cs="Times New Roman"/>
          <w:bCs/>
          <w:color w:val="000000" w:themeColor="text1"/>
          <w:sz w:val="24"/>
          <w:szCs w:val="24"/>
        </w:rPr>
        <w:footnoteReference w:id="13"/>
      </w:r>
      <w:r w:rsidRPr="00F40161">
        <w:rPr>
          <w:rFonts w:asciiTheme="minorHAnsi" w:eastAsia="Times New Roman" w:hAnsiTheme="minorHAnsi" w:cs="Times New Roman"/>
          <w:color w:val="000000" w:themeColor="text1"/>
          <w:sz w:val="24"/>
          <w:szCs w:val="24"/>
        </w:rPr>
        <w:t>:</w:t>
      </w:r>
    </w:p>
    <w:p w14:paraId="1AFC5722"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A78133" w14:textId="77777777" w:rsidR="00F40161" w:rsidRPr="00F40161" w:rsidRDefault="00F40161" w:rsidP="00D151BD">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«Art. 9-ter</w:t>
      </w:r>
    </w:p>
    <w:p w14:paraId="7E147729" w14:textId="77777777" w:rsidR="00F40161" w:rsidRPr="00F40161" w:rsidRDefault="00F40161" w:rsidP="00D151BD">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(Impiego delle certificazioni verdi COVID-19</w:t>
      </w:r>
    </w:p>
    <w:p w14:paraId="722C66D6" w14:textId="77777777" w:rsidR="00F40161" w:rsidRPr="00F40161" w:rsidRDefault="00F40161" w:rsidP="00D151BD">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in ambito scolastico e universitario)</w:t>
      </w:r>
    </w:p>
    <w:p w14:paraId="2C722531"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2098F9C" w14:textId="7D5984B2" w:rsidR="00F40161" w:rsidRDefault="00F40161" w:rsidP="00301809">
      <w:pPr>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xml:space="preserve">   1. Dal 1° settembre 2021 e fino al 31 dicembre 2021, termine di cessazione dello stato di emergenza, al fine di tutelare la salute pubblica e mantenere adeguate condizioni di sicurezza nell'erogazione in presenza del servizio essenziale di istruzione, tutto il personale scolastico del sistema nazionale di istruzione </w:t>
      </w:r>
      <w:r w:rsidRPr="00301809">
        <w:rPr>
          <w:rFonts w:asciiTheme="minorHAnsi" w:eastAsia="Times New Roman" w:hAnsiTheme="minorHAnsi" w:cs="Times New Roman"/>
          <w:strike/>
          <w:color w:val="000000" w:themeColor="text1"/>
          <w:sz w:val="24"/>
          <w:szCs w:val="24"/>
          <w:highlight w:val="yellow"/>
        </w:rPr>
        <w:t>e universitario</w:t>
      </w:r>
      <w:r w:rsidR="00301809">
        <w:rPr>
          <w:rFonts w:asciiTheme="minorHAnsi" w:eastAsia="Times New Roman" w:hAnsiTheme="minorHAnsi" w:cs="Times New Roman"/>
          <w:color w:val="000000" w:themeColor="text1"/>
          <w:sz w:val="24"/>
          <w:szCs w:val="24"/>
        </w:rPr>
        <w:t xml:space="preserve"> </w:t>
      </w:r>
      <w:r w:rsidR="00301809" w:rsidRPr="002C1CCD">
        <w:rPr>
          <w:b/>
          <w:bCs/>
          <w:color w:val="000000" w:themeColor="text1"/>
          <w:sz w:val="24"/>
          <w:szCs w:val="24"/>
        </w:rPr>
        <w:t>delle scuole non paritarie e di quello universitario</w:t>
      </w:r>
      <w:r w:rsidR="00301809">
        <w:rPr>
          <w:b/>
          <w:bCs/>
          <w:color w:val="000000" w:themeColor="text1"/>
          <w:sz w:val="24"/>
          <w:szCs w:val="24"/>
        </w:rPr>
        <w:t>,</w:t>
      </w:r>
      <w:r w:rsidR="00301809" w:rsidRPr="00301809">
        <w:rPr>
          <w:rStyle w:val="Rimandonotaapidipagina"/>
          <w:color w:val="000000" w:themeColor="text1"/>
          <w:sz w:val="24"/>
          <w:szCs w:val="24"/>
        </w:rPr>
        <w:footnoteReference w:id="14"/>
      </w:r>
      <w:r w:rsidRPr="00F40161">
        <w:rPr>
          <w:rFonts w:asciiTheme="minorHAnsi" w:eastAsia="Times New Roman" w:hAnsiTheme="minorHAnsi" w:cs="Times New Roman"/>
          <w:color w:val="000000" w:themeColor="text1"/>
          <w:sz w:val="24"/>
          <w:szCs w:val="24"/>
        </w:rPr>
        <w:t xml:space="preserve"> nonché gli studenti universitari, devono possedere e sono tenuti a esibire la certificazione verde COVID-19 di cui all'articolo 9, comma 2.</w:t>
      </w:r>
    </w:p>
    <w:p w14:paraId="599DE233" w14:textId="7158A643" w:rsidR="00D05434" w:rsidRPr="002C6C3A" w:rsidRDefault="00D05434" w:rsidP="00D05434">
      <w:pPr>
        <w:jc w:val="both"/>
        <w:rPr>
          <w:b/>
          <w:bCs/>
          <w:color w:val="000000" w:themeColor="text1"/>
          <w:sz w:val="24"/>
          <w:szCs w:val="24"/>
        </w:rPr>
      </w:pPr>
      <w:r w:rsidRPr="002C6C3A">
        <w:rPr>
          <w:b/>
          <w:bCs/>
          <w:color w:val="000000" w:themeColor="text1"/>
          <w:sz w:val="24"/>
          <w:szCs w:val="24"/>
        </w:rPr>
        <w:t>  1-bis. Nei casi in cui la certificazione verde COVID-19 di cui all'articolo 9 non sia stata generata e non sia stata rilasciata all'avente diritto in formato cartaceo o digitale, le disposizioni di cui al comma 1 del presente articolo si intendono comunque rispettate a seguito della presentazione da parte dell'interessato di un certificato rilasciato dalla struttura sanitaria ovvero dall'esercente la professione sanitaria che ha effettuato la vaccinazione o dal medico di medicina generale dell'interessato, che attesta che il soggetto soddisfa una delle condizioni di cui al citato articolo 9, comma 2.</w:t>
      </w:r>
      <w:r w:rsidRPr="00D05434">
        <w:rPr>
          <w:rStyle w:val="Rimandonotaapidipagina"/>
          <w:color w:val="000000" w:themeColor="text1"/>
          <w:sz w:val="24"/>
          <w:szCs w:val="24"/>
        </w:rPr>
        <w:footnoteReference w:id="15"/>
      </w:r>
    </w:p>
    <w:p w14:paraId="2A17C262" w14:textId="7D8BB04C" w:rsidR="009B6CE9" w:rsidRPr="00F40161" w:rsidRDefault="009B6CE9"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E779F">
        <w:rPr>
          <w:rFonts w:asciiTheme="minorHAnsi" w:eastAsia="Times New Roman" w:hAnsiTheme="minorHAnsi" w:cs="Times New Roman"/>
          <w:b/>
          <w:color w:val="000000" w:themeColor="text1"/>
          <w:sz w:val="24"/>
          <w:szCs w:val="24"/>
        </w:rPr>
        <w:t xml:space="preserve">1-bis. Le disposizioni del comma 1 si applicano anche al personale dei servizi educativi per l'infanzia di cui all'articolo 2 del decreto legislativo 13 aprile 2017, n. 65, dei centri provinciali per l'istruzione degli adulti, dei sistemi regionali di istruzione e formazione professionale, dei sistemi regionali che realizzano i percorsi di istruzione e formazione tecnica superiore e degli istituti tecnici superiori. Le verifiche di cui al comma 4 sono effettuate dai dirigenti scolastici e dai responsabili delle istituzioni di cui al primo </w:t>
      </w:r>
      <w:r w:rsidRPr="00BE779F">
        <w:rPr>
          <w:rFonts w:asciiTheme="minorHAnsi" w:eastAsia="Times New Roman" w:hAnsiTheme="minorHAnsi" w:cs="Times New Roman"/>
          <w:b/>
          <w:color w:val="000000" w:themeColor="text1"/>
          <w:sz w:val="24"/>
          <w:szCs w:val="24"/>
        </w:rPr>
        <w:lastRenderedPageBreak/>
        <w:t>periodo del presente comma.</w:t>
      </w:r>
      <w:r w:rsidR="00FB5749" w:rsidRPr="00FB5749">
        <w:rPr>
          <w:rStyle w:val="Rimandonotaapidipagina"/>
          <w:rFonts w:asciiTheme="minorHAnsi" w:eastAsia="Times New Roman" w:hAnsiTheme="minorHAnsi" w:cs="Times New Roman"/>
          <w:bCs/>
          <w:color w:val="000000" w:themeColor="text1"/>
          <w:sz w:val="24"/>
          <w:szCs w:val="24"/>
        </w:rPr>
        <w:footnoteReference w:id="16"/>
      </w:r>
      <w:r w:rsidR="008C2761">
        <w:rPr>
          <w:rFonts w:asciiTheme="minorHAnsi" w:eastAsia="Times New Roman" w:hAnsiTheme="minorHAnsi" w:cs="Times New Roman"/>
          <w:b/>
          <w:color w:val="000000" w:themeColor="text1"/>
          <w:sz w:val="24"/>
          <w:szCs w:val="24"/>
        </w:rPr>
        <w:t xml:space="preserve"> </w:t>
      </w:r>
      <w:r w:rsidR="008C2761" w:rsidRPr="00A96C2C">
        <w:rPr>
          <w:b/>
          <w:bCs/>
          <w:color w:val="000000" w:themeColor="text1"/>
          <w:sz w:val="24"/>
          <w:szCs w:val="24"/>
          <w:highlight w:val="red"/>
        </w:rPr>
        <w:t>La disposizione di cui al presente comma si applica dalla data di entrata in vigore della legge di conversione del presente decreto.</w:t>
      </w:r>
      <w:r w:rsidR="008C2761">
        <w:rPr>
          <w:b/>
          <w:bCs/>
          <w:color w:val="000000" w:themeColor="text1"/>
          <w:sz w:val="24"/>
          <w:szCs w:val="24"/>
        </w:rPr>
        <w:t xml:space="preserve"> </w:t>
      </w:r>
      <w:r w:rsidR="008C2761">
        <w:rPr>
          <w:rStyle w:val="Rimandonotaapidipagina"/>
          <w:b/>
          <w:bCs/>
          <w:color w:val="000000" w:themeColor="text1"/>
          <w:sz w:val="24"/>
          <w:szCs w:val="24"/>
        </w:rPr>
        <w:footnoteReference w:id="17"/>
      </w:r>
    </w:p>
    <w:p w14:paraId="33D7201A" w14:textId="508A5709" w:rsidR="00F40161" w:rsidRPr="00D80AED" w:rsidRDefault="00F40161" w:rsidP="00F4016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F40161">
        <w:rPr>
          <w:rFonts w:asciiTheme="minorHAnsi" w:eastAsia="Times New Roman" w:hAnsiTheme="minorHAnsi" w:cs="Times New Roman"/>
          <w:color w:val="000000" w:themeColor="text1"/>
          <w:sz w:val="24"/>
          <w:szCs w:val="24"/>
        </w:rPr>
        <w:t>   </w:t>
      </w:r>
      <w:r w:rsidRPr="00D80AED">
        <w:rPr>
          <w:rFonts w:asciiTheme="minorHAnsi" w:eastAsia="Times New Roman" w:hAnsiTheme="minorHAnsi" w:cs="Times New Roman"/>
          <w:strike/>
          <w:color w:val="000000" w:themeColor="text1"/>
          <w:sz w:val="24"/>
          <w:szCs w:val="24"/>
          <w:highlight w:val="yellow"/>
        </w:rPr>
        <w:t xml:space="preserve">2. Il mancato rispetto delle disposizioni di cui al comma 1 </w:t>
      </w:r>
      <w:r w:rsidR="003E675A" w:rsidRPr="00966963">
        <w:rPr>
          <w:rFonts w:asciiTheme="minorHAnsi" w:eastAsia="Times New Roman" w:hAnsiTheme="minorHAnsi" w:cs="Times New Roman"/>
          <w:b/>
          <w:strike/>
          <w:color w:val="000000" w:themeColor="text1"/>
          <w:sz w:val="24"/>
          <w:szCs w:val="24"/>
          <w:highlight w:val="red"/>
        </w:rPr>
        <w:t>ai commi 1 e 1-bis</w:t>
      </w:r>
      <w:r w:rsidR="003E675A" w:rsidRPr="00966963">
        <w:rPr>
          <w:rStyle w:val="Rimandonotaapidipagina"/>
          <w:rFonts w:asciiTheme="minorHAnsi" w:eastAsia="Times New Roman" w:hAnsiTheme="minorHAnsi" w:cs="Times New Roman"/>
          <w:bCs/>
          <w:strike/>
          <w:color w:val="000000" w:themeColor="text1"/>
          <w:sz w:val="24"/>
          <w:szCs w:val="24"/>
          <w:highlight w:val="red"/>
        </w:rPr>
        <w:footnoteReference w:id="18"/>
      </w:r>
      <w:r w:rsidR="003E675A" w:rsidRPr="00966963">
        <w:rPr>
          <w:rFonts w:asciiTheme="minorHAnsi" w:eastAsia="Times New Roman" w:hAnsiTheme="minorHAnsi" w:cs="Times New Roman"/>
          <w:bCs/>
          <w:strike/>
          <w:color w:val="000000" w:themeColor="text1"/>
          <w:sz w:val="24"/>
          <w:szCs w:val="24"/>
          <w:highlight w:val="red"/>
        </w:rPr>
        <w:t xml:space="preserve"> </w:t>
      </w:r>
      <w:r w:rsidR="00966963">
        <w:rPr>
          <w:rFonts w:asciiTheme="minorHAnsi" w:eastAsia="Times New Roman" w:hAnsiTheme="minorHAnsi" w:cs="Times New Roman"/>
          <w:bCs/>
          <w:strike/>
          <w:color w:val="000000" w:themeColor="text1"/>
          <w:sz w:val="24"/>
          <w:szCs w:val="24"/>
          <w:highlight w:val="red"/>
        </w:rPr>
        <w:t xml:space="preserve"> </w:t>
      </w:r>
      <w:r w:rsidR="00966963">
        <w:rPr>
          <w:rStyle w:val="Rimandonotaapidipagina"/>
          <w:rFonts w:asciiTheme="minorHAnsi" w:eastAsia="Times New Roman" w:hAnsiTheme="minorHAnsi" w:cs="Times New Roman"/>
          <w:bCs/>
          <w:strike/>
          <w:color w:val="000000" w:themeColor="text1"/>
          <w:sz w:val="24"/>
          <w:szCs w:val="24"/>
          <w:highlight w:val="red"/>
        </w:rPr>
        <w:footnoteReference w:id="19"/>
      </w:r>
      <w:r w:rsidRPr="00D80AED">
        <w:rPr>
          <w:rFonts w:asciiTheme="minorHAnsi" w:eastAsia="Times New Roman" w:hAnsiTheme="minorHAnsi" w:cs="Times New Roman"/>
          <w:strike/>
          <w:color w:val="000000" w:themeColor="text1"/>
          <w:sz w:val="24"/>
          <w:szCs w:val="24"/>
          <w:highlight w:val="yellow"/>
        </w:rPr>
        <w:t>da parte del personale scolastico e di quello universitario è considerato assenza ingiustificata e a decorrere dal quinto giorno di assenza il rapporto di lavoro è sospeso e non sono dovuti la retribuzione né altro compenso o emolumento, comunque denominato.</w:t>
      </w:r>
    </w:p>
    <w:p w14:paraId="5A64E3DA" w14:textId="6B860207" w:rsidR="00D80AED" w:rsidRDefault="00D80AED"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D22C58" w14:textId="6321FD06" w:rsidR="00D80AED" w:rsidRPr="00A33A21" w:rsidRDefault="00D80AED" w:rsidP="00D80AED">
      <w:pPr>
        <w:jc w:val="both"/>
        <w:rPr>
          <w:b/>
          <w:bCs/>
          <w:color w:val="000000" w:themeColor="text1"/>
          <w:sz w:val="24"/>
          <w:szCs w:val="24"/>
        </w:rPr>
      </w:pPr>
      <w:r w:rsidRPr="00A33A21">
        <w:rPr>
          <w:b/>
          <w:bCs/>
          <w:color w:val="000000" w:themeColor="text1"/>
          <w:sz w:val="24"/>
          <w:szCs w:val="24"/>
        </w:rPr>
        <w:t>  2. Il mancato rispetto delle disposizioni di cui al comma 1 da parte del personale delle istituzioni di cui ai commi 1 e 1-bis è considerato assenza ingiustificata e non sono corrisposti la retribuzione né altro compenso o emolumento, comunque denominato. A decorrere dal quinto giorno di assenza ingiustificata il rapporto di lavoro è sospeso. La sospensione del rapporto di lavoro è disposta dai dirigenti scolastici e dai responsabili delle istituzioni di cui ai commi 1 e 1-bis e mantiene efficacia fino al conseguimento della condizione di cui al comma 1 e alla scadenza del contratto attribuito per la sostituzione che non supera i quindici giorni.</w:t>
      </w:r>
      <w:r>
        <w:rPr>
          <w:rStyle w:val="Rimandonotaapidipagina"/>
          <w:b/>
          <w:bCs/>
          <w:color w:val="000000" w:themeColor="text1"/>
          <w:sz w:val="24"/>
          <w:szCs w:val="24"/>
        </w:rPr>
        <w:footnoteReference w:id="20"/>
      </w:r>
    </w:p>
    <w:p w14:paraId="0F08AC99" w14:textId="77777777" w:rsidR="00D80AED" w:rsidRPr="00F40161" w:rsidRDefault="00D80AED"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F74369" w14:textId="56A30FB0"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xml:space="preserve">   3. Le disposizioni di cui </w:t>
      </w:r>
      <w:r w:rsidRPr="003E675A">
        <w:rPr>
          <w:rFonts w:asciiTheme="minorHAnsi" w:eastAsia="Times New Roman" w:hAnsiTheme="minorHAnsi" w:cs="Times New Roman"/>
          <w:strike/>
          <w:color w:val="000000" w:themeColor="text1"/>
          <w:sz w:val="24"/>
          <w:szCs w:val="24"/>
          <w:highlight w:val="yellow"/>
        </w:rPr>
        <w:t>al comma 1</w:t>
      </w:r>
      <w:r w:rsidRPr="00F40161">
        <w:rPr>
          <w:rFonts w:asciiTheme="minorHAnsi" w:eastAsia="Times New Roman" w:hAnsiTheme="minorHAnsi" w:cs="Times New Roman"/>
          <w:color w:val="000000" w:themeColor="text1"/>
          <w:sz w:val="24"/>
          <w:szCs w:val="24"/>
        </w:rPr>
        <w:t xml:space="preserve"> </w:t>
      </w:r>
      <w:r w:rsidR="003E675A" w:rsidRPr="00BE779F">
        <w:rPr>
          <w:rFonts w:asciiTheme="minorHAnsi" w:eastAsia="Times New Roman" w:hAnsiTheme="minorHAnsi" w:cs="Times New Roman"/>
          <w:b/>
          <w:color w:val="000000" w:themeColor="text1"/>
          <w:sz w:val="24"/>
          <w:szCs w:val="24"/>
        </w:rPr>
        <w:t>ai commi 1 e 1-bis</w:t>
      </w:r>
      <w:r w:rsidR="003E675A" w:rsidRPr="003E675A">
        <w:rPr>
          <w:rStyle w:val="Rimandonotaapidipagina"/>
          <w:rFonts w:asciiTheme="minorHAnsi" w:eastAsia="Times New Roman" w:hAnsiTheme="minorHAnsi" w:cs="Times New Roman"/>
          <w:bCs/>
          <w:color w:val="000000" w:themeColor="text1"/>
          <w:sz w:val="24"/>
          <w:szCs w:val="24"/>
        </w:rPr>
        <w:footnoteReference w:id="21"/>
      </w:r>
      <w:r w:rsidR="003E675A" w:rsidRPr="00BE779F">
        <w:rPr>
          <w:rFonts w:asciiTheme="minorHAnsi" w:eastAsia="Times New Roman" w:hAnsiTheme="minorHAnsi" w:cs="Times New Roman"/>
          <w:bCs/>
          <w:color w:val="000000" w:themeColor="text1"/>
          <w:sz w:val="24"/>
          <w:szCs w:val="24"/>
        </w:rPr>
        <w:t xml:space="preserve"> </w:t>
      </w:r>
      <w:r w:rsidRPr="00F40161">
        <w:rPr>
          <w:rFonts w:asciiTheme="minorHAnsi" w:eastAsia="Times New Roman" w:hAnsiTheme="minorHAnsi" w:cs="Times New Roman"/>
          <w:color w:val="000000" w:themeColor="text1"/>
          <w:sz w:val="24"/>
          <w:szCs w:val="24"/>
        </w:rPr>
        <w:t>non si applicano ai soggetti esenti dalla campagna vaccinale sulla base di idonea certificazione medica rilasciata secondo i criteri definiti con circolare del Ministero della salute.</w:t>
      </w:r>
    </w:p>
    <w:p w14:paraId="13A177B2" w14:textId="202FD4E5" w:rsidR="00F71CBA" w:rsidRPr="00B349F5" w:rsidRDefault="00F40161" w:rsidP="00F71CBA">
      <w:pPr>
        <w:jc w:val="both"/>
        <w:rPr>
          <w:b/>
          <w:bCs/>
          <w:color w:val="000000" w:themeColor="text1"/>
          <w:sz w:val="24"/>
          <w:szCs w:val="24"/>
          <w:highlight w:val="red"/>
        </w:rPr>
      </w:pPr>
      <w:r w:rsidRPr="00F40161">
        <w:rPr>
          <w:rFonts w:asciiTheme="minorHAnsi" w:eastAsia="Times New Roman" w:hAnsiTheme="minorHAnsi" w:cs="Times New Roman"/>
          <w:color w:val="000000" w:themeColor="text1"/>
          <w:sz w:val="24"/>
          <w:szCs w:val="24"/>
        </w:rPr>
        <w:lastRenderedPageBreak/>
        <w:t xml:space="preserve">   4 I dirigenti </w:t>
      </w:r>
      <w:proofErr w:type="gramStart"/>
      <w:r w:rsidRPr="00F40161">
        <w:rPr>
          <w:rFonts w:asciiTheme="minorHAnsi" w:eastAsia="Times New Roman" w:hAnsiTheme="minorHAnsi" w:cs="Times New Roman"/>
          <w:color w:val="000000" w:themeColor="text1"/>
          <w:sz w:val="24"/>
          <w:szCs w:val="24"/>
        </w:rPr>
        <w:t xml:space="preserve">scolastici </w:t>
      </w:r>
      <w:r w:rsidR="00031318" w:rsidRPr="002D0DF0">
        <w:rPr>
          <w:b/>
          <w:bCs/>
          <w:color w:val="000000" w:themeColor="text1"/>
          <w:sz w:val="24"/>
          <w:szCs w:val="24"/>
        </w:rPr>
        <w:t>,</w:t>
      </w:r>
      <w:proofErr w:type="gramEnd"/>
      <w:r w:rsidR="00031318" w:rsidRPr="002D0DF0">
        <w:rPr>
          <w:b/>
          <w:bCs/>
          <w:color w:val="000000" w:themeColor="text1"/>
          <w:sz w:val="24"/>
          <w:szCs w:val="24"/>
        </w:rPr>
        <w:t xml:space="preserve"> o altro personale dell'istituzione scolastica da questi a tal fine delegato,</w:t>
      </w:r>
      <w:r w:rsidR="00031318">
        <w:rPr>
          <w:b/>
          <w:bCs/>
          <w:color w:val="000000" w:themeColor="text1"/>
          <w:sz w:val="24"/>
          <w:szCs w:val="24"/>
        </w:rPr>
        <w:t xml:space="preserve"> </w:t>
      </w:r>
      <w:r w:rsidR="00031318">
        <w:rPr>
          <w:rStyle w:val="Rimandonotaapidipagina"/>
          <w:b/>
          <w:bCs/>
          <w:color w:val="000000" w:themeColor="text1"/>
          <w:sz w:val="24"/>
          <w:szCs w:val="24"/>
        </w:rPr>
        <w:footnoteReference w:id="22"/>
      </w:r>
      <w:r w:rsidRPr="00F40161">
        <w:rPr>
          <w:rFonts w:asciiTheme="minorHAnsi" w:eastAsia="Times New Roman" w:hAnsiTheme="minorHAnsi" w:cs="Times New Roman"/>
          <w:color w:val="000000" w:themeColor="text1"/>
          <w:sz w:val="24"/>
          <w:szCs w:val="24"/>
        </w:rPr>
        <w:t xml:space="preserve">e i responsabili dei servizi educativi dell'infanzia </w:t>
      </w:r>
      <w:r w:rsidR="006E21D7" w:rsidRPr="001F2F2A">
        <w:rPr>
          <w:rFonts w:asciiTheme="minorHAnsi" w:eastAsia="Times New Roman" w:hAnsiTheme="minorHAnsi" w:cs="Times New Roman"/>
          <w:b/>
          <w:color w:val="000000" w:themeColor="text1"/>
          <w:sz w:val="24"/>
          <w:szCs w:val="24"/>
        </w:rPr>
        <w:t>e delle altre istituzioni di cui al comma 1-bis</w:t>
      </w:r>
      <w:r w:rsidR="006E21D7" w:rsidRPr="004C198B">
        <w:rPr>
          <w:rStyle w:val="Rimandonotaapidipagina"/>
          <w:rFonts w:asciiTheme="minorHAnsi" w:eastAsia="Times New Roman" w:hAnsiTheme="minorHAnsi" w:cs="Times New Roman"/>
          <w:bCs/>
          <w:color w:val="000000" w:themeColor="text1"/>
          <w:sz w:val="24"/>
          <w:szCs w:val="24"/>
        </w:rPr>
        <w:footnoteReference w:id="23"/>
      </w:r>
      <w:r w:rsidR="006E21D7" w:rsidRPr="004C198B">
        <w:rPr>
          <w:rFonts w:asciiTheme="minorHAnsi" w:eastAsia="Times New Roman" w:hAnsiTheme="minorHAnsi" w:cs="Times New Roman"/>
          <w:bCs/>
          <w:color w:val="000000" w:themeColor="text1"/>
          <w:sz w:val="24"/>
          <w:szCs w:val="24"/>
        </w:rPr>
        <w:t xml:space="preserve"> </w:t>
      </w:r>
      <w:r w:rsidRPr="00F40161">
        <w:rPr>
          <w:rFonts w:asciiTheme="minorHAnsi" w:eastAsia="Times New Roman" w:hAnsiTheme="minorHAnsi" w:cs="Times New Roman"/>
          <w:color w:val="000000" w:themeColor="text1"/>
          <w:sz w:val="24"/>
          <w:szCs w:val="24"/>
        </w:rPr>
        <w:t>nonché delle scuole paritarie</w:t>
      </w:r>
      <w:r w:rsidR="00A02402">
        <w:rPr>
          <w:rFonts w:asciiTheme="minorHAnsi" w:eastAsia="Times New Roman" w:hAnsiTheme="minorHAnsi" w:cs="Times New Roman"/>
          <w:color w:val="000000" w:themeColor="text1"/>
          <w:sz w:val="24"/>
          <w:szCs w:val="24"/>
        </w:rPr>
        <w:t xml:space="preserve"> </w:t>
      </w:r>
      <w:r w:rsidR="00A02402" w:rsidRPr="002C1CCD">
        <w:rPr>
          <w:b/>
          <w:bCs/>
          <w:color w:val="000000" w:themeColor="text1"/>
          <w:sz w:val="24"/>
          <w:szCs w:val="24"/>
        </w:rPr>
        <w:t>e non paritarie</w:t>
      </w:r>
      <w:r w:rsidR="00A02402" w:rsidRPr="00A02402">
        <w:rPr>
          <w:rStyle w:val="Rimandonotaapidipagina"/>
          <w:color w:val="000000" w:themeColor="text1"/>
          <w:sz w:val="24"/>
          <w:szCs w:val="24"/>
        </w:rPr>
        <w:footnoteReference w:id="24"/>
      </w:r>
      <w:r w:rsidRPr="00A02402">
        <w:rPr>
          <w:rFonts w:asciiTheme="minorHAnsi" w:eastAsia="Times New Roman" w:hAnsiTheme="minorHAnsi" w:cs="Times New Roman"/>
          <w:color w:val="000000" w:themeColor="text1"/>
          <w:sz w:val="24"/>
          <w:szCs w:val="24"/>
        </w:rPr>
        <w:t xml:space="preserve"> </w:t>
      </w:r>
      <w:r w:rsidRPr="00F40161">
        <w:rPr>
          <w:rFonts w:asciiTheme="minorHAnsi" w:eastAsia="Times New Roman" w:hAnsiTheme="minorHAnsi" w:cs="Times New Roman"/>
          <w:color w:val="000000" w:themeColor="text1"/>
          <w:sz w:val="24"/>
          <w:szCs w:val="24"/>
        </w:rPr>
        <w:t>e delle università sono tenuti a verificare il rispetto delle prescrizioni di cui</w:t>
      </w:r>
      <w:r w:rsidRPr="003E675A">
        <w:rPr>
          <w:rFonts w:asciiTheme="minorHAnsi" w:eastAsia="Times New Roman" w:hAnsiTheme="minorHAnsi" w:cs="Times New Roman"/>
          <w:strike/>
          <w:color w:val="000000" w:themeColor="text1"/>
          <w:sz w:val="24"/>
          <w:szCs w:val="24"/>
        </w:rPr>
        <w:t xml:space="preserve"> </w:t>
      </w:r>
      <w:r w:rsidRPr="003E675A">
        <w:rPr>
          <w:rFonts w:asciiTheme="minorHAnsi" w:eastAsia="Times New Roman" w:hAnsiTheme="minorHAnsi" w:cs="Times New Roman"/>
          <w:strike/>
          <w:color w:val="000000" w:themeColor="text1"/>
          <w:sz w:val="24"/>
          <w:szCs w:val="24"/>
          <w:highlight w:val="yellow"/>
        </w:rPr>
        <w:t>al comma 1</w:t>
      </w:r>
      <w:r w:rsidR="003E675A">
        <w:rPr>
          <w:rFonts w:asciiTheme="minorHAnsi" w:eastAsia="Times New Roman" w:hAnsiTheme="minorHAnsi" w:cs="Times New Roman"/>
          <w:color w:val="000000" w:themeColor="text1"/>
          <w:sz w:val="24"/>
          <w:szCs w:val="24"/>
        </w:rPr>
        <w:t xml:space="preserve"> </w:t>
      </w:r>
      <w:r w:rsidR="003E675A" w:rsidRPr="00BE779F">
        <w:rPr>
          <w:rFonts w:asciiTheme="minorHAnsi" w:eastAsia="Times New Roman" w:hAnsiTheme="minorHAnsi" w:cs="Times New Roman"/>
          <w:b/>
          <w:color w:val="000000" w:themeColor="text1"/>
          <w:sz w:val="24"/>
          <w:szCs w:val="24"/>
        </w:rPr>
        <w:t>ai commi 1 e 1-bis</w:t>
      </w:r>
      <w:r w:rsidR="003E675A" w:rsidRPr="003E675A">
        <w:rPr>
          <w:rStyle w:val="Rimandonotaapidipagina"/>
          <w:rFonts w:asciiTheme="minorHAnsi" w:eastAsia="Times New Roman" w:hAnsiTheme="minorHAnsi" w:cs="Times New Roman"/>
          <w:bCs/>
          <w:color w:val="000000" w:themeColor="text1"/>
          <w:sz w:val="24"/>
          <w:szCs w:val="24"/>
        </w:rPr>
        <w:footnoteReference w:id="25"/>
      </w:r>
      <w:r w:rsidR="003E675A">
        <w:rPr>
          <w:rFonts w:asciiTheme="minorHAnsi" w:eastAsia="Times New Roman" w:hAnsiTheme="minorHAnsi" w:cs="Times New Roman"/>
          <w:b/>
          <w:color w:val="000000" w:themeColor="text1"/>
          <w:sz w:val="24"/>
          <w:szCs w:val="24"/>
        </w:rPr>
        <w:t xml:space="preserve">. </w:t>
      </w:r>
      <w:r w:rsidRPr="00F40161">
        <w:rPr>
          <w:rFonts w:asciiTheme="minorHAnsi" w:eastAsia="Times New Roman" w:hAnsiTheme="minorHAnsi" w:cs="Times New Roman"/>
          <w:color w:val="000000" w:themeColor="text1"/>
          <w:sz w:val="24"/>
          <w:szCs w:val="24"/>
        </w:rPr>
        <w:t xml:space="preserve">Le verifiche delle certificazioni verdi COVID-19 sono effettuate con le modalità indicate dal decreto del Presidente del Consiglio dei ministri adottato ai sensi dell'articolo 9, comma 10. Con circolare del Ministro dell'istruzione possono essere stabilite ulteriori modalità di verifica. Con riferimento al rispetto delle prescrizioni di cui </w:t>
      </w:r>
      <w:r w:rsidRPr="003E675A">
        <w:rPr>
          <w:rFonts w:asciiTheme="minorHAnsi" w:eastAsia="Times New Roman" w:hAnsiTheme="minorHAnsi" w:cs="Times New Roman"/>
          <w:strike/>
          <w:color w:val="000000" w:themeColor="text1"/>
          <w:sz w:val="24"/>
          <w:szCs w:val="24"/>
          <w:highlight w:val="yellow"/>
        </w:rPr>
        <w:t xml:space="preserve">al comma </w:t>
      </w:r>
      <w:r w:rsidRPr="003E675A">
        <w:rPr>
          <w:rFonts w:asciiTheme="minorHAnsi" w:eastAsia="Times New Roman" w:hAnsiTheme="minorHAnsi" w:cs="Times New Roman"/>
          <w:color w:val="000000" w:themeColor="text1"/>
          <w:sz w:val="24"/>
          <w:szCs w:val="24"/>
          <w:highlight w:val="yellow"/>
        </w:rPr>
        <w:t>1</w:t>
      </w:r>
      <w:r w:rsidR="003E675A">
        <w:rPr>
          <w:rFonts w:asciiTheme="minorHAnsi" w:eastAsia="Times New Roman" w:hAnsiTheme="minorHAnsi" w:cs="Times New Roman"/>
          <w:color w:val="000000" w:themeColor="text1"/>
          <w:sz w:val="24"/>
          <w:szCs w:val="24"/>
        </w:rPr>
        <w:t xml:space="preserve"> </w:t>
      </w:r>
      <w:r w:rsidR="003E675A" w:rsidRPr="00BE779F">
        <w:rPr>
          <w:rFonts w:asciiTheme="minorHAnsi" w:eastAsia="Times New Roman" w:hAnsiTheme="minorHAnsi" w:cs="Times New Roman"/>
          <w:b/>
          <w:color w:val="000000" w:themeColor="text1"/>
          <w:sz w:val="24"/>
          <w:szCs w:val="24"/>
        </w:rPr>
        <w:t>ai commi 1 e 1-bis</w:t>
      </w:r>
      <w:r w:rsidR="003E675A" w:rsidRPr="003E675A">
        <w:rPr>
          <w:rStyle w:val="Rimandonotaapidipagina"/>
          <w:rFonts w:asciiTheme="minorHAnsi" w:eastAsia="Times New Roman" w:hAnsiTheme="minorHAnsi" w:cs="Times New Roman"/>
          <w:bCs/>
          <w:color w:val="000000" w:themeColor="text1"/>
          <w:sz w:val="24"/>
          <w:szCs w:val="24"/>
        </w:rPr>
        <w:footnoteReference w:id="26"/>
      </w:r>
      <w:r w:rsidR="003E675A" w:rsidRPr="003E675A">
        <w:rPr>
          <w:rFonts w:asciiTheme="minorHAnsi" w:eastAsia="Times New Roman" w:hAnsiTheme="minorHAnsi" w:cs="Times New Roman"/>
          <w:bCs/>
          <w:color w:val="000000" w:themeColor="text1"/>
          <w:sz w:val="24"/>
          <w:szCs w:val="24"/>
        </w:rPr>
        <w:t xml:space="preserve"> </w:t>
      </w:r>
      <w:r w:rsidRPr="003E675A">
        <w:rPr>
          <w:rFonts w:asciiTheme="minorHAnsi" w:eastAsia="Times New Roman" w:hAnsiTheme="minorHAnsi" w:cs="Times New Roman"/>
          <w:color w:val="000000" w:themeColor="text1"/>
          <w:sz w:val="24"/>
          <w:szCs w:val="24"/>
        </w:rPr>
        <w:t>da</w:t>
      </w:r>
      <w:r w:rsidRPr="00F40161">
        <w:rPr>
          <w:rFonts w:asciiTheme="minorHAnsi" w:eastAsia="Times New Roman" w:hAnsiTheme="minorHAnsi" w:cs="Times New Roman"/>
          <w:color w:val="000000" w:themeColor="text1"/>
          <w:sz w:val="24"/>
          <w:szCs w:val="24"/>
        </w:rPr>
        <w:t xml:space="preserve"> parte degli studenti universitari, le verifiche di cui al presente comma sono svolte a campione con le modalità individuate dalle università</w:t>
      </w:r>
      <w:r w:rsidR="00F71CBA">
        <w:rPr>
          <w:rFonts w:asciiTheme="minorHAnsi" w:eastAsia="Times New Roman" w:hAnsiTheme="minorHAnsi" w:cs="Times New Roman"/>
          <w:color w:val="000000" w:themeColor="text1"/>
          <w:sz w:val="24"/>
          <w:szCs w:val="24"/>
        </w:rPr>
        <w:t xml:space="preserve"> </w:t>
      </w:r>
      <w:r w:rsidR="00F71CBA" w:rsidRPr="00B349F5">
        <w:rPr>
          <w:b/>
          <w:bCs/>
          <w:color w:val="000000" w:themeColor="text1"/>
          <w:sz w:val="24"/>
          <w:szCs w:val="24"/>
          <w:highlight w:val="red"/>
        </w:rPr>
        <w:t>e si applicano le sanzioni di cui al comma 5, primo, secondo e terzo periodo.</w:t>
      </w:r>
      <w:r w:rsidR="00F71CBA">
        <w:rPr>
          <w:b/>
          <w:bCs/>
          <w:color w:val="000000" w:themeColor="text1"/>
          <w:sz w:val="24"/>
          <w:szCs w:val="24"/>
          <w:highlight w:val="red"/>
        </w:rPr>
        <w:t xml:space="preserve"> </w:t>
      </w:r>
      <w:r w:rsidR="00F71CBA" w:rsidRPr="00F71CBA">
        <w:rPr>
          <w:rStyle w:val="Rimandonotaapidipagina"/>
          <w:color w:val="000000" w:themeColor="text1"/>
          <w:sz w:val="24"/>
          <w:szCs w:val="24"/>
        </w:rPr>
        <w:footnoteReference w:id="27"/>
      </w:r>
    </w:p>
    <w:p w14:paraId="4EE1F54D" w14:textId="7563AD52" w:rsidR="00F40161" w:rsidRPr="00F40161" w:rsidRDefault="00F40161" w:rsidP="00031318">
      <w:pPr>
        <w:jc w:val="both"/>
        <w:rPr>
          <w:rFonts w:asciiTheme="minorHAnsi" w:eastAsia="Times New Roman" w:hAnsiTheme="minorHAnsi" w:cs="Times New Roman"/>
          <w:color w:val="000000" w:themeColor="text1"/>
          <w:sz w:val="24"/>
          <w:szCs w:val="24"/>
        </w:rPr>
      </w:pPr>
    </w:p>
    <w:p w14:paraId="4D8C62DD" w14:textId="39508E23"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xml:space="preserve">   5. La violazione delle disposizioni di cui ai </w:t>
      </w:r>
      <w:r w:rsidRPr="007532E8">
        <w:rPr>
          <w:rFonts w:asciiTheme="minorHAnsi" w:eastAsia="Times New Roman" w:hAnsiTheme="minorHAnsi" w:cs="Times New Roman"/>
          <w:color w:val="000000" w:themeColor="text1"/>
          <w:sz w:val="24"/>
          <w:szCs w:val="24"/>
        </w:rPr>
        <w:t>commi 1 e 4</w:t>
      </w:r>
      <w:r w:rsidRPr="00E12E2D">
        <w:rPr>
          <w:rFonts w:asciiTheme="minorHAnsi" w:eastAsia="Times New Roman" w:hAnsiTheme="minorHAnsi" w:cs="Times New Roman"/>
          <w:strike/>
          <w:color w:val="000000" w:themeColor="text1"/>
          <w:sz w:val="24"/>
          <w:szCs w:val="24"/>
        </w:rPr>
        <w:t xml:space="preserve"> </w:t>
      </w:r>
      <w:r w:rsidR="00D628B2" w:rsidRPr="00E12E2D">
        <w:rPr>
          <w:rFonts w:asciiTheme="minorHAnsi" w:eastAsia="Times New Roman" w:hAnsiTheme="minorHAnsi" w:cs="Times New Roman"/>
          <w:b/>
          <w:strike/>
          <w:color w:val="000000" w:themeColor="text1"/>
          <w:sz w:val="24"/>
          <w:szCs w:val="24"/>
          <w:highlight w:val="red"/>
        </w:rPr>
        <w:t>commi 1, 1-bis e 4</w:t>
      </w:r>
      <w:r w:rsidR="00D628B2" w:rsidRPr="00E12E2D">
        <w:rPr>
          <w:rStyle w:val="Rimandonotaapidipagina"/>
          <w:rFonts w:asciiTheme="minorHAnsi" w:eastAsia="Times New Roman" w:hAnsiTheme="minorHAnsi" w:cs="Times New Roman"/>
          <w:bCs/>
          <w:strike/>
          <w:color w:val="000000" w:themeColor="text1"/>
          <w:sz w:val="24"/>
          <w:szCs w:val="24"/>
          <w:highlight w:val="red"/>
        </w:rPr>
        <w:footnoteReference w:id="28"/>
      </w:r>
      <w:r w:rsidR="00D628B2">
        <w:rPr>
          <w:rFonts w:asciiTheme="minorHAnsi" w:eastAsia="Times New Roman" w:hAnsiTheme="minorHAnsi" w:cs="Times New Roman"/>
          <w:color w:val="000000" w:themeColor="text1"/>
          <w:sz w:val="24"/>
          <w:szCs w:val="24"/>
        </w:rPr>
        <w:t xml:space="preserve"> </w:t>
      </w:r>
      <w:r w:rsidR="007532E8">
        <w:rPr>
          <w:rStyle w:val="Rimandonotaapidipagina"/>
          <w:rFonts w:asciiTheme="minorHAnsi" w:eastAsia="Times New Roman" w:hAnsiTheme="minorHAnsi" w:cs="Times New Roman"/>
          <w:color w:val="000000" w:themeColor="text1"/>
          <w:sz w:val="24"/>
          <w:szCs w:val="24"/>
        </w:rPr>
        <w:footnoteReference w:id="29"/>
      </w:r>
      <w:r w:rsidRPr="00F40161">
        <w:rPr>
          <w:rFonts w:asciiTheme="minorHAnsi" w:eastAsia="Times New Roman" w:hAnsiTheme="minorHAnsi" w:cs="Times New Roman"/>
          <w:color w:val="000000" w:themeColor="text1"/>
          <w:sz w:val="24"/>
          <w:szCs w:val="24"/>
        </w:rPr>
        <w:t xml:space="preserve">è sanzionata ai sensi dell'articolo </w:t>
      </w:r>
      <w:proofErr w:type="gramStart"/>
      <w:r w:rsidRPr="00F40161">
        <w:rPr>
          <w:rFonts w:asciiTheme="minorHAnsi" w:eastAsia="Times New Roman" w:hAnsiTheme="minorHAnsi" w:cs="Times New Roman"/>
          <w:color w:val="000000" w:themeColor="text1"/>
          <w:sz w:val="24"/>
          <w:szCs w:val="24"/>
        </w:rPr>
        <w:t xml:space="preserve">4 </w:t>
      </w:r>
      <w:r w:rsidR="00000BB2" w:rsidRPr="00E12E2D">
        <w:rPr>
          <w:rFonts w:asciiTheme="minorHAnsi" w:eastAsia="Times New Roman" w:hAnsiTheme="minorHAnsi" w:cs="Times New Roman"/>
          <w:b/>
          <w:strike/>
          <w:color w:val="000000" w:themeColor="text1"/>
          <w:sz w:val="24"/>
          <w:szCs w:val="24"/>
        </w:rPr>
        <w:t>,</w:t>
      </w:r>
      <w:proofErr w:type="gramEnd"/>
      <w:r w:rsidR="00000BB2" w:rsidRPr="00E12E2D">
        <w:rPr>
          <w:rFonts w:asciiTheme="minorHAnsi" w:eastAsia="Times New Roman" w:hAnsiTheme="minorHAnsi" w:cs="Times New Roman"/>
          <w:b/>
          <w:strike/>
          <w:color w:val="000000" w:themeColor="text1"/>
          <w:sz w:val="24"/>
          <w:szCs w:val="24"/>
        </w:rPr>
        <w:t xml:space="preserve"> </w:t>
      </w:r>
      <w:r w:rsidR="00000BB2" w:rsidRPr="00E12E2D">
        <w:rPr>
          <w:rFonts w:asciiTheme="minorHAnsi" w:eastAsia="Times New Roman" w:hAnsiTheme="minorHAnsi" w:cs="Times New Roman"/>
          <w:b/>
          <w:strike/>
          <w:color w:val="000000" w:themeColor="text1"/>
          <w:sz w:val="24"/>
          <w:szCs w:val="24"/>
          <w:highlight w:val="red"/>
        </w:rPr>
        <w:t>commi 1, 3, 5 e 9,</w:t>
      </w:r>
      <w:r w:rsidR="00000BB2" w:rsidRPr="00E12E2D">
        <w:rPr>
          <w:rStyle w:val="Rimandonotaapidipagina"/>
          <w:rFonts w:asciiTheme="minorHAnsi" w:eastAsia="Times New Roman" w:hAnsiTheme="minorHAnsi" w:cs="Times New Roman"/>
          <w:bCs/>
          <w:strike/>
          <w:color w:val="000000" w:themeColor="text1"/>
          <w:sz w:val="24"/>
          <w:szCs w:val="24"/>
          <w:highlight w:val="red"/>
        </w:rPr>
        <w:footnoteReference w:id="30"/>
      </w:r>
      <w:r w:rsidR="00000BB2">
        <w:rPr>
          <w:rFonts w:asciiTheme="minorHAnsi" w:eastAsia="Times New Roman" w:hAnsiTheme="minorHAnsi" w:cs="Times New Roman"/>
          <w:b/>
          <w:color w:val="000000" w:themeColor="text1"/>
          <w:sz w:val="24"/>
          <w:szCs w:val="24"/>
        </w:rPr>
        <w:t xml:space="preserve"> </w:t>
      </w:r>
      <w:r w:rsidR="00E12E2D">
        <w:rPr>
          <w:rStyle w:val="Rimandonotaapidipagina"/>
          <w:rFonts w:asciiTheme="minorHAnsi" w:eastAsia="Times New Roman" w:hAnsiTheme="minorHAnsi" w:cs="Times New Roman"/>
          <w:b/>
          <w:color w:val="000000" w:themeColor="text1"/>
          <w:sz w:val="24"/>
          <w:szCs w:val="24"/>
        </w:rPr>
        <w:footnoteReference w:id="31"/>
      </w:r>
      <w:r w:rsidRPr="00F40161">
        <w:rPr>
          <w:rFonts w:asciiTheme="minorHAnsi" w:eastAsia="Times New Roman" w:hAnsiTheme="minorHAnsi" w:cs="Times New Roman"/>
          <w:color w:val="000000" w:themeColor="text1"/>
          <w:sz w:val="24"/>
          <w:szCs w:val="24"/>
        </w:rPr>
        <w:t xml:space="preserve">del decreto-legge 25 marzo 2020, n. 19, convertito, con </w:t>
      </w:r>
      <w:r w:rsidRPr="00F40161">
        <w:rPr>
          <w:rFonts w:asciiTheme="minorHAnsi" w:eastAsia="Times New Roman" w:hAnsiTheme="minorHAnsi" w:cs="Times New Roman"/>
          <w:color w:val="000000" w:themeColor="text1"/>
          <w:sz w:val="24"/>
          <w:szCs w:val="24"/>
        </w:rPr>
        <w:lastRenderedPageBreak/>
        <w:t>modificazioni, dalla legge 22 maggio 2020, n. 35. Resta fermo quanto previsto dall'articolo 2, comma 2-bis, del decreto-legge 16 maggio 2020, n. 33, convertito, con modificazioni, dalla legge 14 luglio 2020, n. 74.».</w:t>
      </w:r>
    </w:p>
    <w:p w14:paraId="5CF9455B" w14:textId="61E6A739" w:rsidR="001F3E23" w:rsidRDefault="001F3E23"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2E9381" w14:textId="599C852C" w:rsidR="001F3E23" w:rsidRPr="00B349F5" w:rsidRDefault="001F3E23" w:rsidP="001F3E23">
      <w:pPr>
        <w:jc w:val="both"/>
        <w:rPr>
          <w:b/>
          <w:bCs/>
          <w:color w:val="000000" w:themeColor="text1"/>
          <w:sz w:val="24"/>
          <w:szCs w:val="24"/>
        </w:rPr>
      </w:pPr>
      <w:r w:rsidRPr="00B349F5">
        <w:rPr>
          <w:b/>
          <w:bCs/>
          <w:color w:val="000000" w:themeColor="text1"/>
          <w:sz w:val="24"/>
          <w:szCs w:val="24"/>
          <w:highlight w:val="red"/>
        </w:rPr>
        <w:t>   «5. La violazione della disposizione di cui al comma 4 è sanzionata ai sensi dell’articolo 4, commi 1 e 5 del decreto-legge 25 marzo 2020, n. 19, convertito, con modificazioni, dalla legge 22 maggio 2020, n. 35. Resta fermo quanto previsto dall’articolo 2, comma 2-bis, del decreto-legge 16 maggio 2020, n. 33, convertito, con modificazioni, dalla legge 14 luglio 2020, n. 74. La sanzione è irrogata dal Prefetto e si applicano, per quanto non stabilito dal presente comma, le disposizioni delle sezioni I e II del capo I della legge 24 novembre 1981, n. 689, in quanto compatibili. L’accertamento della violazione dell’obbligo di cui al comma 4 da parte dei dirigenti scolastici e dei responsabili delle scuole paritarie spetta ai direttori degli Uffici scolastici regionali territorialmente competenti. L’accertamento della violazione dell’obbligo di cui al comma 4 da parte dei responsabili delle altre istituzioni di cui al comma 1-bis spetta alle autorità degli enti locali e regionali territorialmente competenti.».</w:t>
      </w:r>
      <w:r>
        <w:rPr>
          <w:b/>
          <w:bCs/>
          <w:color w:val="000000" w:themeColor="text1"/>
          <w:sz w:val="24"/>
          <w:szCs w:val="24"/>
        </w:rPr>
        <w:t xml:space="preserve"> </w:t>
      </w:r>
      <w:r>
        <w:rPr>
          <w:rStyle w:val="Rimandonotaapidipagina"/>
          <w:b/>
          <w:bCs/>
          <w:color w:val="000000" w:themeColor="text1"/>
          <w:sz w:val="24"/>
          <w:szCs w:val="24"/>
        </w:rPr>
        <w:footnoteReference w:id="32"/>
      </w:r>
    </w:p>
    <w:p w14:paraId="68AA1683" w14:textId="77777777" w:rsidR="001F3E23" w:rsidRDefault="001F3E23"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A7BC77" w14:textId="0BF5EB30" w:rsidR="003C1087" w:rsidRDefault="003C1087"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714730" w14:textId="14FFF67B" w:rsidR="003C1087" w:rsidRDefault="003C1087" w:rsidP="003C1087">
      <w:pPr>
        <w:jc w:val="both"/>
        <w:rPr>
          <w:b/>
          <w:bCs/>
          <w:color w:val="000000" w:themeColor="text1"/>
          <w:sz w:val="24"/>
          <w:szCs w:val="24"/>
        </w:rPr>
      </w:pPr>
      <w:r w:rsidRPr="002C6C3A">
        <w:rPr>
          <w:b/>
          <w:bCs/>
          <w:color w:val="000000" w:themeColor="text1"/>
          <w:sz w:val="24"/>
          <w:szCs w:val="24"/>
        </w:rPr>
        <w:t>  5-bis. Per le finalità di cui al presente articolo, le università e le istituzioni di alta formazione artistica, musicale e coreutica possono verificare il rispetto delle disposizioni di cui al comma 1 attraverso modalità di controllo delle certificazioni verdi COVID-19 che non consentono la visibilità delle informazioni che ne hanno determinato l'emissione, compreso l'utilizzo dell'applicazione mobile prevista dall'articolo 13 del decreto del Presidente del Consiglio dei ministri 17 giugno 2021, pubblicato nella Gazzetta Ufficiale n. 143 del 17 giugno 2021. Per le medesime finalità, le università e le istituzioni di alta formazione artistica, musicale e coreutica sono autorizzate alla raccolta e alla conservazione dei dati strettamente necessari per le verifiche del rispetto delle disposizioni di cui al comma 1.</w:t>
      </w:r>
      <w:r w:rsidRPr="003C1087">
        <w:rPr>
          <w:rStyle w:val="Rimandonotaapidipagina"/>
          <w:color w:val="000000" w:themeColor="text1"/>
          <w:sz w:val="24"/>
          <w:szCs w:val="24"/>
        </w:rPr>
        <w:footnoteReference w:id="33"/>
      </w:r>
    </w:p>
    <w:p w14:paraId="3A9F76B8" w14:textId="129A46DD" w:rsidR="00C943DC" w:rsidRDefault="00C943DC" w:rsidP="003C1087">
      <w:pPr>
        <w:jc w:val="both"/>
        <w:rPr>
          <w:b/>
          <w:bCs/>
          <w:color w:val="000000" w:themeColor="text1"/>
          <w:sz w:val="24"/>
          <w:szCs w:val="24"/>
        </w:rPr>
      </w:pPr>
    </w:p>
    <w:p w14:paraId="05A64ADB" w14:textId="77777777" w:rsidR="00C943DC" w:rsidRPr="00BE779F" w:rsidRDefault="00C943DC" w:rsidP="00C943DC">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r w:rsidRPr="00BE779F">
        <w:rPr>
          <w:rFonts w:asciiTheme="minorHAnsi" w:eastAsia="Times New Roman" w:hAnsiTheme="minorHAnsi" w:cs="Times New Roman"/>
          <w:b/>
          <w:color w:val="000000" w:themeColor="text1"/>
          <w:sz w:val="24"/>
          <w:szCs w:val="24"/>
        </w:rPr>
        <w:t>Art. 9-ter.1.</w:t>
      </w:r>
    </w:p>
    <w:p w14:paraId="57926EAD" w14:textId="77777777" w:rsidR="00C943DC" w:rsidRPr="00BE779F" w:rsidRDefault="00C943DC" w:rsidP="00C943DC">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r w:rsidRPr="00BE779F">
        <w:rPr>
          <w:rFonts w:asciiTheme="minorHAnsi" w:eastAsia="Times New Roman" w:hAnsiTheme="minorHAnsi" w:cs="Times New Roman"/>
          <w:b/>
          <w:color w:val="000000" w:themeColor="text1"/>
          <w:sz w:val="24"/>
          <w:szCs w:val="24"/>
        </w:rPr>
        <w:t>(Impiego delle certificazioni verdi COVID-19 per l'accesso in ambito scolastico, educativo e formativo)</w:t>
      </w:r>
    </w:p>
    <w:p w14:paraId="27ACC8C0" w14:textId="77777777" w:rsidR="00C943DC" w:rsidRPr="00BE779F" w:rsidRDefault="00C943DC" w:rsidP="00C943DC">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p>
    <w:p w14:paraId="2A9E48CA" w14:textId="5A4D3F18" w:rsidR="00C943DC" w:rsidRPr="00C0345D" w:rsidRDefault="00C943DC" w:rsidP="00C0345D">
      <w:pPr>
        <w:jc w:val="both"/>
        <w:rPr>
          <w:b/>
          <w:bCs/>
          <w:color w:val="000000" w:themeColor="text1"/>
          <w:sz w:val="24"/>
          <w:szCs w:val="24"/>
        </w:rPr>
      </w:pPr>
      <w:r w:rsidRPr="00BE779F">
        <w:rPr>
          <w:rFonts w:asciiTheme="minorHAnsi" w:eastAsia="Times New Roman" w:hAnsiTheme="minorHAnsi" w:cs="Times New Roman"/>
          <w:b/>
          <w:color w:val="000000" w:themeColor="text1"/>
          <w:sz w:val="24"/>
          <w:szCs w:val="24"/>
        </w:rPr>
        <w:t>   1. Fino al 31 dicembre 2021, termine di cessazione dello stato di emergenza, al fine di tutelare la salute pubblica, chiunque accede alle strutture delle istituzioni scolastiche, educative e formative di cui all'articolo 9-ter, commi 1 e 1-bis, deve possedere ed è tenuto a esibire la certificazione verde COVID-19 di cui all'articolo 9, comma 2. Le disposizioni del primo periodo non si applicano ai bambini, agli alunni e agli studenti nonché a coloro che frequentano i sistemi regionali di formazione, a eccezione di coloro che prendono parte ai percorsi formativi degli istituti tecnici superiori</w:t>
      </w:r>
      <w:r w:rsidR="0026062E">
        <w:rPr>
          <w:rFonts w:asciiTheme="minorHAnsi" w:eastAsia="Times New Roman" w:hAnsiTheme="minorHAnsi" w:cs="Times New Roman"/>
          <w:b/>
          <w:color w:val="000000" w:themeColor="text1"/>
          <w:sz w:val="24"/>
          <w:szCs w:val="24"/>
        </w:rPr>
        <w:t xml:space="preserve"> </w:t>
      </w:r>
      <w:r w:rsidR="0026062E" w:rsidRPr="0026062E">
        <w:rPr>
          <w:b/>
          <w:bCs/>
          <w:color w:val="000000" w:themeColor="text1"/>
          <w:sz w:val="24"/>
          <w:szCs w:val="24"/>
          <w:highlight w:val="red"/>
        </w:rPr>
        <w:t>e degli istituti di istruzione e formazione tecnica superiore (IFTS)</w:t>
      </w:r>
      <w:r w:rsidR="0026062E" w:rsidRPr="0026062E">
        <w:rPr>
          <w:rStyle w:val="Rimandonotaapidipagina"/>
          <w:b/>
          <w:bCs/>
          <w:color w:val="000000" w:themeColor="text1"/>
          <w:sz w:val="24"/>
          <w:szCs w:val="24"/>
        </w:rPr>
        <w:footnoteReference w:id="34"/>
      </w:r>
      <w:r w:rsidR="0026062E" w:rsidRPr="00E054D2">
        <w:rPr>
          <w:b/>
          <w:bCs/>
          <w:color w:val="000000" w:themeColor="text1"/>
          <w:sz w:val="24"/>
          <w:szCs w:val="24"/>
        </w:rPr>
        <w:t>.</w:t>
      </w:r>
    </w:p>
    <w:p w14:paraId="155B3B76" w14:textId="77777777" w:rsidR="00C943DC" w:rsidRPr="00BE779F" w:rsidRDefault="00C943DC" w:rsidP="00C943DC">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r w:rsidRPr="00BE779F">
        <w:rPr>
          <w:rFonts w:asciiTheme="minorHAnsi" w:eastAsia="Times New Roman" w:hAnsiTheme="minorHAnsi" w:cs="Times New Roman"/>
          <w:b/>
          <w:color w:val="000000" w:themeColor="text1"/>
          <w:sz w:val="24"/>
          <w:szCs w:val="24"/>
        </w:rPr>
        <w:t>   2. Le disposizioni del comma 1 non si applicano ai soggetti esenti dalla campagna vaccinale sulla base di idonea certificazione medica rilasciata secondo i criteri definiti con circolare del Ministero della salute.</w:t>
      </w:r>
    </w:p>
    <w:p w14:paraId="6804DBAE" w14:textId="44755A58" w:rsidR="00C943DC" w:rsidRPr="00BE779F" w:rsidRDefault="00C943DC" w:rsidP="00CC1493">
      <w:pPr>
        <w:jc w:val="both"/>
        <w:rPr>
          <w:rFonts w:asciiTheme="minorHAnsi" w:eastAsia="Times New Roman" w:hAnsiTheme="minorHAnsi" w:cs="Times New Roman"/>
          <w:b/>
          <w:color w:val="000000" w:themeColor="text1"/>
          <w:sz w:val="24"/>
          <w:szCs w:val="24"/>
        </w:rPr>
      </w:pPr>
      <w:r w:rsidRPr="00BE779F">
        <w:rPr>
          <w:rFonts w:asciiTheme="minorHAnsi" w:eastAsia="Times New Roman" w:hAnsiTheme="minorHAnsi" w:cs="Times New Roman"/>
          <w:b/>
          <w:color w:val="000000" w:themeColor="text1"/>
          <w:sz w:val="24"/>
          <w:szCs w:val="24"/>
        </w:rPr>
        <w:t xml:space="preserve">   3. I dirigenti scolastici e i responsabili delle istituzioni scolastiche, educative e formative di cui al comma 1 </w:t>
      </w:r>
      <w:r w:rsidR="00C0345D" w:rsidRPr="00E054D2">
        <w:rPr>
          <w:b/>
          <w:bCs/>
          <w:color w:val="000000" w:themeColor="text1"/>
          <w:sz w:val="24"/>
          <w:szCs w:val="24"/>
          <w:highlight w:val="red"/>
        </w:rPr>
        <w:t>o loro delegati</w:t>
      </w:r>
      <w:r w:rsidR="00C0345D" w:rsidRPr="00C0345D">
        <w:rPr>
          <w:color w:val="000000" w:themeColor="text1"/>
          <w:sz w:val="24"/>
          <w:szCs w:val="24"/>
        </w:rPr>
        <w:t xml:space="preserve"> </w:t>
      </w:r>
      <w:r w:rsidR="00C0345D" w:rsidRPr="00C0345D">
        <w:rPr>
          <w:rStyle w:val="Rimandonotaapidipagina"/>
          <w:color w:val="000000" w:themeColor="text1"/>
          <w:sz w:val="24"/>
          <w:szCs w:val="24"/>
        </w:rPr>
        <w:footnoteReference w:id="35"/>
      </w:r>
      <w:r w:rsidR="00C0345D">
        <w:rPr>
          <w:b/>
          <w:bCs/>
          <w:color w:val="000000" w:themeColor="text1"/>
          <w:sz w:val="24"/>
          <w:szCs w:val="24"/>
        </w:rPr>
        <w:t xml:space="preserve"> </w:t>
      </w:r>
      <w:r w:rsidRPr="00BE779F">
        <w:rPr>
          <w:rFonts w:asciiTheme="minorHAnsi" w:eastAsia="Times New Roman" w:hAnsiTheme="minorHAnsi" w:cs="Times New Roman"/>
          <w:b/>
          <w:color w:val="000000" w:themeColor="text1"/>
          <w:sz w:val="24"/>
          <w:szCs w:val="24"/>
        </w:rPr>
        <w:t xml:space="preserve">sono tenuti a verificare il rispetto delle disposizioni del medesimo comma 1. Nel caso in cui l'accesso alle strutture sia motivato da ragioni di servizio o di lavoro, la verifica del rispetto delle disposizioni del al comma 1, oltre che dai soggetti di cui al primo periodo </w:t>
      </w:r>
      <w:r w:rsidR="00CC1493" w:rsidRPr="00E054D2">
        <w:rPr>
          <w:b/>
          <w:bCs/>
          <w:color w:val="000000" w:themeColor="text1"/>
          <w:sz w:val="24"/>
          <w:szCs w:val="24"/>
          <w:highlight w:val="red"/>
        </w:rPr>
        <w:t>a campione,</w:t>
      </w:r>
      <w:r w:rsidR="00CC1493">
        <w:rPr>
          <w:b/>
          <w:bCs/>
          <w:color w:val="000000" w:themeColor="text1"/>
          <w:sz w:val="24"/>
          <w:szCs w:val="24"/>
        </w:rPr>
        <w:t xml:space="preserve"> </w:t>
      </w:r>
      <w:r w:rsidR="00CC1493">
        <w:rPr>
          <w:rStyle w:val="Rimandonotaapidipagina"/>
          <w:b/>
          <w:bCs/>
          <w:color w:val="000000" w:themeColor="text1"/>
          <w:sz w:val="24"/>
          <w:szCs w:val="24"/>
        </w:rPr>
        <w:footnoteReference w:id="36"/>
      </w:r>
      <w:r w:rsidR="00CC1493">
        <w:rPr>
          <w:b/>
          <w:bCs/>
          <w:color w:val="000000" w:themeColor="text1"/>
          <w:sz w:val="24"/>
          <w:szCs w:val="24"/>
        </w:rPr>
        <w:t xml:space="preserve"> </w:t>
      </w:r>
      <w:r w:rsidRPr="00BE779F">
        <w:rPr>
          <w:rFonts w:asciiTheme="minorHAnsi" w:eastAsia="Times New Roman" w:hAnsiTheme="minorHAnsi" w:cs="Times New Roman"/>
          <w:b/>
          <w:color w:val="000000" w:themeColor="text1"/>
          <w:sz w:val="24"/>
          <w:szCs w:val="24"/>
        </w:rPr>
        <w:t>del presente comma, deve essere effettuata anche dai rispettivi datori di lavoro</w:t>
      </w:r>
      <w:r w:rsidR="00E40FD1">
        <w:rPr>
          <w:rFonts w:asciiTheme="minorHAnsi" w:eastAsia="Times New Roman" w:hAnsiTheme="minorHAnsi" w:cs="Times New Roman"/>
          <w:b/>
          <w:color w:val="000000" w:themeColor="text1"/>
          <w:sz w:val="24"/>
          <w:szCs w:val="24"/>
        </w:rPr>
        <w:t xml:space="preserve"> </w:t>
      </w:r>
      <w:r w:rsidR="00E40FD1" w:rsidRPr="00A96C2C">
        <w:rPr>
          <w:b/>
          <w:bCs/>
          <w:color w:val="000000" w:themeColor="text1"/>
          <w:sz w:val="24"/>
          <w:szCs w:val="24"/>
          <w:highlight w:val="red"/>
        </w:rPr>
        <w:t>o loro delegati</w:t>
      </w:r>
      <w:r w:rsidR="00E40FD1">
        <w:rPr>
          <w:color w:val="000000" w:themeColor="text1"/>
          <w:sz w:val="24"/>
          <w:szCs w:val="24"/>
        </w:rPr>
        <w:t xml:space="preserve"> </w:t>
      </w:r>
      <w:r w:rsidR="00E40FD1">
        <w:rPr>
          <w:rStyle w:val="Rimandonotaapidipagina"/>
          <w:color w:val="000000" w:themeColor="text1"/>
          <w:sz w:val="24"/>
          <w:szCs w:val="24"/>
        </w:rPr>
        <w:footnoteReference w:id="37"/>
      </w:r>
      <w:r w:rsidRPr="00BE779F">
        <w:rPr>
          <w:rFonts w:asciiTheme="minorHAnsi" w:eastAsia="Times New Roman" w:hAnsiTheme="minorHAnsi" w:cs="Times New Roman"/>
          <w:b/>
          <w:color w:val="000000" w:themeColor="text1"/>
          <w:sz w:val="24"/>
          <w:szCs w:val="24"/>
        </w:rPr>
        <w:t>. Le verifiche delle certificazioni verdi COVID-19 sono effettuate con le modalità indicate dal decreto del Presidente del Consiglio dei ministri adottato ai sensi dell'articolo 9, comma 10. Con circolare del Ministro dell'istruzione possono essere stabilite ulteriori modalità di verifica.</w:t>
      </w:r>
    </w:p>
    <w:p w14:paraId="1D6C9CCC" w14:textId="0384A0E3" w:rsidR="00C943DC" w:rsidRDefault="00C943DC" w:rsidP="00C943DC">
      <w:pPr>
        <w:shd w:val="clear" w:color="auto" w:fill="FFFFFF"/>
        <w:tabs>
          <w:tab w:val="left" w:pos="993"/>
        </w:tabs>
        <w:spacing w:after="120" w:line="240" w:lineRule="auto"/>
        <w:jc w:val="both"/>
        <w:rPr>
          <w:rFonts w:asciiTheme="minorHAnsi" w:eastAsia="Times New Roman" w:hAnsiTheme="minorHAnsi" w:cs="Times New Roman"/>
          <w:b/>
          <w:strike/>
          <w:color w:val="000000" w:themeColor="text1"/>
          <w:sz w:val="24"/>
          <w:szCs w:val="24"/>
        </w:rPr>
      </w:pPr>
      <w:r w:rsidRPr="00ED787D">
        <w:rPr>
          <w:rFonts w:asciiTheme="minorHAnsi" w:eastAsia="Times New Roman" w:hAnsiTheme="minorHAnsi" w:cs="Times New Roman"/>
          <w:b/>
          <w:strike/>
          <w:color w:val="000000" w:themeColor="text1"/>
          <w:sz w:val="24"/>
          <w:szCs w:val="24"/>
          <w:highlight w:val="yellow"/>
        </w:rPr>
        <w:t>   4. La violazione delle disposizioni dei commi 1 e 3 del presente articolo è sanzionata ai sensi dell'articolo 4, commi 1, 3, 5 e 9, del decreto-legge 25 marzo 2020, n. 19, convertito, con modificazioni, dalla legge 22 maggio 2020, n. 35. Resta fermo quanto previsto dall'articolo 2, comma 2-bis, del decreto-legge 16 maggio 2020, n. 33, convertito, con modificazioni, dalla legge 14 luglio 2020, n. 74.</w:t>
      </w:r>
    </w:p>
    <w:p w14:paraId="121CCEE1" w14:textId="2935F683" w:rsidR="00ED787D" w:rsidRPr="00ED787D" w:rsidRDefault="00ED787D" w:rsidP="00C943DC">
      <w:pPr>
        <w:shd w:val="clear" w:color="auto" w:fill="FFFFFF"/>
        <w:tabs>
          <w:tab w:val="left" w:pos="993"/>
        </w:tabs>
        <w:spacing w:after="120" w:line="240" w:lineRule="auto"/>
        <w:jc w:val="both"/>
        <w:rPr>
          <w:rFonts w:asciiTheme="minorHAnsi" w:eastAsia="Times New Roman" w:hAnsiTheme="minorHAnsi" w:cs="Times New Roman"/>
          <w:b/>
          <w:strike/>
          <w:color w:val="000000" w:themeColor="text1"/>
          <w:sz w:val="24"/>
          <w:szCs w:val="24"/>
        </w:rPr>
      </w:pPr>
      <w:r w:rsidRPr="00E054D2">
        <w:rPr>
          <w:b/>
          <w:bCs/>
          <w:color w:val="000000" w:themeColor="text1"/>
          <w:sz w:val="24"/>
          <w:szCs w:val="24"/>
          <w:highlight w:val="red"/>
        </w:rPr>
        <w:lastRenderedPageBreak/>
        <w:t>4. La violazione delle disposizioni di cui ai commi 1 e 3 è sanzionata ai sensi dell’articolo 4, commi 1 e 5, del decreto-legge 25 marzo 2020, n. 19, convertito, con modificazioni, dalla legge 22 maggio 2020, n. 35. Resta fermo quanto previsto dall’articolo 2, comma 2-bis, del decreto-legge 16 maggio 2020, n. 33, convertito, con modificazioni, dalla legge 14 luglio 2020, n. 74. La sanzione è irrogata dal Prefetto e si applicano, per quanto non stabilito dal presente comma, le disposizioni delle sezioni I e II del capo I della legge 24 novembre 1981, n. 689, in quanto compatibili. L’accertamento della violazione dell’obbligo di cui al comma 1 e dell’obbligo di cui al comma 3 con esclusivo riferimento al datore di lavoro spetta ai dirigenti scolastici e ai responsabili delle istituzioni scolastiche, educative e formative di cui al medesimo comma 1. L’accertamento della violazione dell’obbligo di cui al comma 3 da parte dei dirigenti scolastici e dei responsabili delle scuole paritarie spetta ai direttori degli Uffici scolastici regionali territorialmente competenti. L’accertamento della violazione dell’obbligo di cui al comma 3 da parte dei responsabili delle altre istituzioni di cui al comma 1 spetta alle autorità degli enti locali e regionali territorialmente competenti.</w:t>
      </w:r>
      <w:r>
        <w:rPr>
          <w:color w:val="000000" w:themeColor="text1"/>
          <w:sz w:val="24"/>
          <w:szCs w:val="24"/>
        </w:rPr>
        <w:t xml:space="preserve"> </w:t>
      </w:r>
      <w:r>
        <w:rPr>
          <w:rStyle w:val="Rimandonotaapidipagina"/>
          <w:color w:val="000000" w:themeColor="text1"/>
          <w:sz w:val="24"/>
          <w:szCs w:val="24"/>
        </w:rPr>
        <w:footnoteReference w:id="38"/>
      </w:r>
    </w:p>
    <w:p w14:paraId="6AC7F7E0" w14:textId="77777777" w:rsidR="00C943DC" w:rsidRPr="00BE779F" w:rsidRDefault="00C943DC" w:rsidP="00C943DC">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p>
    <w:p w14:paraId="147D4E4E" w14:textId="77777777" w:rsidR="00C943DC" w:rsidRPr="00BE779F" w:rsidRDefault="00C943DC" w:rsidP="00C943DC">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r w:rsidRPr="00BE779F">
        <w:rPr>
          <w:rFonts w:asciiTheme="minorHAnsi" w:eastAsia="Times New Roman" w:hAnsiTheme="minorHAnsi" w:cs="Times New Roman"/>
          <w:b/>
          <w:color w:val="000000" w:themeColor="text1"/>
          <w:sz w:val="24"/>
          <w:szCs w:val="24"/>
        </w:rPr>
        <w:t>Art. 9-ter.2.</w:t>
      </w:r>
    </w:p>
    <w:p w14:paraId="2631B89D" w14:textId="77777777" w:rsidR="00C943DC" w:rsidRPr="00BE779F" w:rsidRDefault="00C943DC" w:rsidP="00C943DC">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r w:rsidRPr="00BE779F">
        <w:rPr>
          <w:rFonts w:asciiTheme="minorHAnsi" w:eastAsia="Times New Roman" w:hAnsiTheme="minorHAnsi" w:cs="Times New Roman"/>
          <w:b/>
          <w:color w:val="000000" w:themeColor="text1"/>
          <w:sz w:val="24"/>
          <w:szCs w:val="24"/>
        </w:rPr>
        <w:t>(Impiego delle certificazioni verdi COVID-19 per l'accesso alle strutture della formazione superiore)</w:t>
      </w:r>
    </w:p>
    <w:p w14:paraId="5C84344D" w14:textId="77777777" w:rsidR="00C943DC" w:rsidRPr="00BE779F" w:rsidRDefault="00C943DC" w:rsidP="00C943DC">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p>
    <w:p w14:paraId="56D762EF" w14:textId="77777777" w:rsidR="00C943DC" w:rsidRPr="00BE779F" w:rsidRDefault="00C943DC" w:rsidP="00C943DC">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r w:rsidRPr="00BE779F">
        <w:rPr>
          <w:rFonts w:asciiTheme="minorHAnsi" w:eastAsia="Times New Roman" w:hAnsiTheme="minorHAnsi" w:cs="Times New Roman"/>
          <w:b/>
          <w:color w:val="000000" w:themeColor="text1"/>
          <w:sz w:val="24"/>
          <w:szCs w:val="24"/>
        </w:rPr>
        <w:t>   1. Fermo restando quanto previsto dall'articolo 9-ter, fino al 31 dicembre 2021, termine di cessazione dello stato di emergenza, al fine di tutelare la salute pubblica, chiunque accede alle strutture appartenenti alle istituzioni universitarie e dell'alta formazione artistica, musicale e coreutica, nonché alle altre istituzioni di alta formazione collegate alle università, deve possedere ed è tenuto a esibire la certificazione verde COVID-19 di cui all'articolo 9, comma 2.</w:t>
      </w:r>
    </w:p>
    <w:p w14:paraId="1FFB596C" w14:textId="77777777" w:rsidR="00C943DC" w:rsidRPr="00BE779F" w:rsidRDefault="00C943DC" w:rsidP="00C943DC">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r w:rsidRPr="00BE779F">
        <w:rPr>
          <w:rFonts w:asciiTheme="minorHAnsi" w:eastAsia="Times New Roman" w:hAnsiTheme="minorHAnsi" w:cs="Times New Roman"/>
          <w:b/>
          <w:color w:val="000000" w:themeColor="text1"/>
          <w:sz w:val="24"/>
          <w:szCs w:val="24"/>
        </w:rPr>
        <w:t>   2. Le disposizioni del comma 1 non si applicano ai soggetti esenti dalla campagna vaccinale sulla base di idonea certificazione medica rilasciata secondo i criteri definiti con circolare del Ministero della salute.</w:t>
      </w:r>
    </w:p>
    <w:p w14:paraId="08A23B9C" w14:textId="7938BA09" w:rsidR="00C943DC" w:rsidRPr="00BE779F" w:rsidRDefault="00C943DC" w:rsidP="00C943DC">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r w:rsidRPr="00BE779F">
        <w:rPr>
          <w:rFonts w:asciiTheme="minorHAnsi" w:eastAsia="Times New Roman" w:hAnsiTheme="minorHAnsi" w:cs="Times New Roman"/>
          <w:b/>
          <w:color w:val="000000" w:themeColor="text1"/>
          <w:sz w:val="24"/>
          <w:szCs w:val="24"/>
        </w:rPr>
        <w:t xml:space="preserve">   3. I responsabili delle istituzioni di cui al comma 1 sono tenuti a verificare il rispetto delle disposizioni del medesimo comma 1, secondo modalità a campione individuate dalle istituzioni stesse. Nel caso in cui l'accesso alle strutture sia motivato da ragioni di servizio o di lavoro, la verifica del rispetto delle disposizioni del comma 1, oltre che dai soggetti di cui al primo periodo </w:t>
      </w:r>
      <w:r w:rsidR="006715DC" w:rsidRPr="00E054D2">
        <w:rPr>
          <w:b/>
          <w:bCs/>
          <w:color w:val="000000" w:themeColor="text1"/>
          <w:sz w:val="24"/>
          <w:szCs w:val="24"/>
          <w:highlight w:val="red"/>
        </w:rPr>
        <w:t>a campione,</w:t>
      </w:r>
      <w:r w:rsidR="006715DC">
        <w:rPr>
          <w:b/>
          <w:bCs/>
          <w:color w:val="000000" w:themeColor="text1"/>
          <w:sz w:val="24"/>
          <w:szCs w:val="24"/>
        </w:rPr>
        <w:t xml:space="preserve"> </w:t>
      </w:r>
      <w:r w:rsidR="006715DC">
        <w:rPr>
          <w:rStyle w:val="Rimandonotaapidipagina"/>
          <w:b/>
          <w:bCs/>
          <w:color w:val="000000" w:themeColor="text1"/>
          <w:sz w:val="24"/>
          <w:szCs w:val="24"/>
        </w:rPr>
        <w:footnoteReference w:id="39"/>
      </w:r>
      <w:r w:rsidR="00DA1067">
        <w:rPr>
          <w:b/>
          <w:bCs/>
          <w:color w:val="000000" w:themeColor="text1"/>
          <w:sz w:val="24"/>
          <w:szCs w:val="24"/>
        </w:rPr>
        <w:t xml:space="preserve"> </w:t>
      </w:r>
      <w:r w:rsidRPr="00BE779F">
        <w:rPr>
          <w:rFonts w:asciiTheme="minorHAnsi" w:eastAsia="Times New Roman" w:hAnsiTheme="minorHAnsi" w:cs="Times New Roman"/>
          <w:b/>
          <w:color w:val="000000" w:themeColor="text1"/>
          <w:sz w:val="24"/>
          <w:szCs w:val="24"/>
        </w:rPr>
        <w:t>del presente comma, deve essere effettuata anche dai rispettivi datori di lavoro</w:t>
      </w:r>
      <w:r w:rsidR="00CC1F1B">
        <w:rPr>
          <w:rFonts w:asciiTheme="minorHAnsi" w:eastAsia="Times New Roman" w:hAnsiTheme="minorHAnsi" w:cs="Times New Roman"/>
          <w:b/>
          <w:color w:val="000000" w:themeColor="text1"/>
          <w:sz w:val="24"/>
          <w:szCs w:val="24"/>
        </w:rPr>
        <w:t xml:space="preserve"> </w:t>
      </w:r>
      <w:r w:rsidR="00CC1F1B" w:rsidRPr="00A96C2C">
        <w:rPr>
          <w:b/>
          <w:bCs/>
          <w:color w:val="000000" w:themeColor="text1"/>
          <w:sz w:val="24"/>
          <w:szCs w:val="24"/>
          <w:highlight w:val="red"/>
        </w:rPr>
        <w:t>o loro delegati</w:t>
      </w:r>
      <w:r w:rsidR="00CC1F1B">
        <w:rPr>
          <w:b/>
          <w:bCs/>
          <w:color w:val="000000" w:themeColor="text1"/>
          <w:sz w:val="24"/>
          <w:szCs w:val="24"/>
        </w:rPr>
        <w:t xml:space="preserve"> </w:t>
      </w:r>
      <w:r w:rsidR="00CC1F1B">
        <w:rPr>
          <w:rStyle w:val="Rimandonotaapidipagina"/>
          <w:b/>
          <w:bCs/>
          <w:color w:val="000000" w:themeColor="text1"/>
          <w:sz w:val="24"/>
          <w:szCs w:val="24"/>
        </w:rPr>
        <w:footnoteReference w:id="40"/>
      </w:r>
      <w:r w:rsidRPr="00BE779F">
        <w:rPr>
          <w:rFonts w:asciiTheme="minorHAnsi" w:eastAsia="Times New Roman" w:hAnsiTheme="minorHAnsi" w:cs="Times New Roman"/>
          <w:b/>
          <w:color w:val="000000" w:themeColor="text1"/>
          <w:sz w:val="24"/>
          <w:szCs w:val="24"/>
        </w:rPr>
        <w:t xml:space="preserve">. Le </w:t>
      </w:r>
      <w:r w:rsidRPr="00BE779F">
        <w:rPr>
          <w:rFonts w:asciiTheme="minorHAnsi" w:eastAsia="Times New Roman" w:hAnsiTheme="minorHAnsi" w:cs="Times New Roman"/>
          <w:b/>
          <w:color w:val="000000" w:themeColor="text1"/>
          <w:sz w:val="24"/>
          <w:szCs w:val="24"/>
        </w:rPr>
        <w:lastRenderedPageBreak/>
        <w:t>verifiche delle certificazioni verdi COVID-19 sono effettuate con le modalità indicate dal decreto del Presidente del Consiglio dei ministri adottato ai sensi dell'articolo 9, comma 10.</w:t>
      </w:r>
    </w:p>
    <w:p w14:paraId="52D58C10" w14:textId="47B0F9FE" w:rsidR="00C943DC" w:rsidRDefault="00C943DC" w:rsidP="00C943DC">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r w:rsidRPr="00BE779F">
        <w:rPr>
          <w:rFonts w:asciiTheme="minorHAnsi" w:eastAsia="Times New Roman" w:hAnsiTheme="minorHAnsi" w:cs="Times New Roman"/>
          <w:b/>
          <w:color w:val="000000" w:themeColor="text1"/>
          <w:sz w:val="24"/>
          <w:szCs w:val="24"/>
        </w:rPr>
        <w:t xml:space="preserve">   4. </w:t>
      </w:r>
      <w:r w:rsidRPr="00DA1067">
        <w:rPr>
          <w:rFonts w:asciiTheme="minorHAnsi" w:eastAsia="Times New Roman" w:hAnsiTheme="minorHAnsi" w:cs="Times New Roman"/>
          <w:b/>
          <w:strike/>
          <w:color w:val="000000" w:themeColor="text1"/>
          <w:sz w:val="24"/>
          <w:szCs w:val="24"/>
          <w:highlight w:val="yellow"/>
        </w:rPr>
        <w:t>La violazione delle disposizioni dei commi 1 e 3 è sanzionata ai sensi dell'articolo 4, commi 1, 3, 5 e 9, del decreto-legge 25 marzo 2020, n. 19, convertito, con modificazioni, dalla legge 22 maggio 2020, n. 35.</w:t>
      </w:r>
      <w:r w:rsidRPr="00BE779F">
        <w:rPr>
          <w:rFonts w:asciiTheme="minorHAnsi" w:eastAsia="Times New Roman" w:hAnsiTheme="minorHAnsi" w:cs="Times New Roman"/>
          <w:b/>
          <w:color w:val="000000" w:themeColor="text1"/>
          <w:sz w:val="24"/>
          <w:szCs w:val="24"/>
        </w:rPr>
        <w:t xml:space="preserve"> </w:t>
      </w:r>
      <w:r w:rsidR="00DA1067" w:rsidRPr="00A96C2C">
        <w:rPr>
          <w:b/>
          <w:bCs/>
          <w:color w:val="000000" w:themeColor="text1"/>
          <w:sz w:val="24"/>
          <w:szCs w:val="24"/>
          <w:highlight w:val="red"/>
        </w:rPr>
        <w:t>La violazione delle disposizioni di cui ai commi 1 e 3 è sanzionata ai sensi dell’articolo 4, commi 1 e 5 del decreto-legge 25 marzo 2020, n. 19, convertito, con modificazioni, dalla legge 22 maggio 2020, n. 35</w:t>
      </w:r>
      <w:r w:rsidR="00DA1067">
        <w:rPr>
          <w:b/>
          <w:bCs/>
          <w:color w:val="000000" w:themeColor="text1"/>
          <w:sz w:val="24"/>
          <w:szCs w:val="24"/>
        </w:rPr>
        <w:t xml:space="preserve"> </w:t>
      </w:r>
      <w:r w:rsidR="00DA1067">
        <w:rPr>
          <w:rStyle w:val="Rimandonotaapidipagina"/>
          <w:b/>
          <w:bCs/>
          <w:color w:val="000000" w:themeColor="text1"/>
          <w:sz w:val="24"/>
          <w:szCs w:val="24"/>
        </w:rPr>
        <w:footnoteReference w:id="41"/>
      </w:r>
      <w:r w:rsidR="00DA1067" w:rsidRPr="001C73E0">
        <w:rPr>
          <w:color w:val="000000" w:themeColor="text1"/>
          <w:sz w:val="24"/>
          <w:szCs w:val="24"/>
        </w:rPr>
        <w:t xml:space="preserve"> </w:t>
      </w:r>
      <w:r w:rsidRPr="00BE779F">
        <w:rPr>
          <w:rFonts w:asciiTheme="minorHAnsi" w:eastAsia="Times New Roman" w:hAnsiTheme="minorHAnsi" w:cs="Times New Roman"/>
          <w:b/>
          <w:color w:val="000000" w:themeColor="text1"/>
          <w:sz w:val="24"/>
          <w:szCs w:val="24"/>
        </w:rPr>
        <w:t>Resta fermo quanto previsto dall'articolo 2, comma 2-bis, del decreto-legge 16 maggio 2020, n. 33, convertito, con modificazioni, dalla legge 14 luglio 2020, n. 74</w:t>
      </w:r>
      <w:r>
        <w:rPr>
          <w:rFonts w:asciiTheme="minorHAnsi" w:eastAsia="Times New Roman" w:hAnsiTheme="minorHAnsi" w:cs="Times New Roman"/>
          <w:b/>
          <w:color w:val="000000" w:themeColor="text1"/>
          <w:sz w:val="24"/>
          <w:szCs w:val="24"/>
        </w:rPr>
        <w:t>.</w:t>
      </w:r>
      <w:r w:rsidRPr="00FB5749">
        <w:rPr>
          <w:rStyle w:val="Rimandonotaapidipagina"/>
          <w:rFonts w:asciiTheme="minorHAnsi" w:eastAsia="Times New Roman" w:hAnsiTheme="minorHAnsi" w:cs="Times New Roman"/>
          <w:bCs/>
          <w:color w:val="000000" w:themeColor="text1"/>
          <w:sz w:val="24"/>
          <w:szCs w:val="24"/>
        </w:rPr>
        <w:footnoteReference w:id="42"/>
      </w:r>
      <w:r w:rsidR="00DA1067">
        <w:rPr>
          <w:rFonts w:asciiTheme="minorHAnsi" w:eastAsia="Times New Roman" w:hAnsiTheme="minorHAnsi" w:cs="Times New Roman"/>
          <w:b/>
          <w:color w:val="000000" w:themeColor="text1"/>
          <w:sz w:val="24"/>
          <w:szCs w:val="24"/>
        </w:rPr>
        <w:t xml:space="preserve"> </w:t>
      </w:r>
      <w:r w:rsidR="00DA1067" w:rsidRPr="00A96C2C">
        <w:rPr>
          <w:b/>
          <w:bCs/>
          <w:color w:val="000000" w:themeColor="text1"/>
          <w:sz w:val="24"/>
          <w:szCs w:val="24"/>
          <w:highlight w:val="red"/>
        </w:rPr>
        <w:t>La sanzione è irrogata dal Prefetto e si applicano, per quanto non stabilito dal presente comma, le disposizioni delle sezioni I e II del capo I della legge 24 novembre 1981, n. 689, in quanto compatibili. L’accertamento della violazione dell’obbligo di cui al comma 1 e dell’obbligo di cui al comma 3 con esclusivo riferimento al datore di lavoro spetta ai responsabili delle istituzioni di cui al medesimo comma 1.</w:t>
      </w:r>
      <w:r w:rsidR="00DA1067">
        <w:rPr>
          <w:b/>
          <w:bCs/>
          <w:color w:val="000000" w:themeColor="text1"/>
          <w:sz w:val="24"/>
          <w:szCs w:val="24"/>
        </w:rPr>
        <w:t xml:space="preserve"> </w:t>
      </w:r>
      <w:r w:rsidR="00DA1067">
        <w:rPr>
          <w:rStyle w:val="Rimandonotaapidipagina"/>
          <w:b/>
          <w:bCs/>
          <w:color w:val="000000" w:themeColor="text1"/>
          <w:sz w:val="24"/>
          <w:szCs w:val="24"/>
        </w:rPr>
        <w:footnoteReference w:id="43"/>
      </w:r>
    </w:p>
    <w:p w14:paraId="439D53D7" w14:textId="77777777" w:rsidR="00C943DC" w:rsidRPr="002C6C3A" w:rsidRDefault="00C943DC" w:rsidP="003C1087">
      <w:pPr>
        <w:jc w:val="both"/>
        <w:rPr>
          <w:b/>
          <w:bCs/>
          <w:color w:val="000000" w:themeColor="text1"/>
          <w:sz w:val="24"/>
          <w:szCs w:val="24"/>
        </w:rPr>
      </w:pPr>
    </w:p>
    <w:p w14:paraId="1DB99499"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868307" w14:textId="6182D6BD" w:rsidR="00F40161" w:rsidRPr="00F40161" w:rsidRDefault="00F40161" w:rsidP="00725C40">
      <w:pPr>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  7. Le disposizioni al presente articolo si applicano, per quanto compatibili,</w:t>
      </w:r>
      <w:r w:rsidR="00725C40" w:rsidRPr="00725C40">
        <w:rPr>
          <w:b/>
          <w:bCs/>
          <w:color w:val="000000" w:themeColor="text1"/>
          <w:sz w:val="24"/>
          <w:szCs w:val="24"/>
        </w:rPr>
        <w:t xml:space="preserve"> </w:t>
      </w:r>
      <w:r w:rsidRPr="00F40161">
        <w:rPr>
          <w:rFonts w:asciiTheme="minorHAnsi" w:eastAsia="Times New Roman" w:hAnsiTheme="minorHAnsi" w:cs="Times New Roman"/>
          <w:color w:val="000000" w:themeColor="text1"/>
          <w:sz w:val="24"/>
          <w:szCs w:val="24"/>
        </w:rPr>
        <w:t>anche</w:t>
      </w:r>
      <w:r w:rsidR="005C3407">
        <w:rPr>
          <w:rFonts w:asciiTheme="minorHAnsi" w:eastAsia="Times New Roman" w:hAnsiTheme="minorHAnsi" w:cs="Times New Roman"/>
          <w:color w:val="000000" w:themeColor="text1"/>
          <w:sz w:val="24"/>
          <w:szCs w:val="24"/>
        </w:rPr>
        <w:t xml:space="preserve"> </w:t>
      </w:r>
      <w:r w:rsidR="005C3407" w:rsidRPr="002D0DF0">
        <w:rPr>
          <w:b/>
          <w:bCs/>
          <w:color w:val="000000" w:themeColor="text1"/>
          <w:sz w:val="24"/>
          <w:szCs w:val="24"/>
        </w:rPr>
        <w:t>ai sistemi regionali di istruzione e formazione professionale, ai sistemi regionali che realizzano i percorsi di istruzione e formazione tecnica superiore, agli istituti tecnici superiori,</w:t>
      </w:r>
      <w:r w:rsidR="005C3407">
        <w:rPr>
          <w:rStyle w:val="Rimandonotaapidipagina"/>
          <w:rFonts w:asciiTheme="minorHAnsi" w:eastAsia="Times New Roman" w:hAnsiTheme="minorHAnsi" w:cs="Times New Roman"/>
          <w:color w:val="000000" w:themeColor="text1"/>
          <w:sz w:val="24"/>
          <w:szCs w:val="24"/>
        </w:rPr>
        <w:footnoteReference w:id="44"/>
      </w:r>
      <w:r w:rsidR="00A00E05">
        <w:rPr>
          <w:b/>
          <w:bCs/>
          <w:color w:val="000000" w:themeColor="text1"/>
          <w:sz w:val="24"/>
          <w:szCs w:val="24"/>
        </w:rPr>
        <w:t xml:space="preserve"> </w:t>
      </w:r>
      <w:r w:rsidRPr="00F40161">
        <w:rPr>
          <w:rFonts w:asciiTheme="minorHAnsi" w:eastAsia="Times New Roman" w:hAnsiTheme="minorHAnsi" w:cs="Times New Roman"/>
          <w:color w:val="000000" w:themeColor="text1"/>
          <w:sz w:val="24"/>
          <w:szCs w:val="24"/>
        </w:rPr>
        <w:t>alle Istituzioni di alta formazione artistica musicale e coreutica, nonché alle attività delle altre istituzioni di alta formazione collegate alle università.</w:t>
      </w:r>
    </w:p>
    <w:p w14:paraId="0A5D8E65"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  8. Le amministrazioni interessate provvedono alle attività di cui commi 6 e 7 con le risorse umane, finanziarie e strumentali disponibili a legislazione vigente e senza nuovi o maggiori oneri a carico della finanza pubblica.</w:t>
      </w:r>
    </w:p>
    <w:p w14:paraId="422C6D11"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xml:space="preserve">  9. Il Commissario straordinario per l'attuazione e il coordinamento, delle misure occorrenti per l'anno 2021 per il contenimento e il contrasto dell'emergenza COVID-19 predispone e attua un piano di screening della popolazione scolastica. A tal fine è autorizzata la spesa di euro 100 milioni, a valere sulle </w:t>
      </w:r>
      <w:r w:rsidRPr="00F40161">
        <w:rPr>
          <w:rFonts w:asciiTheme="minorHAnsi" w:eastAsia="Times New Roman" w:hAnsiTheme="minorHAnsi" w:cs="Times New Roman"/>
          <w:color w:val="000000" w:themeColor="text1"/>
          <w:sz w:val="24"/>
          <w:szCs w:val="24"/>
        </w:rPr>
        <w:lastRenderedPageBreak/>
        <w:t>risorse disponibili sulla contabilità speciale di cui all'articolo 122, comma 9, del decreto-legge 17 marzo 2020, n. 18, convertito con modificazioni in legge 24 aprile 2020, n. 27</w:t>
      </w:r>
    </w:p>
    <w:p w14:paraId="3D60FDBE" w14:textId="08680956"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xml:space="preserve">  10. Al fine di consentire il tempestivo pagamento delle competenze al personale supplente chiamato per la sostituzione del personale assente ingiustificato, è autorizzata la spesa </w:t>
      </w:r>
      <w:r w:rsidRPr="00D80AED">
        <w:rPr>
          <w:rFonts w:asciiTheme="minorHAnsi" w:eastAsia="Times New Roman" w:hAnsiTheme="minorHAnsi" w:cs="Times New Roman"/>
          <w:strike/>
          <w:color w:val="000000" w:themeColor="text1"/>
          <w:sz w:val="24"/>
          <w:szCs w:val="24"/>
          <w:highlight w:val="yellow"/>
        </w:rPr>
        <w:t>di 358 milioni di euro</w:t>
      </w:r>
      <w:r w:rsidR="00D80AED">
        <w:rPr>
          <w:rFonts w:asciiTheme="minorHAnsi" w:eastAsia="Times New Roman" w:hAnsiTheme="minorHAnsi" w:cs="Times New Roman"/>
          <w:color w:val="000000" w:themeColor="text1"/>
          <w:sz w:val="24"/>
          <w:szCs w:val="24"/>
        </w:rPr>
        <w:t xml:space="preserve"> </w:t>
      </w:r>
      <w:r w:rsidR="00D80AED" w:rsidRPr="00A33A21">
        <w:rPr>
          <w:b/>
          <w:bCs/>
          <w:color w:val="000000" w:themeColor="text1"/>
          <w:sz w:val="24"/>
          <w:szCs w:val="24"/>
        </w:rPr>
        <w:t>di 70 milioni di euro</w:t>
      </w:r>
      <w:r w:rsidR="00D80AED" w:rsidRPr="00D80AED">
        <w:rPr>
          <w:rStyle w:val="Rimandonotaapidipagina"/>
          <w:color w:val="000000" w:themeColor="text1"/>
          <w:sz w:val="24"/>
          <w:szCs w:val="24"/>
        </w:rPr>
        <w:footnoteReference w:id="45"/>
      </w:r>
      <w:r w:rsidRPr="00F40161">
        <w:rPr>
          <w:rFonts w:asciiTheme="minorHAnsi" w:eastAsia="Times New Roman" w:hAnsiTheme="minorHAnsi" w:cs="Times New Roman"/>
          <w:color w:val="000000" w:themeColor="text1"/>
          <w:sz w:val="24"/>
          <w:szCs w:val="24"/>
        </w:rPr>
        <w:t xml:space="preserve"> per l'anno 2021. Ai relativi oneri si provvede, per il medesimo anno, mediante utilizzo delle risorse disponibili di cui all'articolo 231-bis, comma 1, lettera b) del decreto-legge 19 maggio 2020 n. 34, convertito con modificazioni dalla legge 17 luglio 2020, n. 77.</w:t>
      </w:r>
    </w:p>
    <w:p w14:paraId="1A3ADAF9" w14:textId="05E35B8B" w:rsidR="004C7810" w:rsidRPr="00F40161" w:rsidRDefault="004C7810"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92D52">
        <w:rPr>
          <w:b/>
          <w:bCs/>
          <w:color w:val="000000" w:themeColor="text1"/>
          <w:sz w:val="24"/>
          <w:szCs w:val="24"/>
        </w:rPr>
        <w:t>10-bis. Al fine di consentire il pagamento tempestivo dei supplenti brevi e saltuari e dei docenti temporanei delle istituzioni scolastiche statali, è autorizzata la spesa di 288 milioni di euro per l'anno 2021. Ai relativi oneri si provvede, per il medesimo anno, mediante utilizzo delle risorse disponibili di cui all'articolo 231-bis, comma 1, lettera b), del decreto-legge 19 maggio 2020 n. 34, convertito, con modificazioni, dalla legge 17 luglio 2020, n. 77.</w:t>
      </w:r>
      <w:r>
        <w:rPr>
          <w:rStyle w:val="Rimandonotaapidipagina"/>
          <w:b/>
          <w:bCs/>
          <w:color w:val="000000" w:themeColor="text1"/>
          <w:sz w:val="24"/>
          <w:szCs w:val="24"/>
        </w:rPr>
        <w:footnoteReference w:id="46"/>
      </w:r>
    </w:p>
    <w:p w14:paraId="4CF33053" w14:textId="383E21AB"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  11. Il Ministero dell'istruzione provvede al monitoraggio delle giornate di assenza ingiustificata del personale scolastico di cui al comma 6, capoverso articolo 9-ter, comma 2, e dei conseguenti eventuali risparmi e trasmette gli esiti al Ministero dell'economia e delle finanze – Dipartimento della Ragioneria generale dello Stato, al fine di adottare le opportune variazioni compensative di bilancio per la copertura di eventuali ulteriori oneri derivanti dalla sostituzione del personale ovvero per il reintegro delle disponibilità di cui all'articolo 231-bis, comma 1, lettera b) del decreto-legge 19 maggio 2020 n. 34, convertito con modificazioni dalla legge 17 luglio 2020, n. 77.</w:t>
      </w:r>
    </w:p>
    <w:p w14:paraId="429E70D1" w14:textId="535AD7A5" w:rsidR="00A00E05" w:rsidRDefault="00A00E05"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860DC6" w14:textId="7BE6DFC7" w:rsidR="00A00E05" w:rsidRPr="002D0DF0" w:rsidRDefault="00A00E05" w:rsidP="00A00E05">
      <w:pPr>
        <w:jc w:val="both"/>
        <w:rPr>
          <w:b/>
          <w:bCs/>
          <w:color w:val="000000" w:themeColor="text1"/>
          <w:sz w:val="24"/>
          <w:szCs w:val="24"/>
        </w:rPr>
      </w:pPr>
      <w:r w:rsidRPr="002D0DF0">
        <w:rPr>
          <w:b/>
          <w:bCs/>
          <w:color w:val="000000" w:themeColor="text1"/>
          <w:sz w:val="24"/>
          <w:szCs w:val="24"/>
        </w:rPr>
        <w:t xml:space="preserve">  11-bis. Le somme versate dalle regioni, comprese quelle a statuto speciale, all'entrata del bilancio dello Stato per il cofinanziamento di contratti di supplenza sia breve e saltuaria sia fino al termine delle attività didattiche, stipulati dalle istituzioni scolastiche statali del territorio regionale per assumere personale scolastico aggiuntivo rispetto all'organico assegnato dall'ufficio scolastico regionale, sono </w:t>
      </w:r>
      <w:r w:rsidRPr="002D0DF0">
        <w:rPr>
          <w:b/>
          <w:bCs/>
          <w:color w:val="000000" w:themeColor="text1"/>
          <w:sz w:val="24"/>
          <w:szCs w:val="24"/>
        </w:rPr>
        <w:lastRenderedPageBreak/>
        <w:t>riassegnate ai pertinenti capitoli di spesa dello stato di previsione del Ministero dell'istruzione in quanto necessarie al pagamento dei contratti medesimi.</w:t>
      </w:r>
      <w:r>
        <w:rPr>
          <w:rStyle w:val="Rimandonotaapidipagina"/>
          <w:b/>
          <w:bCs/>
          <w:color w:val="000000" w:themeColor="text1"/>
          <w:sz w:val="24"/>
          <w:szCs w:val="24"/>
        </w:rPr>
        <w:footnoteReference w:id="47"/>
      </w:r>
    </w:p>
    <w:p w14:paraId="5F0FA6FC" w14:textId="77777777" w:rsidR="00A00E05" w:rsidRPr="00F40161" w:rsidRDefault="00A00E05"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91B2E0" w14:textId="4F061A11"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  12. Ai fini dell'immediata attuazione del presente articolo, il Ministro dell'economia e delle finanze è autorizzato ad apportare, con propri decreti, le occorrenti variazioni di bilancio.</w:t>
      </w:r>
    </w:p>
    <w:p w14:paraId="3822D1CC" w14:textId="2AD74DDC" w:rsidR="00D151BD" w:rsidRDefault="00D151BD"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3F9DF5" w14:textId="1A9B9F51" w:rsidR="00AC474B" w:rsidRDefault="00AC474B" w:rsidP="00D151BD">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p>
    <w:p w14:paraId="0CD1017D" w14:textId="77777777" w:rsidR="00AC474B" w:rsidRPr="002C6C3A" w:rsidRDefault="00AC474B" w:rsidP="00AC474B">
      <w:pPr>
        <w:jc w:val="center"/>
        <w:rPr>
          <w:b/>
          <w:bCs/>
          <w:color w:val="000000" w:themeColor="text1"/>
          <w:sz w:val="24"/>
          <w:szCs w:val="24"/>
        </w:rPr>
      </w:pPr>
      <w:r w:rsidRPr="002C6C3A">
        <w:rPr>
          <w:b/>
          <w:bCs/>
          <w:color w:val="000000" w:themeColor="text1"/>
          <w:sz w:val="24"/>
          <w:szCs w:val="24"/>
        </w:rPr>
        <w:t>Art. 1-bis.</w:t>
      </w:r>
    </w:p>
    <w:p w14:paraId="4932DB9F" w14:textId="77777777" w:rsidR="00AC474B" w:rsidRPr="002C6C3A" w:rsidRDefault="00AC474B" w:rsidP="00AC474B">
      <w:pPr>
        <w:jc w:val="center"/>
        <w:rPr>
          <w:b/>
          <w:bCs/>
          <w:color w:val="000000" w:themeColor="text1"/>
          <w:sz w:val="24"/>
          <w:szCs w:val="24"/>
        </w:rPr>
      </w:pPr>
      <w:r w:rsidRPr="002C6C3A">
        <w:rPr>
          <w:b/>
          <w:bCs/>
          <w:color w:val="000000" w:themeColor="text1"/>
          <w:sz w:val="24"/>
          <w:szCs w:val="24"/>
        </w:rPr>
        <w:t>(Accesso ai servizi sociali)</w:t>
      </w:r>
    </w:p>
    <w:p w14:paraId="20D2C717" w14:textId="2E2407BB" w:rsidR="00D151BD" w:rsidRPr="00F40161" w:rsidRDefault="00AC474B" w:rsidP="00AC474B">
      <w:pPr>
        <w:jc w:val="both"/>
        <w:rPr>
          <w:rFonts w:asciiTheme="minorHAnsi" w:eastAsia="Times New Roman" w:hAnsiTheme="minorHAnsi" w:cs="Times New Roman"/>
          <w:color w:val="000000" w:themeColor="text1"/>
          <w:sz w:val="24"/>
          <w:szCs w:val="24"/>
        </w:rPr>
      </w:pPr>
      <w:r w:rsidRPr="002C6C3A">
        <w:rPr>
          <w:b/>
          <w:bCs/>
          <w:color w:val="000000" w:themeColor="text1"/>
          <w:sz w:val="24"/>
          <w:szCs w:val="24"/>
        </w:rPr>
        <w:t>  1. Per garantire l'accesso alle mense e ai servizi sociali ai cittadini dell'Unione europea e dei Paesi terzi, senza fissa dimora, in possesso, rispettivamente, dei codici ENI (Europeo non iscritto) e STP (Straniero temporaneamente presente) nonché dei codici fiscali numerici provvisori, sottoposti alla profilassi vaccinale anti SARS-CoV-2 nel rispetto delle circolari del Ministero della salute, è assegnata, ove possibile, una certificazione verde COVID-19 provvisoria, o, in alternativa, un codice a barre personale in modo da garantire l'identificazione univoca della persona vaccinata anche mediante mezzi informatici.</w:t>
      </w:r>
      <w:r w:rsidRPr="00AC474B">
        <w:rPr>
          <w:rStyle w:val="Rimandonotaapidipagina"/>
          <w:color w:val="000000" w:themeColor="text1"/>
          <w:sz w:val="24"/>
          <w:szCs w:val="24"/>
        </w:rPr>
        <w:footnoteReference w:id="48"/>
      </w:r>
    </w:p>
    <w:p w14:paraId="7888033A"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F0CFB2" w14:textId="77777777" w:rsidR="00F40161" w:rsidRPr="00F40161" w:rsidRDefault="00F40161" w:rsidP="005B1A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Articolo 2.</w:t>
      </w:r>
    </w:p>
    <w:p w14:paraId="755C8A72" w14:textId="77777777" w:rsidR="00F40161" w:rsidRPr="00F40161" w:rsidRDefault="00F40161" w:rsidP="005B1A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(Impiego delle certificazioni verdi COVID-19 nei mezzi di trasporto)</w:t>
      </w:r>
    </w:p>
    <w:p w14:paraId="7A382CC0" w14:textId="77777777" w:rsidR="00F40161" w:rsidRPr="00F40161" w:rsidRDefault="00F40161" w:rsidP="005B1A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819ACF9"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  1. Al decreto-legge 22 aprile 2021, n. 52, convertito, con modificazioni, dalla legge 17 giugno 2021, n. 87, dopo l'articolo 9-ter, come introdotto dall'articolo 1 del presente decreto, è inserito il seguente:</w:t>
      </w:r>
    </w:p>
    <w:p w14:paraId="6C0DA399"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4A07EF"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«Art. 9-quater</w:t>
      </w:r>
    </w:p>
    <w:p w14:paraId="4D1F56A2"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(Impiego delle certificazioni verdi COVID-19 nei mezzi di trasporto)</w:t>
      </w:r>
    </w:p>
    <w:p w14:paraId="464B5387"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D0313E"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   1. A far data dal 1° settembre 2021 e fino al 31 dicembre 2021, termine di cessazione dello stato di emergenza, è consentito esclusivamente ai soggetti muniti di una delle certificazioni verdi COVID-19, di cui all'articolo 9, comma 2, l'accesso ai seguenti mezzi di trasporto e il loro utilizzo:</w:t>
      </w:r>
    </w:p>
    <w:p w14:paraId="17FDF124"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18AED9"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   a) aeromobili adibiti a servizi commerciali di trasporto di persone;</w:t>
      </w:r>
    </w:p>
    <w:p w14:paraId="41F87A39"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75A9CE" w14:textId="59AAB3FB" w:rsidR="00F40161" w:rsidRPr="002F32F5" w:rsidRDefault="00F40161" w:rsidP="002F32F5">
      <w:pPr>
        <w:jc w:val="both"/>
        <w:rPr>
          <w:b/>
          <w:bCs/>
          <w:color w:val="000000" w:themeColor="text1"/>
          <w:sz w:val="24"/>
          <w:szCs w:val="24"/>
        </w:rPr>
      </w:pPr>
      <w:r w:rsidRPr="00F40161">
        <w:rPr>
          <w:rFonts w:asciiTheme="minorHAnsi" w:eastAsia="Times New Roman" w:hAnsiTheme="minorHAnsi" w:cs="Times New Roman"/>
          <w:color w:val="000000" w:themeColor="text1"/>
          <w:sz w:val="24"/>
          <w:szCs w:val="24"/>
        </w:rPr>
        <w:t>   b) navi e traghetti adibiti a servizi di trasporto interregionale, ad esclusione di quelli impiegati per i collegamenti marittimi nello Stretto di Messina</w:t>
      </w:r>
      <w:r w:rsidR="002F32F5">
        <w:rPr>
          <w:rFonts w:asciiTheme="minorHAnsi" w:eastAsia="Times New Roman" w:hAnsiTheme="minorHAnsi" w:cs="Times New Roman"/>
          <w:color w:val="000000" w:themeColor="text1"/>
          <w:sz w:val="24"/>
          <w:szCs w:val="24"/>
        </w:rPr>
        <w:t xml:space="preserve"> </w:t>
      </w:r>
      <w:r w:rsidR="002F32F5" w:rsidRPr="00177459">
        <w:rPr>
          <w:b/>
          <w:bCs/>
          <w:color w:val="000000" w:themeColor="text1"/>
          <w:sz w:val="24"/>
          <w:szCs w:val="24"/>
        </w:rPr>
        <w:t>e di quelli impiegati nei collegamenti marittimi da e per l'arcipelago delle Isole Tremiti</w:t>
      </w:r>
      <w:r w:rsidR="002F32F5" w:rsidRPr="009D281B">
        <w:rPr>
          <w:rStyle w:val="Rimandonotaapidipagina"/>
          <w:color w:val="000000" w:themeColor="text1"/>
          <w:sz w:val="24"/>
          <w:szCs w:val="24"/>
        </w:rPr>
        <w:footnoteReference w:id="49"/>
      </w:r>
      <w:r w:rsidRPr="00F40161">
        <w:rPr>
          <w:rFonts w:asciiTheme="minorHAnsi" w:eastAsia="Times New Roman" w:hAnsiTheme="minorHAnsi" w:cs="Times New Roman"/>
          <w:color w:val="000000" w:themeColor="text1"/>
          <w:sz w:val="24"/>
          <w:szCs w:val="24"/>
        </w:rPr>
        <w:t>;</w:t>
      </w:r>
    </w:p>
    <w:p w14:paraId="61004084"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B7EB62"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   c) treni impiegati nei servizi di trasporto ferroviario passeggeri di tipo Intercity, Intercity Notte e Alta Velocità;</w:t>
      </w:r>
    </w:p>
    <w:p w14:paraId="67CDE9DD"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91A644"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   d) autobus adibiti a servizi di trasporto di persone, ad offerta indifferenziata, effettuati su strada in modo continuativo o periodico su un percorso che collega più di due regioni ed aventi itinerari, orari, frequenze e prezzi prestabiliti;</w:t>
      </w:r>
    </w:p>
    <w:p w14:paraId="2BA45685"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9801A9" w14:textId="522A3324"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   e) autobus adibiti a servizi di noleggio con conducente, ad esclusione di quelli impiegati nei servizi aggiuntivi di trasporto pubblico locale e regionale.</w:t>
      </w:r>
    </w:p>
    <w:p w14:paraId="37F8D6C7" w14:textId="77777777" w:rsidR="002D431C" w:rsidRDefault="002D431C"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8485F7" w14:textId="0BD35FF7" w:rsidR="00F40161" w:rsidRDefault="002D431C" w:rsidP="002D431C">
      <w:pPr>
        <w:jc w:val="both"/>
        <w:rPr>
          <w:b/>
          <w:bCs/>
          <w:color w:val="000000" w:themeColor="text1"/>
          <w:sz w:val="24"/>
          <w:szCs w:val="24"/>
        </w:rPr>
      </w:pPr>
      <w:r w:rsidRPr="00556627">
        <w:rPr>
          <w:b/>
          <w:bCs/>
          <w:color w:val="000000" w:themeColor="text1"/>
          <w:sz w:val="24"/>
          <w:szCs w:val="24"/>
        </w:rPr>
        <w:t>   e-bis) funivie, cabinovie e seggiovie, qualora utilizzate con la chiusura delle cupole paravento, con finalità turistico-commerciale e anche laddove ubicate in comprensori sciistici, senza limitazioni alla vendita dei titoli di viaggio.</w:t>
      </w:r>
      <w:r>
        <w:rPr>
          <w:rStyle w:val="Rimandonotaapidipagina"/>
          <w:b/>
          <w:bCs/>
          <w:color w:val="000000" w:themeColor="text1"/>
          <w:sz w:val="24"/>
          <w:szCs w:val="24"/>
        </w:rPr>
        <w:footnoteReference w:id="50"/>
      </w:r>
    </w:p>
    <w:p w14:paraId="784CBA93" w14:textId="77777777" w:rsidR="002D431C" w:rsidRPr="00F40161" w:rsidRDefault="002D431C" w:rsidP="002D431C">
      <w:pPr>
        <w:jc w:val="both"/>
        <w:rPr>
          <w:rFonts w:asciiTheme="minorHAnsi" w:eastAsia="Times New Roman" w:hAnsiTheme="minorHAnsi" w:cs="Times New Roman"/>
          <w:color w:val="000000" w:themeColor="text1"/>
          <w:sz w:val="24"/>
          <w:szCs w:val="24"/>
        </w:rPr>
      </w:pPr>
    </w:p>
    <w:p w14:paraId="3B1418D7"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   2. Le disposizioni di cui al comma 1 non si applicano ai soggetti esclusi per età dalla campagna vaccinale e ai soggetti esenti sulla base di idonea certificazione medica rilasciata secondo i criteri definiti con circolare del Ministero della salute.</w:t>
      </w:r>
    </w:p>
    <w:p w14:paraId="0D09CE38" w14:textId="182EDEC2"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   3. I vettori aerei, marittimi e terrestri, nonché i loro delegati, sono tenuti a verificare che l'utilizzo dei servizi di cui al comma 1 avvenga nel rispetto delle prescrizioni di cui al medesimo comma 1. Le verifiche delle certificazioni verdi COVID-19 sono effettuate con le modalità indicate dal decreto del Presidente del Consiglio dei ministri adottato ai sensi dell'articolo 9, comma 10.</w:t>
      </w:r>
    </w:p>
    <w:p w14:paraId="66BB50E3" w14:textId="61EE4703" w:rsidR="002D431C" w:rsidRPr="00556627" w:rsidRDefault="002D431C" w:rsidP="002D431C">
      <w:pPr>
        <w:jc w:val="both"/>
        <w:rPr>
          <w:b/>
          <w:bCs/>
          <w:color w:val="000000" w:themeColor="text1"/>
          <w:sz w:val="24"/>
          <w:szCs w:val="24"/>
        </w:rPr>
      </w:pPr>
      <w:r w:rsidRPr="00556627">
        <w:rPr>
          <w:b/>
          <w:bCs/>
          <w:color w:val="000000" w:themeColor="text1"/>
          <w:sz w:val="24"/>
          <w:szCs w:val="24"/>
        </w:rPr>
        <w:t>  3-bis. Fermo restando quanto previsto dall'articolo 4 del decreto-legge 25 marzo 2020, n. 19, convertito, con modificazioni, dalla legge 22 maggio 2020, n. 35, le misure di contenimento e di contrasto dei rischi sanitari derivanti dalla diffusione del COVID-19, come definite dalle linee guida e dai protocolli di cui all'articolo 10-bis del decreto-legge 22 aprile 2021, n. 52, convertito, con modificazioni, della legge 17 giugno 2021, n. 87, integrano, senza nuovi o maggiori oneri per la finanza pubblica, ad ogni effetto di legge e fino al 31 dicembre 2021, termine di cessazione dello stato di emergenza nazionale, il contenuto degli obblighi di servizio pubblico gravanti sui vettori e sui gestori di infrastrutture o di stazioni destinati all'erogazione ovvero alla fruizione di servizi di trasporto pubblico di persone e di merci, automobilistico, ferroviario, aereo, marittimo, nelle acque interne, anche non di linea, regolati da atti, autorizzazioni, licenze, permessi, nulla osta, contratti, convenzioni, disciplinari, appalti o concessioni.</w:t>
      </w:r>
      <w:r>
        <w:rPr>
          <w:rStyle w:val="Rimandonotaapidipagina"/>
          <w:b/>
          <w:bCs/>
          <w:color w:val="000000" w:themeColor="text1"/>
          <w:sz w:val="24"/>
          <w:szCs w:val="24"/>
        </w:rPr>
        <w:footnoteReference w:id="51"/>
      </w:r>
    </w:p>
    <w:p w14:paraId="4C38F337" w14:textId="2BCE0DD7"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   4. La violazione delle disposizioni di cui ai commi 1 e 3 è sanzionata ai sensi dell'articolo 4 del decreto-legge 25 marzo 2020, n. 19, convertito, con modificazioni, dalla legge 22 maggio 2020, n. 35. Resta fermo quanto previsto dall'articolo 2, comma 2-bis, del decreto-legge 16 maggio 2020, n. 33, convertito, con modificazioni, dalla legge 14 luglio 2020, n. 74.».</w:t>
      </w:r>
    </w:p>
    <w:p w14:paraId="1AF5B4EB" w14:textId="5F2A5D9B" w:rsidR="00110A20" w:rsidRDefault="00110A20"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5926B7" w14:textId="77777777" w:rsidR="00110A20" w:rsidRPr="00E85325" w:rsidRDefault="00110A20" w:rsidP="00110A20">
      <w:pPr>
        <w:jc w:val="center"/>
        <w:rPr>
          <w:b/>
          <w:bCs/>
          <w:color w:val="000000" w:themeColor="text1"/>
          <w:sz w:val="24"/>
          <w:szCs w:val="24"/>
        </w:rPr>
      </w:pPr>
      <w:r w:rsidRPr="00E85325">
        <w:rPr>
          <w:b/>
          <w:bCs/>
          <w:color w:val="000000" w:themeColor="text1"/>
          <w:sz w:val="24"/>
          <w:szCs w:val="24"/>
        </w:rPr>
        <w:t>Art. 2-bis.</w:t>
      </w:r>
    </w:p>
    <w:p w14:paraId="722F05EE" w14:textId="77777777" w:rsidR="00110A20" w:rsidRPr="00E85325" w:rsidRDefault="00110A20" w:rsidP="00110A20">
      <w:pPr>
        <w:jc w:val="center"/>
        <w:rPr>
          <w:b/>
          <w:bCs/>
          <w:color w:val="000000" w:themeColor="text1"/>
          <w:sz w:val="24"/>
          <w:szCs w:val="24"/>
        </w:rPr>
      </w:pPr>
      <w:r w:rsidRPr="00E85325">
        <w:rPr>
          <w:b/>
          <w:bCs/>
          <w:color w:val="000000" w:themeColor="text1"/>
          <w:sz w:val="24"/>
          <w:szCs w:val="24"/>
        </w:rPr>
        <w:t>(Disposizione di proroga in materia di lavoratori fragili)</w:t>
      </w:r>
    </w:p>
    <w:p w14:paraId="1103784B" w14:textId="77777777" w:rsidR="00110A20" w:rsidRPr="00E85325" w:rsidRDefault="00110A20" w:rsidP="00110A20">
      <w:pPr>
        <w:jc w:val="both"/>
        <w:rPr>
          <w:b/>
          <w:bCs/>
          <w:color w:val="000000" w:themeColor="text1"/>
          <w:sz w:val="24"/>
          <w:szCs w:val="24"/>
        </w:rPr>
      </w:pPr>
    </w:p>
    <w:p w14:paraId="4D2AA066" w14:textId="77777777" w:rsidR="00110A20" w:rsidRPr="00E85325" w:rsidRDefault="00110A20" w:rsidP="00110A20">
      <w:pPr>
        <w:jc w:val="both"/>
        <w:rPr>
          <w:b/>
          <w:bCs/>
          <w:color w:val="000000" w:themeColor="text1"/>
          <w:sz w:val="24"/>
          <w:szCs w:val="24"/>
        </w:rPr>
      </w:pPr>
      <w:r w:rsidRPr="00E85325">
        <w:rPr>
          <w:b/>
          <w:bCs/>
          <w:color w:val="000000" w:themeColor="text1"/>
          <w:sz w:val="24"/>
          <w:szCs w:val="24"/>
        </w:rPr>
        <w:t>  1. All'articolo 1 della legge 30 dicembre 2020, n. 178, sono apportate le seguenti modificazioni:</w:t>
      </w:r>
    </w:p>
    <w:p w14:paraId="77584A02" w14:textId="77777777" w:rsidR="00110A20" w:rsidRPr="00E85325" w:rsidRDefault="00110A20" w:rsidP="00110A20">
      <w:pPr>
        <w:jc w:val="both"/>
        <w:rPr>
          <w:b/>
          <w:bCs/>
          <w:color w:val="000000" w:themeColor="text1"/>
          <w:sz w:val="24"/>
          <w:szCs w:val="24"/>
        </w:rPr>
      </w:pPr>
      <w:r w:rsidRPr="00E85325">
        <w:rPr>
          <w:b/>
          <w:bCs/>
          <w:color w:val="000000" w:themeColor="text1"/>
          <w:sz w:val="24"/>
          <w:szCs w:val="24"/>
        </w:rPr>
        <w:t>   a) al comma 481, le parole: «30 giugno 2021» sono sostituite dalle seguenti: «31 dicembre 2021»;</w:t>
      </w:r>
    </w:p>
    <w:p w14:paraId="111C3095" w14:textId="77777777" w:rsidR="00110A20" w:rsidRPr="00E85325" w:rsidRDefault="00110A20" w:rsidP="00110A20">
      <w:pPr>
        <w:jc w:val="both"/>
        <w:rPr>
          <w:b/>
          <w:bCs/>
          <w:color w:val="000000" w:themeColor="text1"/>
          <w:sz w:val="24"/>
          <w:szCs w:val="24"/>
        </w:rPr>
      </w:pPr>
      <w:r w:rsidRPr="00E85325">
        <w:rPr>
          <w:b/>
          <w:bCs/>
          <w:color w:val="000000" w:themeColor="text1"/>
          <w:sz w:val="24"/>
          <w:szCs w:val="24"/>
        </w:rPr>
        <w:t>   b) al comma 482, le parole: «282,1 milioni di euro per l'anno 2021» sono sostituite dalle seguenti: «396 milioni di euro per l'anno 2021»;</w:t>
      </w:r>
    </w:p>
    <w:p w14:paraId="01806F5E" w14:textId="77777777" w:rsidR="00110A20" w:rsidRPr="00E85325" w:rsidRDefault="00110A20" w:rsidP="00110A20">
      <w:pPr>
        <w:jc w:val="both"/>
        <w:rPr>
          <w:b/>
          <w:bCs/>
          <w:color w:val="000000" w:themeColor="text1"/>
          <w:sz w:val="24"/>
          <w:szCs w:val="24"/>
        </w:rPr>
      </w:pPr>
      <w:r w:rsidRPr="00E85325">
        <w:rPr>
          <w:b/>
          <w:bCs/>
          <w:color w:val="000000" w:themeColor="text1"/>
          <w:sz w:val="24"/>
          <w:szCs w:val="24"/>
        </w:rPr>
        <w:t>   c) al comma 483, le parole: «173,95 milioni di euro per l'anno 2021» sono sostituite dalle seguenti: «195,15 milioni di euro per l'anno 2021».</w:t>
      </w:r>
    </w:p>
    <w:p w14:paraId="373D1535" w14:textId="77777777" w:rsidR="00110A20" w:rsidRPr="00E85325" w:rsidRDefault="00110A20" w:rsidP="00110A20">
      <w:pPr>
        <w:jc w:val="both"/>
        <w:rPr>
          <w:b/>
          <w:bCs/>
          <w:color w:val="000000" w:themeColor="text1"/>
          <w:sz w:val="24"/>
          <w:szCs w:val="24"/>
        </w:rPr>
      </w:pPr>
      <w:r w:rsidRPr="00E85325">
        <w:rPr>
          <w:b/>
          <w:bCs/>
          <w:color w:val="000000" w:themeColor="text1"/>
          <w:sz w:val="24"/>
          <w:szCs w:val="24"/>
        </w:rPr>
        <w:t>  2. Agli oneri derivanti dal comma 1 pari a 135,1 milioni di euro per l'anno 2021, si provvede:</w:t>
      </w:r>
    </w:p>
    <w:p w14:paraId="3D63649A" w14:textId="77777777" w:rsidR="00110A20" w:rsidRPr="00E85325" w:rsidRDefault="00110A20" w:rsidP="00110A20">
      <w:pPr>
        <w:jc w:val="both"/>
        <w:rPr>
          <w:b/>
          <w:bCs/>
          <w:color w:val="000000" w:themeColor="text1"/>
          <w:sz w:val="24"/>
          <w:szCs w:val="24"/>
        </w:rPr>
      </w:pPr>
      <w:r w:rsidRPr="00E85325">
        <w:rPr>
          <w:b/>
          <w:bCs/>
          <w:color w:val="000000" w:themeColor="text1"/>
          <w:sz w:val="24"/>
          <w:szCs w:val="24"/>
        </w:rPr>
        <w:t>   a) quanto a 100 milioni di euro, mediante corrispondente riduzione del fondo di cui all'articolo 13-duodecies del decreto-legge 28 ottobre 2020, n. 137, convertito, con modificazioni, dalla legge 18 dicembre 2020, n. 176;</w:t>
      </w:r>
    </w:p>
    <w:p w14:paraId="29173ECA" w14:textId="744A1BE7" w:rsidR="00110A20" w:rsidRPr="00E85325" w:rsidRDefault="00110A20" w:rsidP="00110A20">
      <w:pPr>
        <w:jc w:val="both"/>
        <w:rPr>
          <w:b/>
          <w:bCs/>
          <w:color w:val="000000" w:themeColor="text1"/>
          <w:sz w:val="24"/>
          <w:szCs w:val="24"/>
        </w:rPr>
      </w:pPr>
      <w:r w:rsidRPr="00E85325">
        <w:rPr>
          <w:b/>
          <w:bCs/>
          <w:color w:val="000000" w:themeColor="text1"/>
          <w:sz w:val="24"/>
          <w:szCs w:val="24"/>
        </w:rPr>
        <w:t>   b) quanto a 35,1 milioni di euro, mediante corrispondente riduzione del Fondo sociale per occupazione e formazione, di cui all'articolo 18, comma 1, lettera a), del decreto-legge 29 novembre 2008, n. 185, convertito, con modificazioni, dalla legge 28 gennaio 2009, n. 2.</w:t>
      </w:r>
      <w:r w:rsidRPr="00726FDF">
        <w:rPr>
          <w:rStyle w:val="Rimandonotaapidipagina"/>
          <w:color w:val="000000" w:themeColor="text1"/>
          <w:sz w:val="24"/>
          <w:szCs w:val="24"/>
        </w:rPr>
        <w:footnoteReference w:id="52"/>
      </w:r>
    </w:p>
    <w:p w14:paraId="7755F306" w14:textId="77777777" w:rsidR="00110A20" w:rsidRDefault="00110A20"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6ADD1E" w14:textId="62B18CC1" w:rsidR="008F625A" w:rsidRDefault="008F625A"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B441E2" w14:textId="77777777" w:rsidR="008F625A" w:rsidRPr="006E08D7" w:rsidRDefault="008F625A" w:rsidP="008F625A">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r w:rsidRPr="006E08D7">
        <w:rPr>
          <w:rFonts w:asciiTheme="minorHAnsi" w:eastAsia="Times New Roman" w:hAnsiTheme="minorHAnsi" w:cs="Times New Roman"/>
          <w:b/>
          <w:color w:val="000000" w:themeColor="text1"/>
          <w:sz w:val="24"/>
          <w:szCs w:val="24"/>
        </w:rPr>
        <w:t>Art. 2-bis.</w:t>
      </w:r>
    </w:p>
    <w:p w14:paraId="19505385" w14:textId="77777777" w:rsidR="008F625A" w:rsidRPr="006E08D7" w:rsidRDefault="008F625A" w:rsidP="008F625A">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r w:rsidRPr="006E08D7">
        <w:rPr>
          <w:rFonts w:asciiTheme="minorHAnsi" w:eastAsia="Times New Roman" w:hAnsiTheme="minorHAnsi" w:cs="Times New Roman"/>
          <w:b/>
          <w:color w:val="000000" w:themeColor="text1"/>
          <w:sz w:val="24"/>
          <w:szCs w:val="24"/>
        </w:rPr>
        <w:t>(Estensione dell'obbligo vaccinale in strutture residenziali, socio-assistenziali e socio-sanitarie)</w:t>
      </w:r>
    </w:p>
    <w:p w14:paraId="39A0D5AE" w14:textId="77777777" w:rsidR="008F625A" w:rsidRPr="006E08D7" w:rsidRDefault="008F625A" w:rsidP="008F625A">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p>
    <w:p w14:paraId="6A324F2C" w14:textId="77777777" w:rsidR="008F625A" w:rsidRPr="006E08D7" w:rsidRDefault="008F625A" w:rsidP="008F625A">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r w:rsidRPr="006E08D7">
        <w:rPr>
          <w:rFonts w:asciiTheme="minorHAnsi" w:eastAsia="Times New Roman" w:hAnsiTheme="minorHAnsi" w:cs="Times New Roman"/>
          <w:b/>
          <w:color w:val="000000" w:themeColor="text1"/>
          <w:sz w:val="24"/>
          <w:szCs w:val="24"/>
        </w:rPr>
        <w:t>  1. Al decreto-legge 1° aprile 2021, n. 44, convertito, con modificazioni, dalla legge 28 maggio 2021, n. 76, dopo l'articolo 4 è inserito il seguente:</w:t>
      </w:r>
    </w:p>
    <w:p w14:paraId="27143875" w14:textId="77777777" w:rsidR="008F625A" w:rsidRPr="006E08D7" w:rsidRDefault="008F625A" w:rsidP="008F625A">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p>
    <w:p w14:paraId="4DC6A271" w14:textId="77777777" w:rsidR="008F625A" w:rsidRPr="006E08D7" w:rsidRDefault="008F625A" w:rsidP="008F625A">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r w:rsidRPr="006E08D7">
        <w:rPr>
          <w:rFonts w:asciiTheme="minorHAnsi" w:eastAsia="Times New Roman" w:hAnsiTheme="minorHAnsi" w:cs="Times New Roman"/>
          <w:b/>
          <w:color w:val="000000" w:themeColor="text1"/>
          <w:sz w:val="24"/>
          <w:szCs w:val="24"/>
        </w:rPr>
        <w:t>Art. 4-bis.</w:t>
      </w:r>
    </w:p>
    <w:p w14:paraId="58529CE5" w14:textId="77777777" w:rsidR="008F625A" w:rsidRPr="006E08D7" w:rsidRDefault="008F625A" w:rsidP="008F625A">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r w:rsidRPr="006E08D7">
        <w:rPr>
          <w:rFonts w:asciiTheme="minorHAnsi" w:eastAsia="Times New Roman" w:hAnsiTheme="minorHAnsi" w:cs="Times New Roman"/>
          <w:b/>
          <w:color w:val="000000" w:themeColor="text1"/>
          <w:sz w:val="24"/>
          <w:szCs w:val="24"/>
        </w:rPr>
        <w:t>(Estensione dell'obbligo vaccinale ai lavoratori impiegati in strutture residenziali, socio-assistenziali e sociosanitarie)</w:t>
      </w:r>
    </w:p>
    <w:p w14:paraId="7459E0D8" w14:textId="77777777" w:rsidR="008F625A" w:rsidRPr="006E08D7" w:rsidRDefault="008F625A" w:rsidP="008F625A">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p>
    <w:p w14:paraId="3713AEA3" w14:textId="24E20FEA" w:rsidR="008F625A" w:rsidRPr="006E08D7" w:rsidRDefault="008F625A" w:rsidP="00C443E8">
      <w:pPr>
        <w:jc w:val="both"/>
        <w:rPr>
          <w:rFonts w:asciiTheme="minorHAnsi" w:eastAsia="Times New Roman" w:hAnsiTheme="minorHAnsi" w:cs="Times New Roman"/>
          <w:b/>
          <w:color w:val="000000" w:themeColor="text1"/>
          <w:sz w:val="24"/>
          <w:szCs w:val="24"/>
        </w:rPr>
      </w:pPr>
      <w:r w:rsidRPr="006E08D7">
        <w:rPr>
          <w:rFonts w:asciiTheme="minorHAnsi" w:eastAsia="Times New Roman" w:hAnsiTheme="minorHAnsi" w:cs="Times New Roman"/>
          <w:b/>
          <w:color w:val="000000" w:themeColor="text1"/>
          <w:sz w:val="24"/>
          <w:szCs w:val="24"/>
        </w:rPr>
        <w:t>   1. Dal 10 ottobre 2021 al 31 dicembre 2021, termine di cessazione dello stato di emergenza, l'obbligo vaccinale previsto dall'articolo 4, comma 1, si applica altresì a tutti i soggetti anche esterni che svolgono, a qualsiasi titolo, la propria attività lavorativa nelle strutture di cui all'articolo 1-bis</w:t>
      </w:r>
      <w:r w:rsidR="00C443E8" w:rsidRPr="00F671FF">
        <w:rPr>
          <w:b/>
          <w:bCs/>
          <w:color w:val="000000" w:themeColor="text1"/>
          <w:sz w:val="24"/>
          <w:szCs w:val="24"/>
          <w:highlight w:val="red"/>
        </w:rPr>
        <w:t>, incluse le strutture semiresidenziali e le strutture che, a qualsiasi titolo, ospitano persone in situazione di fragilità</w:t>
      </w:r>
      <w:r w:rsidRPr="006E08D7">
        <w:rPr>
          <w:rFonts w:asciiTheme="minorHAnsi" w:eastAsia="Times New Roman" w:hAnsiTheme="minorHAnsi" w:cs="Times New Roman"/>
          <w:b/>
          <w:color w:val="000000" w:themeColor="text1"/>
          <w:sz w:val="24"/>
          <w:szCs w:val="24"/>
        </w:rPr>
        <w:t>.</w:t>
      </w:r>
      <w:r w:rsidR="00C443E8">
        <w:rPr>
          <w:rStyle w:val="Rimandonotaapidipagina"/>
          <w:rFonts w:asciiTheme="minorHAnsi" w:eastAsia="Times New Roman" w:hAnsiTheme="minorHAnsi" w:cs="Times New Roman"/>
          <w:b/>
          <w:color w:val="000000" w:themeColor="text1"/>
          <w:sz w:val="24"/>
          <w:szCs w:val="24"/>
        </w:rPr>
        <w:footnoteReference w:id="53"/>
      </w:r>
    </w:p>
    <w:p w14:paraId="091F79E9" w14:textId="77777777" w:rsidR="008F625A" w:rsidRPr="006E08D7" w:rsidRDefault="008F625A" w:rsidP="008F625A">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r w:rsidRPr="006E08D7">
        <w:rPr>
          <w:rFonts w:asciiTheme="minorHAnsi" w:eastAsia="Times New Roman" w:hAnsiTheme="minorHAnsi" w:cs="Times New Roman"/>
          <w:b/>
          <w:color w:val="000000" w:themeColor="text1"/>
          <w:sz w:val="24"/>
          <w:szCs w:val="24"/>
        </w:rPr>
        <w:t>   2. Le disposizioni del comma 1 non si applicano ai soggetti esenti dalla campagna vaccinale sulla base di idonea certificazione medica rilasciata secondo i criteri definiti con circolare del Ministero della salute.</w:t>
      </w:r>
    </w:p>
    <w:p w14:paraId="17949931" w14:textId="7760F732" w:rsidR="008F625A" w:rsidRPr="006E08D7" w:rsidRDefault="008F625A" w:rsidP="00C443E8">
      <w:pPr>
        <w:jc w:val="both"/>
        <w:rPr>
          <w:rFonts w:asciiTheme="minorHAnsi" w:eastAsia="Times New Roman" w:hAnsiTheme="minorHAnsi" w:cs="Times New Roman"/>
          <w:b/>
          <w:color w:val="000000" w:themeColor="text1"/>
          <w:sz w:val="24"/>
          <w:szCs w:val="24"/>
        </w:rPr>
      </w:pPr>
      <w:r w:rsidRPr="006E08D7">
        <w:rPr>
          <w:rFonts w:asciiTheme="minorHAnsi" w:eastAsia="Times New Roman" w:hAnsiTheme="minorHAnsi" w:cs="Times New Roman"/>
          <w:b/>
          <w:color w:val="000000" w:themeColor="text1"/>
          <w:sz w:val="24"/>
          <w:szCs w:val="24"/>
        </w:rPr>
        <w:t>   3. I responsabili delle strutture di cui all'articolo 1-bis</w:t>
      </w:r>
      <w:r w:rsidR="00C443E8" w:rsidRPr="00F671FF">
        <w:rPr>
          <w:b/>
          <w:bCs/>
          <w:color w:val="000000" w:themeColor="text1"/>
          <w:sz w:val="24"/>
          <w:szCs w:val="24"/>
          <w:highlight w:val="red"/>
        </w:rPr>
        <w:t>, incluse le strutture semiresidenziali e le strutture che, a qualsiasi titolo, ospitano persone in situazione di fragilità,</w:t>
      </w:r>
      <w:r w:rsidR="00C443E8">
        <w:rPr>
          <w:b/>
          <w:bCs/>
          <w:color w:val="000000" w:themeColor="text1"/>
          <w:sz w:val="24"/>
          <w:szCs w:val="24"/>
        </w:rPr>
        <w:t xml:space="preserve"> </w:t>
      </w:r>
      <w:r w:rsidR="00C443E8">
        <w:rPr>
          <w:rStyle w:val="Rimandonotaapidipagina"/>
          <w:b/>
          <w:bCs/>
          <w:color w:val="000000" w:themeColor="text1"/>
          <w:sz w:val="24"/>
          <w:szCs w:val="24"/>
        </w:rPr>
        <w:footnoteReference w:id="54"/>
      </w:r>
      <w:r w:rsidRPr="006E08D7">
        <w:rPr>
          <w:rFonts w:asciiTheme="minorHAnsi" w:eastAsia="Times New Roman" w:hAnsiTheme="minorHAnsi" w:cs="Times New Roman"/>
          <w:b/>
          <w:color w:val="000000" w:themeColor="text1"/>
          <w:sz w:val="24"/>
          <w:szCs w:val="24"/>
        </w:rPr>
        <w:t>e i datori di lavoro dei soggetti che, a qualunque titolo, svolgono nelle predette strutture attività lavorativa sulla base di contratti esterni assicurano il rispetto dell'obbligo di cui al comma 1 del presente articolo. Fermo restando quanto previsto dall'articolo 17-bis del decreto-legge 17 marzo 2020, n. 18, convertito, con modificazioni, dalla legge 24 aprile 2020, n. 27, per la finalità di cui al primo periodo del presente comma i responsabili e i datori di lavoro possono verificare l'adempimento dell'obbligo acquisendo le informazioni necessarie secondo le modalità definite con decreto del Presidente del Consiglio dei ministri, adottato di concerto con i Ministri della salute, per l'innovazione tecnologica e la transizione digitale e dell'economia e delle finanze, sentito il Garante per la protezione dei dati personali.</w:t>
      </w:r>
    </w:p>
    <w:p w14:paraId="3AC5B375" w14:textId="433466E0" w:rsidR="008F625A" w:rsidRPr="006E08D7" w:rsidRDefault="008F625A" w:rsidP="00C443E8">
      <w:pPr>
        <w:jc w:val="both"/>
        <w:rPr>
          <w:rFonts w:asciiTheme="minorHAnsi" w:eastAsia="Times New Roman" w:hAnsiTheme="minorHAnsi" w:cs="Times New Roman"/>
          <w:b/>
          <w:color w:val="000000" w:themeColor="text1"/>
          <w:sz w:val="24"/>
          <w:szCs w:val="24"/>
        </w:rPr>
      </w:pPr>
      <w:r w:rsidRPr="006E08D7">
        <w:rPr>
          <w:rFonts w:asciiTheme="minorHAnsi" w:eastAsia="Times New Roman" w:hAnsiTheme="minorHAnsi" w:cs="Times New Roman"/>
          <w:b/>
          <w:color w:val="000000" w:themeColor="text1"/>
          <w:sz w:val="24"/>
          <w:szCs w:val="24"/>
        </w:rPr>
        <w:t>   4. Agli esercenti le professioni sanitarie e agli operatori di interesse sanitario nonché ai lavoratori dipendenti delle strutture di cui all'articolo 1-bis</w:t>
      </w:r>
      <w:r w:rsidR="00C443E8" w:rsidRPr="00F671FF">
        <w:rPr>
          <w:b/>
          <w:bCs/>
          <w:color w:val="000000" w:themeColor="text1"/>
          <w:sz w:val="24"/>
          <w:szCs w:val="24"/>
          <w:highlight w:val="red"/>
        </w:rPr>
        <w:t>, incluse le strutture semiresidenziali e le strutture che, a qualsiasi titolo, ospitano persone in situazione di fragilità,</w:t>
      </w:r>
      <w:r w:rsidR="00C443E8">
        <w:rPr>
          <w:b/>
          <w:bCs/>
          <w:color w:val="000000" w:themeColor="text1"/>
          <w:sz w:val="24"/>
          <w:szCs w:val="24"/>
        </w:rPr>
        <w:t xml:space="preserve"> </w:t>
      </w:r>
      <w:r w:rsidR="00C443E8">
        <w:rPr>
          <w:rStyle w:val="Rimandonotaapidipagina"/>
          <w:b/>
          <w:bCs/>
          <w:color w:val="000000" w:themeColor="text1"/>
          <w:sz w:val="24"/>
          <w:szCs w:val="24"/>
        </w:rPr>
        <w:footnoteReference w:id="55"/>
      </w:r>
      <w:r w:rsidRPr="006E08D7">
        <w:rPr>
          <w:rFonts w:asciiTheme="minorHAnsi" w:eastAsia="Times New Roman" w:hAnsiTheme="minorHAnsi" w:cs="Times New Roman"/>
          <w:b/>
          <w:color w:val="000000" w:themeColor="text1"/>
          <w:sz w:val="24"/>
          <w:szCs w:val="24"/>
        </w:rPr>
        <w:t xml:space="preserve">si applicano le disposizioni dell'articolo </w:t>
      </w:r>
      <w:r w:rsidRPr="006E08D7">
        <w:rPr>
          <w:rFonts w:asciiTheme="minorHAnsi" w:eastAsia="Times New Roman" w:hAnsiTheme="minorHAnsi" w:cs="Times New Roman"/>
          <w:b/>
          <w:color w:val="000000" w:themeColor="text1"/>
          <w:sz w:val="24"/>
          <w:szCs w:val="24"/>
        </w:rPr>
        <w:lastRenderedPageBreak/>
        <w:t>4, a eccezione del comma 8; la sospensione della prestazione lavorativa comporta che non sono dovuti la retribuzione né altro compenso o emolumento, comunque denominato, e mantiene efficacia fino all'assolvimento dell'obbligo vaccinale o, in mancanza, fino al completamento del piano vaccinale nazionale e comunque non oltre il 31 dicembre 2021, fermo restando quanto previsto dall'articolo 4, comma 10.</w:t>
      </w:r>
    </w:p>
    <w:p w14:paraId="4D82745B" w14:textId="458A62C9" w:rsidR="008F625A" w:rsidRPr="006E08D7" w:rsidRDefault="008F625A" w:rsidP="008F625A">
      <w:pPr>
        <w:shd w:val="clear" w:color="auto" w:fill="FFFFFF"/>
        <w:tabs>
          <w:tab w:val="left" w:pos="993"/>
        </w:tabs>
        <w:spacing w:after="120" w:line="240" w:lineRule="auto"/>
        <w:jc w:val="both"/>
        <w:rPr>
          <w:rFonts w:asciiTheme="minorHAnsi" w:eastAsia="Times New Roman" w:hAnsiTheme="minorHAnsi" w:cs="Times New Roman"/>
          <w:b/>
          <w:color w:val="000000" w:themeColor="text1"/>
          <w:sz w:val="24"/>
          <w:szCs w:val="24"/>
        </w:rPr>
      </w:pPr>
      <w:r w:rsidRPr="006E08D7">
        <w:rPr>
          <w:rFonts w:asciiTheme="minorHAnsi" w:eastAsia="Times New Roman" w:hAnsiTheme="minorHAnsi" w:cs="Times New Roman"/>
          <w:b/>
          <w:color w:val="000000" w:themeColor="text1"/>
          <w:sz w:val="24"/>
          <w:szCs w:val="24"/>
        </w:rPr>
        <w:t>   5. L'accesso alle strutture di cui all'articolo 1-bis in violazione delle disposizioni del comma 1 del presente articolo nonché la violazione delle disposizioni del primo periodo del comma 3 del presente articolo sono sanzionati ai sensi dell'articolo 4, commi 1, 3, 5 e 9, del decreto-legge 25 marzo 2020, n. 19, convertito, con modificazioni, dalla legge 22 maggio 2020, n. 35. Resta fermo quanto previsto dall'articolo 2, comma 2-bis, del decreto-legge 16 maggio 2020, n. 33, convertito, con modificazioni, dalla legge 14 luglio 2020, n. 74.</w:t>
      </w:r>
      <w:r w:rsidRPr="009326D3">
        <w:rPr>
          <w:rStyle w:val="Rimandonotaapidipagina"/>
          <w:rFonts w:asciiTheme="minorHAnsi" w:eastAsia="Times New Roman" w:hAnsiTheme="minorHAnsi" w:cs="Times New Roman"/>
          <w:bCs/>
          <w:color w:val="000000" w:themeColor="text1"/>
          <w:sz w:val="24"/>
          <w:szCs w:val="24"/>
        </w:rPr>
        <w:footnoteReference w:id="56"/>
      </w:r>
    </w:p>
    <w:p w14:paraId="5071C58B" w14:textId="77777777" w:rsidR="008F625A" w:rsidRPr="00F40161" w:rsidRDefault="008F625A"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D759A6"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39718E2"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Articolo 3.</w:t>
      </w:r>
    </w:p>
    <w:p w14:paraId="16A27F4E"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(Modifiche al decreto-legge n. 33 del 2020)</w:t>
      </w:r>
    </w:p>
    <w:p w14:paraId="72FA87B5"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3529B0"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  1. All'articolo 1, comma 16-bis, secondo periodo, del decreto-legge 16 maggio 2020, n. 33, convertito, con modificazioni, dalla legge 14 luglio 2020, n. 74, le parole «altresì sui dati monitorati» sono sostituite dalle seguenti: «, ove ritenuto necessario,».</w:t>
      </w:r>
    </w:p>
    <w:p w14:paraId="628CED06"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6DDFD6"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Articolo 4.</w:t>
      </w:r>
    </w:p>
    <w:p w14:paraId="270F46DA" w14:textId="2B855ED1"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(Disposizioni urgenti in materia di eventi sportivi</w:t>
      </w:r>
      <w:r w:rsidR="00026E34">
        <w:rPr>
          <w:rFonts w:asciiTheme="minorHAnsi" w:eastAsia="Times New Roman" w:hAnsiTheme="minorHAnsi" w:cs="Times New Roman"/>
          <w:color w:val="000000" w:themeColor="text1"/>
          <w:sz w:val="24"/>
          <w:szCs w:val="24"/>
        </w:rPr>
        <w:t xml:space="preserve"> </w:t>
      </w:r>
      <w:r w:rsidRPr="00F40161">
        <w:rPr>
          <w:rFonts w:asciiTheme="minorHAnsi" w:eastAsia="Times New Roman" w:hAnsiTheme="minorHAnsi" w:cs="Times New Roman"/>
          <w:color w:val="000000" w:themeColor="text1"/>
          <w:sz w:val="24"/>
          <w:szCs w:val="24"/>
        </w:rPr>
        <w:t>e in materia di spettacoli aperti al pubblico)</w:t>
      </w:r>
    </w:p>
    <w:p w14:paraId="101DE327"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A00D5B"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  1. Per la partecipazione del pubblico agli eventi e alle competizioni sportivi all'aperto, con le linee guida di cui all'articolo 5, commi 2 e 3, del decreto-legge 22 aprile 2021, n. 52, convertito, con modificazioni, dalla legge 17 giugno 2021, n. 87, è possibile prevedere modalità di assegnazione dei posti alternative al distanziamento interpersonale di almeno un metro.</w:t>
      </w:r>
    </w:p>
    <w:p w14:paraId="482D531F"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xml:space="preserve">  2. Dalla data di entrata in vigore del presente decreto, per la partecipazione del pubblico agli eventi e competizioni sportivi di cui all'articolo 5, comma 2, del decreto-legge 22 aprile 2021, n. 52, convertito, </w:t>
      </w:r>
      <w:r w:rsidRPr="00F40161">
        <w:rPr>
          <w:rFonts w:asciiTheme="minorHAnsi" w:eastAsia="Times New Roman" w:hAnsiTheme="minorHAnsi" w:cs="Times New Roman"/>
          <w:color w:val="000000" w:themeColor="text1"/>
          <w:sz w:val="24"/>
          <w:szCs w:val="24"/>
        </w:rPr>
        <w:lastRenderedPageBreak/>
        <w:t>con modificazioni, dalla legge 17 giugno 2021, n. 87, in zona bianca la capienza consentita al chiuso non può essere superiore al 35 per cento di quella massima autorizzata.</w:t>
      </w:r>
    </w:p>
    <w:p w14:paraId="0DDA97CB"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  3. Dalla data di entrata in vigore del presente decreto, per gli spettacoli aperti al pubblico di cui all'articolo 5, comma 1, del decreto-legge 22 aprile 2021, n. 52, convertito, con modificazioni, dalla legge 17 giugno 2021, n. 87, in zona bianca la capienza consentita al chiuso non può essere superiore al 35 per cento di quella massima autorizzata nel caso di eventi con un numero di spettatori superiore a 2500.</w:t>
      </w:r>
    </w:p>
    <w:p w14:paraId="15FDFDD2"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FF282C"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Articolo 5.</w:t>
      </w:r>
    </w:p>
    <w:p w14:paraId="16B4F362"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(Disposizioni di coordinamento)</w:t>
      </w:r>
    </w:p>
    <w:p w14:paraId="36E9B072"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22E7F2" w14:textId="2E953E48"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  1. Le certificazioni verdi COVID-19 di cui all'articolo 9, comma 2, decreto-legge 22 aprile 2021, n. 52, convertito, con modificazioni, dalla legge 17 giugno 2021, n. 87, possono essere utilizzate, oltre che per i fini indicati dall'articolo 9, comma 10-bis, del predetto decreto-legge n. 52 del 2021, anche per quelli di cui agli articoli 9-</w:t>
      </w:r>
      <w:proofErr w:type="gramStart"/>
      <w:r w:rsidRPr="00F40161">
        <w:rPr>
          <w:rFonts w:asciiTheme="minorHAnsi" w:eastAsia="Times New Roman" w:hAnsiTheme="minorHAnsi" w:cs="Times New Roman"/>
          <w:color w:val="000000" w:themeColor="text1"/>
          <w:sz w:val="24"/>
          <w:szCs w:val="24"/>
        </w:rPr>
        <w:t xml:space="preserve">ter </w:t>
      </w:r>
      <w:r w:rsidR="009525DA" w:rsidRPr="006E08D7">
        <w:rPr>
          <w:rFonts w:asciiTheme="minorHAnsi" w:eastAsia="Times New Roman" w:hAnsiTheme="minorHAnsi" w:cs="Times New Roman"/>
          <w:b/>
          <w:color w:val="000000" w:themeColor="text1"/>
          <w:sz w:val="24"/>
          <w:szCs w:val="24"/>
        </w:rPr>
        <w:t>,</w:t>
      </w:r>
      <w:proofErr w:type="gramEnd"/>
      <w:r w:rsidR="009525DA" w:rsidRPr="006E08D7">
        <w:rPr>
          <w:rFonts w:asciiTheme="minorHAnsi" w:eastAsia="Times New Roman" w:hAnsiTheme="minorHAnsi" w:cs="Times New Roman"/>
          <w:b/>
          <w:color w:val="000000" w:themeColor="text1"/>
          <w:sz w:val="24"/>
          <w:szCs w:val="24"/>
        </w:rPr>
        <w:t xml:space="preserve"> 9-ter.1, 9-ter.2</w:t>
      </w:r>
      <w:r w:rsidR="009525DA" w:rsidRPr="009525DA">
        <w:rPr>
          <w:rStyle w:val="Rimandonotaapidipagina"/>
          <w:rFonts w:asciiTheme="minorHAnsi" w:eastAsia="Times New Roman" w:hAnsiTheme="minorHAnsi" w:cs="Times New Roman"/>
          <w:bCs/>
          <w:color w:val="000000" w:themeColor="text1"/>
          <w:sz w:val="24"/>
          <w:szCs w:val="24"/>
        </w:rPr>
        <w:footnoteReference w:id="57"/>
      </w:r>
      <w:r w:rsidR="009525DA" w:rsidRPr="009525DA">
        <w:rPr>
          <w:rFonts w:asciiTheme="minorHAnsi" w:eastAsia="Times New Roman" w:hAnsiTheme="minorHAnsi" w:cs="Times New Roman"/>
          <w:bCs/>
          <w:color w:val="000000" w:themeColor="text1"/>
          <w:sz w:val="24"/>
          <w:szCs w:val="24"/>
        </w:rPr>
        <w:t xml:space="preserve"> </w:t>
      </w:r>
      <w:r w:rsidRPr="00F40161">
        <w:rPr>
          <w:rFonts w:asciiTheme="minorHAnsi" w:eastAsia="Times New Roman" w:hAnsiTheme="minorHAnsi" w:cs="Times New Roman"/>
          <w:color w:val="000000" w:themeColor="text1"/>
          <w:sz w:val="24"/>
          <w:szCs w:val="24"/>
        </w:rPr>
        <w:t>e 9-quater del medesimo decreto-legge n. 52 del 2021, introdotti dal presente decreto.</w:t>
      </w:r>
    </w:p>
    <w:p w14:paraId="5C290348" w14:textId="717917FF"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  2. Le somme confluite sul conto corrente di tesoreria della Presidenza del Consiglio dei ministri ai sensi degli articoli 40 e 42, comma 11, del decreto-legge 22 marzo 2021, n. 41, convertito, con modificazioni, dalla legge 21 maggio 2021, n. 69, sono trasferite, per le finalità di cui al suddetto articolo 40 e fermi rimanendo gli obblighi di rendicontazione previsti, alla contabilità speciale del commissario straordinario per l'attuazione e il coordinamento delle misure occorrenti per il contenimento e il contrasto dell'emergenza epidemiologica da COVID-19 previa iscrizione sul fondo per le emergenze nazionali nell'ambito del bilancio autonomo della Presidenza del consiglio dei ministri.</w:t>
      </w:r>
    </w:p>
    <w:p w14:paraId="4D9A8148" w14:textId="3B5E7382" w:rsidR="007251F2" w:rsidRDefault="007251F2"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02A3C4" w14:textId="77777777" w:rsidR="007251F2" w:rsidRPr="00B973D0" w:rsidRDefault="007251F2" w:rsidP="007251F2">
      <w:pPr>
        <w:jc w:val="center"/>
        <w:rPr>
          <w:b/>
          <w:bCs/>
          <w:color w:val="000000" w:themeColor="text1"/>
          <w:sz w:val="24"/>
          <w:szCs w:val="24"/>
        </w:rPr>
      </w:pPr>
      <w:r w:rsidRPr="00B973D0">
        <w:rPr>
          <w:b/>
          <w:bCs/>
          <w:color w:val="000000" w:themeColor="text1"/>
          <w:sz w:val="24"/>
          <w:szCs w:val="24"/>
        </w:rPr>
        <w:t>Art. 5-bis.</w:t>
      </w:r>
    </w:p>
    <w:p w14:paraId="48519415" w14:textId="77777777" w:rsidR="007251F2" w:rsidRPr="00B973D0" w:rsidRDefault="007251F2" w:rsidP="007251F2">
      <w:pPr>
        <w:jc w:val="both"/>
        <w:rPr>
          <w:b/>
          <w:bCs/>
          <w:color w:val="000000" w:themeColor="text1"/>
          <w:sz w:val="24"/>
          <w:szCs w:val="24"/>
        </w:rPr>
      </w:pPr>
    </w:p>
    <w:p w14:paraId="7CAAC975" w14:textId="76334D1D" w:rsidR="007251F2" w:rsidRPr="00B973D0" w:rsidRDefault="007251F2" w:rsidP="007251F2">
      <w:pPr>
        <w:jc w:val="both"/>
        <w:rPr>
          <w:b/>
          <w:bCs/>
          <w:color w:val="000000" w:themeColor="text1"/>
          <w:sz w:val="24"/>
          <w:szCs w:val="24"/>
        </w:rPr>
      </w:pPr>
      <w:r w:rsidRPr="00B973D0">
        <w:rPr>
          <w:b/>
          <w:bCs/>
          <w:color w:val="000000" w:themeColor="text1"/>
          <w:sz w:val="24"/>
          <w:szCs w:val="24"/>
        </w:rPr>
        <w:t xml:space="preserve">  All'articolo 9, comma 1, lettera b) del decreto-legge 22 aprile 2021, n. 52, convertito, con modificazioni, dalla legge 17 giugno 2021, n. 87, dopo le parole: «da SARS-CoV-2» sono inserite le </w:t>
      </w:r>
      <w:r w:rsidRPr="00B973D0">
        <w:rPr>
          <w:b/>
          <w:bCs/>
          <w:color w:val="000000" w:themeColor="text1"/>
          <w:sz w:val="24"/>
          <w:szCs w:val="24"/>
        </w:rPr>
        <w:lastRenderedPageBreak/>
        <w:t>seguenti: «e le vaccinazioni riconosciute come equivalenti con circolare del Ministero della salute, somministrate dalle autorità sanitarie competenti per territorio».</w:t>
      </w:r>
      <w:r>
        <w:rPr>
          <w:rStyle w:val="Rimandonotaapidipagina"/>
          <w:b/>
          <w:bCs/>
          <w:color w:val="000000" w:themeColor="text1"/>
          <w:sz w:val="24"/>
          <w:szCs w:val="24"/>
        </w:rPr>
        <w:footnoteReference w:id="58"/>
      </w:r>
    </w:p>
    <w:p w14:paraId="31821F97" w14:textId="77777777" w:rsidR="007251F2" w:rsidRPr="00F40161" w:rsidRDefault="007251F2"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6FCF3A"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86DB764"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Articolo 6.</w:t>
      </w:r>
    </w:p>
    <w:p w14:paraId="04215092"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(Disposizioni urgenti per la Repubblica di San Marino)</w:t>
      </w:r>
    </w:p>
    <w:p w14:paraId="0D1CB155"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CBB783"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  1. Ai soggetti in possesso di un certificato di vaccinazione anti SARS-Cov-2 rilasciato dalle competenti autorità sanitarie della Repubblica di San Marino, nelle more dell'adozione della circolare del Ministero della salute che definisce modalità di vaccinazione in coerenza con le indicazioni dell'Agenzia europea per i medicinali, e comunque non oltre il 15 ottobre 2021, non si applicano le disposizioni di cui all'articolo 9-bis, 9-ter e 9-quater, del decreto-legge 22 aprile 2021, n. 52, convertito, con modificazioni, dalla legge 17 giugno 2021, n. 87.</w:t>
      </w:r>
    </w:p>
    <w:p w14:paraId="424BE7D1"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0924D9"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Articolo 7.</w:t>
      </w:r>
    </w:p>
    <w:p w14:paraId="7AD7968F"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(Sospensione dei termini nei procedimenti amministrativi ed effetti degli atti amministrativi in scadenza gestiti dalla Regione Lazio)</w:t>
      </w:r>
    </w:p>
    <w:p w14:paraId="3BB7E45C"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C0735E" w14:textId="110DF2B2"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xml:space="preserve">  1. In considerazione dell'attacco subìto dai sistemi informatici della Regione Lazio, ai fini del computo dei termini ordinatori o perentori, propedeutici, </w:t>
      </w:r>
      <w:proofErr w:type="spellStart"/>
      <w:r w:rsidRPr="00F40161">
        <w:rPr>
          <w:rFonts w:asciiTheme="minorHAnsi" w:eastAsia="Times New Roman" w:hAnsiTheme="minorHAnsi" w:cs="Times New Roman"/>
          <w:color w:val="000000" w:themeColor="text1"/>
          <w:sz w:val="24"/>
          <w:szCs w:val="24"/>
        </w:rPr>
        <w:t>endoprocedimentali</w:t>
      </w:r>
      <w:proofErr w:type="spellEnd"/>
      <w:r w:rsidRPr="00F40161">
        <w:rPr>
          <w:rFonts w:asciiTheme="minorHAnsi" w:eastAsia="Times New Roman" w:hAnsiTheme="minorHAnsi" w:cs="Times New Roman"/>
          <w:color w:val="000000" w:themeColor="text1"/>
          <w:sz w:val="24"/>
          <w:szCs w:val="24"/>
        </w:rPr>
        <w:t>, finali ed esecutivi, relativi allo svolgimento di procedimenti amministrativi pendenti alla data del 1° agosto 2021 o iniziati successivamente a tale data, gestiti tramite le strutture informatiche, dalla Regione e dai suoi enti strumentali, non si tiene conto del periodo compreso tra la medesima data e quella del 15 settembre 2021.</w:t>
      </w:r>
    </w:p>
    <w:p w14:paraId="0FF20518" w14:textId="0CC9322E" w:rsidR="00AE2570" w:rsidRPr="00DA05C8" w:rsidRDefault="00AE2570" w:rsidP="00AE2570">
      <w:pPr>
        <w:jc w:val="both"/>
        <w:rPr>
          <w:b/>
          <w:bCs/>
          <w:color w:val="000000" w:themeColor="text1"/>
          <w:sz w:val="24"/>
          <w:szCs w:val="24"/>
        </w:rPr>
      </w:pPr>
      <w:r w:rsidRPr="00DA05C8">
        <w:rPr>
          <w:b/>
          <w:bCs/>
          <w:color w:val="000000" w:themeColor="text1"/>
          <w:sz w:val="24"/>
          <w:szCs w:val="24"/>
        </w:rPr>
        <w:t xml:space="preserve">  1-bis. In considerazione dei danni conseguenti all'attacco subìto dai sistemi informatici di cui al comma 1, la regione Lazio può chiedere agli istituti finanziatori, per i mutui concessi nel corso dell'anno 2021, esclusi quelli concessi dal Ministero dell'economia e delle finanze, una proroga del termine di scadenza dei pagamenti dovuti entro il 31 dicembre 2021. Alla compensazione degli effetti finanziari in termini di indebitamento netto e fabbisogno, pari a 20 milioni di euro per l'anno 2021, si provvede </w:t>
      </w:r>
      <w:r w:rsidRPr="00DA05C8">
        <w:rPr>
          <w:b/>
          <w:bCs/>
          <w:color w:val="000000" w:themeColor="text1"/>
          <w:sz w:val="24"/>
          <w:szCs w:val="24"/>
        </w:rPr>
        <w:lastRenderedPageBreak/>
        <w:t>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r w:rsidRPr="009074D6">
        <w:rPr>
          <w:rStyle w:val="Rimandonotaapidipagina"/>
          <w:color w:val="000000" w:themeColor="text1"/>
          <w:sz w:val="24"/>
          <w:szCs w:val="24"/>
        </w:rPr>
        <w:footnoteReference w:id="59"/>
      </w:r>
    </w:p>
    <w:p w14:paraId="2A169DBD"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  2. La Regione Lazio e i suoi enti strumentali adottano ogni misura organizzativa idonea ad assicurare comunque la ragionevole durata e la celere conclusione dei procedimenti di cui al comma 1, con priorità per quelli da considerare urgenti, anche sulla base di motivate istanze degli interessati.</w:t>
      </w:r>
    </w:p>
    <w:p w14:paraId="40AE252A"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  3. In caso di inoperatività dei siti istituzionali della Regione Lazio e dei suoi enti strumentali, per il medesimo periodo di cui al comma 1, sono sospesi gli obblighi di pubblicità di cui al decreto legislativo 14 marzo 2013, n. 33.</w:t>
      </w:r>
    </w:p>
    <w:p w14:paraId="73D49D5D"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A5E236"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Articolo 8.</w:t>
      </w:r>
    </w:p>
    <w:p w14:paraId="7CE3FAF8"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(Proroga del contingente «Strade sicure»)</w:t>
      </w:r>
    </w:p>
    <w:p w14:paraId="511FF5A0"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1EECF1"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  1. Al fine di garantire e sostenere la prosecuzione, da parte delle Forze armate, dello svolgimento dei maggiori compiti connessi al contenimento della diffusione del virus SARS-CoV-2, l'incremento delle 753 unità di personale di cui all'articolo 22, comma 1, del decreto-legge 19 maggio 2020, n. 34, convertito, con modificazioni, dalla legge 17 luglio 2020, n. 77, è ulteriormente prorogato fino al 31 ottobre 2021.</w:t>
      </w:r>
    </w:p>
    <w:p w14:paraId="0774B006"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  2. Per l'attuazione delle disposizioni del comma 1 è autorizzata, per l'anno 2021, la spesa complessiva di euro 7.626.780, di cui euro 1.875.015 per il pagamento delle prestazioni di lavoro straordinario ed euro 5.751.765 per gli altri oneri connessi all'impiego del personale.</w:t>
      </w:r>
    </w:p>
    <w:p w14:paraId="22917AD2"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  3. Alla copertura degli oneri derivanti dal presente articolo, pari a euro 7.626.780 per l'anno 2021,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w:t>
      </w:r>
    </w:p>
    <w:p w14:paraId="42219D4F" w14:textId="460798B9"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  4. Ai fini dell'immediata attuazione del presente articolo, il Ministro dell'economia e delle finanze è autorizzato ad apportare, con propri decreti, le occorrenti variazioni di bilancio.</w:t>
      </w:r>
    </w:p>
    <w:p w14:paraId="790B18D2" w14:textId="57F87D42" w:rsidR="009074D6" w:rsidRPr="00DA05C8" w:rsidRDefault="009074D6" w:rsidP="009074D6">
      <w:pPr>
        <w:jc w:val="both"/>
        <w:rPr>
          <w:b/>
          <w:bCs/>
          <w:color w:val="000000" w:themeColor="text1"/>
          <w:sz w:val="24"/>
          <w:szCs w:val="24"/>
        </w:rPr>
      </w:pPr>
      <w:r w:rsidRPr="00DA05C8">
        <w:rPr>
          <w:b/>
          <w:bCs/>
          <w:color w:val="000000" w:themeColor="text1"/>
          <w:sz w:val="24"/>
          <w:szCs w:val="24"/>
        </w:rPr>
        <w:t>  4-bis. Al codice dell'ordinamento militare, di cui al decreto legislativo 15 marzo 2010, n. 66, sono apportate le seguenti modificazioni:</w:t>
      </w:r>
    </w:p>
    <w:p w14:paraId="3291510B" w14:textId="72EA442F" w:rsidR="009074D6" w:rsidRPr="00DA05C8" w:rsidRDefault="009074D6" w:rsidP="009074D6">
      <w:pPr>
        <w:jc w:val="both"/>
        <w:rPr>
          <w:b/>
          <w:bCs/>
          <w:color w:val="000000" w:themeColor="text1"/>
          <w:sz w:val="24"/>
          <w:szCs w:val="24"/>
        </w:rPr>
      </w:pPr>
      <w:r w:rsidRPr="00DA05C8">
        <w:rPr>
          <w:b/>
          <w:bCs/>
          <w:color w:val="000000" w:themeColor="text1"/>
          <w:sz w:val="24"/>
          <w:szCs w:val="24"/>
        </w:rPr>
        <w:lastRenderedPageBreak/>
        <w:t>   a) agli articoli 1053, comma 1, e 1242, comma 2, le parole: «31 ottobre» sono sostituite dalle seguenti: «15 settembre»;</w:t>
      </w:r>
    </w:p>
    <w:p w14:paraId="0216C095" w14:textId="2046BEE7" w:rsidR="009074D6" w:rsidRPr="00DA05C8" w:rsidRDefault="009074D6" w:rsidP="009074D6">
      <w:pPr>
        <w:jc w:val="both"/>
        <w:rPr>
          <w:b/>
          <w:bCs/>
          <w:color w:val="000000" w:themeColor="text1"/>
          <w:sz w:val="24"/>
          <w:szCs w:val="24"/>
        </w:rPr>
      </w:pPr>
      <w:r w:rsidRPr="00DA05C8">
        <w:rPr>
          <w:b/>
          <w:bCs/>
          <w:color w:val="000000" w:themeColor="text1"/>
          <w:sz w:val="24"/>
          <w:szCs w:val="24"/>
        </w:rPr>
        <w:t>   b) all'articolo 2233-quater, dopo il comma 3-bis, è aggiunto il seguente:</w:t>
      </w:r>
    </w:p>
    <w:p w14:paraId="3DE6C5E2" w14:textId="5A36D4E8" w:rsidR="009074D6" w:rsidRPr="00DA05C8" w:rsidRDefault="009074D6" w:rsidP="009074D6">
      <w:pPr>
        <w:jc w:val="both"/>
        <w:rPr>
          <w:b/>
          <w:bCs/>
          <w:color w:val="000000" w:themeColor="text1"/>
          <w:sz w:val="24"/>
          <w:szCs w:val="24"/>
        </w:rPr>
      </w:pPr>
      <w:r w:rsidRPr="00DA05C8">
        <w:rPr>
          <w:b/>
          <w:bCs/>
          <w:color w:val="000000" w:themeColor="text1"/>
          <w:sz w:val="24"/>
          <w:szCs w:val="24"/>
        </w:rPr>
        <w:t>   «3-ter. Per l'anno 2021 e 2022, le aliquote di valutazione degli ufficiali sono formate alla data del 15 ottobre 2021.».</w:t>
      </w:r>
      <w:r w:rsidRPr="009074D6">
        <w:rPr>
          <w:rStyle w:val="Rimandonotaapidipagina"/>
          <w:color w:val="000000" w:themeColor="text1"/>
          <w:sz w:val="24"/>
          <w:szCs w:val="24"/>
        </w:rPr>
        <w:footnoteReference w:id="60"/>
      </w:r>
    </w:p>
    <w:p w14:paraId="2C7AC068" w14:textId="77777777" w:rsidR="009074D6" w:rsidRPr="00F40161" w:rsidRDefault="009074D6"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9CC36E"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0223BB"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Articolo 9.</w:t>
      </w:r>
    </w:p>
    <w:p w14:paraId="1021B5CC"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(Modifiche all'articolo 21 del decreto legislativo 4 giugno 2003, n. 128)</w:t>
      </w:r>
    </w:p>
    <w:p w14:paraId="78480622"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203AF0"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  1. All'articolo 21 del decreto legislativo 4 giugno 2003, n. 128, sono apportate le seguenti modificazioni:</w:t>
      </w:r>
    </w:p>
    <w:p w14:paraId="3581FB4E"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92AB63"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   a) al comma 2, dopo la parola «individua» sono aggiunte le seguenti: «il Ministro, anche senza portafoglio, ovvero»;</w:t>
      </w:r>
    </w:p>
    <w:p w14:paraId="53C5DCD1"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B50E52" w14:textId="7B027C22" w:rsid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   b) al comma 3, dopo le parole «dal Presidente del Consiglio dei ministri ovvero dal», sono aggiunte le seguenti: «Ministro, anche senza portafoglio, o dal».</w:t>
      </w:r>
    </w:p>
    <w:p w14:paraId="296114AC" w14:textId="0C62C8C1" w:rsidR="009074D6" w:rsidRDefault="009074D6"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BFE148" w14:textId="77777777" w:rsidR="009074D6" w:rsidRPr="00DA05C8" w:rsidRDefault="009074D6" w:rsidP="009074D6">
      <w:pPr>
        <w:jc w:val="center"/>
        <w:rPr>
          <w:b/>
          <w:bCs/>
          <w:color w:val="000000" w:themeColor="text1"/>
          <w:sz w:val="24"/>
          <w:szCs w:val="24"/>
        </w:rPr>
      </w:pPr>
      <w:r w:rsidRPr="00DA05C8">
        <w:rPr>
          <w:b/>
          <w:bCs/>
          <w:color w:val="000000" w:themeColor="text1"/>
          <w:sz w:val="24"/>
          <w:szCs w:val="24"/>
        </w:rPr>
        <w:t>Art. 9-bis.</w:t>
      </w:r>
    </w:p>
    <w:p w14:paraId="2D323E9B" w14:textId="77777777" w:rsidR="009074D6" w:rsidRPr="00DA05C8" w:rsidRDefault="009074D6" w:rsidP="009074D6">
      <w:pPr>
        <w:jc w:val="center"/>
        <w:rPr>
          <w:b/>
          <w:bCs/>
          <w:color w:val="000000" w:themeColor="text1"/>
          <w:sz w:val="24"/>
          <w:szCs w:val="24"/>
        </w:rPr>
      </w:pPr>
      <w:r w:rsidRPr="00DA05C8">
        <w:rPr>
          <w:b/>
          <w:bCs/>
          <w:color w:val="000000" w:themeColor="text1"/>
          <w:sz w:val="24"/>
          <w:szCs w:val="24"/>
        </w:rPr>
        <w:t>(Clausola di salvaguardia)</w:t>
      </w:r>
    </w:p>
    <w:p w14:paraId="7B9883AA" w14:textId="77777777" w:rsidR="009074D6" w:rsidRPr="00DA05C8" w:rsidRDefault="009074D6" w:rsidP="009074D6">
      <w:pPr>
        <w:jc w:val="center"/>
        <w:rPr>
          <w:b/>
          <w:bCs/>
          <w:color w:val="000000" w:themeColor="text1"/>
          <w:sz w:val="24"/>
          <w:szCs w:val="24"/>
        </w:rPr>
      </w:pPr>
    </w:p>
    <w:p w14:paraId="25001C47" w14:textId="756CCABB" w:rsidR="009074D6" w:rsidRPr="00DA05C8" w:rsidRDefault="009074D6" w:rsidP="009074D6">
      <w:pPr>
        <w:jc w:val="both"/>
        <w:rPr>
          <w:b/>
          <w:bCs/>
          <w:color w:val="000000" w:themeColor="text1"/>
          <w:sz w:val="24"/>
          <w:szCs w:val="24"/>
        </w:rPr>
      </w:pPr>
      <w:r w:rsidRPr="00DA05C8">
        <w:rPr>
          <w:b/>
          <w:bCs/>
          <w:color w:val="000000" w:themeColor="text1"/>
          <w:sz w:val="24"/>
          <w:szCs w:val="24"/>
        </w:rPr>
        <w:lastRenderedPageBreak/>
        <w:t>  1. Le disposizioni del presente decreto sono applicabili nelle regioni a statuto speciale e nelle province autonome di Trento e di Bolzano compatibilmente con i rispettivi statuti e le relative norme di attuazione.</w:t>
      </w:r>
      <w:r>
        <w:rPr>
          <w:rStyle w:val="Rimandonotaapidipagina"/>
          <w:b/>
          <w:bCs/>
          <w:color w:val="000000" w:themeColor="text1"/>
          <w:sz w:val="24"/>
          <w:szCs w:val="24"/>
        </w:rPr>
        <w:footnoteReference w:id="61"/>
      </w:r>
    </w:p>
    <w:p w14:paraId="44BC456B" w14:textId="77777777" w:rsidR="009074D6" w:rsidRPr="00F40161" w:rsidRDefault="009074D6"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F35C2D"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23CB8B"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Articolo 10.</w:t>
      </w:r>
    </w:p>
    <w:p w14:paraId="034458E2" w14:textId="77777777" w:rsidR="00F40161" w:rsidRPr="00F40161" w:rsidRDefault="00F40161" w:rsidP="00026E3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(Entrata in vigore)</w:t>
      </w:r>
    </w:p>
    <w:p w14:paraId="70129138"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59F740"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  1. Il presente decreto entra in vigore il giorno successivo a quello della sua pubblicazione nella Gazzetta Ufficiale della Repubblica Italiana e sarà presentato alle Camere per la conversione in legge.</w:t>
      </w:r>
    </w:p>
    <w:p w14:paraId="7D6F1E00" w14:textId="77777777" w:rsidR="00F40161" w:rsidRPr="00F4016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D6719F" w14:textId="1048CBD0" w:rsidR="006770A1" w:rsidRDefault="00F40161" w:rsidP="00F4016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F40161">
        <w:rPr>
          <w:rFonts w:asciiTheme="minorHAnsi" w:eastAsia="Times New Roman" w:hAnsiTheme="minorHAnsi" w:cs="Times New Roman"/>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sectPr w:rsidR="006770A1"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EA44" w14:textId="77777777" w:rsidR="00EF599A" w:rsidRDefault="00EF599A">
      <w:pPr>
        <w:spacing w:after="0" w:line="240" w:lineRule="auto"/>
      </w:pPr>
      <w:r>
        <w:separator/>
      </w:r>
    </w:p>
  </w:endnote>
  <w:endnote w:type="continuationSeparator" w:id="0">
    <w:p w14:paraId="7D60BC9F" w14:textId="77777777" w:rsidR="00EF599A" w:rsidRDefault="00EF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2F33FEF3" w:rsidR="00A06B48" w:rsidRPr="004D0F93" w:rsidRDefault="00A06B48"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97CCC7F" w14:textId="77777777" w:rsidR="00A06B48" w:rsidRDefault="00A06B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4005B6F8" w:rsidR="00A06B48" w:rsidRDefault="00A06B48" w:rsidP="004532C6">
    <w:pPr>
      <w:pStyle w:val="Pidipagina"/>
      <w:tabs>
        <w:tab w:val="clear" w:pos="9638"/>
        <w:tab w:val="right" w:pos="10034"/>
      </w:tabs>
      <w:rPr>
        <w:rFonts w:asciiTheme="majorHAnsi" w:hAnsiTheme="majorHAnsi"/>
        <w:sz w:val="18"/>
        <w:szCs w:val="18"/>
      </w:rPr>
    </w:pPr>
  </w:p>
  <w:p w14:paraId="3B296C9C" w14:textId="77777777" w:rsidR="00A06B48" w:rsidRPr="005F27F8" w:rsidRDefault="00A06B48"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A06B48" w:rsidRPr="005F27F8" w:rsidRDefault="00A06B48"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A06B48" w:rsidRPr="002739D4" w:rsidRDefault="00A06B48"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34909"/>
      <w:docPartObj>
        <w:docPartGallery w:val="Page Numbers (Bottom of Page)"/>
        <w:docPartUnique/>
      </w:docPartObj>
    </w:sdtPr>
    <w:sdtContent>
      <w:p w14:paraId="54B79F41" w14:textId="04348FD5" w:rsidR="009815F1" w:rsidRDefault="009815F1">
        <w:pPr>
          <w:pStyle w:val="Pidipagina"/>
          <w:jc w:val="center"/>
        </w:pPr>
        <w:r>
          <w:fldChar w:fldCharType="begin"/>
        </w:r>
        <w:r>
          <w:instrText>PAGE   \* MERGEFORMAT</w:instrText>
        </w:r>
        <w:r>
          <w:fldChar w:fldCharType="separate"/>
        </w:r>
        <w:r>
          <w:t>2</w:t>
        </w:r>
        <w:r>
          <w:fldChar w:fldCharType="end"/>
        </w:r>
      </w:p>
    </w:sdtContent>
  </w:sdt>
  <w:p w14:paraId="13EF4817" w14:textId="77777777" w:rsidR="00A06B48" w:rsidRPr="002739D4" w:rsidRDefault="00A06B48"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CA5F" w14:textId="77777777" w:rsidR="00EF599A" w:rsidRDefault="00EF599A">
      <w:pPr>
        <w:spacing w:after="0" w:line="240" w:lineRule="auto"/>
      </w:pPr>
      <w:r>
        <w:separator/>
      </w:r>
    </w:p>
  </w:footnote>
  <w:footnote w:type="continuationSeparator" w:id="0">
    <w:p w14:paraId="74C9B7B2" w14:textId="77777777" w:rsidR="00EF599A" w:rsidRDefault="00EF599A">
      <w:pPr>
        <w:spacing w:after="0" w:line="240" w:lineRule="auto"/>
      </w:pPr>
      <w:r>
        <w:continuationSeparator/>
      </w:r>
    </w:p>
  </w:footnote>
  <w:footnote w:id="1">
    <w:p w14:paraId="17C27DB5" w14:textId="77777777" w:rsidR="009525DA" w:rsidRPr="00BE779F" w:rsidRDefault="009525DA" w:rsidP="009525DA">
      <w:pPr>
        <w:shd w:val="clear" w:color="auto" w:fill="FFFFFF"/>
        <w:tabs>
          <w:tab w:val="left" w:pos="993"/>
        </w:tabs>
        <w:spacing w:after="120"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BE779F">
        <w:rPr>
          <w:rFonts w:asciiTheme="minorHAnsi" w:eastAsia="Times New Roman" w:hAnsiTheme="minorHAnsi" w:cs="Times New Roman"/>
          <w:bCs/>
          <w:color w:val="000000" w:themeColor="text1"/>
        </w:rPr>
        <w:t>1.500. Il Governo.</w:t>
      </w:r>
    </w:p>
    <w:p w14:paraId="7FEB3A6D" w14:textId="1B5D3929" w:rsidR="009525DA" w:rsidRDefault="009525DA">
      <w:pPr>
        <w:pStyle w:val="Testonotaapidipagina"/>
      </w:pPr>
    </w:p>
  </w:footnote>
  <w:footnote w:id="2">
    <w:p w14:paraId="75743470" w14:textId="77777777" w:rsidR="00D55834" w:rsidRPr="001C73E0" w:rsidRDefault="00D55834" w:rsidP="00D55834">
      <w:pPr>
        <w:jc w:val="both"/>
        <w:rPr>
          <w:color w:val="000000" w:themeColor="text1"/>
        </w:rPr>
      </w:pPr>
      <w:r>
        <w:rPr>
          <w:rStyle w:val="Rimandonotaapidipagina"/>
        </w:rPr>
        <w:footnoteRef/>
      </w:r>
      <w:r>
        <w:t xml:space="preserve"> </w:t>
      </w:r>
      <w:r w:rsidRPr="001C73E0">
        <w:rPr>
          <w:color w:val="000000" w:themeColor="text1"/>
        </w:rPr>
        <w:t xml:space="preserve">01.05. </w:t>
      </w:r>
      <w:proofErr w:type="spellStart"/>
      <w:r w:rsidRPr="001C73E0">
        <w:rPr>
          <w:color w:val="000000" w:themeColor="text1"/>
        </w:rPr>
        <w:t>Ianaro</w:t>
      </w:r>
      <w:proofErr w:type="spellEnd"/>
      <w:r w:rsidRPr="001C73E0">
        <w:rPr>
          <w:color w:val="000000" w:themeColor="text1"/>
        </w:rPr>
        <w:t>, Lorefice, Ruggiero, Villani; 01.07. (ex 5.8) (Nuova formulazione) Cavandoli; 01.08. (ex 5.1) (Nuova formulazione) Spessotto; 01.09. (ex 0.1.500.25) (Nuova formulazione) Bellucci, Gemmato.</w:t>
      </w:r>
    </w:p>
    <w:p w14:paraId="65D3E242" w14:textId="060C9990" w:rsidR="00D55834" w:rsidRDefault="00D55834">
      <w:pPr>
        <w:pStyle w:val="Testonotaapidipagina"/>
      </w:pPr>
    </w:p>
  </w:footnote>
  <w:footnote w:id="3">
    <w:p w14:paraId="2FB84C87" w14:textId="77777777" w:rsidR="007C1DAB" w:rsidRPr="00E2558D" w:rsidRDefault="007C1DAB" w:rsidP="007C1DAB">
      <w:pPr>
        <w:jc w:val="both"/>
        <w:rPr>
          <w:color w:val="000000" w:themeColor="text1"/>
        </w:rPr>
      </w:pPr>
      <w:r>
        <w:rPr>
          <w:rStyle w:val="Rimandonotaapidipagina"/>
        </w:rPr>
        <w:footnoteRef/>
      </w:r>
      <w:r>
        <w:t xml:space="preserve"> </w:t>
      </w:r>
      <w:r w:rsidRPr="00E2558D">
        <w:rPr>
          <w:color w:val="000000" w:themeColor="text1"/>
        </w:rPr>
        <w:t xml:space="preserve">1.75. (Nuova formulazione) Di Giorgi, Piccoli Nardelli, Prestipino, Lattanzio, Nitti, Rossi, Orfini, Ciampi, Noja, Rosato; 1.2. (Nuova formulazione) Bagnasco, Bond, Versace, </w:t>
      </w:r>
      <w:proofErr w:type="spellStart"/>
      <w:r w:rsidRPr="00E2558D">
        <w:rPr>
          <w:color w:val="000000" w:themeColor="text1"/>
        </w:rPr>
        <w:t>Spena</w:t>
      </w:r>
      <w:proofErr w:type="spellEnd"/>
      <w:r w:rsidRPr="00E2558D">
        <w:rPr>
          <w:color w:val="000000" w:themeColor="text1"/>
        </w:rPr>
        <w:t xml:space="preserve">, Brambilla, Labriola.1.87. (Nuova formulazione) Aprea, Saccani Jotti, Casciello, Palmieri, Bagnasco, Versace, Bond, Brambilla; 1.36. (Nuova formulazione) Del Sesto, Nappi; 1.46. (Nuova formulazione) </w:t>
      </w:r>
      <w:proofErr w:type="spellStart"/>
      <w:r w:rsidRPr="00E2558D">
        <w:rPr>
          <w:color w:val="000000" w:themeColor="text1"/>
        </w:rPr>
        <w:t>Ianaro</w:t>
      </w:r>
      <w:proofErr w:type="spellEnd"/>
      <w:r w:rsidRPr="00E2558D">
        <w:rPr>
          <w:color w:val="000000" w:themeColor="text1"/>
        </w:rPr>
        <w:t>, D'</w:t>
      </w:r>
      <w:proofErr w:type="spellStart"/>
      <w:r w:rsidRPr="00E2558D">
        <w:rPr>
          <w:color w:val="000000" w:themeColor="text1"/>
        </w:rPr>
        <w:t>Arrando</w:t>
      </w:r>
      <w:proofErr w:type="spellEnd"/>
      <w:r w:rsidRPr="00E2558D">
        <w:rPr>
          <w:color w:val="000000" w:themeColor="text1"/>
        </w:rPr>
        <w:t>, Federico, Lorefice, Mammì, Misiti, Nappi, Penna, Provenza, Ruggiero, Sportiello, Villani; 1.45. (Nuova formulazione) Casa, Ruggiero.</w:t>
      </w:r>
    </w:p>
    <w:p w14:paraId="1FF176C7" w14:textId="4C5C99BB" w:rsidR="007C1DAB" w:rsidRDefault="007C1DAB">
      <w:pPr>
        <w:pStyle w:val="Testonotaapidipagina"/>
      </w:pPr>
    </w:p>
  </w:footnote>
  <w:footnote w:id="4">
    <w:p w14:paraId="321184B5" w14:textId="77777777" w:rsidR="00E4606A" w:rsidRDefault="00E4606A" w:rsidP="00E4606A">
      <w:pPr>
        <w:pStyle w:val="Testonotaapidipagina"/>
      </w:pPr>
      <w:r>
        <w:rPr>
          <w:rStyle w:val="Rimandonotaapidipagina"/>
        </w:rPr>
        <w:footnoteRef/>
      </w:r>
      <w:r>
        <w:t xml:space="preserve"> </w:t>
      </w:r>
      <w:r w:rsidRPr="004E6B37">
        <w:rPr>
          <w:color w:val="000000" w:themeColor="text1"/>
        </w:rPr>
        <w:t>1.86. Aprea, Saccani Jotti, Casciello, Palmieri, Bagnasco, Versace, Bond, Brambilla.</w:t>
      </w:r>
    </w:p>
    <w:p w14:paraId="6F58F992" w14:textId="651CE80C" w:rsidR="00E4606A" w:rsidRDefault="00E4606A">
      <w:pPr>
        <w:pStyle w:val="Testonotaapidipagina"/>
      </w:pPr>
    </w:p>
  </w:footnote>
  <w:footnote w:id="5">
    <w:p w14:paraId="174B0301" w14:textId="77777777" w:rsidR="00A4049F" w:rsidRPr="00E2558D" w:rsidRDefault="00A4049F" w:rsidP="00A4049F">
      <w:pPr>
        <w:jc w:val="both"/>
        <w:rPr>
          <w:color w:val="000000" w:themeColor="text1"/>
        </w:rPr>
      </w:pPr>
      <w:r>
        <w:rPr>
          <w:rStyle w:val="Rimandonotaapidipagina"/>
        </w:rPr>
        <w:footnoteRef/>
      </w:r>
      <w:r>
        <w:t xml:space="preserve"> </w:t>
      </w:r>
      <w:r w:rsidRPr="00E2558D">
        <w:rPr>
          <w:color w:val="000000" w:themeColor="text1"/>
        </w:rPr>
        <w:t xml:space="preserve">1.75. (Nuova formulazione) Di Giorgi, Piccoli Nardelli, Prestipino, Lattanzio, Nitti, Rossi, Orfini, Ciampi, Noja, Rosato; 1.2. (Nuova formulazione) Bagnasco, Bond, Versace, </w:t>
      </w:r>
      <w:proofErr w:type="spellStart"/>
      <w:r w:rsidRPr="00E2558D">
        <w:rPr>
          <w:color w:val="000000" w:themeColor="text1"/>
        </w:rPr>
        <w:t>Spena</w:t>
      </w:r>
      <w:proofErr w:type="spellEnd"/>
      <w:r w:rsidRPr="00E2558D">
        <w:rPr>
          <w:color w:val="000000" w:themeColor="text1"/>
        </w:rPr>
        <w:t xml:space="preserve">, Brambilla, Labriola.1.87. (Nuova formulazione) Aprea, Saccani Jotti, Casciello, Palmieri, Bagnasco, Versace, Bond, Brambilla; 1.36. (Nuova formulazione) Del Sesto, Nappi; 1.46. (Nuova formulazione) </w:t>
      </w:r>
      <w:proofErr w:type="spellStart"/>
      <w:r w:rsidRPr="00E2558D">
        <w:rPr>
          <w:color w:val="000000" w:themeColor="text1"/>
        </w:rPr>
        <w:t>Ianaro</w:t>
      </w:r>
      <w:proofErr w:type="spellEnd"/>
      <w:r w:rsidRPr="00E2558D">
        <w:rPr>
          <w:color w:val="000000" w:themeColor="text1"/>
        </w:rPr>
        <w:t>, D'</w:t>
      </w:r>
      <w:proofErr w:type="spellStart"/>
      <w:r w:rsidRPr="00E2558D">
        <w:rPr>
          <w:color w:val="000000" w:themeColor="text1"/>
        </w:rPr>
        <w:t>Arrando</w:t>
      </w:r>
      <w:proofErr w:type="spellEnd"/>
      <w:r w:rsidRPr="00E2558D">
        <w:rPr>
          <w:color w:val="000000" w:themeColor="text1"/>
        </w:rPr>
        <w:t>, Federico, Lorefice, Mammì, Misiti, Nappi, Penna, Provenza, Ruggiero, Sportiello, Villani; 1.45. (Nuova formulazione) Casa, Ruggiero.</w:t>
      </w:r>
    </w:p>
    <w:p w14:paraId="406400F6" w14:textId="33BF02F9" w:rsidR="00A4049F" w:rsidRDefault="00A4049F">
      <w:pPr>
        <w:pStyle w:val="Testonotaapidipagina"/>
      </w:pPr>
    </w:p>
  </w:footnote>
  <w:footnote w:id="6">
    <w:p w14:paraId="2F62B4D4" w14:textId="77777777" w:rsidR="0003007C" w:rsidRPr="00E2558D" w:rsidRDefault="0003007C" w:rsidP="0003007C">
      <w:pPr>
        <w:jc w:val="both"/>
        <w:rPr>
          <w:color w:val="000000" w:themeColor="text1"/>
        </w:rPr>
      </w:pPr>
      <w:r>
        <w:rPr>
          <w:rStyle w:val="Rimandonotaapidipagina"/>
        </w:rPr>
        <w:footnoteRef/>
      </w:r>
      <w:r>
        <w:t xml:space="preserve"> </w:t>
      </w:r>
      <w:bookmarkStart w:id="1" w:name="_Hlk82765818"/>
      <w:r w:rsidRPr="00E2558D">
        <w:rPr>
          <w:color w:val="000000" w:themeColor="text1"/>
        </w:rPr>
        <w:t xml:space="preserve">1.75. (Nuova formulazione) Di Giorgi, Piccoli Nardelli, Prestipino, Lattanzio, Nitti, Rossi, Orfini, Ciampi, Noja, Rosato; 1.2. (Nuova formulazione) Bagnasco, Bond, Versace, </w:t>
      </w:r>
      <w:proofErr w:type="spellStart"/>
      <w:r w:rsidRPr="00E2558D">
        <w:rPr>
          <w:color w:val="000000" w:themeColor="text1"/>
        </w:rPr>
        <w:t>Spena</w:t>
      </w:r>
      <w:proofErr w:type="spellEnd"/>
      <w:r w:rsidRPr="00E2558D">
        <w:rPr>
          <w:color w:val="000000" w:themeColor="text1"/>
        </w:rPr>
        <w:t xml:space="preserve">, Brambilla, Labriola.1.87. (Nuova formulazione) Aprea, Saccani Jotti, Casciello, Palmieri, Bagnasco, Versace, Bond, Brambilla; 1.36. (Nuova formulazione) Del Sesto, Nappi; 1.46. (Nuova formulazione) </w:t>
      </w:r>
      <w:proofErr w:type="spellStart"/>
      <w:r w:rsidRPr="00E2558D">
        <w:rPr>
          <w:color w:val="000000" w:themeColor="text1"/>
        </w:rPr>
        <w:t>Ianaro</w:t>
      </w:r>
      <w:proofErr w:type="spellEnd"/>
      <w:r w:rsidRPr="00E2558D">
        <w:rPr>
          <w:color w:val="000000" w:themeColor="text1"/>
        </w:rPr>
        <w:t>, D'</w:t>
      </w:r>
      <w:proofErr w:type="spellStart"/>
      <w:r w:rsidRPr="00E2558D">
        <w:rPr>
          <w:color w:val="000000" w:themeColor="text1"/>
        </w:rPr>
        <w:t>Arrando</w:t>
      </w:r>
      <w:proofErr w:type="spellEnd"/>
      <w:r w:rsidRPr="00E2558D">
        <w:rPr>
          <w:color w:val="000000" w:themeColor="text1"/>
        </w:rPr>
        <w:t>, Federico, Lorefice, Mammì, Misiti, Nappi, Penna, Provenza, Ruggiero, Sportiello, Villani; 1.45. (Nuova formulazione) Casa, Ruggiero.</w:t>
      </w:r>
    </w:p>
    <w:bookmarkEnd w:id="1"/>
    <w:p w14:paraId="76D09A5E" w14:textId="78C00519" w:rsidR="0003007C" w:rsidRDefault="0003007C">
      <w:pPr>
        <w:pStyle w:val="Testonotaapidipagina"/>
      </w:pPr>
    </w:p>
  </w:footnote>
  <w:footnote w:id="7">
    <w:p w14:paraId="068293B8" w14:textId="77777777" w:rsidR="008F2D7C" w:rsidRPr="00E2558D" w:rsidRDefault="008F2D7C" w:rsidP="008F2D7C">
      <w:pPr>
        <w:jc w:val="both"/>
        <w:rPr>
          <w:color w:val="000000" w:themeColor="text1"/>
        </w:rPr>
      </w:pPr>
      <w:r>
        <w:rPr>
          <w:rStyle w:val="Rimandonotaapidipagina"/>
        </w:rPr>
        <w:footnoteRef/>
      </w:r>
      <w:r>
        <w:t xml:space="preserve"> </w:t>
      </w:r>
      <w:r w:rsidRPr="00E2558D">
        <w:rPr>
          <w:color w:val="000000" w:themeColor="text1"/>
        </w:rPr>
        <w:t xml:space="preserve">1.75. (Nuova formulazione) Di Giorgi, Piccoli Nardelli, Prestipino, Lattanzio, Nitti, Rossi, Orfini, Ciampi, Noja, Rosato; 1.2. (Nuova formulazione) Bagnasco, Bond, Versace, </w:t>
      </w:r>
      <w:proofErr w:type="spellStart"/>
      <w:r w:rsidRPr="00E2558D">
        <w:rPr>
          <w:color w:val="000000" w:themeColor="text1"/>
        </w:rPr>
        <w:t>Spena</w:t>
      </w:r>
      <w:proofErr w:type="spellEnd"/>
      <w:r w:rsidRPr="00E2558D">
        <w:rPr>
          <w:color w:val="000000" w:themeColor="text1"/>
        </w:rPr>
        <w:t xml:space="preserve">, Brambilla, Labriola.1.87. (Nuova formulazione) Aprea, Saccani Jotti, Casciello, Palmieri, Bagnasco, Versace, Bond, Brambilla; 1.36. (Nuova formulazione) Del Sesto, Nappi; 1.46. (Nuova formulazione) </w:t>
      </w:r>
      <w:proofErr w:type="spellStart"/>
      <w:r w:rsidRPr="00E2558D">
        <w:rPr>
          <w:color w:val="000000" w:themeColor="text1"/>
        </w:rPr>
        <w:t>Ianaro</w:t>
      </w:r>
      <w:proofErr w:type="spellEnd"/>
      <w:r w:rsidRPr="00E2558D">
        <w:rPr>
          <w:color w:val="000000" w:themeColor="text1"/>
        </w:rPr>
        <w:t>, D'</w:t>
      </w:r>
      <w:proofErr w:type="spellStart"/>
      <w:r w:rsidRPr="00E2558D">
        <w:rPr>
          <w:color w:val="000000" w:themeColor="text1"/>
        </w:rPr>
        <w:t>Arrando</w:t>
      </w:r>
      <w:proofErr w:type="spellEnd"/>
      <w:r w:rsidRPr="00E2558D">
        <w:rPr>
          <w:color w:val="000000" w:themeColor="text1"/>
        </w:rPr>
        <w:t>, Federico, Lorefice, Mammì, Misiti, Nappi, Penna, Provenza, Ruggiero, Sportiello, Villani; 1.45. (Nuova formulazione) Casa, Ruggiero.</w:t>
      </w:r>
    </w:p>
    <w:p w14:paraId="367A82A5" w14:textId="5A69B795" w:rsidR="008F2D7C" w:rsidRDefault="008F2D7C">
      <w:pPr>
        <w:pStyle w:val="Testonotaapidipagina"/>
      </w:pPr>
    </w:p>
  </w:footnote>
  <w:footnote w:id="8">
    <w:p w14:paraId="56B97014" w14:textId="77777777" w:rsidR="00B858EF" w:rsidRPr="00FD59A7" w:rsidRDefault="00B858EF" w:rsidP="00B858EF">
      <w:pPr>
        <w:jc w:val="both"/>
        <w:rPr>
          <w:color w:val="000000" w:themeColor="text1"/>
        </w:rPr>
      </w:pPr>
      <w:r>
        <w:rPr>
          <w:rStyle w:val="Rimandonotaapidipagina"/>
        </w:rPr>
        <w:footnoteRef/>
      </w:r>
      <w:r>
        <w:t xml:space="preserve"> </w:t>
      </w:r>
      <w:r w:rsidRPr="00FD59A7">
        <w:rPr>
          <w:color w:val="000000" w:themeColor="text1"/>
        </w:rPr>
        <w:t xml:space="preserve">1.47. </w:t>
      </w:r>
      <w:proofErr w:type="spellStart"/>
      <w:r w:rsidRPr="00FD59A7">
        <w:rPr>
          <w:color w:val="000000" w:themeColor="text1"/>
        </w:rPr>
        <w:t>Ianaro</w:t>
      </w:r>
      <w:proofErr w:type="spellEnd"/>
      <w:r w:rsidRPr="00FD59A7">
        <w:rPr>
          <w:color w:val="000000" w:themeColor="text1"/>
        </w:rPr>
        <w:t>, D'</w:t>
      </w:r>
      <w:proofErr w:type="spellStart"/>
      <w:r w:rsidRPr="00FD59A7">
        <w:rPr>
          <w:color w:val="000000" w:themeColor="text1"/>
        </w:rPr>
        <w:t>Arrando</w:t>
      </w:r>
      <w:proofErr w:type="spellEnd"/>
      <w:r w:rsidRPr="00FD59A7">
        <w:rPr>
          <w:color w:val="000000" w:themeColor="text1"/>
        </w:rPr>
        <w:t>, Federico, Lorefice, Mammì, Misiti, Nappi, Penna, Provenza, Ruggiero, Sportiello, Villani.</w:t>
      </w:r>
    </w:p>
    <w:p w14:paraId="5B238856" w14:textId="230D96D2" w:rsidR="00B858EF" w:rsidRDefault="00B858EF">
      <w:pPr>
        <w:pStyle w:val="Testonotaapidipagina"/>
      </w:pPr>
    </w:p>
  </w:footnote>
  <w:footnote w:id="9">
    <w:p w14:paraId="104D7BDF" w14:textId="77777777" w:rsidR="00AC288E" w:rsidRPr="002C6C3A" w:rsidRDefault="00AC288E" w:rsidP="00AC288E">
      <w:pPr>
        <w:jc w:val="both"/>
        <w:rPr>
          <w:color w:val="000000" w:themeColor="text1"/>
        </w:rPr>
      </w:pPr>
      <w:r>
        <w:rPr>
          <w:rStyle w:val="Rimandonotaapidipagina"/>
        </w:rPr>
        <w:footnoteRef/>
      </w:r>
      <w:r>
        <w:t xml:space="preserve"> </w:t>
      </w:r>
      <w:r w:rsidRPr="002C6C3A">
        <w:rPr>
          <w:color w:val="000000" w:themeColor="text1"/>
        </w:rPr>
        <w:t xml:space="preserve">1.37. (Nuova formulazione) Carbonaro, </w:t>
      </w:r>
      <w:proofErr w:type="spellStart"/>
      <w:r w:rsidRPr="002C6C3A">
        <w:rPr>
          <w:color w:val="000000" w:themeColor="text1"/>
        </w:rPr>
        <w:t>Ianaro</w:t>
      </w:r>
      <w:proofErr w:type="spellEnd"/>
      <w:r w:rsidRPr="002C6C3A">
        <w:rPr>
          <w:color w:val="000000" w:themeColor="text1"/>
        </w:rPr>
        <w:t>, D'</w:t>
      </w:r>
      <w:proofErr w:type="spellStart"/>
      <w:r w:rsidRPr="002C6C3A">
        <w:rPr>
          <w:color w:val="000000" w:themeColor="text1"/>
        </w:rPr>
        <w:t>Arrando</w:t>
      </w:r>
      <w:proofErr w:type="spellEnd"/>
      <w:r w:rsidRPr="002C6C3A">
        <w:rPr>
          <w:color w:val="000000" w:themeColor="text1"/>
        </w:rPr>
        <w:t>, Federico, Lorefice, Mammì, Misiti, Nappi, Penna, Provenza, Ruggiero, Sportiello, Villani.</w:t>
      </w:r>
    </w:p>
    <w:p w14:paraId="1FD72994" w14:textId="0795D55C" w:rsidR="00AC288E" w:rsidRDefault="00AC288E">
      <w:pPr>
        <w:pStyle w:val="Testonotaapidipagina"/>
      </w:pPr>
    </w:p>
  </w:footnote>
  <w:footnote w:id="10">
    <w:p w14:paraId="154E13C0" w14:textId="77777777" w:rsidR="008F2D7C" w:rsidRPr="00E2558D" w:rsidRDefault="008F2D7C" w:rsidP="008F2D7C">
      <w:pPr>
        <w:jc w:val="both"/>
        <w:rPr>
          <w:color w:val="000000" w:themeColor="text1"/>
        </w:rPr>
      </w:pPr>
      <w:r>
        <w:rPr>
          <w:rStyle w:val="Rimandonotaapidipagina"/>
        </w:rPr>
        <w:footnoteRef/>
      </w:r>
      <w:r>
        <w:t xml:space="preserve"> </w:t>
      </w:r>
      <w:r w:rsidRPr="00E2558D">
        <w:rPr>
          <w:color w:val="000000" w:themeColor="text1"/>
        </w:rPr>
        <w:t xml:space="preserve">1.75. (Nuova formulazione) Di Giorgi, Piccoli Nardelli, Prestipino, Lattanzio, Nitti, Rossi, Orfini, Ciampi, Noja, Rosato; 1.2. (Nuova formulazione) Bagnasco, Bond, Versace, </w:t>
      </w:r>
      <w:proofErr w:type="spellStart"/>
      <w:r w:rsidRPr="00E2558D">
        <w:rPr>
          <w:color w:val="000000" w:themeColor="text1"/>
        </w:rPr>
        <w:t>Spena</w:t>
      </w:r>
      <w:proofErr w:type="spellEnd"/>
      <w:r w:rsidRPr="00E2558D">
        <w:rPr>
          <w:color w:val="000000" w:themeColor="text1"/>
        </w:rPr>
        <w:t xml:space="preserve">, Brambilla, Labriola.1.87. (Nuova formulazione) Aprea, Saccani Jotti, Casciello, Palmieri, Bagnasco, Versace, Bond, Brambilla; 1.36. (Nuova formulazione) Del Sesto, Nappi; 1.46. (Nuova formulazione) </w:t>
      </w:r>
      <w:proofErr w:type="spellStart"/>
      <w:r w:rsidRPr="00E2558D">
        <w:rPr>
          <w:color w:val="000000" w:themeColor="text1"/>
        </w:rPr>
        <w:t>Ianaro</w:t>
      </w:r>
      <w:proofErr w:type="spellEnd"/>
      <w:r w:rsidRPr="00E2558D">
        <w:rPr>
          <w:color w:val="000000" w:themeColor="text1"/>
        </w:rPr>
        <w:t>, D'</w:t>
      </w:r>
      <w:proofErr w:type="spellStart"/>
      <w:r w:rsidRPr="00E2558D">
        <w:rPr>
          <w:color w:val="000000" w:themeColor="text1"/>
        </w:rPr>
        <w:t>Arrando</w:t>
      </w:r>
      <w:proofErr w:type="spellEnd"/>
      <w:r w:rsidRPr="00E2558D">
        <w:rPr>
          <w:color w:val="000000" w:themeColor="text1"/>
        </w:rPr>
        <w:t>, Federico, Lorefice, Mammì, Misiti, Nappi, Penna, Provenza, Ruggiero, Sportiello, Villani; 1.45. (Nuova formulazione) Casa, Ruggiero.</w:t>
      </w:r>
    </w:p>
    <w:p w14:paraId="2A235F8F" w14:textId="6F587487" w:rsidR="008F2D7C" w:rsidRDefault="008F2D7C">
      <w:pPr>
        <w:pStyle w:val="Testonotaapidipagina"/>
      </w:pPr>
    </w:p>
  </w:footnote>
  <w:footnote w:id="11">
    <w:p w14:paraId="7E98E66B" w14:textId="77777777" w:rsidR="00D3305F" w:rsidRPr="002C6C3A" w:rsidRDefault="00D3305F" w:rsidP="00D3305F">
      <w:pPr>
        <w:jc w:val="both"/>
        <w:rPr>
          <w:color w:val="000000" w:themeColor="text1"/>
        </w:rPr>
      </w:pPr>
      <w:r>
        <w:rPr>
          <w:rStyle w:val="Rimandonotaapidipagina"/>
        </w:rPr>
        <w:footnoteRef/>
      </w:r>
      <w:r>
        <w:t xml:space="preserve"> </w:t>
      </w:r>
      <w:r w:rsidRPr="002C6C3A">
        <w:rPr>
          <w:color w:val="000000" w:themeColor="text1"/>
        </w:rPr>
        <w:t xml:space="preserve">1.16. De Filippo, Buratti; 1.67. Frassinetti, Bucalo, Albano, Mollicone, Bellucci, Gemmato; 1.112. </w:t>
      </w:r>
      <w:proofErr w:type="spellStart"/>
      <w:r w:rsidRPr="002C6C3A">
        <w:rPr>
          <w:color w:val="000000" w:themeColor="text1"/>
        </w:rPr>
        <w:t>Vietina</w:t>
      </w:r>
      <w:proofErr w:type="spellEnd"/>
      <w:r w:rsidRPr="002C6C3A">
        <w:rPr>
          <w:color w:val="000000" w:themeColor="text1"/>
        </w:rPr>
        <w:t xml:space="preserve">, Rospi, Bologna, Baldini; 1.42. (Nuova formulazione) </w:t>
      </w:r>
      <w:proofErr w:type="spellStart"/>
      <w:r w:rsidRPr="002C6C3A">
        <w:rPr>
          <w:color w:val="000000" w:themeColor="text1"/>
        </w:rPr>
        <w:t>Ianaro</w:t>
      </w:r>
      <w:proofErr w:type="spellEnd"/>
      <w:r w:rsidRPr="002C6C3A">
        <w:rPr>
          <w:color w:val="000000" w:themeColor="text1"/>
        </w:rPr>
        <w:t>, Villani; 1.3. (Nuova formulazione) Bagnasco, Versace, Bond, Brambilla, Labriola; 1.115. (Nuova formulazione) Baldini.</w:t>
      </w:r>
    </w:p>
    <w:p w14:paraId="4ACC84B7" w14:textId="77777777" w:rsidR="00D3305F" w:rsidRPr="002C6C3A" w:rsidRDefault="00D3305F" w:rsidP="00D3305F">
      <w:pPr>
        <w:jc w:val="both"/>
        <w:rPr>
          <w:color w:val="000000" w:themeColor="text1"/>
        </w:rPr>
      </w:pPr>
    </w:p>
    <w:p w14:paraId="1A4D3FC2" w14:textId="230C4569" w:rsidR="00D3305F" w:rsidRDefault="00D3305F">
      <w:pPr>
        <w:pStyle w:val="Testonotaapidipagina"/>
      </w:pPr>
    </w:p>
  </w:footnote>
  <w:footnote w:id="12">
    <w:p w14:paraId="722DD4DD" w14:textId="77777777" w:rsidR="004B7F2F" w:rsidRPr="002D0DF0" w:rsidRDefault="004B7F2F" w:rsidP="004B7F2F">
      <w:pPr>
        <w:jc w:val="both"/>
        <w:rPr>
          <w:color w:val="000000" w:themeColor="text1"/>
        </w:rPr>
      </w:pPr>
      <w:r>
        <w:rPr>
          <w:rStyle w:val="Rimandonotaapidipagina"/>
        </w:rPr>
        <w:footnoteRef/>
      </w:r>
      <w:r>
        <w:t xml:space="preserve"> </w:t>
      </w:r>
      <w:r w:rsidRPr="002D0DF0">
        <w:rPr>
          <w:color w:val="000000" w:themeColor="text1"/>
        </w:rPr>
        <w:t>1.15. (Nuova formulazione) Lupi, Bagnasco, Versace.</w:t>
      </w:r>
    </w:p>
    <w:p w14:paraId="03C9EE83" w14:textId="634C2735" w:rsidR="004B7F2F" w:rsidRDefault="004B7F2F">
      <w:pPr>
        <w:pStyle w:val="Testonotaapidipagina"/>
      </w:pPr>
    </w:p>
  </w:footnote>
  <w:footnote w:id="13">
    <w:p w14:paraId="6EBDBD7D" w14:textId="77777777" w:rsidR="00E17CFA" w:rsidRPr="00BE779F" w:rsidRDefault="00E17CFA" w:rsidP="00E17CFA">
      <w:pPr>
        <w:shd w:val="clear" w:color="auto" w:fill="FFFFFF"/>
        <w:tabs>
          <w:tab w:val="left" w:pos="993"/>
        </w:tabs>
        <w:spacing w:after="120"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BE779F">
        <w:rPr>
          <w:rFonts w:asciiTheme="minorHAnsi" w:eastAsia="Times New Roman" w:hAnsiTheme="minorHAnsi" w:cs="Times New Roman"/>
          <w:bCs/>
          <w:color w:val="000000" w:themeColor="text1"/>
        </w:rPr>
        <w:t>1.500. Il Governo.</w:t>
      </w:r>
    </w:p>
    <w:p w14:paraId="16558F09" w14:textId="001B64D7" w:rsidR="00E17CFA" w:rsidRDefault="00E17CFA">
      <w:pPr>
        <w:pStyle w:val="Testonotaapidipagina"/>
      </w:pPr>
    </w:p>
  </w:footnote>
  <w:footnote w:id="14">
    <w:p w14:paraId="1A05A3C4" w14:textId="77777777" w:rsidR="00301809" w:rsidRPr="002C1CCD" w:rsidRDefault="00301809" w:rsidP="00301809">
      <w:pPr>
        <w:jc w:val="both"/>
        <w:rPr>
          <w:color w:val="000000" w:themeColor="text1"/>
        </w:rPr>
      </w:pPr>
      <w:r>
        <w:rPr>
          <w:rStyle w:val="Rimandonotaapidipagina"/>
        </w:rPr>
        <w:footnoteRef/>
      </w:r>
      <w:r>
        <w:t xml:space="preserve"> </w:t>
      </w:r>
      <w:r w:rsidRPr="002C1CCD">
        <w:rPr>
          <w:color w:val="000000" w:themeColor="text1"/>
        </w:rPr>
        <w:t>1.89. (Nuova formulazione) Aprea, Bagnasco.</w:t>
      </w:r>
    </w:p>
    <w:p w14:paraId="4F87A88E" w14:textId="6568566A" w:rsidR="00301809" w:rsidRDefault="00301809">
      <w:pPr>
        <w:pStyle w:val="Testonotaapidipagina"/>
      </w:pPr>
    </w:p>
  </w:footnote>
  <w:footnote w:id="15">
    <w:p w14:paraId="0F4359B4" w14:textId="77777777" w:rsidR="00D05434" w:rsidRPr="002C6C3A" w:rsidRDefault="00D05434" w:rsidP="00D05434">
      <w:pPr>
        <w:jc w:val="both"/>
        <w:rPr>
          <w:color w:val="000000" w:themeColor="text1"/>
        </w:rPr>
      </w:pPr>
      <w:r>
        <w:rPr>
          <w:rStyle w:val="Rimandonotaapidipagina"/>
        </w:rPr>
        <w:footnoteRef/>
      </w:r>
      <w:r>
        <w:t xml:space="preserve"> </w:t>
      </w:r>
      <w:r w:rsidRPr="002C6C3A">
        <w:rPr>
          <w:color w:val="000000" w:themeColor="text1"/>
        </w:rPr>
        <w:t>1.4. (Nuova formulazione) Giacomoni, Bagnasco, Bond, Versace, Brambilla, Labriola.</w:t>
      </w:r>
    </w:p>
    <w:p w14:paraId="70EF5924" w14:textId="25D4FA60" w:rsidR="00D05434" w:rsidRDefault="00D05434">
      <w:pPr>
        <w:pStyle w:val="Testonotaapidipagina"/>
      </w:pPr>
    </w:p>
  </w:footnote>
  <w:footnote w:id="16">
    <w:p w14:paraId="0E500074" w14:textId="77777777" w:rsidR="00FB5749" w:rsidRPr="00BE779F" w:rsidRDefault="00FB5749" w:rsidP="00FB5749">
      <w:pPr>
        <w:shd w:val="clear" w:color="auto" w:fill="FFFFFF"/>
        <w:tabs>
          <w:tab w:val="left" w:pos="993"/>
        </w:tabs>
        <w:spacing w:after="120"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BE779F">
        <w:rPr>
          <w:rFonts w:asciiTheme="minorHAnsi" w:eastAsia="Times New Roman" w:hAnsiTheme="minorHAnsi" w:cs="Times New Roman"/>
          <w:bCs/>
          <w:color w:val="000000" w:themeColor="text1"/>
        </w:rPr>
        <w:t>1.500. Il Governo.</w:t>
      </w:r>
    </w:p>
    <w:p w14:paraId="08AAAA44" w14:textId="2E2E159E" w:rsidR="00FB5749" w:rsidRDefault="00FB5749">
      <w:pPr>
        <w:pStyle w:val="Testonotaapidipagina"/>
      </w:pPr>
    </w:p>
  </w:footnote>
  <w:footnote w:id="17">
    <w:p w14:paraId="2A875D9E" w14:textId="77777777" w:rsidR="008C2761" w:rsidRPr="002C1CCD" w:rsidRDefault="008C2761" w:rsidP="008C2761">
      <w:pPr>
        <w:jc w:val="both"/>
        <w:rPr>
          <w:color w:val="000000" w:themeColor="text1"/>
        </w:rPr>
      </w:pPr>
      <w:r>
        <w:rPr>
          <w:rStyle w:val="Rimandonotaapidipagina"/>
        </w:rPr>
        <w:footnoteRef/>
      </w:r>
      <w:r>
        <w:t xml:space="preserve"> </w:t>
      </w:r>
      <w:r w:rsidRPr="002C1CCD">
        <w:rPr>
          <w:color w:val="000000" w:themeColor="text1"/>
        </w:rPr>
        <w:t>0.1.500.38. (Nuova formulazione) Di Giorgi, Piccoli Nardelli, Prestipino, Lattanzio, Nitti, Orfini, Rossi, Ciampi.</w:t>
      </w:r>
    </w:p>
    <w:p w14:paraId="72F7463F" w14:textId="261F3005" w:rsidR="008C2761" w:rsidRDefault="008C2761">
      <w:pPr>
        <w:pStyle w:val="Testonotaapidipagina"/>
      </w:pPr>
    </w:p>
  </w:footnote>
  <w:footnote w:id="18">
    <w:p w14:paraId="31713E52" w14:textId="77777777" w:rsidR="003E675A" w:rsidRPr="00BE779F" w:rsidRDefault="003E675A" w:rsidP="003E675A">
      <w:pPr>
        <w:shd w:val="clear" w:color="auto" w:fill="FFFFFF"/>
        <w:tabs>
          <w:tab w:val="left" w:pos="993"/>
        </w:tabs>
        <w:spacing w:after="120"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BE779F">
        <w:rPr>
          <w:rFonts w:asciiTheme="minorHAnsi" w:eastAsia="Times New Roman" w:hAnsiTheme="minorHAnsi" w:cs="Times New Roman"/>
          <w:bCs/>
          <w:color w:val="000000" w:themeColor="text1"/>
        </w:rPr>
        <w:t>1.500. Il Governo.</w:t>
      </w:r>
    </w:p>
    <w:p w14:paraId="1C88A1EC" w14:textId="6070A821" w:rsidR="003E675A" w:rsidRDefault="003E675A">
      <w:pPr>
        <w:pStyle w:val="Testonotaapidipagina"/>
      </w:pPr>
    </w:p>
  </w:footnote>
  <w:footnote w:id="19">
    <w:p w14:paraId="2DD14102" w14:textId="77777777" w:rsidR="00966963" w:rsidRPr="002C1CCD" w:rsidRDefault="00966963" w:rsidP="00966963">
      <w:pPr>
        <w:jc w:val="both"/>
        <w:rPr>
          <w:color w:val="000000" w:themeColor="text1"/>
        </w:rPr>
      </w:pPr>
      <w:r>
        <w:rPr>
          <w:rStyle w:val="Rimandonotaapidipagina"/>
        </w:rPr>
        <w:footnoteRef/>
      </w:r>
      <w:r>
        <w:t xml:space="preserve"> </w:t>
      </w:r>
      <w:bookmarkStart w:id="2" w:name="_Hlk82769504"/>
      <w:r w:rsidRPr="002C1CCD">
        <w:rPr>
          <w:color w:val="000000" w:themeColor="text1"/>
        </w:rPr>
        <w:t>0.1.500.38. (Nuova formulazione) Di Giorgi, Piccoli Nardelli, Prestipino, Lattanzio, Nitti, Orfini, Rossi, Ciampi.</w:t>
      </w:r>
    </w:p>
    <w:bookmarkEnd w:id="2"/>
    <w:p w14:paraId="6639E556" w14:textId="4FB7A3F2" w:rsidR="00966963" w:rsidRDefault="00966963">
      <w:pPr>
        <w:pStyle w:val="Testonotaapidipagina"/>
      </w:pPr>
    </w:p>
  </w:footnote>
  <w:footnote w:id="20">
    <w:p w14:paraId="4BCED79C" w14:textId="77777777" w:rsidR="00D80AED" w:rsidRPr="00E2558D" w:rsidRDefault="00D80AED" w:rsidP="00D80AED">
      <w:pPr>
        <w:jc w:val="both"/>
        <w:rPr>
          <w:color w:val="000000" w:themeColor="text1"/>
        </w:rPr>
      </w:pPr>
      <w:r>
        <w:rPr>
          <w:rStyle w:val="Rimandonotaapidipagina"/>
        </w:rPr>
        <w:footnoteRef/>
      </w:r>
      <w:r>
        <w:t xml:space="preserve"> </w:t>
      </w:r>
      <w:r w:rsidRPr="00E2558D">
        <w:rPr>
          <w:color w:val="000000" w:themeColor="text1"/>
        </w:rPr>
        <w:t xml:space="preserve">1.75. (Nuova formulazione) Di Giorgi, Piccoli Nardelli, Prestipino, Lattanzio, Nitti, Rossi, Orfini, Ciampi, Noja, Rosato; 1.2. (Nuova formulazione) Bagnasco, Bond, Versace, </w:t>
      </w:r>
      <w:proofErr w:type="spellStart"/>
      <w:r w:rsidRPr="00E2558D">
        <w:rPr>
          <w:color w:val="000000" w:themeColor="text1"/>
        </w:rPr>
        <w:t>Spena</w:t>
      </w:r>
      <w:proofErr w:type="spellEnd"/>
      <w:r w:rsidRPr="00E2558D">
        <w:rPr>
          <w:color w:val="000000" w:themeColor="text1"/>
        </w:rPr>
        <w:t xml:space="preserve">, Brambilla, Labriola.1.87. (Nuova formulazione) Aprea, Saccani Jotti, Casciello, Palmieri, Bagnasco, Versace, Bond, Brambilla; 1.36. (Nuova formulazione) Del Sesto, Nappi; 1.46. (Nuova formulazione) </w:t>
      </w:r>
      <w:proofErr w:type="spellStart"/>
      <w:r w:rsidRPr="00E2558D">
        <w:rPr>
          <w:color w:val="000000" w:themeColor="text1"/>
        </w:rPr>
        <w:t>Ianaro</w:t>
      </w:r>
      <w:proofErr w:type="spellEnd"/>
      <w:r w:rsidRPr="00E2558D">
        <w:rPr>
          <w:color w:val="000000" w:themeColor="text1"/>
        </w:rPr>
        <w:t>, D'</w:t>
      </w:r>
      <w:proofErr w:type="spellStart"/>
      <w:r w:rsidRPr="00E2558D">
        <w:rPr>
          <w:color w:val="000000" w:themeColor="text1"/>
        </w:rPr>
        <w:t>Arrando</w:t>
      </w:r>
      <w:proofErr w:type="spellEnd"/>
      <w:r w:rsidRPr="00E2558D">
        <w:rPr>
          <w:color w:val="000000" w:themeColor="text1"/>
        </w:rPr>
        <w:t>, Federico, Lorefice, Mammì, Misiti, Nappi, Penna, Provenza, Ruggiero, Sportiello, Villani; 1.45. (Nuova formulazione) Casa, Ruggiero.</w:t>
      </w:r>
    </w:p>
    <w:p w14:paraId="29F4B17D" w14:textId="59325F7A" w:rsidR="00D80AED" w:rsidRDefault="00D80AED">
      <w:pPr>
        <w:pStyle w:val="Testonotaapidipagina"/>
      </w:pPr>
    </w:p>
  </w:footnote>
  <w:footnote w:id="21">
    <w:p w14:paraId="43CD4427" w14:textId="77777777" w:rsidR="003E675A" w:rsidRPr="00BE779F" w:rsidRDefault="003E675A" w:rsidP="003E675A">
      <w:pPr>
        <w:shd w:val="clear" w:color="auto" w:fill="FFFFFF"/>
        <w:tabs>
          <w:tab w:val="left" w:pos="993"/>
        </w:tabs>
        <w:spacing w:after="120"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BE779F">
        <w:rPr>
          <w:rFonts w:asciiTheme="minorHAnsi" w:eastAsia="Times New Roman" w:hAnsiTheme="minorHAnsi" w:cs="Times New Roman"/>
          <w:bCs/>
          <w:color w:val="000000" w:themeColor="text1"/>
        </w:rPr>
        <w:t>1.500. Il Governo.</w:t>
      </w:r>
    </w:p>
    <w:p w14:paraId="489DBEC2" w14:textId="34BC56B9" w:rsidR="003E675A" w:rsidRDefault="003E675A">
      <w:pPr>
        <w:pStyle w:val="Testonotaapidipagina"/>
      </w:pPr>
    </w:p>
  </w:footnote>
  <w:footnote w:id="22">
    <w:p w14:paraId="118319AC" w14:textId="77777777" w:rsidR="00031318" w:rsidRPr="002D0DF0" w:rsidRDefault="00031318" w:rsidP="00031318">
      <w:pPr>
        <w:jc w:val="both"/>
        <w:rPr>
          <w:color w:val="000000" w:themeColor="text1"/>
        </w:rPr>
      </w:pPr>
      <w:r>
        <w:rPr>
          <w:rStyle w:val="Rimandonotaapidipagina"/>
        </w:rPr>
        <w:footnoteRef/>
      </w:r>
      <w:r>
        <w:t xml:space="preserve"> </w:t>
      </w:r>
      <w:r w:rsidRPr="002D0DF0">
        <w:rPr>
          <w:color w:val="000000" w:themeColor="text1"/>
        </w:rPr>
        <w:t>1.91. Aprea, Saccani Jotti, Casciello, Palmieri, Bagnasco, Versace, Bond, Brambilla.</w:t>
      </w:r>
    </w:p>
    <w:p w14:paraId="3C0EC17C" w14:textId="6D7C9CD2" w:rsidR="00031318" w:rsidRDefault="00031318">
      <w:pPr>
        <w:pStyle w:val="Testonotaapidipagina"/>
      </w:pPr>
    </w:p>
  </w:footnote>
  <w:footnote w:id="23">
    <w:p w14:paraId="129AD198" w14:textId="77777777" w:rsidR="006E21D7" w:rsidRPr="00BE779F" w:rsidRDefault="006E21D7" w:rsidP="006E21D7">
      <w:pPr>
        <w:shd w:val="clear" w:color="auto" w:fill="FFFFFF"/>
        <w:tabs>
          <w:tab w:val="left" w:pos="993"/>
        </w:tabs>
        <w:spacing w:after="120"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BE779F">
        <w:rPr>
          <w:rFonts w:asciiTheme="minorHAnsi" w:eastAsia="Times New Roman" w:hAnsiTheme="minorHAnsi" w:cs="Times New Roman"/>
          <w:bCs/>
          <w:color w:val="000000" w:themeColor="text1"/>
        </w:rPr>
        <w:t>1.500. Il Governo.</w:t>
      </w:r>
    </w:p>
    <w:p w14:paraId="0C6B8575" w14:textId="58676E70" w:rsidR="006E21D7" w:rsidRDefault="006E21D7">
      <w:pPr>
        <w:pStyle w:val="Testonotaapidipagina"/>
      </w:pPr>
    </w:p>
  </w:footnote>
  <w:footnote w:id="24">
    <w:p w14:paraId="6951787F" w14:textId="77777777" w:rsidR="00A02402" w:rsidRPr="002C1CCD" w:rsidRDefault="00A02402" w:rsidP="00A02402">
      <w:pPr>
        <w:jc w:val="both"/>
        <w:rPr>
          <w:color w:val="000000" w:themeColor="text1"/>
        </w:rPr>
      </w:pPr>
      <w:r>
        <w:rPr>
          <w:rStyle w:val="Rimandonotaapidipagina"/>
        </w:rPr>
        <w:footnoteRef/>
      </w:r>
      <w:r>
        <w:t xml:space="preserve"> </w:t>
      </w:r>
      <w:bookmarkStart w:id="3" w:name="_Hlk82766617"/>
      <w:r w:rsidRPr="002C1CCD">
        <w:rPr>
          <w:color w:val="000000" w:themeColor="text1"/>
        </w:rPr>
        <w:t>1.89. (Nuova formulazione) Aprea, Bagnasco.</w:t>
      </w:r>
    </w:p>
    <w:bookmarkEnd w:id="3"/>
    <w:p w14:paraId="57624FDE" w14:textId="75889ED6" w:rsidR="00A02402" w:rsidRDefault="00A02402">
      <w:pPr>
        <w:pStyle w:val="Testonotaapidipagina"/>
      </w:pPr>
    </w:p>
  </w:footnote>
  <w:footnote w:id="25">
    <w:p w14:paraId="307F91C7" w14:textId="77777777" w:rsidR="003E675A" w:rsidRPr="00BE779F" w:rsidRDefault="003E675A" w:rsidP="003E675A">
      <w:pPr>
        <w:shd w:val="clear" w:color="auto" w:fill="FFFFFF"/>
        <w:tabs>
          <w:tab w:val="left" w:pos="993"/>
        </w:tabs>
        <w:spacing w:after="120"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BE779F">
        <w:rPr>
          <w:rFonts w:asciiTheme="minorHAnsi" w:eastAsia="Times New Roman" w:hAnsiTheme="minorHAnsi" w:cs="Times New Roman"/>
          <w:bCs/>
          <w:color w:val="000000" w:themeColor="text1"/>
        </w:rPr>
        <w:t>1.500. Il Governo.</w:t>
      </w:r>
    </w:p>
    <w:p w14:paraId="1B64699F" w14:textId="2908486D" w:rsidR="003E675A" w:rsidRDefault="003E675A">
      <w:pPr>
        <w:pStyle w:val="Testonotaapidipagina"/>
      </w:pPr>
    </w:p>
  </w:footnote>
  <w:footnote w:id="26">
    <w:p w14:paraId="53615D42" w14:textId="77777777" w:rsidR="003E675A" w:rsidRPr="00BE779F" w:rsidRDefault="003E675A" w:rsidP="003E675A">
      <w:pPr>
        <w:shd w:val="clear" w:color="auto" w:fill="FFFFFF"/>
        <w:tabs>
          <w:tab w:val="left" w:pos="993"/>
        </w:tabs>
        <w:spacing w:after="120"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BE779F">
        <w:rPr>
          <w:rFonts w:asciiTheme="minorHAnsi" w:eastAsia="Times New Roman" w:hAnsiTheme="minorHAnsi" w:cs="Times New Roman"/>
          <w:bCs/>
          <w:color w:val="000000" w:themeColor="text1"/>
        </w:rPr>
        <w:t>1.500. Il Governo.</w:t>
      </w:r>
    </w:p>
    <w:p w14:paraId="2442C50F" w14:textId="59437CED" w:rsidR="003E675A" w:rsidRDefault="003E675A">
      <w:pPr>
        <w:pStyle w:val="Testonotaapidipagina"/>
      </w:pPr>
    </w:p>
  </w:footnote>
  <w:footnote w:id="27">
    <w:p w14:paraId="4EC49A97" w14:textId="77777777" w:rsidR="00F71CBA" w:rsidRPr="002C1CCD" w:rsidRDefault="00F71CBA" w:rsidP="00F71CBA">
      <w:pPr>
        <w:jc w:val="both"/>
        <w:rPr>
          <w:color w:val="000000" w:themeColor="text1"/>
        </w:rPr>
      </w:pPr>
      <w:r>
        <w:rPr>
          <w:rStyle w:val="Rimandonotaapidipagina"/>
        </w:rPr>
        <w:footnoteRef/>
      </w:r>
      <w:r>
        <w:t xml:space="preserve"> </w:t>
      </w:r>
      <w:r w:rsidRPr="002C1CCD">
        <w:rPr>
          <w:color w:val="000000" w:themeColor="text1"/>
        </w:rPr>
        <w:t>0.1.500.37. (Nuova formulazione) Ciampi, Piccoli Nardelli.</w:t>
      </w:r>
    </w:p>
    <w:p w14:paraId="66072A88" w14:textId="676B7216" w:rsidR="00F71CBA" w:rsidRDefault="00F71CBA">
      <w:pPr>
        <w:pStyle w:val="Testonotaapidipagina"/>
      </w:pPr>
    </w:p>
  </w:footnote>
  <w:footnote w:id="28">
    <w:p w14:paraId="51D86FD8" w14:textId="77777777" w:rsidR="00D628B2" w:rsidRPr="00BE779F" w:rsidRDefault="00D628B2" w:rsidP="00D628B2">
      <w:pPr>
        <w:shd w:val="clear" w:color="auto" w:fill="FFFFFF"/>
        <w:tabs>
          <w:tab w:val="left" w:pos="993"/>
        </w:tabs>
        <w:spacing w:after="120"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BE779F">
        <w:rPr>
          <w:rFonts w:asciiTheme="minorHAnsi" w:eastAsia="Times New Roman" w:hAnsiTheme="minorHAnsi" w:cs="Times New Roman"/>
          <w:bCs/>
          <w:color w:val="000000" w:themeColor="text1"/>
        </w:rPr>
        <w:t>1.500. Il Governo.</w:t>
      </w:r>
    </w:p>
    <w:p w14:paraId="0FC192B4" w14:textId="774790A0" w:rsidR="00D628B2" w:rsidRDefault="00D628B2">
      <w:pPr>
        <w:pStyle w:val="Testonotaapidipagina"/>
      </w:pPr>
    </w:p>
  </w:footnote>
  <w:footnote w:id="29">
    <w:p w14:paraId="369F91F6" w14:textId="77777777" w:rsidR="007532E8" w:rsidRPr="002C1CCD" w:rsidRDefault="007532E8" w:rsidP="007532E8">
      <w:pPr>
        <w:jc w:val="both"/>
        <w:rPr>
          <w:color w:val="000000" w:themeColor="text1"/>
        </w:rPr>
      </w:pPr>
      <w:r>
        <w:rPr>
          <w:rStyle w:val="Rimandonotaapidipagina"/>
        </w:rPr>
        <w:footnoteRef/>
      </w:r>
      <w:r>
        <w:t xml:space="preserve"> </w:t>
      </w:r>
      <w:r w:rsidRPr="002C1CCD">
        <w:rPr>
          <w:color w:val="000000" w:themeColor="text1"/>
        </w:rPr>
        <w:t>0.1.500.37. (Nuova formulazione) Ciampi, Piccoli Nardelli.</w:t>
      </w:r>
    </w:p>
    <w:p w14:paraId="6269B393" w14:textId="22AF506D" w:rsidR="007532E8" w:rsidRDefault="007532E8">
      <w:pPr>
        <w:pStyle w:val="Testonotaapidipagina"/>
      </w:pPr>
    </w:p>
  </w:footnote>
  <w:footnote w:id="30">
    <w:p w14:paraId="5FE767EB" w14:textId="77777777" w:rsidR="00000BB2" w:rsidRPr="00BE779F" w:rsidRDefault="00000BB2" w:rsidP="00000BB2">
      <w:pPr>
        <w:shd w:val="clear" w:color="auto" w:fill="FFFFFF"/>
        <w:tabs>
          <w:tab w:val="left" w:pos="993"/>
        </w:tabs>
        <w:spacing w:after="120"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BE779F">
        <w:rPr>
          <w:rFonts w:asciiTheme="minorHAnsi" w:eastAsia="Times New Roman" w:hAnsiTheme="minorHAnsi" w:cs="Times New Roman"/>
          <w:bCs/>
          <w:color w:val="000000" w:themeColor="text1"/>
        </w:rPr>
        <w:t>1.500. Il Governo.</w:t>
      </w:r>
    </w:p>
    <w:p w14:paraId="0B186FB8" w14:textId="4B8A8FEA" w:rsidR="00000BB2" w:rsidRDefault="00000BB2">
      <w:pPr>
        <w:pStyle w:val="Testonotaapidipagina"/>
      </w:pPr>
    </w:p>
  </w:footnote>
  <w:footnote w:id="31">
    <w:p w14:paraId="3B996723" w14:textId="77777777" w:rsidR="00E12E2D" w:rsidRPr="002C1CCD" w:rsidRDefault="00E12E2D" w:rsidP="00E12E2D">
      <w:pPr>
        <w:jc w:val="both"/>
        <w:rPr>
          <w:color w:val="000000" w:themeColor="text1"/>
        </w:rPr>
      </w:pPr>
      <w:r>
        <w:rPr>
          <w:rStyle w:val="Rimandonotaapidipagina"/>
        </w:rPr>
        <w:footnoteRef/>
      </w:r>
      <w:r>
        <w:t xml:space="preserve"> </w:t>
      </w:r>
      <w:r w:rsidRPr="002C1CCD">
        <w:rPr>
          <w:color w:val="000000" w:themeColor="text1"/>
        </w:rPr>
        <w:t>0.1.500.37. (Nuova formulazione) Ciampi, Piccoli Nardelli.</w:t>
      </w:r>
    </w:p>
    <w:p w14:paraId="1C980E89" w14:textId="07167C11" w:rsidR="00E12E2D" w:rsidRDefault="00E12E2D">
      <w:pPr>
        <w:pStyle w:val="Testonotaapidipagina"/>
      </w:pPr>
    </w:p>
  </w:footnote>
  <w:footnote w:id="32">
    <w:p w14:paraId="3F01A4FC" w14:textId="77777777" w:rsidR="001F3E23" w:rsidRPr="002C1CCD" w:rsidRDefault="001F3E23" w:rsidP="001F3E23">
      <w:pPr>
        <w:jc w:val="both"/>
        <w:rPr>
          <w:color w:val="000000" w:themeColor="text1"/>
        </w:rPr>
      </w:pPr>
      <w:r>
        <w:rPr>
          <w:rStyle w:val="Rimandonotaapidipagina"/>
        </w:rPr>
        <w:footnoteRef/>
      </w:r>
      <w:r>
        <w:t xml:space="preserve"> </w:t>
      </w:r>
      <w:bookmarkStart w:id="4" w:name="_Hlk82770454"/>
      <w:r w:rsidRPr="002C1CCD">
        <w:rPr>
          <w:color w:val="000000" w:themeColor="text1"/>
        </w:rPr>
        <w:t>0.1.500.37. (Nuova formulazione) Ciampi, Piccoli Nardelli.</w:t>
      </w:r>
    </w:p>
    <w:bookmarkEnd w:id="4"/>
    <w:p w14:paraId="64ADC9F1" w14:textId="3D232E04" w:rsidR="001F3E23" w:rsidRDefault="001F3E23">
      <w:pPr>
        <w:pStyle w:val="Testonotaapidipagina"/>
      </w:pPr>
    </w:p>
  </w:footnote>
  <w:footnote w:id="33">
    <w:p w14:paraId="0DB42A37" w14:textId="77777777" w:rsidR="003C1087" w:rsidRPr="002C6C3A" w:rsidRDefault="003C1087" w:rsidP="003C1087">
      <w:pPr>
        <w:jc w:val="both"/>
        <w:rPr>
          <w:color w:val="000000" w:themeColor="text1"/>
        </w:rPr>
      </w:pPr>
      <w:r>
        <w:rPr>
          <w:rStyle w:val="Rimandonotaapidipagina"/>
        </w:rPr>
        <w:footnoteRef/>
      </w:r>
      <w:r>
        <w:t xml:space="preserve"> </w:t>
      </w:r>
      <w:r w:rsidRPr="002C6C3A">
        <w:rPr>
          <w:color w:val="000000" w:themeColor="text1"/>
        </w:rPr>
        <w:t>1.20. (Nuova formulazione) Saccani Jotti, Bagnasco.</w:t>
      </w:r>
    </w:p>
    <w:p w14:paraId="0640D76E" w14:textId="53C43002" w:rsidR="003C1087" w:rsidRDefault="003C1087">
      <w:pPr>
        <w:pStyle w:val="Testonotaapidipagina"/>
      </w:pPr>
    </w:p>
  </w:footnote>
  <w:footnote w:id="34">
    <w:p w14:paraId="4B894776" w14:textId="77777777" w:rsidR="0026062E" w:rsidRPr="002C1CCD" w:rsidRDefault="0026062E" w:rsidP="0026062E">
      <w:pPr>
        <w:jc w:val="both"/>
        <w:rPr>
          <w:color w:val="000000" w:themeColor="text1"/>
        </w:rPr>
      </w:pPr>
      <w:r>
        <w:rPr>
          <w:rStyle w:val="Rimandonotaapidipagina"/>
        </w:rPr>
        <w:footnoteRef/>
      </w:r>
      <w:r>
        <w:t xml:space="preserve"> </w:t>
      </w:r>
      <w:r w:rsidRPr="002C1CCD">
        <w:rPr>
          <w:color w:val="000000" w:themeColor="text1"/>
        </w:rPr>
        <w:t xml:space="preserve">0.1.500.19. </w:t>
      </w:r>
      <w:proofErr w:type="spellStart"/>
      <w:r w:rsidRPr="002C1CCD">
        <w:rPr>
          <w:color w:val="000000" w:themeColor="text1"/>
        </w:rPr>
        <w:t>Ianaro</w:t>
      </w:r>
      <w:proofErr w:type="spellEnd"/>
      <w:r w:rsidRPr="002C1CCD">
        <w:rPr>
          <w:color w:val="000000" w:themeColor="text1"/>
        </w:rPr>
        <w:t>, Villani, Lorefice, Ruggiero, Nappi, Mammì.</w:t>
      </w:r>
    </w:p>
    <w:p w14:paraId="60BC2CC0" w14:textId="6C875042" w:rsidR="0026062E" w:rsidRDefault="0026062E">
      <w:pPr>
        <w:pStyle w:val="Testonotaapidipagina"/>
      </w:pPr>
    </w:p>
  </w:footnote>
  <w:footnote w:id="35">
    <w:p w14:paraId="34BD55B3" w14:textId="77777777" w:rsidR="00C0345D" w:rsidRPr="002C1CCD" w:rsidRDefault="00C0345D" w:rsidP="00C0345D">
      <w:pPr>
        <w:jc w:val="both"/>
        <w:rPr>
          <w:color w:val="000000" w:themeColor="text1"/>
        </w:rPr>
      </w:pPr>
      <w:r>
        <w:rPr>
          <w:rStyle w:val="Rimandonotaapidipagina"/>
        </w:rPr>
        <w:footnoteRef/>
      </w:r>
      <w:r>
        <w:t xml:space="preserve"> </w:t>
      </w:r>
      <w:r w:rsidRPr="002C1CCD">
        <w:rPr>
          <w:color w:val="000000" w:themeColor="text1"/>
        </w:rPr>
        <w:t xml:space="preserve">0.1.500.14. Casa, </w:t>
      </w:r>
      <w:proofErr w:type="spellStart"/>
      <w:r w:rsidRPr="002C1CCD">
        <w:rPr>
          <w:color w:val="000000" w:themeColor="text1"/>
        </w:rPr>
        <w:t>Ianaro</w:t>
      </w:r>
      <w:proofErr w:type="spellEnd"/>
      <w:r w:rsidRPr="002C1CCD">
        <w:rPr>
          <w:color w:val="000000" w:themeColor="text1"/>
        </w:rPr>
        <w:t>.</w:t>
      </w:r>
    </w:p>
    <w:p w14:paraId="3042B089" w14:textId="5E8D7AE8" w:rsidR="00C0345D" w:rsidRDefault="00C0345D">
      <w:pPr>
        <w:pStyle w:val="Testonotaapidipagina"/>
      </w:pPr>
    </w:p>
  </w:footnote>
  <w:footnote w:id="36">
    <w:p w14:paraId="6E9512AA" w14:textId="77777777" w:rsidR="00CC1493" w:rsidRPr="002C1CCD" w:rsidRDefault="00CC1493" w:rsidP="00CC1493">
      <w:pPr>
        <w:jc w:val="both"/>
        <w:rPr>
          <w:color w:val="000000" w:themeColor="text1"/>
        </w:rPr>
      </w:pPr>
      <w:r>
        <w:rPr>
          <w:rStyle w:val="Rimandonotaapidipagina"/>
        </w:rPr>
        <w:footnoteRef/>
      </w:r>
      <w:r>
        <w:t xml:space="preserve"> </w:t>
      </w:r>
      <w:r w:rsidRPr="002C1CCD">
        <w:rPr>
          <w:color w:val="000000" w:themeColor="text1"/>
        </w:rPr>
        <w:t>0.1.500.36. (Nuova formulazione) Di Giorgi, Piccoli Nardelli.</w:t>
      </w:r>
    </w:p>
    <w:p w14:paraId="7C3E4721" w14:textId="67FA042F" w:rsidR="00CC1493" w:rsidRDefault="00CC1493">
      <w:pPr>
        <w:pStyle w:val="Testonotaapidipagina"/>
      </w:pPr>
    </w:p>
  </w:footnote>
  <w:footnote w:id="37">
    <w:p w14:paraId="075B90EA" w14:textId="77777777" w:rsidR="00E40FD1" w:rsidRPr="002C1CCD" w:rsidRDefault="00E40FD1" w:rsidP="00E40FD1">
      <w:pPr>
        <w:jc w:val="both"/>
        <w:rPr>
          <w:color w:val="000000" w:themeColor="text1"/>
        </w:rPr>
      </w:pPr>
      <w:r>
        <w:rPr>
          <w:rStyle w:val="Rimandonotaapidipagina"/>
        </w:rPr>
        <w:footnoteRef/>
      </w:r>
      <w:r>
        <w:t xml:space="preserve"> </w:t>
      </w:r>
      <w:r w:rsidRPr="002C1CCD">
        <w:rPr>
          <w:color w:val="000000" w:themeColor="text1"/>
        </w:rPr>
        <w:t xml:space="preserve">0.1.500.21. (Nuova formulazione) Grippa, </w:t>
      </w:r>
      <w:proofErr w:type="spellStart"/>
      <w:r w:rsidRPr="002C1CCD">
        <w:rPr>
          <w:color w:val="000000" w:themeColor="text1"/>
        </w:rPr>
        <w:t>Ianaro</w:t>
      </w:r>
      <w:proofErr w:type="spellEnd"/>
      <w:r w:rsidRPr="002C1CCD">
        <w:rPr>
          <w:color w:val="000000" w:themeColor="text1"/>
        </w:rPr>
        <w:t>.</w:t>
      </w:r>
    </w:p>
    <w:p w14:paraId="6517C878" w14:textId="5ED3190D" w:rsidR="00E40FD1" w:rsidRDefault="00E40FD1">
      <w:pPr>
        <w:pStyle w:val="Testonotaapidipagina"/>
      </w:pPr>
    </w:p>
  </w:footnote>
  <w:footnote w:id="38">
    <w:p w14:paraId="2D6882F9" w14:textId="77777777" w:rsidR="00ED787D" w:rsidRPr="002C1CCD" w:rsidRDefault="00ED787D" w:rsidP="00ED787D">
      <w:pPr>
        <w:jc w:val="both"/>
        <w:rPr>
          <w:color w:val="000000" w:themeColor="text1"/>
        </w:rPr>
      </w:pPr>
      <w:r>
        <w:rPr>
          <w:rStyle w:val="Rimandonotaapidipagina"/>
        </w:rPr>
        <w:footnoteRef/>
      </w:r>
      <w:r>
        <w:t xml:space="preserve"> </w:t>
      </w:r>
      <w:bookmarkStart w:id="5" w:name="_Hlk82768751"/>
      <w:r w:rsidRPr="002C1CCD">
        <w:rPr>
          <w:color w:val="000000" w:themeColor="text1"/>
        </w:rPr>
        <w:t>0.1.500.36. (Nuova formulazione) Di Giorgi, Piccoli Nardelli.</w:t>
      </w:r>
    </w:p>
    <w:bookmarkEnd w:id="5"/>
    <w:p w14:paraId="163EBEE8" w14:textId="1D75513F" w:rsidR="00ED787D" w:rsidRDefault="00ED787D">
      <w:pPr>
        <w:pStyle w:val="Testonotaapidipagina"/>
      </w:pPr>
    </w:p>
  </w:footnote>
  <w:footnote w:id="39">
    <w:p w14:paraId="08109744" w14:textId="77777777" w:rsidR="006715DC" w:rsidRPr="002C1CCD" w:rsidRDefault="006715DC" w:rsidP="006715DC">
      <w:pPr>
        <w:jc w:val="both"/>
        <w:rPr>
          <w:color w:val="000000" w:themeColor="text1"/>
        </w:rPr>
      </w:pPr>
      <w:r>
        <w:rPr>
          <w:rStyle w:val="Rimandonotaapidipagina"/>
        </w:rPr>
        <w:footnoteRef/>
      </w:r>
      <w:r>
        <w:t xml:space="preserve"> </w:t>
      </w:r>
      <w:r w:rsidRPr="002C1CCD">
        <w:rPr>
          <w:color w:val="000000" w:themeColor="text1"/>
        </w:rPr>
        <w:t>0.1.500.36. (Nuova formulazione) Di Giorgi, Piccoli Nardelli.</w:t>
      </w:r>
    </w:p>
    <w:p w14:paraId="08FE4863" w14:textId="7F87D175" w:rsidR="006715DC" w:rsidRDefault="006715DC">
      <w:pPr>
        <w:pStyle w:val="Testonotaapidipagina"/>
      </w:pPr>
    </w:p>
  </w:footnote>
  <w:footnote w:id="40">
    <w:p w14:paraId="0E5FFE21" w14:textId="77777777" w:rsidR="00CC1F1B" w:rsidRPr="002C1CCD" w:rsidRDefault="00CC1F1B" w:rsidP="00CC1F1B">
      <w:pPr>
        <w:jc w:val="both"/>
        <w:rPr>
          <w:color w:val="000000" w:themeColor="text1"/>
        </w:rPr>
      </w:pPr>
      <w:r>
        <w:rPr>
          <w:rStyle w:val="Rimandonotaapidipagina"/>
        </w:rPr>
        <w:footnoteRef/>
      </w:r>
      <w:r>
        <w:t xml:space="preserve"> </w:t>
      </w:r>
      <w:r w:rsidRPr="002C1CCD">
        <w:rPr>
          <w:color w:val="000000" w:themeColor="text1"/>
        </w:rPr>
        <w:t xml:space="preserve">0.1.500.22. (Nuova formulazione) Grippa, </w:t>
      </w:r>
      <w:proofErr w:type="spellStart"/>
      <w:r w:rsidRPr="002C1CCD">
        <w:rPr>
          <w:color w:val="000000" w:themeColor="text1"/>
        </w:rPr>
        <w:t>Ianaro</w:t>
      </w:r>
      <w:proofErr w:type="spellEnd"/>
      <w:r w:rsidRPr="002C1CCD">
        <w:rPr>
          <w:color w:val="000000" w:themeColor="text1"/>
        </w:rPr>
        <w:t>.</w:t>
      </w:r>
    </w:p>
    <w:p w14:paraId="1045DA2B" w14:textId="13A4E53F" w:rsidR="00CC1F1B" w:rsidRDefault="00CC1F1B">
      <w:pPr>
        <w:pStyle w:val="Testonotaapidipagina"/>
      </w:pPr>
    </w:p>
  </w:footnote>
  <w:footnote w:id="41">
    <w:p w14:paraId="319EC583" w14:textId="77777777" w:rsidR="00DA1067" w:rsidRPr="002C1CCD" w:rsidRDefault="00DA1067" w:rsidP="00DA1067">
      <w:pPr>
        <w:jc w:val="both"/>
        <w:rPr>
          <w:color w:val="000000" w:themeColor="text1"/>
        </w:rPr>
      </w:pPr>
      <w:r>
        <w:rPr>
          <w:rStyle w:val="Rimandonotaapidipagina"/>
        </w:rPr>
        <w:footnoteRef/>
      </w:r>
      <w:r>
        <w:t xml:space="preserve"> </w:t>
      </w:r>
      <w:r w:rsidRPr="002C1CCD">
        <w:rPr>
          <w:color w:val="000000" w:themeColor="text1"/>
        </w:rPr>
        <w:t>0.1.500.36. (Nuova formulazione) Di Giorgi, Piccoli Nardelli.</w:t>
      </w:r>
    </w:p>
    <w:p w14:paraId="221EA2D4" w14:textId="330BF607" w:rsidR="00DA1067" w:rsidRDefault="00DA1067">
      <w:pPr>
        <w:pStyle w:val="Testonotaapidipagina"/>
      </w:pPr>
    </w:p>
  </w:footnote>
  <w:footnote w:id="42">
    <w:p w14:paraId="656B2B16" w14:textId="77777777" w:rsidR="00C943DC" w:rsidRPr="00BE779F" w:rsidRDefault="00C943DC" w:rsidP="00C943DC">
      <w:pPr>
        <w:shd w:val="clear" w:color="auto" w:fill="FFFFFF"/>
        <w:tabs>
          <w:tab w:val="left" w:pos="993"/>
        </w:tabs>
        <w:spacing w:after="120"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BE779F">
        <w:rPr>
          <w:rFonts w:asciiTheme="minorHAnsi" w:eastAsia="Times New Roman" w:hAnsiTheme="minorHAnsi" w:cs="Times New Roman"/>
          <w:bCs/>
          <w:color w:val="000000" w:themeColor="text1"/>
        </w:rPr>
        <w:t>1.500. Il Governo.</w:t>
      </w:r>
    </w:p>
    <w:p w14:paraId="5B60CCB3" w14:textId="77777777" w:rsidR="00C943DC" w:rsidRDefault="00C943DC" w:rsidP="00C943DC">
      <w:pPr>
        <w:pStyle w:val="Testonotaapidipagina"/>
      </w:pPr>
    </w:p>
  </w:footnote>
  <w:footnote w:id="43">
    <w:p w14:paraId="70C7903C" w14:textId="77777777" w:rsidR="00DA1067" w:rsidRPr="002C1CCD" w:rsidRDefault="00DA1067" w:rsidP="00DA1067">
      <w:pPr>
        <w:jc w:val="both"/>
        <w:rPr>
          <w:color w:val="000000" w:themeColor="text1"/>
        </w:rPr>
      </w:pPr>
      <w:r>
        <w:rPr>
          <w:rStyle w:val="Rimandonotaapidipagina"/>
        </w:rPr>
        <w:footnoteRef/>
      </w:r>
      <w:r>
        <w:t xml:space="preserve"> </w:t>
      </w:r>
      <w:r w:rsidRPr="002C1CCD">
        <w:rPr>
          <w:color w:val="000000" w:themeColor="text1"/>
        </w:rPr>
        <w:t>0.1.500.36. (Nuova formulazione) Di Giorgi, Piccoli Nardelli.</w:t>
      </w:r>
    </w:p>
    <w:p w14:paraId="6B73713E" w14:textId="32F537AC" w:rsidR="00DA1067" w:rsidRDefault="00DA1067">
      <w:pPr>
        <w:pStyle w:val="Testonotaapidipagina"/>
      </w:pPr>
    </w:p>
  </w:footnote>
  <w:footnote w:id="44">
    <w:p w14:paraId="20B01625" w14:textId="77777777" w:rsidR="005C3407" w:rsidRPr="002D0DF0" w:rsidRDefault="005C3407" w:rsidP="005C3407">
      <w:pPr>
        <w:jc w:val="both"/>
        <w:rPr>
          <w:color w:val="000000" w:themeColor="text1"/>
        </w:rPr>
      </w:pPr>
      <w:r>
        <w:rPr>
          <w:rStyle w:val="Rimandonotaapidipagina"/>
        </w:rPr>
        <w:footnoteRef/>
      </w:r>
      <w:r>
        <w:t xml:space="preserve"> </w:t>
      </w:r>
      <w:r w:rsidRPr="002D0DF0">
        <w:rPr>
          <w:color w:val="000000" w:themeColor="text1"/>
        </w:rPr>
        <w:t xml:space="preserve">1.95. (Nuova formulazione) Aprea, Saccani Jotti, Casciello, Palmieri, Bagnasco, Versace, Bond, Brambilla; 1.57. (Nuova formulazione) Carbonaro, </w:t>
      </w:r>
      <w:proofErr w:type="spellStart"/>
      <w:r w:rsidRPr="002D0DF0">
        <w:rPr>
          <w:color w:val="000000" w:themeColor="text1"/>
        </w:rPr>
        <w:t>Ianaro</w:t>
      </w:r>
      <w:proofErr w:type="spellEnd"/>
      <w:r w:rsidRPr="002D0DF0">
        <w:rPr>
          <w:color w:val="000000" w:themeColor="text1"/>
        </w:rPr>
        <w:t>.</w:t>
      </w:r>
    </w:p>
    <w:p w14:paraId="3C7FEB3A" w14:textId="1E4E3B92" w:rsidR="005C3407" w:rsidRDefault="005C3407">
      <w:pPr>
        <w:pStyle w:val="Testonotaapidipagina"/>
      </w:pPr>
    </w:p>
  </w:footnote>
  <w:footnote w:id="45">
    <w:p w14:paraId="430F0A6D" w14:textId="77777777" w:rsidR="00D80AED" w:rsidRPr="00E2558D" w:rsidRDefault="00D80AED" w:rsidP="00D80AED">
      <w:pPr>
        <w:jc w:val="both"/>
        <w:rPr>
          <w:color w:val="000000" w:themeColor="text1"/>
        </w:rPr>
      </w:pPr>
      <w:r>
        <w:rPr>
          <w:rStyle w:val="Rimandonotaapidipagina"/>
        </w:rPr>
        <w:footnoteRef/>
      </w:r>
      <w:r>
        <w:t xml:space="preserve"> </w:t>
      </w:r>
      <w:r w:rsidRPr="00E2558D">
        <w:rPr>
          <w:color w:val="000000" w:themeColor="text1"/>
        </w:rPr>
        <w:t xml:space="preserve">1.75. (Nuova formulazione) Di Giorgi, Piccoli Nardelli, Prestipino, Lattanzio, Nitti, Rossi, Orfini, Ciampi, Noja, Rosato; 1.2. (Nuova formulazione) Bagnasco, Bond, Versace, </w:t>
      </w:r>
      <w:proofErr w:type="spellStart"/>
      <w:r w:rsidRPr="00E2558D">
        <w:rPr>
          <w:color w:val="000000" w:themeColor="text1"/>
        </w:rPr>
        <w:t>Spena</w:t>
      </w:r>
      <w:proofErr w:type="spellEnd"/>
      <w:r w:rsidRPr="00E2558D">
        <w:rPr>
          <w:color w:val="000000" w:themeColor="text1"/>
        </w:rPr>
        <w:t xml:space="preserve">, Brambilla, Labriola.1.87. (Nuova formulazione) Aprea, Saccani Jotti, Casciello, Palmieri, Bagnasco, Versace, Bond, Brambilla; 1.36. (Nuova formulazione) Del Sesto, Nappi; 1.46. (Nuova formulazione) </w:t>
      </w:r>
      <w:proofErr w:type="spellStart"/>
      <w:r w:rsidRPr="00E2558D">
        <w:rPr>
          <w:color w:val="000000" w:themeColor="text1"/>
        </w:rPr>
        <w:t>Ianaro</w:t>
      </w:r>
      <w:proofErr w:type="spellEnd"/>
      <w:r w:rsidRPr="00E2558D">
        <w:rPr>
          <w:color w:val="000000" w:themeColor="text1"/>
        </w:rPr>
        <w:t>, D'</w:t>
      </w:r>
      <w:proofErr w:type="spellStart"/>
      <w:r w:rsidRPr="00E2558D">
        <w:rPr>
          <w:color w:val="000000" w:themeColor="text1"/>
        </w:rPr>
        <w:t>Arrando</w:t>
      </w:r>
      <w:proofErr w:type="spellEnd"/>
      <w:r w:rsidRPr="00E2558D">
        <w:rPr>
          <w:color w:val="000000" w:themeColor="text1"/>
        </w:rPr>
        <w:t>, Federico, Lorefice, Mammì, Misiti, Nappi, Penna, Provenza, Ruggiero, Sportiello, Villani; 1.45. (Nuova formulazione) Casa, Ruggiero.</w:t>
      </w:r>
    </w:p>
    <w:p w14:paraId="6E3AD6DB" w14:textId="330FCCA4" w:rsidR="00D80AED" w:rsidRDefault="00D80AED">
      <w:pPr>
        <w:pStyle w:val="Testonotaapidipagina"/>
      </w:pPr>
    </w:p>
  </w:footnote>
  <w:footnote w:id="46">
    <w:p w14:paraId="3B0199E4" w14:textId="77777777" w:rsidR="004C7810" w:rsidRPr="00E2558D" w:rsidRDefault="004C7810" w:rsidP="004C7810">
      <w:pPr>
        <w:jc w:val="both"/>
        <w:rPr>
          <w:color w:val="000000" w:themeColor="text1"/>
        </w:rPr>
      </w:pPr>
      <w:r>
        <w:rPr>
          <w:rStyle w:val="Rimandonotaapidipagina"/>
        </w:rPr>
        <w:footnoteRef/>
      </w:r>
      <w:r>
        <w:t xml:space="preserve"> </w:t>
      </w:r>
      <w:r w:rsidRPr="00E2558D">
        <w:rPr>
          <w:color w:val="000000" w:themeColor="text1"/>
        </w:rPr>
        <w:t xml:space="preserve">1.75. (Nuova formulazione) Di Giorgi, Piccoli Nardelli, Prestipino, Lattanzio, Nitti, Rossi, Orfini, Ciampi, Noja, Rosato; 1.2. (Nuova formulazione) Bagnasco, Bond, Versace, </w:t>
      </w:r>
      <w:proofErr w:type="spellStart"/>
      <w:r w:rsidRPr="00E2558D">
        <w:rPr>
          <w:color w:val="000000" w:themeColor="text1"/>
        </w:rPr>
        <w:t>Spena</w:t>
      </w:r>
      <w:proofErr w:type="spellEnd"/>
      <w:r w:rsidRPr="00E2558D">
        <w:rPr>
          <w:color w:val="000000" w:themeColor="text1"/>
        </w:rPr>
        <w:t xml:space="preserve">, Brambilla, Labriola.1.87. (Nuova formulazione) Aprea, Saccani Jotti, Casciello, Palmieri, Bagnasco, Versace, Bond, Brambilla; 1.36. (Nuova formulazione) Del Sesto, Nappi; 1.46. (Nuova formulazione) </w:t>
      </w:r>
      <w:proofErr w:type="spellStart"/>
      <w:r w:rsidRPr="00E2558D">
        <w:rPr>
          <w:color w:val="000000" w:themeColor="text1"/>
        </w:rPr>
        <w:t>Ianaro</w:t>
      </w:r>
      <w:proofErr w:type="spellEnd"/>
      <w:r w:rsidRPr="00E2558D">
        <w:rPr>
          <w:color w:val="000000" w:themeColor="text1"/>
        </w:rPr>
        <w:t>, D'</w:t>
      </w:r>
      <w:proofErr w:type="spellStart"/>
      <w:r w:rsidRPr="00E2558D">
        <w:rPr>
          <w:color w:val="000000" w:themeColor="text1"/>
        </w:rPr>
        <w:t>Arrando</w:t>
      </w:r>
      <w:proofErr w:type="spellEnd"/>
      <w:r w:rsidRPr="00E2558D">
        <w:rPr>
          <w:color w:val="000000" w:themeColor="text1"/>
        </w:rPr>
        <w:t>, Federico, Lorefice, Mammì, Misiti, Nappi, Penna, Provenza, Ruggiero, Sportiello, Villani; 1.45. (Nuova formulazione) Casa, Ruggiero.</w:t>
      </w:r>
    </w:p>
    <w:p w14:paraId="7E3BA428" w14:textId="4779A3B5" w:rsidR="004C7810" w:rsidRDefault="004C7810">
      <w:pPr>
        <w:pStyle w:val="Testonotaapidipagina"/>
      </w:pPr>
    </w:p>
  </w:footnote>
  <w:footnote w:id="47">
    <w:p w14:paraId="4F7BEEF9" w14:textId="77777777" w:rsidR="00A00E05" w:rsidRPr="002D0DF0" w:rsidRDefault="00A00E05" w:rsidP="00A00E05">
      <w:pPr>
        <w:jc w:val="both"/>
        <w:rPr>
          <w:color w:val="000000" w:themeColor="text1"/>
        </w:rPr>
      </w:pPr>
      <w:r>
        <w:rPr>
          <w:rStyle w:val="Rimandonotaapidipagina"/>
        </w:rPr>
        <w:footnoteRef/>
      </w:r>
      <w:r>
        <w:t xml:space="preserve"> </w:t>
      </w:r>
      <w:r w:rsidRPr="002D0DF0">
        <w:rPr>
          <w:color w:val="000000" w:themeColor="text1"/>
        </w:rPr>
        <w:t xml:space="preserve">1.128. </w:t>
      </w:r>
      <w:proofErr w:type="spellStart"/>
      <w:r w:rsidRPr="002D0DF0">
        <w:rPr>
          <w:color w:val="000000" w:themeColor="text1"/>
        </w:rPr>
        <w:t>Panizzut</w:t>
      </w:r>
      <w:proofErr w:type="spellEnd"/>
      <w:r w:rsidRPr="002D0DF0">
        <w:rPr>
          <w:color w:val="000000" w:themeColor="text1"/>
        </w:rPr>
        <w:t xml:space="preserve">, Boldi, De Martini, Foscolo, Lazzarini, </w:t>
      </w:r>
      <w:proofErr w:type="spellStart"/>
      <w:r w:rsidRPr="002D0DF0">
        <w:rPr>
          <w:color w:val="000000" w:themeColor="text1"/>
        </w:rPr>
        <w:t>Paolin</w:t>
      </w:r>
      <w:proofErr w:type="spellEnd"/>
      <w:r w:rsidRPr="002D0DF0">
        <w:rPr>
          <w:color w:val="000000" w:themeColor="text1"/>
        </w:rPr>
        <w:t xml:space="preserve">, </w:t>
      </w:r>
      <w:proofErr w:type="spellStart"/>
      <w:r w:rsidRPr="002D0DF0">
        <w:rPr>
          <w:color w:val="000000" w:themeColor="text1"/>
        </w:rPr>
        <w:t>Sutto</w:t>
      </w:r>
      <w:proofErr w:type="spellEnd"/>
      <w:r w:rsidRPr="002D0DF0">
        <w:rPr>
          <w:color w:val="000000" w:themeColor="text1"/>
        </w:rPr>
        <w:t xml:space="preserve">, </w:t>
      </w:r>
      <w:proofErr w:type="spellStart"/>
      <w:r w:rsidRPr="002D0DF0">
        <w:rPr>
          <w:color w:val="000000" w:themeColor="text1"/>
        </w:rPr>
        <w:t>Tiramani</w:t>
      </w:r>
      <w:proofErr w:type="spellEnd"/>
      <w:r w:rsidRPr="002D0DF0">
        <w:rPr>
          <w:color w:val="000000" w:themeColor="text1"/>
        </w:rPr>
        <w:t>, Zanella.</w:t>
      </w:r>
    </w:p>
    <w:p w14:paraId="6323D9EA" w14:textId="608BB74C" w:rsidR="00A00E05" w:rsidRDefault="00A00E05">
      <w:pPr>
        <w:pStyle w:val="Testonotaapidipagina"/>
      </w:pPr>
    </w:p>
  </w:footnote>
  <w:footnote w:id="48">
    <w:p w14:paraId="4CA28581" w14:textId="77777777" w:rsidR="00AC474B" w:rsidRPr="002C6C3A" w:rsidRDefault="00AC474B" w:rsidP="00AC474B">
      <w:pPr>
        <w:jc w:val="both"/>
        <w:rPr>
          <w:color w:val="000000" w:themeColor="text1"/>
        </w:rPr>
      </w:pPr>
      <w:r>
        <w:rPr>
          <w:rStyle w:val="Rimandonotaapidipagina"/>
        </w:rPr>
        <w:footnoteRef/>
      </w:r>
      <w:r>
        <w:t xml:space="preserve"> </w:t>
      </w:r>
      <w:r w:rsidRPr="002C6C3A">
        <w:rPr>
          <w:color w:val="000000" w:themeColor="text1"/>
        </w:rPr>
        <w:t>1.06. (Nuova formulazione) Gagliardi, Bologna, Baldini.</w:t>
      </w:r>
    </w:p>
    <w:p w14:paraId="3749665A" w14:textId="11E88194" w:rsidR="00AC474B" w:rsidRDefault="00AC474B">
      <w:pPr>
        <w:pStyle w:val="Testonotaapidipagina"/>
      </w:pPr>
    </w:p>
  </w:footnote>
  <w:footnote w:id="49">
    <w:p w14:paraId="62BD204D" w14:textId="77777777" w:rsidR="002F32F5" w:rsidRPr="00177459" w:rsidRDefault="002F32F5" w:rsidP="002F32F5">
      <w:pPr>
        <w:jc w:val="both"/>
        <w:rPr>
          <w:color w:val="000000" w:themeColor="text1"/>
        </w:rPr>
      </w:pPr>
      <w:r>
        <w:rPr>
          <w:rStyle w:val="Rimandonotaapidipagina"/>
        </w:rPr>
        <w:footnoteRef/>
      </w:r>
      <w:r>
        <w:t xml:space="preserve"> </w:t>
      </w:r>
      <w:r w:rsidRPr="00177459">
        <w:rPr>
          <w:color w:val="000000" w:themeColor="text1"/>
        </w:rPr>
        <w:t xml:space="preserve">2.6. Gariglio, Andrea Romano, Bruno Bossio, Pizzetti, Cantini, Del Basso De Caro, Morassut; 2.8. Bagnasco, Versace, Labriola, 2.17. </w:t>
      </w:r>
      <w:proofErr w:type="spellStart"/>
      <w:r w:rsidRPr="00177459">
        <w:rPr>
          <w:color w:val="000000" w:themeColor="text1"/>
        </w:rPr>
        <w:t>Tateo</w:t>
      </w:r>
      <w:proofErr w:type="spellEnd"/>
      <w:r w:rsidRPr="00177459">
        <w:rPr>
          <w:color w:val="000000" w:themeColor="text1"/>
        </w:rPr>
        <w:t xml:space="preserve">, </w:t>
      </w:r>
      <w:proofErr w:type="spellStart"/>
      <w:r w:rsidRPr="00177459">
        <w:rPr>
          <w:color w:val="000000" w:themeColor="text1"/>
        </w:rPr>
        <w:t>Panizzut</w:t>
      </w:r>
      <w:proofErr w:type="spellEnd"/>
      <w:r w:rsidRPr="00177459">
        <w:rPr>
          <w:color w:val="000000" w:themeColor="text1"/>
        </w:rPr>
        <w:t xml:space="preserve">, Boldi, De Martini, Foscolo, Lazzarini, </w:t>
      </w:r>
      <w:proofErr w:type="spellStart"/>
      <w:r w:rsidRPr="00177459">
        <w:rPr>
          <w:color w:val="000000" w:themeColor="text1"/>
        </w:rPr>
        <w:t>Paolin</w:t>
      </w:r>
      <w:proofErr w:type="spellEnd"/>
      <w:r w:rsidRPr="00177459">
        <w:rPr>
          <w:color w:val="000000" w:themeColor="text1"/>
        </w:rPr>
        <w:t xml:space="preserve">, </w:t>
      </w:r>
      <w:proofErr w:type="spellStart"/>
      <w:r w:rsidRPr="00177459">
        <w:rPr>
          <w:color w:val="000000" w:themeColor="text1"/>
        </w:rPr>
        <w:t>Sutto</w:t>
      </w:r>
      <w:proofErr w:type="spellEnd"/>
      <w:r w:rsidRPr="00177459">
        <w:rPr>
          <w:color w:val="000000" w:themeColor="text1"/>
        </w:rPr>
        <w:t xml:space="preserve">, </w:t>
      </w:r>
      <w:proofErr w:type="spellStart"/>
      <w:r w:rsidRPr="00177459">
        <w:rPr>
          <w:color w:val="000000" w:themeColor="text1"/>
        </w:rPr>
        <w:t>Tiramani</w:t>
      </w:r>
      <w:proofErr w:type="spellEnd"/>
      <w:r w:rsidRPr="00177459">
        <w:rPr>
          <w:color w:val="000000" w:themeColor="text1"/>
        </w:rPr>
        <w:t xml:space="preserve">, Zanella; 2.24. </w:t>
      </w:r>
      <w:proofErr w:type="spellStart"/>
      <w:r w:rsidRPr="00177459">
        <w:rPr>
          <w:color w:val="000000" w:themeColor="text1"/>
        </w:rPr>
        <w:t>Scagliusi</w:t>
      </w:r>
      <w:proofErr w:type="spellEnd"/>
      <w:r w:rsidRPr="00177459">
        <w:rPr>
          <w:color w:val="000000" w:themeColor="text1"/>
        </w:rPr>
        <w:t xml:space="preserve">, </w:t>
      </w:r>
      <w:proofErr w:type="spellStart"/>
      <w:r w:rsidRPr="00177459">
        <w:rPr>
          <w:color w:val="000000" w:themeColor="text1"/>
        </w:rPr>
        <w:t>Ianaro</w:t>
      </w:r>
      <w:proofErr w:type="spellEnd"/>
      <w:proofErr w:type="gramStart"/>
      <w:r w:rsidRPr="00177459">
        <w:rPr>
          <w:color w:val="000000" w:themeColor="text1"/>
        </w:rPr>
        <w:t xml:space="preserve">; </w:t>
      </w:r>
      <w:r>
        <w:rPr>
          <w:color w:val="000000" w:themeColor="text1"/>
        </w:rPr>
        <w:t xml:space="preserve"> </w:t>
      </w:r>
      <w:r w:rsidRPr="00177459">
        <w:rPr>
          <w:color w:val="000000" w:themeColor="text1"/>
        </w:rPr>
        <w:t>2.35.</w:t>
      </w:r>
      <w:proofErr w:type="gramEnd"/>
      <w:r w:rsidRPr="00177459">
        <w:rPr>
          <w:color w:val="000000" w:themeColor="text1"/>
        </w:rPr>
        <w:t xml:space="preserve"> </w:t>
      </w:r>
      <w:proofErr w:type="spellStart"/>
      <w:r w:rsidRPr="00177459">
        <w:rPr>
          <w:color w:val="000000" w:themeColor="text1"/>
        </w:rPr>
        <w:t>Fregolent</w:t>
      </w:r>
      <w:proofErr w:type="spellEnd"/>
      <w:r w:rsidRPr="00177459">
        <w:rPr>
          <w:color w:val="000000" w:themeColor="text1"/>
        </w:rPr>
        <w:t>, Ungaro, Noja.</w:t>
      </w:r>
    </w:p>
    <w:p w14:paraId="04C78F2F" w14:textId="0C8D02D7" w:rsidR="002F32F5" w:rsidRDefault="002F32F5">
      <w:pPr>
        <w:pStyle w:val="Testonotaapidipagina"/>
      </w:pPr>
    </w:p>
  </w:footnote>
  <w:footnote w:id="50">
    <w:p w14:paraId="0C833A87" w14:textId="77777777" w:rsidR="002D431C" w:rsidRPr="00556627" w:rsidRDefault="002D431C" w:rsidP="002D431C">
      <w:pPr>
        <w:jc w:val="both"/>
        <w:rPr>
          <w:color w:val="000000" w:themeColor="text1"/>
        </w:rPr>
      </w:pPr>
      <w:r>
        <w:rPr>
          <w:rStyle w:val="Rimandonotaapidipagina"/>
        </w:rPr>
        <w:footnoteRef/>
      </w:r>
      <w:r>
        <w:t xml:space="preserve"> </w:t>
      </w:r>
      <w:r w:rsidRPr="00556627">
        <w:rPr>
          <w:color w:val="000000" w:themeColor="text1"/>
        </w:rPr>
        <w:t xml:space="preserve">2.1. (Nuova formulazione) De </w:t>
      </w:r>
      <w:proofErr w:type="spellStart"/>
      <w:r w:rsidRPr="00556627">
        <w:rPr>
          <w:color w:val="000000" w:themeColor="text1"/>
        </w:rPr>
        <w:t>Menech</w:t>
      </w:r>
      <w:proofErr w:type="spellEnd"/>
      <w:r w:rsidRPr="00556627">
        <w:rPr>
          <w:color w:val="000000" w:themeColor="text1"/>
        </w:rPr>
        <w:t xml:space="preserve">, Rotta, Rossi, Bonomo, Gribaudo, Lotti, Zardini, </w:t>
      </w:r>
      <w:proofErr w:type="spellStart"/>
      <w:r w:rsidRPr="00556627">
        <w:rPr>
          <w:color w:val="000000" w:themeColor="text1"/>
        </w:rPr>
        <w:t>Vazio</w:t>
      </w:r>
      <w:proofErr w:type="spellEnd"/>
      <w:r w:rsidRPr="00556627">
        <w:rPr>
          <w:color w:val="000000" w:themeColor="text1"/>
        </w:rPr>
        <w:t xml:space="preserve">, Gariglio, Carnevali, De Filippo; 2.9. (Nuova formulazione) </w:t>
      </w:r>
      <w:proofErr w:type="spellStart"/>
      <w:r w:rsidRPr="00556627">
        <w:rPr>
          <w:color w:val="000000" w:themeColor="text1"/>
        </w:rPr>
        <w:t>Porchietto</w:t>
      </w:r>
      <w:proofErr w:type="spellEnd"/>
      <w:r w:rsidRPr="00556627">
        <w:rPr>
          <w:color w:val="000000" w:themeColor="text1"/>
        </w:rPr>
        <w:t xml:space="preserve">, Bagnasco, Bond, Labriola, Mazzetti; 2.21. (Nuova formulazione) </w:t>
      </w:r>
      <w:proofErr w:type="spellStart"/>
      <w:r w:rsidRPr="00556627">
        <w:rPr>
          <w:color w:val="000000" w:themeColor="text1"/>
        </w:rPr>
        <w:t>Sut</w:t>
      </w:r>
      <w:proofErr w:type="spellEnd"/>
      <w:r w:rsidRPr="00556627">
        <w:rPr>
          <w:color w:val="000000" w:themeColor="text1"/>
        </w:rPr>
        <w:t xml:space="preserve">, Elisa Tripodi, Valente, De Carlo, </w:t>
      </w:r>
      <w:proofErr w:type="spellStart"/>
      <w:r w:rsidRPr="00556627">
        <w:rPr>
          <w:color w:val="000000" w:themeColor="text1"/>
        </w:rPr>
        <w:t>Serritella</w:t>
      </w:r>
      <w:proofErr w:type="spellEnd"/>
      <w:r w:rsidRPr="00556627">
        <w:rPr>
          <w:color w:val="000000" w:themeColor="text1"/>
        </w:rPr>
        <w:t xml:space="preserve">, Fraccaro, Vacca, </w:t>
      </w:r>
      <w:proofErr w:type="spellStart"/>
      <w:r w:rsidRPr="00556627">
        <w:rPr>
          <w:color w:val="000000" w:themeColor="text1"/>
        </w:rPr>
        <w:t>Ianaro</w:t>
      </w:r>
      <w:proofErr w:type="spellEnd"/>
      <w:r w:rsidRPr="00556627">
        <w:rPr>
          <w:color w:val="000000" w:themeColor="text1"/>
        </w:rPr>
        <w:t xml:space="preserve">; 2.5. (Nuova formulazione) Gariglio, De </w:t>
      </w:r>
      <w:proofErr w:type="spellStart"/>
      <w:r w:rsidRPr="00556627">
        <w:rPr>
          <w:color w:val="000000" w:themeColor="text1"/>
        </w:rPr>
        <w:t>Menech</w:t>
      </w:r>
      <w:proofErr w:type="spellEnd"/>
      <w:r w:rsidRPr="00556627">
        <w:rPr>
          <w:color w:val="000000" w:themeColor="text1"/>
        </w:rPr>
        <w:t>, Morassut, Andrea Romano, Bruno Bossio, Pizzetti, Cantini, Del Basso De Caro, Carnevali, D'</w:t>
      </w:r>
      <w:proofErr w:type="spellStart"/>
      <w:r w:rsidRPr="00556627">
        <w:rPr>
          <w:color w:val="000000" w:themeColor="text1"/>
        </w:rPr>
        <w:t>Arrando</w:t>
      </w:r>
      <w:proofErr w:type="spellEnd"/>
      <w:r w:rsidRPr="00556627">
        <w:rPr>
          <w:color w:val="000000" w:themeColor="text1"/>
        </w:rPr>
        <w:t xml:space="preserve">, Federico, </w:t>
      </w:r>
      <w:proofErr w:type="spellStart"/>
      <w:r w:rsidRPr="00556627">
        <w:rPr>
          <w:color w:val="000000" w:themeColor="text1"/>
        </w:rPr>
        <w:t>Ianaro</w:t>
      </w:r>
      <w:proofErr w:type="spellEnd"/>
      <w:r w:rsidRPr="00556627">
        <w:rPr>
          <w:color w:val="000000" w:themeColor="text1"/>
        </w:rPr>
        <w:t xml:space="preserve">, Lorefice, Mammì, Misiti, Nappi, Penna, Provenza, Ruggiero, Sportiello, Villani; 2.23. (Nuova formulazione) </w:t>
      </w:r>
      <w:proofErr w:type="spellStart"/>
      <w:r w:rsidRPr="00556627">
        <w:rPr>
          <w:color w:val="000000" w:themeColor="text1"/>
        </w:rPr>
        <w:t>Scagliusi</w:t>
      </w:r>
      <w:proofErr w:type="spellEnd"/>
      <w:r w:rsidRPr="00556627">
        <w:rPr>
          <w:color w:val="000000" w:themeColor="text1"/>
        </w:rPr>
        <w:t xml:space="preserve">, </w:t>
      </w:r>
      <w:proofErr w:type="spellStart"/>
      <w:r w:rsidRPr="00556627">
        <w:rPr>
          <w:color w:val="000000" w:themeColor="text1"/>
        </w:rPr>
        <w:t>Ianaro</w:t>
      </w:r>
      <w:proofErr w:type="spellEnd"/>
      <w:r w:rsidRPr="00556627">
        <w:rPr>
          <w:color w:val="000000" w:themeColor="text1"/>
        </w:rPr>
        <w:t xml:space="preserve">; 2.34. (Nuova formulazione) Boschi, </w:t>
      </w:r>
      <w:proofErr w:type="spellStart"/>
      <w:r w:rsidRPr="00556627">
        <w:rPr>
          <w:color w:val="000000" w:themeColor="text1"/>
        </w:rPr>
        <w:t>Fregolent</w:t>
      </w:r>
      <w:proofErr w:type="spellEnd"/>
      <w:r w:rsidRPr="00556627">
        <w:rPr>
          <w:color w:val="000000" w:themeColor="text1"/>
        </w:rPr>
        <w:t xml:space="preserve">, Del Barba, Moretto, Nobili, Ungaro, Noja, </w:t>
      </w:r>
      <w:proofErr w:type="spellStart"/>
      <w:r w:rsidRPr="00556627">
        <w:rPr>
          <w:color w:val="000000" w:themeColor="text1"/>
        </w:rPr>
        <w:t>Ianaro</w:t>
      </w:r>
      <w:proofErr w:type="spellEnd"/>
      <w:r w:rsidRPr="00556627">
        <w:rPr>
          <w:color w:val="000000" w:themeColor="text1"/>
        </w:rPr>
        <w:t>.</w:t>
      </w:r>
    </w:p>
    <w:p w14:paraId="47154778" w14:textId="21690F48" w:rsidR="002D431C" w:rsidRDefault="002D431C">
      <w:pPr>
        <w:pStyle w:val="Testonotaapidipagina"/>
      </w:pPr>
    </w:p>
  </w:footnote>
  <w:footnote w:id="51">
    <w:p w14:paraId="0D865B32" w14:textId="77777777" w:rsidR="002D431C" w:rsidRPr="00556627" w:rsidRDefault="002D431C" w:rsidP="002D431C">
      <w:pPr>
        <w:jc w:val="both"/>
        <w:rPr>
          <w:color w:val="000000" w:themeColor="text1"/>
        </w:rPr>
      </w:pPr>
      <w:r>
        <w:rPr>
          <w:rStyle w:val="Rimandonotaapidipagina"/>
        </w:rPr>
        <w:footnoteRef/>
      </w:r>
      <w:r>
        <w:t xml:space="preserve"> </w:t>
      </w:r>
      <w:r w:rsidRPr="00556627">
        <w:rPr>
          <w:color w:val="000000" w:themeColor="text1"/>
        </w:rPr>
        <w:t xml:space="preserve">2.25. (Nuova formulazione) </w:t>
      </w:r>
      <w:proofErr w:type="spellStart"/>
      <w:r w:rsidRPr="00556627">
        <w:rPr>
          <w:color w:val="000000" w:themeColor="text1"/>
        </w:rPr>
        <w:t>Ianaro</w:t>
      </w:r>
      <w:proofErr w:type="spellEnd"/>
      <w:r w:rsidRPr="00556627">
        <w:rPr>
          <w:color w:val="000000" w:themeColor="text1"/>
        </w:rPr>
        <w:t>, Villani.</w:t>
      </w:r>
    </w:p>
    <w:p w14:paraId="0D2726B1" w14:textId="766555B1" w:rsidR="002D431C" w:rsidRDefault="002D431C">
      <w:pPr>
        <w:pStyle w:val="Testonotaapidipagina"/>
      </w:pPr>
    </w:p>
  </w:footnote>
  <w:footnote w:id="52">
    <w:p w14:paraId="033680B9" w14:textId="77777777" w:rsidR="00110A20" w:rsidRPr="00E85325" w:rsidRDefault="00110A20" w:rsidP="00110A20">
      <w:pPr>
        <w:jc w:val="both"/>
        <w:rPr>
          <w:color w:val="000000" w:themeColor="text1"/>
        </w:rPr>
      </w:pPr>
      <w:r>
        <w:rPr>
          <w:rStyle w:val="Rimandonotaapidipagina"/>
        </w:rPr>
        <w:footnoteRef/>
      </w:r>
      <w:r>
        <w:t xml:space="preserve"> </w:t>
      </w:r>
      <w:r w:rsidRPr="00E85325">
        <w:rPr>
          <w:color w:val="000000" w:themeColor="text1"/>
        </w:rPr>
        <w:t xml:space="preserve">2.025. (Nuova formulazione) </w:t>
      </w:r>
      <w:proofErr w:type="spellStart"/>
      <w:r w:rsidRPr="00E85325">
        <w:rPr>
          <w:color w:val="000000" w:themeColor="text1"/>
        </w:rPr>
        <w:t>Panizzut</w:t>
      </w:r>
      <w:proofErr w:type="spellEnd"/>
      <w:r w:rsidRPr="00E85325">
        <w:rPr>
          <w:color w:val="000000" w:themeColor="text1"/>
        </w:rPr>
        <w:t xml:space="preserve">, Boldi, De Martini, Foscolo, Lazzarini, </w:t>
      </w:r>
      <w:proofErr w:type="spellStart"/>
      <w:r w:rsidRPr="00E85325">
        <w:rPr>
          <w:color w:val="000000" w:themeColor="text1"/>
        </w:rPr>
        <w:t>Paolin</w:t>
      </w:r>
      <w:proofErr w:type="spellEnd"/>
      <w:r w:rsidRPr="00E85325">
        <w:rPr>
          <w:color w:val="000000" w:themeColor="text1"/>
        </w:rPr>
        <w:t xml:space="preserve">, </w:t>
      </w:r>
      <w:proofErr w:type="spellStart"/>
      <w:r w:rsidRPr="00E85325">
        <w:rPr>
          <w:color w:val="000000" w:themeColor="text1"/>
        </w:rPr>
        <w:t>Sutto</w:t>
      </w:r>
      <w:proofErr w:type="spellEnd"/>
      <w:r w:rsidRPr="00E85325">
        <w:rPr>
          <w:color w:val="000000" w:themeColor="text1"/>
        </w:rPr>
        <w:t xml:space="preserve">, </w:t>
      </w:r>
      <w:proofErr w:type="spellStart"/>
      <w:r w:rsidRPr="00E85325">
        <w:rPr>
          <w:color w:val="000000" w:themeColor="text1"/>
        </w:rPr>
        <w:t>Tiramani</w:t>
      </w:r>
      <w:proofErr w:type="spellEnd"/>
      <w:r w:rsidRPr="00E85325">
        <w:rPr>
          <w:color w:val="000000" w:themeColor="text1"/>
        </w:rPr>
        <w:t xml:space="preserve">, Zanella, </w:t>
      </w:r>
      <w:proofErr w:type="spellStart"/>
      <w:r w:rsidRPr="00E85325">
        <w:rPr>
          <w:color w:val="000000" w:themeColor="text1"/>
        </w:rPr>
        <w:t>Murelli</w:t>
      </w:r>
      <w:proofErr w:type="spellEnd"/>
      <w:r w:rsidRPr="00E85325">
        <w:rPr>
          <w:color w:val="000000" w:themeColor="text1"/>
        </w:rPr>
        <w:t xml:space="preserve">, Caparvi, Giaccone; 2.026. (Nuova formulazione) Lazzarini, </w:t>
      </w:r>
      <w:proofErr w:type="spellStart"/>
      <w:r w:rsidRPr="00E85325">
        <w:rPr>
          <w:color w:val="000000" w:themeColor="text1"/>
        </w:rPr>
        <w:t>Panizzut</w:t>
      </w:r>
      <w:proofErr w:type="spellEnd"/>
      <w:r w:rsidRPr="00E85325">
        <w:rPr>
          <w:color w:val="000000" w:themeColor="text1"/>
        </w:rPr>
        <w:t xml:space="preserve">, Boldi, De Martini, Foscolo, </w:t>
      </w:r>
      <w:proofErr w:type="spellStart"/>
      <w:r w:rsidRPr="00E85325">
        <w:rPr>
          <w:color w:val="000000" w:themeColor="text1"/>
        </w:rPr>
        <w:t>Paolin</w:t>
      </w:r>
      <w:proofErr w:type="spellEnd"/>
      <w:r w:rsidRPr="00E85325">
        <w:rPr>
          <w:color w:val="000000" w:themeColor="text1"/>
        </w:rPr>
        <w:t xml:space="preserve">, </w:t>
      </w:r>
      <w:proofErr w:type="spellStart"/>
      <w:r w:rsidRPr="00E85325">
        <w:rPr>
          <w:color w:val="000000" w:themeColor="text1"/>
        </w:rPr>
        <w:t>Sutto</w:t>
      </w:r>
      <w:proofErr w:type="spellEnd"/>
      <w:r w:rsidRPr="00E85325">
        <w:rPr>
          <w:color w:val="000000" w:themeColor="text1"/>
        </w:rPr>
        <w:t xml:space="preserve">, </w:t>
      </w:r>
      <w:proofErr w:type="spellStart"/>
      <w:r w:rsidRPr="00E85325">
        <w:rPr>
          <w:color w:val="000000" w:themeColor="text1"/>
        </w:rPr>
        <w:t>Tiramani</w:t>
      </w:r>
      <w:proofErr w:type="spellEnd"/>
      <w:r w:rsidRPr="00E85325">
        <w:rPr>
          <w:color w:val="000000" w:themeColor="text1"/>
        </w:rPr>
        <w:t xml:space="preserve">, Zanella, </w:t>
      </w:r>
      <w:proofErr w:type="spellStart"/>
      <w:r w:rsidRPr="00E85325">
        <w:rPr>
          <w:color w:val="000000" w:themeColor="text1"/>
        </w:rPr>
        <w:t>Murelli</w:t>
      </w:r>
      <w:proofErr w:type="spellEnd"/>
      <w:r w:rsidRPr="00E85325">
        <w:rPr>
          <w:color w:val="000000" w:themeColor="text1"/>
        </w:rPr>
        <w:t xml:space="preserve">, Caparvi, Giaccone; 2.03. (Nuova formulazione) Carnevali, Mura, De Filippo, Rizzo Nervo, Siani, Lepri, Pini, </w:t>
      </w:r>
      <w:proofErr w:type="spellStart"/>
      <w:r w:rsidRPr="00E85325">
        <w:rPr>
          <w:color w:val="000000" w:themeColor="text1"/>
        </w:rPr>
        <w:t>Viscomi</w:t>
      </w:r>
      <w:proofErr w:type="spellEnd"/>
      <w:r w:rsidRPr="00E85325">
        <w:rPr>
          <w:color w:val="000000" w:themeColor="text1"/>
        </w:rPr>
        <w:t xml:space="preserve">, Carla Cantone, Gribaudo, </w:t>
      </w:r>
      <w:proofErr w:type="spellStart"/>
      <w:r w:rsidRPr="00E85325">
        <w:rPr>
          <w:color w:val="000000" w:themeColor="text1"/>
        </w:rPr>
        <w:t>Lacarra</w:t>
      </w:r>
      <w:proofErr w:type="spellEnd"/>
      <w:r w:rsidRPr="00E85325">
        <w:rPr>
          <w:color w:val="000000" w:themeColor="text1"/>
        </w:rPr>
        <w:t>; 2.018. (Nuova formulazione) Noja, Ungaro; 2.027. (Nuova formulazione) De Lorenzo, Stumpo, Dori, Fornaro; 2.010. (Nuova formulazione) D'</w:t>
      </w:r>
      <w:proofErr w:type="spellStart"/>
      <w:r w:rsidRPr="00E85325">
        <w:rPr>
          <w:color w:val="000000" w:themeColor="text1"/>
        </w:rPr>
        <w:t>Arrando</w:t>
      </w:r>
      <w:proofErr w:type="spellEnd"/>
      <w:r w:rsidRPr="00E85325">
        <w:rPr>
          <w:color w:val="000000" w:themeColor="text1"/>
        </w:rPr>
        <w:t xml:space="preserve">; 2.024. (Nuova formulazione) De Martini, Lazzarini, </w:t>
      </w:r>
      <w:proofErr w:type="spellStart"/>
      <w:r w:rsidRPr="00E85325">
        <w:rPr>
          <w:color w:val="000000" w:themeColor="text1"/>
        </w:rPr>
        <w:t>Panizzut</w:t>
      </w:r>
      <w:proofErr w:type="spellEnd"/>
      <w:r w:rsidRPr="00E85325">
        <w:rPr>
          <w:color w:val="000000" w:themeColor="text1"/>
        </w:rPr>
        <w:t xml:space="preserve">, Boldi, Foscolo, </w:t>
      </w:r>
      <w:proofErr w:type="spellStart"/>
      <w:r w:rsidRPr="00E85325">
        <w:rPr>
          <w:color w:val="000000" w:themeColor="text1"/>
        </w:rPr>
        <w:t>Paolin</w:t>
      </w:r>
      <w:proofErr w:type="spellEnd"/>
      <w:r w:rsidRPr="00E85325">
        <w:rPr>
          <w:color w:val="000000" w:themeColor="text1"/>
        </w:rPr>
        <w:t xml:space="preserve">, </w:t>
      </w:r>
      <w:proofErr w:type="spellStart"/>
      <w:r w:rsidRPr="00E85325">
        <w:rPr>
          <w:color w:val="000000" w:themeColor="text1"/>
        </w:rPr>
        <w:t>Sutto</w:t>
      </w:r>
      <w:proofErr w:type="spellEnd"/>
      <w:r w:rsidRPr="00E85325">
        <w:rPr>
          <w:color w:val="000000" w:themeColor="text1"/>
        </w:rPr>
        <w:t xml:space="preserve">, </w:t>
      </w:r>
      <w:proofErr w:type="spellStart"/>
      <w:r w:rsidRPr="00E85325">
        <w:rPr>
          <w:color w:val="000000" w:themeColor="text1"/>
        </w:rPr>
        <w:t>Tiramani</w:t>
      </w:r>
      <w:proofErr w:type="spellEnd"/>
      <w:r w:rsidRPr="00E85325">
        <w:rPr>
          <w:color w:val="000000" w:themeColor="text1"/>
        </w:rPr>
        <w:t xml:space="preserve">, Zanella, </w:t>
      </w:r>
      <w:proofErr w:type="spellStart"/>
      <w:r w:rsidRPr="00E85325">
        <w:rPr>
          <w:color w:val="000000" w:themeColor="text1"/>
        </w:rPr>
        <w:t>Murelli</w:t>
      </w:r>
      <w:proofErr w:type="spellEnd"/>
      <w:r w:rsidRPr="00E85325">
        <w:rPr>
          <w:color w:val="000000" w:themeColor="text1"/>
        </w:rPr>
        <w:t xml:space="preserve">, Caparvi, Giaccone; 2.023. (Nuova formulazione) Versace, Bagnasco, Bond, </w:t>
      </w:r>
      <w:proofErr w:type="spellStart"/>
      <w:r w:rsidRPr="00E85325">
        <w:rPr>
          <w:color w:val="000000" w:themeColor="text1"/>
        </w:rPr>
        <w:t>Spena</w:t>
      </w:r>
      <w:proofErr w:type="spellEnd"/>
      <w:r w:rsidRPr="00E85325">
        <w:rPr>
          <w:color w:val="000000" w:themeColor="text1"/>
        </w:rPr>
        <w:t xml:space="preserve">, Brambilla, Labriola; 2.028. (Nuova formulazione) Bologna, </w:t>
      </w:r>
      <w:proofErr w:type="spellStart"/>
      <w:r w:rsidRPr="00E85325">
        <w:rPr>
          <w:color w:val="000000" w:themeColor="text1"/>
        </w:rPr>
        <w:t>Vietina</w:t>
      </w:r>
      <w:proofErr w:type="spellEnd"/>
      <w:r w:rsidRPr="00E85325">
        <w:rPr>
          <w:color w:val="000000" w:themeColor="text1"/>
        </w:rPr>
        <w:t>, Rospi, Baldini.</w:t>
      </w:r>
    </w:p>
    <w:p w14:paraId="5A1D6DB8" w14:textId="5CF4E929" w:rsidR="00110A20" w:rsidRDefault="00110A20">
      <w:pPr>
        <w:pStyle w:val="Testonotaapidipagina"/>
      </w:pPr>
    </w:p>
  </w:footnote>
  <w:footnote w:id="53">
    <w:p w14:paraId="4A868F08" w14:textId="77777777" w:rsidR="00C443E8" w:rsidRDefault="00C443E8" w:rsidP="00C443E8">
      <w:pPr>
        <w:jc w:val="both"/>
        <w:rPr>
          <w:color w:val="000000" w:themeColor="text1"/>
        </w:rPr>
      </w:pPr>
      <w:r>
        <w:rPr>
          <w:rStyle w:val="Rimandonotaapidipagina"/>
        </w:rPr>
        <w:footnoteRef/>
      </w:r>
      <w:r>
        <w:t xml:space="preserve"> </w:t>
      </w:r>
      <w:r w:rsidRPr="002C1CCD">
        <w:rPr>
          <w:color w:val="000000" w:themeColor="text1"/>
        </w:rPr>
        <w:t>0.1.500.23. D'</w:t>
      </w:r>
      <w:proofErr w:type="spellStart"/>
      <w:r w:rsidRPr="002C1CCD">
        <w:rPr>
          <w:color w:val="000000" w:themeColor="text1"/>
        </w:rPr>
        <w:t>Arrando</w:t>
      </w:r>
      <w:proofErr w:type="spellEnd"/>
      <w:r w:rsidRPr="002C1CCD">
        <w:rPr>
          <w:color w:val="000000" w:themeColor="text1"/>
        </w:rPr>
        <w:t xml:space="preserve">, </w:t>
      </w:r>
      <w:proofErr w:type="spellStart"/>
      <w:r w:rsidRPr="002C1CCD">
        <w:rPr>
          <w:color w:val="000000" w:themeColor="text1"/>
        </w:rPr>
        <w:t>Sut</w:t>
      </w:r>
      <w:proofErr w:type="spellEnd"/>
      <w:r w:rsidRPr="002C1CCD">
        <w:rPr>
          <w:color w:val="000000" w:themeColor="text1"/>
        </w:rPr>
        <w:t xml:space="preserve">, </w:t>
      </w:r>
      <w:proofErr w:type="spellStart"/>
      <w:r w:rsidRPr="002C1CCD">
        <w:rPr>
          <w:color w:val="000000" w:themeColor="text1"/>
        </w:rPr>
        <w:t>Ianaro</w:t>
      </w:r>
      <w:proofErr w:type="spellEnd"/>
      <w:r w:rsidRPr="002C1CCD">
        <w:rPr>
          <w:color w:val="000000" w:themeColor="text1"/>
        </w:rPr>
        <w:t>, Sportiello.</w:t>
      </w:r>
    </w:p>
    <w:p w14:paraId="0F894294" w14:textId="272A018C" w:rsidR="00C443E8" w:rsidRDefault="00C443E8">
      <w:pPr>
        <w:pStyle w:val="Testonotaapidipagina"/>
      </w:pPr>
    </w:p>
  </w:footnote>
  <w:footnote w:id="54">
    <w:p w14:paraId="748CB91E" w14:textId="77777777" w:rsidR="00C443E8" w:rsidRDefault="00C443E8" w:rsidP="00C443E8">
      <w:pPr>
        <w:jc w:val="both"/>
        <w:rPr>
          <w:color w:val="000000" w:themeColor="text1"/>
        </w:rPr>
      </w:pPr>
      <w:r>
        <w:rPr>
          <w:rStyle w:val="Rimandonotaapidipagina"/>
        </w:rPr>
        <w:footnoteRef/>
      </w:r>
      <w:r>
        <w:t xml:space="preserve"> </w:t>
      </w:r>
      <w:r w:rsidRPr="002C1CCD">
        <w:rPr>
          <w:color w:val="000000" w:themeColor="text1"/>
        </w:rPr>
        <w:t>0.1.500.23. D'</w:t>
      </w:r>
      <w:proofErr w:type="spellStart"/>
      <w:r w:rsidRPr="002C1CCD">
        <w:rPr>
          <w:color w:val="000000" w:themeColor="text1"/>
        </w:rPr>
        <w:t>Arrando</w:t>
      </w:r>
      <w:proofErr w:type="spellEnd"/>
      <w:r w:rsidRPr="002C1CCD">
        <w:rPr>
          <w:color w:val="000000" w:themeColor="text1"/>
        </w:rPr>
        <w:t xml:space="preserve">, </w:t>
      </w:r>
      <w:proofErr w:type="spellStart"/>
      <w:r w:rsidRPr="002C1CCD">
        <w:rPr>
          <w:color w:val="000000" w:themeColor="text1"/>
        </w:rPr>
        <w:t>Sut</w:t>
      </w:r>
      <w:proofErr w:type="spellEnd"/>
      <w:r w:rsidRPr="002C1CCD">
        <w:rPr>
          <w:color w:val="000000" w:themeColor="text1"/>
        </w:rPr>
        <w:t xml:space="preserve">, </w:t>
      </w:r>
      <w:proofErr w:type="spellStart"/>
      <w:r w:rsidRPr="002C1CCD">
        <w:rPr>
          <w:color w:val="000000" w:themeColor="text1"/>
        </w:rPr>
        <w:t>Ianaro</w:t>
      </w:r>
      <w:proofErr w:type="spellEnd"/>
      <w:r w:rsidRPr="002C1CCD">
        <w:rPr>
          <w:color w:val="000000" w:themeColor="text1"/>
        </w:rPr>
        <w:t>, Sportiello.</w:t>
      </w:r>
    </w:p>
    <w:p w14:paraId="5DF8237C" w14:textId="55A69EE5" w:rsidR="00C443E8" w:rsidRDefault="00C443E8">
      <w:pPr>
        <w:pStyle w:val="Testonotaapidipagina"/>
      </w:pPr>
    </w:p>
  </w:footnote>
  <w:footnote w:id="55">
    <w:p w14:paraId="1C1E7F0A" w14:textId="77777777" w:rsidR="00C443E8" w:rsidRDefault="00C443E8" w:rsidP="00C443E8">
      <w:pPr>
        <w:jc w:val="both"/>
        <w:rPr>
          <w:color w:val="000000" w:themeColor="text1"/>
        </w:rPr>
      </w:pPr>
      <w:r>
        <w:rPr>
          <w:rStyle w:val="Rimandonotaapidipagina"/>
        </w:rPr>
        <w:footnoteRef/>
      </w:r>
      <w:r>
        <w:t xml:space="preserve"> </w:t>
      </w:r>
      <w:r w:rsidRPr="002C1CCD">
        <w:rPr>
          <w:color w:val="000000" w:themeColor="text1"/>
        </w:rPr>
        <w:t>0.1.500.23. D'</w:t>
      </w:r>
      <w:proofErr w:type="spellStart"/>
      <w:r w:rsidRPr="002C1CCD">
        <w:rPr>
          <w:color w:val="000000" w:themeColor="text1"/>
        </w:rPr>
        <w:t>Arrando</w:t>
      </w:r>
      <w:proofErr w:type="spellEnd"/>
      <w:r w:rsidRPr="002C1CCD">
        <w:rPr>
          <w:color w:val="000000" w:themeColor="text1"/>
        </w:rPr>
        <w:t xml:space="preserve">, </w:t>
      </w:r>
      <w:proofErr w:type="spellStart"/>
      <w:r w:rsidRPr="002C1CCD">
        <w:rPr>
          <w:color w:val="000000" w:themeColor="text1"/>
        </w:rPr>
        <w:t>Sut</w:t>
      </w:r>
      <w:proofErr w:type="spellEnd"/>
      <w:r w:rsidRPr="002C1CCD">
        <w:rPr>
          <w:color w:val="000000" w:themeColor="text1"/>
        </w:rPr>
        <w:t xml:space="preserve">, </w:t>
      </w:r>
      <w:proofErr w:type="spellStart"/>
      <w:r w:rsidRPr="002C1CCD">
        <w:rPr>
          <w:color w:val="000000" w:themeColor="text1"/>
        </w:rPr>
        <w:t>Ianaro</w:t>
      </w:r>
      <w:proofErr w:type="spellEnd"/>
      <w:r w:rsidRPr="002C1CCD">
        <w:rPr>
          <w:color w:val="000000" w:themeColor="text1"/>
        </w:rPr>
        <w:t>, Sportiello.</w:t>
      </w:r>
    </w:p>
    <w:p w14:paraId="4C5B783D" w14:textId="58FC75CD" w:rsidR="00C443E8" w:rsidRDefault="00C443E8">
      <w:pPr>
        <w:pStyle w:val="Testonotaapidipagina"/>
      </w:pPr>
    </w:p>
  </w:footnote>
  <w:footnote w:id="56">
    <w:p w14:paraId="7AE1390C" w14:textId="77777777" w:rsidR="008F625A" w:rsidRPr="00BE779F" w:rsidRDefault="008F625A" w:rsidP="008F625A">
      <w:pPr>
        <w:shd w:val="clear" w:color="auto" w:fill="FFFFFF"/>
        <w:tabs>
          <w:tab w:val="left" w:pos="993"/>
        </w:tabs>
        <w:spacing w:after="120"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BE779F">
        <w:rPr>
          <w:rFonts w:asciiTheme="minorHAnsi" w:eastAsia="Times New Roman" w:hAnsiTheme="minorHAnsi" w:cs="Times New Roman"/>
          <w:bCs/>
          <w:color w:val="000000" w:themeColor="text1"/>
        </w:rPr>
        <w:t>1.500. Il Governo.</w:t>
      </w:r>
    </w:p>
    <w:p w14:paraId="68FC86B8" w14:textId="2D566E88" w:rsidR="008F625A" w:rsidRDefault="008F625A">
      <w:pPr>
        <w:pStyle w:val="Testonotaapidipagina"/>
      </w:pPr>
    </w:p>
  </w:footnote>
  <w:footnote w:id="57">
    <w:p w14:paraId="16CB935F" w14:textId="77777777" w:rsidR="009525DA" w:rsidRPr="00BE779F" w:rsidRDefault="009525DA" w:rsidP="009525DA">
      <w:pPr>
        <w:shd w:val="clear" w:color="auto" w:fill="FFFFFF"/>
        <w:tabs>
          <w:tab w:val="left" w:pos="993"/>
        </w:tabs>
        <w:spacing w:after="120"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BE779F">
        <w:rPr>
          <w:rFonts w:asciiTheme="minorHAnsi" w:eastAsia="Times New Roman" w:hAnsiTheme="minorHAnsi" w:cs="Times New Roman"/>
          <w:bCs/>
          <w:color w:val="000000" w:themeColor="text1"/>
        </w:rPr>
        <w:t>1.500. Il Governo.</w:t>
      </w:r>
    </w:p>
    <w:p w14:paraId="2E83176A" w14:textId="1AE16D3E" w:rsidR="009525DA" w:rsidRDefault="009525DA">
      <w:pPr>
        <w:pStyle w:val="Testonotaapidipagina"/>
      </w:pPr>
    </w:p>
  </w:footnote>
  <w:footnote w:id="58">
    <w:p w14:paraId="791AABDB" w14:textId="77777777" w:rsidR="007251F2" w:rsidRPr="00B973D0" w:rsidRDefault="007251F2" w:rsidP="007251F2">
      <w:pPr>
        <w:jc w:val="both"/>
        <w:rPr>
          <w:color w:val="000000" w:themeColor="text1"/>
        </w:rPr>
      </w:pPr>
      <w:r>
        <w:rPr>
          <w:rStyle w:val="Rimandonotaapidipagina"/>
        </w:rPr>
        <w:footnoteRef/>
      </w:r>
      <w:r>
        <w:t xml:space="preserve"> </w:t>
      </w:r>
      <w:r w:rsidRPr="00B973D0">
        <w:rPr>
          <w:color w:val="000000" w:themeColor="text1"/>
        </w:rPr>
        <w:t xml:space="preserve">5.07. (ex 1.113) (Nuova formulazione) Bologna, </w:t>
      </w:r>
      <w:proofErr w:type="spellStart"/>
      <w:r w:rsidRPr="00B973D0">
        <w:rPr>
          <w:color w:val="000000" w:themeColor="text1"/>
        </w:rPr>
        <w:t>Vietina</w:t>
      </w:r>
      <w:proofErr w:type="spellEnd"/>
      <w:r w:rsidRPr="00B973D0">
        <w:rPr>
          <w:color w:val="000000" w:themeColor="text1"/>
        </w:rPr>
        <w:t>, Rospi, Biancofiore, Baldini; 5.08. (ex 1.5) (Nuova formulazione) Versace, Labriola; 5.09. (ex 2.014) (Nuova formulazione) De Filippo, Buratti, Carnevali, Rizzo Nervo; 5.010. (ex 2.016) (Nuova formulazione) Nitti; 5.011. (ex 6.3) (Nuova formulazione) Ungaro.</w:t>
      </w:r>
    </w:p>
    <w:p w14:paraId="292253D6" w14:textId="0F3FF389" w:rsidR="007251F2" w:rsidRDefault="007251F2">
      <w:pPr>
        <w:pStyle w:val="Testonotaapidipagina"/>
      </w:pPr>
    </w:p>
  </w:footnote>
  <w:footnote w:id="59">
    <w:p w14:paraId="47E95084" w14:textId="77777777" w:rsidR="00AE2570" w:rsidRPr="00DA05C8" w:rsidRDefault="00AE2570" w:rsidP="00AE2570">
      <w:pPr>
        <w:jc w:val="both"/>
        <w:rPr>
          <w:color w:val="000000" w:themeColor="text1"/>
        </w:rPr>
      </w:pPr>
      <w:r>
        <w:rPr>
          <w:rStyle w:val="Rimandonotaapidipagina"/>
        </w:rPr>
        <w:footnoteRef/>
      </w:r>
      <w:r>
        <w:t xml:space="preserve"> </w:t>
      </w:r>
      <w:r w:rsidRPr="00DA05C8">
        <w:rPr>
          <w:color w:val="000000" w:themeColor="text1"/>
        </w:rPr>
        <w:t>7.1. (Nuova formulazione) Schirò, Rizzo Nervo.</w:t>
      </w:r>
    </w:p>
    <w:p w14:paraId="1D96C21D" w14:textId="5CC2B8AF" w:rsidR="00AE2570" w:rsidRDefault="00AE2570">
      <w:pPr>
        <w:pStyle w:val="Testonotaapidipagina"/>
      </w:pPr>
    </w:p>
  </w:footnote>
  <w:footnote w:id="60">
    <w:p w14:paraId="6B6D2B38" w14:textId="77777777" w:rsidR="009074D6" w:rsidRPr="00DA05C8" w:rsidRDefault="009074D6" w:rsidP="009074D6">
      <w:pPr>
        <w:jc w:val="both"/>
        <w:rPr>
          <w:color w:val="000000" w:themeColor="text1"/>
        </w:rPr>
      </w:pPr>
      <w:r>
        <w:rPr>
          <w:rStyle w:val="Rimandonotaapidipagina"/>
        </w:rPr>
        <w:footnoteRef/>
      </w:r>
      <w:r>
        <w:t xml:space="preserve"> </w:t>
      </w:r>
      <w:r w:rsidRPr="00DA05C8">
        <w:rPr>
          <w:color w:val="000000" w:themeColor="text1"/>
        </w:rPr>
        <w:t>8.1. (Nuova formulazione) Pagani, Rizzo Nervo.</w:t>
      </w:r>
    </w:p>
    <w:p w14:paraId="0492B2C2" w14:textId="561FE6EC" w:rsidR="009074D6" w:rsidRDefault="009074D6">
      <w:pPr>
        <w:pStyle w:val="Testonotaapidipagina"/>
      </w:pPr>
    </w:p>
  </w:footnote>
  <w:footnote w:id="61">
    <w:p w14:paraId="5E0975EA" w14:textId="77777777" w:rsidR="009074D6" w:rsidRPr="00DA05C8" w:rsidRDefault="009074D6" w:rsidP="009074D6">
      <w:pPr>
        <w:jc w:val="both"/>
        <w:rPr>
          <w:color w:val="000000" w:themeColor="text1"/>
        </w:rPr>
      </w:pPr>
      <w:r>
        <w:rPr>
          <w:rStyle w:val="Rimandonotaapidipagina"/>
        </w:rPr>
        <w:footnoteRef/>
      </w:r>
      <w:r w:rsidRPr="009815F1">
        <w:rPr>
          <w:lang w:val="en-GB"/>
        </w:rPr>
        <w:t xml:space="preserve"> </w:t>
      </w:r>
      <w:r w:rsidRPr="009815F1">
        <w:rPr>
          <w:color w:val="000000" w:themeColor="text1"/>
          <w:lang w:val="en-GB"/>
        </w:rPr>
        <w:t xml:space="preserve">9.03. Gebhard, Plangger, Schullian, Emanuela Rossini; 9.08. </w:t>
      </w:r>
      <w:proofErr w:type="spellStart"/>
      <w:r w:rsidRPr="00DA05C8">
        <w:rPr>
          <w:color w:val="000000" w:themeColor="text1"/>
        </w:rPr>
        <w:t>Sutto</w:t>
      </w:r>
      <w:proofErr w:type="spellEnd"/>
      <w:r w:rsidRPr="00DA05C8">
        <w:rPr>
          <w:color w:val="000000" w:themeColor="text1"/>
        </w:rPr>
        <w:t xml:space="preserve">, Binelli, Vanessa </w:t>
      </w:r>
      <w:proofErr w:type="spellStart"/>
      <w:r w:rsidRPr="00DA05C8">
        <w:rPr>
          <w:color w:val="000000" w:themeColor="text1"/>
        </w:rPr>
        <w:t>Cattoi</w:t>
      </w:r>
      <w:proofErr w:type="spellEnd"/>
      <w:r w:rsidRPr="00DA05C8">
        <w:rPr>
          <w:color w:val="000000" w:themeColor="text1"/>
        </w:rPr>
        <w:t>, Loss.</w:t>
      </w:r>
    </w:p>
    <w:p w14:paraId="69AA564D" w14:textId="2BFD7EBB" w:rsidR="009074D6" w:rsidRDefault="009074D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5C9B00B5" w:rsidR="00A06B48" w:rsidRDefault="00A06B48"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78C88791" w:rsidR="00A06B48" w:rsidRPr="00A82891" w:rsidRDefault="00A06B48"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7EEAFEA9" w:rsidR="00A06B48" w:rsidRDefault="00A06B48"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0BB2"/>
    <w:rsid w:val="0000283B"/>
    <w:rsid w:val="0000392B"/>
    <w:rsid w:val="00011639"/>
    <w:rsid w:val="00012608"/>
    <w:rsid w:val="0001354D"/>
    <w:rsid w:val="00013B07"/>
    <w:rsid w:val="0001412B"/>
    <w:rsid w:val="00014F29"/>
    <w:rsid w:val="00020E62"/>
    <w:rsid w:val="00026E34"/>
    <w:rsid w:val="0003007C"/>
    <w:rsid w:val="000312C3"/>
    <w:rsid w:val="00031318"/>
    <w:rsid w:val="000331CC"/>
    <w:rsid w:val="000334E1"/>
    <w:rsid w:val="00033C4F"/>
    <w:rsid w:val="00040E4A"/>
    <w:rsid w:val="00042E03"/>
    <w:rsid w:val="00043185"/>
    <w:rsid w:val="0004407E"/>
    <w:rsid w:val="00051A57"/>
    <w:rsid w:val="000525CC"/>
    <w:rsid w:val="0005286F"/>
    <w:rsid w:val="000548FD"/>
    <w:rsid w:val="00055E6C"/>
    <w:rsid w:val="00056A4A"/>
    <w:rsid w:val="00062B9B"/>
    <w:rsid w:val="00065D85"/>
    <w:rsid w:val="00082471"/>
    <w:rsid w:val="0009180C"/>
    <w:rsid w:val="00093EF1"/>
    <w:rsid w:val="00095FE5"/>
    <w:rsid w:val="000A078D"/>
    <w:rsid w:val="000A0A41"/>
    <w:rsid w:val="000B30C0"/>
    <w:rsid w:val="000B4E72"/>
    <w:rsid w:val="000B5768"/>
    <w:rsid w:val="000B5D07"/>
    <w:rsid w:val="000C2735"/>
    <w:rsid w:val="000C32B0"/>
    <w:rsid w:val="000C3A15"/>
    <w:rsid w:val="000C45FD"/>
    <w:rsid w:val="000C50F1"/>
    <w:rsid w:val="000C7656"/>
    <w:rsid w:val="000D6B51"/>
    <w:rsid w:val="000D78D2"/>
    <w:rsid w:val="000E2A19"/>
    <w:rsid w:val="000E48D4"/>
    <w:rsid w:val="000E58CB"/>
    <w:rsid w:val="000E653E"/>
    <w:rsid w:val="000F53CD"/>
    <w:rsid w:val="000F7413"/>
    <w:rsid w:val="000F7F93"/>
    <w:rsid w:val="00105332"/>
    <w:rsid w:val="00110A20"/>
    <w:rsid w:val="0011107C"/>
    <w:rsid w:val="00112F2F"/>
    <w:rsid w:val="00113CFE"/>
    <w:rsid w:val="00113F64"/>
    <w:rsid w:val="001157EA"/>
    <w:rsid w:val="00115AA5"/>
    <w:rsid w:val="0012190D"/>
    <w:rsid w:val="00125203"/>
    <w:rsid w:val="00125CBA"/>
    <w:rsid w:val="00126E8F"/>
    <w:rsid w:val="0013117C"/>
    <w:rsid w:val="00133E8D"/>
    <w:rsid w:val="00134C90"/>
    <w:rsid w:val="00134CFD"/>
    <w:rsid w:val="00135CEE"/>
    <w:rsid w:val="00136AAD"/>
    <w:rsid w:val="00137B3F"/>
    <w:rsid w:val="001406E9"/>
    <w:rsid w:val="001413DF"/>
    <w:rsid w:val="00141485"/>
    <w:rsid w:val="001434D9"/>
    <w:rsid w:val="00150DE0"/>
    <w:rsid w:val="0015538C"/>
    <w:rsid w:val="00156165"/>
    <w:rsid w:val="001636BB"/>
    <w:rsid w:val="00165484"/>
    <w:rsid w:val="00166CB1"/>
    <w:rsid w:val="0017004E"/>
    <w:rsid w:val="001718BB"/>
    <w:rsid w:val="00171C64"/>
    <w:rsid w:val="0017636E"/>
    <w:rsid w:val="0017723D"/>
    <w:rsid w:val="00182895"/>
    <w:rsid w:val="00187D36"/>
    <w:rsid w:val="0019195A"/>
    <w:rsid w:val="001927D7"/>
    <w:rsid w:val="00195034"/>
    <w:rsid w:val="001956A3"/>
    <w:rsid w:val="001A1A70"/>
    <w:rsid w:val="001A22CF"/>
    <w:rsid w:val="001A275C"/>
    <w:rsid w:val="001A669C"/>
    <w:rsid w:val="001A749A"/>
    <w:rsid w:val="001B3F84"/>
    <w:rsid w:val="001B687E"/>
    <w:rsid w:val="001C0AB0"/>
    <w:rsid w:val="001C56A3"/>
    <w:rsid w:val="001D04E2"/>
    <w:rsid w:val="001D1E46"/>
    <w:rsid w:val="001E27DD"/>
    <w:rsid w:val="001F378B"/>
    <w:rsid w:val="001F3E23"/>
    <w:rsid w:val="001F5EA4"/>
    <w:rsid w:val="001F6D3A"/>
    <w:rsid w:val="001F75AD"/>
    <w:rsid w:val="0020198A"/>
    <w:rsid w:val="00201A99"/>
    <w:rsid w:val="00201AFD"/>
    <w:rsid w:val="00205D32"/>
    <w:rsid w:val="0020737D"/>
    <w:rsid w:val="0021022B"/>
    <w:rsid w:val="00211BFD"/>
    <w:rsid w:val="00213445"/>
    <w:rsid w:val="0021358A"/>
    <w:rsid w:val="00214034"/>
    <w:rsid w:val="00215E69"/>
    <w:rsid w:val="00220748"/>
    <w:rsid w:val="0022078B"/>
    <w:rsid w:val="00226A4C"/>
    <w:rsid w:val="002273FB"/>
    <w:rsid w:val="00227FEC"/>
    <w:rsid w:val="00234096"/>
    <w:rsid w:val="00235445"/>
    <w:rsid w:val="00236326"/>
    <w:rsid w:val="0024213A"/>
    <w:rsid w:val="00245F0E"/>
    <w:rsid w:val="00251FEF"/>
    <w:rsid w:val="00252A4F"/>
    <w:rsid w:val="002565F2"/>
    <w:rsid w:val="0026062E"/>
    <w:rsid w:val="00262713"/>
    <w:rsid w:val="00262F41"/>
    <w:rsid w:val="00264750"/>
    <w:rsid w:val="002739D4"/>
    <w:rsid w:val="0027465D"/>
    <w:rsid w:val="00276E23"/>
    <w:rsid w:val="00283401"/>
    <w:rsid w:val="00283714"/>
    <w:rsid w:val="002846E6"/>
    <w:rsid w:val="002857B8"/>
    <w:rsid w:val="00285A07"/>
    <w:rsid w:val="002870B4"/>
    <w:rsid w:val="00287D20"/>
    <w:rsid w:val="00291278"/>
    <w:rsid w:val="00294ADF"/>
    <w:rsid w:val="0029625E"/>
    <w:rsid w:val="002971FC"/>
    <w:rsid w:val="002A02BE"/>
    <w:rsid w:val="002A0A24"/>
    <w:rsid w:val="002B44C9"/>
    <w:rsid w:val="002C7E0D"/>
    <w:rsid w:val="002D431C"/>
    <w:rsid w:val="002D4D31"/>
    <w:rsid w:val="002D6ED1"/>
    <w:rsid w:val="002D7720"/>
    <w:rsid w:val="002E1C7C"/>
    <w:rsid w:val="002E413C"/>
    <w:rsid w:val="002F18B4"/>
    <w:rsid w:val="002F2BAA"/>
    <w:rsid w:val="002F32F5"/>
    <w:rsid w:val="002F7AEC"/>
    <w:rsid w:val="00301809"/>
    <w:rsid w:val="00304A7A"/>
    <w:rsid w:val="003063A8"/>
    <w:rsid w:val="003078B7"/>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41212"/>
    <w:rsid w:val="0034367D"/>
    <w:rsid w:val="00346C59"/>
    <w:rsid w:val="00351552"/>
    <w:rsid w:val="00354FAF"/>
    <w:rsid w:val="0035669D"/>
    <w:rsid w:val="003607B7"/>
    <w:rsid w:val="0036194E"/>
    <w:rsid w:val="00363304"/>
    <w:rsid w:val="00364A97"/>
    <w:rsid w:val="00366E11"/>
    <w:rsid w:val="00372076"/>
    <w:rsid w:val="00375658"/>
    <w:rsid w:val="00377D10"/>
    <w:rsid w:val="003801C6"/>
    <w:rsid w:val="003905DB"/>
    <w:rsid w:val="00397931"/>
    <w:rsid w:val="003A0287"/>
    <w:rsid w:val="003B5530"/>
    <w:rsid w:val="003B55CF"/>
    <w:rsid w:val="003B618F"/>
    <w:rsid w:val="003C0333"/>
    <w:rsid w:val="003C1087"/>
    <w:rsid w:val="003C13CE"/>
    <w:rsid w:val="003C2822"/>
    <w:rsid w:val="003C382C"/>
    <w:rsid w:val="003C3FF0"/>
    <w:rsid w:val="003D1E5D"/>
    <w:rsid w:val="003D24F9"/>
    <w:rsid w:val="003D2A0B"/>
    <w:rsid w:val="003D492A"/>
    <w:rsid w:val="003D602D"/>
    <w:rsid w:val="003D6F56"/>
    <w:rsid w:val="003E19B6"/>
    <w:rsid w:val="003E675A"/>
    <w:rsid w:val="003E6C3F"/>
    <w:rsid w:val="003E7840"/>
    <w:rsid w:val="003F032E"/>
    <w:rsid w:val="003F2553"/>
    <w:rsid w:val="003F3306"/>
    <w:rsid w:val="003F51F8"/>
    <w:rsid w:val="004033D2"/>
    <w:rsid w:val="004035C7"/>
    <w:rsid w:val="004041F4"/>
    <w:rsid w:val="00410BE0"/>
    <w:rsid w:val="00410C42"/>
    <w:rsid w:val="0041357C"/>
    <w:rsid w:val="00420460"/>
    <w:rsid w:val="004226BC"/>
    <w:rsid w:val="00422E52"/>
    <w:rsid w:val="00424DB6"/>
    <w:rsid w:val="00434AA2"/>
    <w:rsid w:val="00440F4A"/>
    <w:rsid w:val="00441A04"/>
    <w:rsid w:val="00450D5B"/>
    <w:rsid w:val="004519D7"/>
    <w:rsid w:val="004532C6"/>
    <w:rsid w:val="004545F6"/>
    <w:rsid w:val="00454637"/>
    <w:rsid w:val="00456787"/>
    <w:rsid w:val="0045727A"/>
    <w:rsid w:val="00465F1C"/>
    <w:rsid w:val="00470EC5"/>
    <w:rsid w:val="00473B76"/>
    <w:rsid w:val="004764A8"/>
    <w:rsid w:val="0048054C"/>
    <w:rsid w:val="00481C8C"/>
    <w:rsid w:val="004832BA"/>
    <w:rsid w:val="0048371F"/>
    <w:rsid w:val="004850A2"/>
    <w:rsid w:val="00487615"/>
    <w:rsid w:val="004A76FE"/>
    <w:rsid w:val="004B288A"/>
    <w:rsid w:val="004B4327"/>
    <w:rsid w:val="004B7F2F"/>
    <w:rsid w:val="004B7F8A"/>
    <w:rsid w:val="004C00AE"/>
    <w:rsid w:val="004C0C9F"/>
    <w:rsid w:val="004C16CF"/>
    <w:rsid w:val="004C198B"/>
    <w:rsid w:val="004C7810"/>
    <w:rsid w:val="004C7ECF"/>
    <w:rsid w:val="004D03EF"/>
    <w:rsid w:val="004D04A9"/>
    <w:rsid w:val="004D0F93"/>
    <w:rsid w:val="004D4424"/>
    <w:rsid w:val="004D533E"/>
    <w:rsid w:val="004D588C"/>
    <w:rsid w:val="004D6B48"/>
    <w:rsid w:val="004D72A3"/>
    <w:rsid w:val="004D7FDD"/>
    <w:rsid w:val="004E4696"/>
    <w:rsid w:val="004E56A0"/>
    <w:rsid w:val="004E6060"/>
    <w:rsid w:val="004F0EE3"/>
    <w:rsid w:val="004F227F"/>
    <w:rsid w:val="004F5448"/>
    <w:rsid w:val="0050205B"/>
    <w:rsid w:val="005028B7"/>
    <w:rsid w:val="00505A7D"/>
    <w:rsid w:val="00507E3D"/>
    <w:rsid w:val="00510FB9"/>
    <w:rsid w:val="005127BF"/>
    <w:rsid w:val="005155CB"/>
    <w:rsid w:val="00516E7D"/>
    <w:rsid w:val="005171AF"/>
    <w:rsid w:val="00522697"/>
    <w:rsid w:val="00523A2C"/>
    <w:rsid w:val="00525326"/>
    <w:rsid w:val="00533418"/>
    <w:rsid w:val="005334F4"/>
    <w:rsid w:val="005345AF"/>
    <w:rsid w:val="00535DE3"/>
    <w:rsid w:val="0053600A"/>
    <w:rsid w:val="00536959"/>
    <w:rsid w:val="00537EE1"/>
    <w:rsid w:val="00541E41"/>
    <w:rsid w:val="005455B5"/>
    <w:rsid w:val="00553F54"/>
    <w:rsid w:val="00562CBE"/>
    <w:rsid w:val="00566352"/>
    <w:rsid w:val="005705AA"/>
    <w:rsid w:val="0057099F"/>
    <w:rsid w:val="00571386"/>
    <w:rsid w:val="00572BE9"/>
    <w:rsid w:val="0057525D"/>
    <w:rsid w:val="005753C8"/>
    <w:rsid w:val="005808AA"/>
    <w:rsid w:val="0058489B"/>
    <w:rsid w:val="00590380"/>
    <w:rsid w:val="00592362"/>
    <w:rsid w:val="005926F7"/>
    <w:rsid w:val="005934CD"/>
    <w:rsid w:val="005A0F9A"/>
    <w:rsid w:val="005B1A30"/>
    <w:rsid w:val="005B1E86"/>
    <w:rsid w:val="005B3648"/>
    <w:rsid w:val="005B48F7"/>
    <w:rsid w:val="005B4FD5"/>
    <w:rsid w:val="005B74C3"/>
    <w:rsid w:val="005C16F5"/>
    <w:rsid w:val="005C3407"/>
    <w:rsid w:val="005C4A39"/>
    <w:rsid w:val="005C7C10"/>
    <w:rsid w:val="005D50F5"/>
    <w:rsid w:val="005D520C"/>
    <w:rsid w:val="005D53A6"/>
    <w:rsid w:val="005E0892"/>
    <w:rsid w:val="005E472D"/>
    <w:rsid w:val="005E72C2"/>
    <w:rsid w:val="005F1255"/>
    <w:rsid w:val="005F1A2D"/>
    <w:rsid w:val="005F27F8"/>
    <w:rsid w:val="005F4267"/>
    <w:rsid w:val="006054DE"/>
    <w:rsid w:val="00605EB9"/>
    <w:rsid w:val="00606053"/>
    <w:rsid w:val="0061002C"/>
    <w:rsid w:val="00616C6F"/>
    <w:rsid w:val="006173DE"/>
    <w:rsid w:val="0062159B"/>
    <w:rsid w:val="006225CD"/>
    <w:rsid w:val="00623045"/>
    <w:rsid w:val="00623560"/>
    <w:rsid w:val="00623577"/>
    <w:rsid w:val="0063087A"/>
    <w:rsid w:val="006361BB"/>
    <w:rsid w:val="00644AD8"/>
    <w:rsid w:val="006508D0"/>
    <w:rsid w:val="006517AA"/>
    <w:rsid w:val="00652AF5"/>
    <w:rsid w:val="00652CF5"/>
    <w:rsid w:val="00652DC6"/>
    <w:rsid w:val="00653758"/>
    <w:rsid w:val="0065552E"/>
    <w:rsid w:val="0065699F"/>
    <w:rsid w:val="00656B6D"/>
    <w:rsid w:val="006603A2"/>
    <w:rsid w:val="00666366"/>
    <w:rsid w:val="006715DC"/>
    <w:rsid w:val="00671FC2"/>
    <w:rsid w:val="006770A1"/>
    <w:rsid w:val="00677E92"/>
    <w:rsid w:val="00682580"/>
    <w:rsid w:val="006839D6"/>
    <w:rsid w:val="0069179E"/>
    <w:rsid w:val="006973EE"/>
    <w:rsid w:val="006A144C"/>
    <w:rsid w:val="006A1DE0"/>
    <w:rsid w:val="006A579B"/>
    <w:rsid w:val="006B30B2"/>
    <w:rsid w:val="006B56BC"/>
    <w:rsid w:val="006C4C74"/>
    <w:rsid w:val="006D1C75"/>
    <w:rsid w:val="006D2F23"/>
    <w:rsid w:val="006E21D7"/>
    <w:rsid w:val="006E2B63"/>
    <w:rsid w:val="006E302B"/>
    <w:rsid w:val="006E522F"/>
    <w:rsid w:val="006E7E70"/>
    <w:rsid w:val="006F455D"/>
    <w:rsid w:val="006F5E11"/>
    <w:rsid w:val="006F6F3C"/>
    <w:rsid w:val="00704B03"/>
    <w:rsid w:val="007053B8"/>
    <w:rsid w:val="0070663F"/>
    <w:rsid w:val="007156B5"/>
    <w:rsid w:val="007207DA"/>
    <w:rsid w:val="0072446D"/>
    <w:rsid w:val="007251F2"/>
    <w:rsid w:val="00725C40"/>
    <w:rsid w:val="00726FDF"/>
    <w:rsid w:val="0072734B"/>
    <w:rsid w:val="00730F23"/>
    <w:rsid w:val="007329D0"/>
    <w:rsid w:val="00734D39"/>
    <w:rsid w:val="007364A2"/>
    <w:rsid w:val="00740F55"/>
    <w:rsid w:val="00744976"/>
    <w:rsid w:val="0074650F"/>
    <w:rsid w:val="00747EC8"/>
    <w:rsid w:val="00750EB1"/>
    <w:rsid w:val="00751D46"/>
    <w:rsid w:val="007532E8"/>
    <w:rsid w:val="00753E34"/>
    <w:rsid w:val="00754B81"/>
    <w:rsid w:val="0076318E"/>
    <w:rsid w:val="0077029C"/>
    <w:rsid w:val="0077462B"/>
    <w:rsid w:val="007754B1"/>
    <w:rsid w:val="007811E7"/>
    <w:rsid w:val="007831F4"/>
    <w:rsid w:val="00783AF0"/>
    <w:rsid w:val="00792ADB"/>
    <w:rsid w:val="00793B10"/>
    <w:rsid w:val="00793CC1"/>
    <w:rsid w:val="007A1606"/>
    <w:rsid w:val="007A303D"/>
    <w:rsid w:val="007A35B6"/>
    <w:rsid w:val="007A66FC"/>
    <w:rsid w:val="007B16C8"/>
    <w:rsid w:val="007B3A12"/>
    <w:rsid w:val="007B4730"/>
    <w:rsid w:val="007B5023"/>
    <w:rsid w:val="007B5275"/>
    <w:rsid w:val="007C1DAB"/>
    <w:rsid w:val="007C3B1E"/>
    <w:rsid w:val="007C436B"/>
    <w:rsid w:val="007C573D"/>
    <w:rsid w:val="007C70BC"/>
    <w:rsid w:val="007D14FF"/>
    <w:rsid w:val="007D36E1"/>
    <w:rsid w:val="007D51FE"/>
    <w:rsid w:val="007D7409"/>
    <w:rsid w:val="007D74F4"/>
    <w:rsid w:val="007E1F1F"/>
    <w:rsid w:val="007E4D43"/>
    <w:rsid w:val="007E4F90"/>
    <w:rsid w:val="007E5FDD"/>
    <w:rsid w:val="007F0465"/>
    <w:rsid w:val="007F2DFA"/>
    <w:rsid w:val="007F34E5"/>
    <w:rsid w:val="007F4B1D"/>
    <w:rsid w:val="007F50A8"/>
    <w:rsid w:val="00800796"/>
    <w:rsid w:val="00800D74"/>
    <w:rsid w:val="0080396B"/>
    <w:rsid w:val="008039B2"/>
    <w:rsid w:val="00804187"/>
    <w:rsid w:val="00816A2D"/>
    <w:rsid w:val="00820CB4"/>
    <w:rsid w:val="008246C0"/>
    <w:rsid w:val="00830635"/>
    <w:rsid w:val="008413E2"/>
    <w:rsid w:val="0084772D"/>
    <w:rsid w:val="00850907"/>
    <w:rsid w:val="00854469"/>
    <w:rsid w:val="008555E4"/>
    <w:rsid w:val="0086411D"/>
    <w:rsid w:val="00873812"/>
    <w:rsid w:val="0088040D"/>
    <w:rsid w:val="00880CE0"/>
    <w:rsid w:val="008857CB"/>
    <w:rsid w:val="00885EE4"/>
    <w:rsid w:val="00891EE5"/>
    <w:rsid w:val="00892983"/>
    <w:rsid w:val="0089371A"/>
    <w:rsid w:val="008978CE"/>
    <w:rsid w:val="008A1436"/>
    <w:rsid w:val="008A15BB"/>
    <w:rsid w:val="008A2963"/>
    <w:rsid w:val="008A2975"/>
    <w:rsid w:val="008A5034"/>
    <w:rsid w:val="008A5AAC"/>
    <w:rsid w:val="008A7373"/>
    <w:rsid w:val="008B2177"/>
    <w:rsid w:val="008B27CD"/>
    <w:rsid w:val="008C1950"/>
    <w:rsid w:val="008C2761"/>
    <w:rsid w:val="008C6A11"/>
    <w:rsid w:val="008D0E7A"/>
    <w:rsid w:val="008D3ABD"/>
    <w:rsid w:val="008D403E"/>
    <w:rsid w:val="008D50F8"/>
    <w:rsid w:val="008D5A12"/>
    <w:rsid w:val="008E3353"/>
    <w:rsid w:val="008E3C4F"/>
    <w:rsid w:val="008F0165"/>
    <w:rsid w:val="008F1B4E"/>
    <w:rsid w:val="008F2D7C"/>
    <w:rsid w:val="008F456C"/>
    <w:rsid w:val="008F625A"/>
    <w:rsid w:val="008F7901"/>
    <w:rsid w:val="00902675"/>
    <w:rsid w:val="00903114"/>
    <w:rsid w:val="00906464"/>
    <w:rsid w:val="00906668"/>
    <w:rsid w:val="00906D72"/>
    <w:rsid w:val="0090746A"/>
    <w:rsid w:val="009074D6"/>
    <w:rsid w:val="00911352"/>
    <w:rsid w:val="009154FE"/>
    <w:rsid w:val="00916000"/>
    <w:rsid w:val="00917B1C"/>
    <w:rsid w:val="0092229A"/>
    <w:rsid w:val="00924250"/>
    <w:rsid w:val="00924849"/>
    <w:rsid w:val="00930666"/>
    <w:rsid w:val="00930989"/>
    <w:rsid w:val="009326D3"/>
    <w:rsid w:val="00936B62"/>
    <w:rsid w:val="00936FBB"/>
    <w:rsid w:val="00937028"/>
    <w:rsid w:val="009407F9"/>
    <w:rsid w:val="009413E8"/>
    <w:rsid w:val="00941ED2"/>
    <w:rsid w:val="00950203"/>
    <w:rsid w:val="00950DD3"/>
    <w:rsid w:val="009511AE"/>
    <w:rsid w:val="009525DA"/>
    <w:rsid w:val="00952A50"/>
    <w:rsid w:val="00954A51"/>
    <w:rsid w:val="00954CF6"/>
    <w:rsid w:val="00954E5F"/>
    <w:rsid w:val="00954FA6"/>
    <w:rsid w:val="009553AE"/>
    <w:rsid w:val="00955763"/>
    <w:rsid w:val="00956698"/>
    <w:rsid w:val="0096056C"/>
    <w:rsid w:val="00961FD2"/>
    <w:rsid w:val="009624C1"/>
    <w:rsid w:val="009636B3"/>
    <w:rsid w:val="00966963"/>
    <w:rsid w:val="00966AE2"/>
    <w:rsid w:val="00971381"/>
    <w:rsid w:val="00972961"/>
    <w:rsid w:val="00972AC9"/>
    <w:rsid w:val="00974127"/>
    <w:rsid w:val="009769CB"/>
    <w:rsid w:val="00977105"/>
    <w:rsid w:val="009815F1"/>
    <w:rsid w:val="0099337D"/>
    <w:rsid w:val="00993538"/>
    <w:rsid w:val="00994F45"/>
    <w:rsid w:val="009962ED"/>
    <w:rsid w:val="009A74B2"/>
    <w:rsid w:val="009B23A9"/>
    <w:rsid w:val="009B2899"/>
    <w:rsid w:val="009B53F9"/>
    <w:rsid w:val="009B6CE9"/>
    <w:rsid w:val="009C53EF"/>
    <w:rsid w:val="009C570D"/>
    <w:rsid w:val="009D281B"/>
    <w:rsid w:val="009D4C28"/>
    <w:rsid w:val="009E014F"/>
    <w:rsid w:val="009F11A4"/>
    <w:rsid w:val="009F26AF"/>
    <w:rsid w:val="009F3802"/>
    <w:rsid w:val="009F3C67"/>
    <w:rsid w:val="009F5D98"/>
    <w:rsid w:val="00A00765"/>
    <w:rsid w:val="00A00E05"/>
    <w:rsid w:val="00A02402"/>
    <w:rsid w:val="00A03B51"/>
    <w:rsid w:val="00A06B48"/>
    <w:rsid w:val="00A07323"/>
    <w:rsid w:val="00A07672"/>
    <w:rsid w:val="00A16EC0"/>
    <w:rsid w:val="00A16FC1"/>
    <w:rsid w:val="00A203EE"/>
    <w:rsid w:val="00A20BEE"/>
    <w:rsid w:val="00A21E66"/>
    <w:rsid w:val="00A24F3A"/>
    <w:rsid w:val="00A30BD7"/>
    <w:rsid w:val="00A313F5"/>
    <w:rsid w:val="00A33CDD"/>
    <w:rsid w:val="00A34AE9"/>
    <w:rsid w:val="00A37720"/>
    <w:rsid w:val="00A4049F"/>
    <w:rsid w:val="00A43B43"/>
    <w:rsid w:val="00A5014D"/>
    <w:rsid w:val="00A51DA0"/>
    <w:rsid w:val="00A5211E"/>
    <w:rsid w:val="00A53ACB"/>
    <w:rsid w:val="00A54685"/>
    <w:rsid w:val="00A55A78"/>
    <w:rsid w:val="00A61AF7"/>
    <w:rsid w:val="00A6378C"/>
    <w:rsid w:val="00A67759"/>
    <w:rsid w:val="00A705D9"/>
    <w:rsid w:val="00A75719"/>
    <w:rsid w:val="00A808EB"/>
    <w:rsid w:val="00A82891"/>
    <w:rsid w:val="00A854AD"/>
    <w:rsid w:val="00A918F9"/>
    <w:rsid w:val="00A92EF0"/>
    <w:rsid w:val="00AA11AD"/>
    <w:rsid w:val="00AA120E"/>
    <w:rsid w:val="00AA127C"/>
    <w:rsid w:val="00AA5107"/>
    <w:rsid w:val="00AA706F"/>
    <w:rsid w:val="00AB6F71"/>
    <w:rsid w:val="00AC111B"/>
    <w:rsid w:val="00AC18FC"/>
    <w:rsid w:val="00AC288E"/>
    <w:rsid w:val="00AC2E79"/>
    <w:rsid w:val="00AC3A3B"/>
    <w:rsid w:val="00AC474B"/>
    <w:rsid w:val="00AD1B0C"/>
    <w:rsid w:val="00AD3DA4"/>
    <w:rsid w:val="00AD5AFD"/>
    <w:rsid w:val="00AE2570"/>
    <w:rsid w:val="00AE708D"/>
    <w:rsid w:val="00AF590A"/>
    <w:rsid w:val="00B0286F"/>
    <w:rsid w:val="00B07423"/>
    <w:rsid w:val="00B10817"/>
    <w:rsid w:val="00B10821"/>
    <w:rsid w:val="00B13F9F"/>
    <w:rsid w:val="00B159D2"/>
    <w:rsid w:val="00B16393"/>
    <w:rsid w:val="00B2344F"/>
    <w:rsid w:val="00B23C5F"/>
    <w:rsid w:val="00B2603D"/>
    <w:rsid w:val="00B26435"/>
    <w:rsid w:val="00B32CFF"/>
    <w:rsid w:val="00B32F3D"/>
    <w:rsid w:val="00B32FC9"/>
    <w:rsid w:val="00B34C24"/>
    <w:rsid w:val="00B379AF"/>
    <w:rsid w:val="00B42702"/>
    <w:rsid w:val="00B42FCB"/>
    <w:rsid w:val="00B4529F"/>
    <w:rsid w:val="00B45315"/>
    <w:rsid w:val="00B467E0"/>
    <w:rsid w:val="00B51638"/>
    <w:rsid w:val="00B520D6"/>
    <w:rsid w:val="00B522DE"/>
    <w:rsid w:val="00B5230B"/>
    <w:rsid w:val="00B52F6C"/>
    <w:rsid w:val="00B56801"/>
    <w:rsid w:val="00B61054"/>
    <w:rsid w:val="00B62016"/>
    <w:rsid w:val="00B6290E"/>
    <w:rsid w:val="00B645F5"/>
    <w:rsid w:val="00B67116"/>
    <w:rsid w:val="00B67C39"/>
    <w:rsid w:val="00B7653B"/>
    <w:rsid w:val="00B76C9A"/>
    <w:rsid w:val="00B778D4"/>
    <w:rsid w:val="00B82448"/>
    <w:rsid w:val="00B82DA5"/>
    <w:rsid w:val="00B858EF"/>
    <w:rsid w:val="00B9128A"/>
    <w:rsid w:val="00B93B12"/>
    <w:rsid w:val="00B95499"/>
    <w:rsid w:val="00BA3423"/>
    <w:rsid w:val="00BA3516"/>
    <w:rsid w:val="00BB2691"/>
    <w:rsid w:val="00BB608C"/>
    <w:rsid w:val="00BB62AF"/>
    <w:rsid w:val="00BC14B9"/>
    <w:rsid w:val="00BC2C29"/>
    <w:rsid w:val="00BC2F2E"/>
    <w:rsid w:val="00BC2F98"/>
    <w:rsid w:val="00BC49F4"/>
    <w:rsid w:val="00BC4B89"/>
    <w:rsid w:val="00BD155F"/>
    <w:rsid w:val="00BD415D"/>
    <w:rsid w:val="00BD4A22"/>
    <w:rsid w:val="00BD52BC"/>
    <w:rsid w:val="00BD6B17"/>
    <w:rsid w:val="00BE1D3A"/>
    <w:rsid w:val="00BE31DC"/>
    <w:rsid w:val="00BE3369"/>
    <w:rsid w:val="00BE3672"/>
    <w:rsid w:val="00BE3C18"/>
    <w:rsid w:val="00BE42ED"/>
    <w:rsid w:val="00BE485A"/>
    <w:rsid w:val="00BE50CB"/>
    <w:rsid w:val="00BE5171"/>
    <w:rsid w:val="00BE5A1B"/>
    <w:rsid w:val="00BE5EE1"/>
    <w:rsid w:val="00BE6A6C"/>
    <w:rsid w:val="00BF1F82"/>
    <w:rsid w:val="00C02901"/>
    <w:rsid w:val="00C0345D"/>
    <w:rsid w:val="00C051A0"/>
    <w:rsid w:val="00C0623F"/>
    <w:rsid w:val="00C13B2F"/>
    <w:rsid w:val="00C14E8D"/>
    <w:rsid w:val="00C2005D"/>
    <w:rsid w:val="00C20DE6"/>
    <w:rsid w:val="00C2564D"/>
    <w:rsid w:val="00C27BE4"/>
    <w:rsid w:val="00C32577"/>
    <w:rsid w:val="00C443E8"/>
    <w:rsid w:val="00C4624D"/>
    <w:rsid w:val="00C466AF"/>
    <w:rsid w:val="00C50F7C"/>
    <w:rsid w:val="00C51C68"/>
    <w:rsid w:val="00C5243A"/>
    <w:rsid w:val="00C553DF"/>
    <w:rsid w:val="00C65A6F"/>
    <w:rsid w:val="00C76E5E"/>
    <w:rsid w:val="00C77FEA"/>
    <w:rsid w:val="00C86438"/>
    <w:rsid w:val="00C86901"/>
    <w:rsid w:val="00C8754B"/>
    <w:rsid w:val="00C908BC"/>
    <w:rsid w:val="00C91B38"/>
    <w:rsid w:val="00C9381B"/>
    <w:rsid w:val="00C93C0E"/>
    <w:rsid w:val="00C943DC"/>
    <w:rsid w:val="00C973FC"/>
    <w:rsid w:val="00CA6FB6"/>
    <w:rsid w:val="00CA7386"/>
    <w:rsid w:val="00CB0296"/>
    <w:rsid w:val="00CB2D1D"/>
    <w:rsid w:val="00CB3CA1"/>
    <w:rsid w:val="00CB5E62"/>
    <w:rsid w:val="00CB5F02"/>
    <w:rsid w:val="00CC1493"/>
    <w:rsid w:val="00CC165B"/>
    <w:rsid w:val="00CC1F1B"/>
    <w:rsid w:val="00CC3DC5"/>
    <w:rsid w:val="00CC46ED"/>
    <w:rsid w:val="00CD386D"/>
    <w:rsid w:val="00CE0751"/>
    <w:rsid w:val="00CE5181"/>
    <w:rsid w:val="00CE64F8"/>
    <w:rsid w:val="00CE692C"/>
    <w:rsid w:val="00CE7AE2"/>
    <w:rsid w:val="00CF5ED7"/>
    <w:rsid w:val="00D015AC"/>
    <w:rsid w:val="00D025C8"/>
    <w:rsid w:val="00D03F5F"/>
    <w:rsid w:val="00D05434"/>
    <w:rsid w:val="00D13684"/>
    <w:rsid w:val="00D13A58"/>
    <w:rsid w:val="00D151BD"/>
    <w:rsid w:val="00D16843"/>
    <w:rsid w:val="00D22E40"/>
    <w:rsid w:val="00D25782"/>
    <w:rsid w:val="00D257BE"/>
    <w:rsid w:val="00D26D33"/>
    <w:rsid w:val="00D27808"/>
    <w:rsid w:val="00D3239E"/>
    <w:rsid w:val="00D32F72"/>
    <w:rsid w:val="00D3305F"/>
    <w:rsid w:val="00D33922"/>
    <w:rsid w:val="00D34A99"/>
    <w:rsid w:val="00D35B55"/>
    <w:rsid w:val="00D43152"/>
    <w:rsid w:val="00D455DA"/>
    <w:rsid w:val="00D50B6A"/>
    <w:rsid w:val="00D52D9C"/>
    <w:rsid w:val="00D542E0"/>
    <w:rsid w:val="00D55161"/>
    <w:rsid w:val="00D55834"/>
    <w:rsid w:val="00D628B2"/>
    <w:rsid w:val="00D6709B"/>
    <w:rsid w:val="00D727AF"/>
    <w:rsid w:val="00D76A6D"/>
    <w:rsid w:val="00D80AED"/>
    <w:rsid w:val="00D80B36"/>
    <w:rsid w:val="00D854D2"/>
    <w:rsid w:val="00D90935"/>
    <w:rsid w:val="00D90D1C"/>
    <w:rsid w:val="00D920B0"/>
    <w:rsid w:val="00D946FA"/>
    <w:rsid w:val="00DA1067"/>
    <w:rsid w:val="00DA1D50"/>
    <w:rsid w:val="00DB715D"/>
    <w:rsid w:val="00DC2F68"/>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3A3A"/>
    <w:rsid w:val="00E10939"/>
    <w:rsid w:val="00E10B48"/>
    <w:rsid w:val="00E10F35"/>
    <w:rsid w:val="00E11665"/>
    <w:rsid w:val="00E119AB"/>
    <w:rsid w:val="00E12266"/>
    <w:rsid w:val="00E124C9"/>
    <w:rsid w:val="00E129C6"/>
    <w:rsid w:val="00E12D33"/>
    <w:rsid w:val="00E12DC7"/>
    <w:rsid w:val="00E12E2D"/>
    <w:rsid w:val="00E149B5"/>
    <w:rsid w:val="00E17CFA"/>
    <w:rsid w:val="00E20887"/>
    <w:rsid w:val="00E24809"/>
    <w:rsid w:val="00E257C8"/>
    <w:rsid w:val="00E34094"/>
    <w:rsid w:val="00E36BE7"/>
    <w:rsid w:val="00E37BEC"/>
    <w:rsid w:val="00E40FD1"/>
    <w:rsid w:val="00E444DA"/>
    <w:rsid w:val="00E447A6"/>
    <w:rsid w:val="00E44F44"/>
    <w:rsid w:val="00E4606A"/>
    <w:rsid w:val="00E4730A"/>
    <w:rsid w:val="00E477A5"/>
    <w:rsid w:val="00E52027"/>
    <w:rsid w:val="00E5236F"/>
    <w:rsid w:val="00E52913"/>
    <w:rsid w:val="00E55C7F"/>
    <w:rsid w:val="00E600A5"/>
    <w:rsid w:val="00E74D4F"/>
    <w:rsid w:val="00E76304"/>
    <w:rsid w:val="00E7709B"/>
    <w:rsid w:val="00E80AF6"/>
    <w:rsid w:val="00E810E2"/>
    <w:rsid w:val="00E831A3"/>
    <w:rsid w:val="00E8364C"/>
    <w:rsid w:val="00E87237"/>
    <w:rsid w:val="00E94B93"/>
    <w:rsid w:val="00EA41FC"/>
    <w:rsid w:val="00EA6B07"/>
    <w:rsid w:val="00EB108E"/>
    <w:rsid w:val="00EB3B2C"/>
    <w:rsid w:val="00EB45F6"/>
    <w:rsid w:val="00EB6C23"/>
    <w:rsid w:val="00EC1DCD"/>
    <w:rsid w:val="00EC58C7"/>
    <w:rsid w:val="00ED0087"/>
    <w:rsid w:val="00ED3475"/>
    <w:rsid w:val="00ED787D"/>
    <w:rsid w:val="00EE1DD8"/>
    <w:rsid w:val="00EE4D49"/>
    <w:rsid w:val="00EE5B75"/>
    <w:rsid w:val="00EE5D4B"/>
    <w:rsid w:val="00EE7D35"/>
    <w:rsid w:val="00EF0D42"/>
    <w:rsid w:val="00EF3D6D"/>
    <w:rsid w:val="00EF5680"/>
    <w:rsid w:val="00EF599A"/>
    <w:rsid w:val="00EF7DC4"/>
    <w:rsid w:val="00EF7E38"/>
    <w:rsid w:val="00F00276"/>
    <w:rsid w:val="00F009FD"/>
    <w:rsid w:val="00F00B1C"/>
    <w:rsid w:val="00F05A11"/>
    <w:rsid w:val="00F11632"/>
    <w:rsid w:val="00F13D70"/>
    <w:rsid w:val="00F1515B"/>
    <w:rsid w:val="00F164A0"/>
    <w:rsid w:val="00F17175"/>
    <w:rsid w:val="00F25B8E"/>
    <w:rsid w:val="00F25BDF"/>
    <w:rsid w:val="00F305F6"/>
    <w:rsid w:val="00F347CD"/>
    <w:rsid w:val="00F40161"/>
    <w:rsid w:val="00F41ECE"/>
    <w:rsid w:val="00F41FA0"/>
    <w:rsid w:val="00F42C0E"/>
    <w:rsid w:val="00F43227"/>
    <w:rsid w:val="00F46BB9"/>
    <w:rsid w:val="00F51528"/>
    <w:rsid w:val="00F516A4"/>
    <w:rsid w:val="00F5379F"/>
    <w:rsid w:val="00F55D5C"/>
    <w:rsid w:val="00F61292"/>
    <w:rsid w:val="00F627C9"/>
    <w:rsid w:val="00F64885"/>
    <w:rsid w:val="00F64921"/>
    <w:rsid w:val="00F65524"/>
    <w:rsid w:val="00F65A63"/>
    <w:rsid w:val="00F6661B"/>
    <w:rsid w:val="00F679DD"/>
    <w:rsid w:val="00F70338"/>
    <w:rsid w:val="00F71CBA"/>
    <w:rsid w:val="00F74A55"/>
    <w:rsid w:val="00F77BB8"/>
    <w:rsid w:val="00F80181"/>
    <w:rsid w:val="00F8139A"/>
    <w:rsid w:val="00F8188D"/>
    <w:rsid w:val="00F86181"/>
    <w:rsid w:val="00F863AD"/>
    <w:rsid w:val="00F86472"/>
    <w:rsid w:val="00F916C7"/>
    <w:rsid w:val="00F96968"/>
    <w:rsid w:val="00FA0928"/>
    <w:rsid w:val="00FA0BE3"/>
    <w:rsid w:val="00FB097F"/>
    <w:rsid w:val="00FB0FF9"/>
    <w:rsid w:val="00FB5749"/>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7CB7-21A2-4CCD-B254-8D2C7287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6271</Words>
  <Characters>35749</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2021-09-17T10:00:00Z</dcterms:created>
  <dcterms:modified xsi:type="dcterms:W3CDTF">2021-09-17T10:00:00Z</dcterms:modified>
</cp:coreProperties>
</file>