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61F5DA79" w14:textId="77777777" w:rsidR="00BF56FD" w:rsidRPr="007B4730" w:rsidRDefault="00BF56FD" w:rsidP="00BF56FD">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DISEGNO DI LEGGE</w:t>
      </w:r>
    </w:p>
    <w:p w14:paraId="2FCB428D" w14:textId="77777777" w:rsidR="00BF56FD" w:rsidRDefault="00BF56FD" w:rsidP="00BF56FD">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55D690A8" w14:textId="311FF0D9" w:rsidR="00EF5680" w:rsidRPr="00BF56FD" w:rsidRDefault="00BF56FD" w:rsidP="00793CC1">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7633F7">
        <w:rPr>
          <w:rFonts w:asciiTheme="minorHAnsi" w:eastAsia="Times New Roman" w:hAnsiTheme="minorHAnsi" w:cs="Times New Roman"/>
          <w:bCs/>
          <w:iCs/>
          <w:color w:val="000000" w:themeColor="text1"/>
          <w:sz w:val="24"/>
          <w:szCs w:val="24"/>
        </w:rPr>
        <w:t>Conversione in legge del decreto-legge 21 settembre 2021, n. 127, recante misure urgenti per assicurare lo svolgimento in sicurezza del lavoro pubblico e privato mediante l'estensione dell'ambito applicativo della certificazione verde COVID-19 e il rafforzamento del sistema di screening</w:t>
      </w:r>
      <w:r>
        <w:rPr>
          <w:rFonts w:asciiTheme="minorHAnsi" w:eastAsia="Times New Roman" w:hAnsiTheme="minorHAnsi" w:cs="Times New Roman"/>
          <w:bCs/>
          <w:iCs/>
          <w:color w:val="000000" w:themeColor="text1"/>
          <w:sz w:val="24"/>
          <w:szCs w:val="24"/>
        </w:rPr>
        <w:t xml:space="preserve"> </w:t>
      </w:r>
      <w:r w:rsidRPr="00BF56FD">
        <w:rPr>
          <w:rFonts w:asciiTheme="minorHAnsi" w:eastAsia="Times New Roman" w:hAnsiTheme="minorHAnsi" w:cs="Times New Roman"/>
          <w:b/>
          <w:iCs/>
          <w:color w:val="000000" w:themeColor="text1"/>
          <w:sz w:val="24"/>
          <w:szCs w:val="24"/>
        </w:rPr>
        <w:t>S 2394</w:t>
      </w:r>
    </w:p>
    <w:p w14:paraId="198E60F5" w14:textId="4E1EF22E" w:rsidR="00084030" w:rsidRDefault="00262713" w:rsidP="00AF5621">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BF56FD">
        <w:rPr>
          <w:rFonts w:asciiTheme="minorHAnsi" w:eastAsia="Times New Roman" w:hAnsiTheme="minorHAnsi" w:cs="Times New Roman"/>
          <w:i/>
          <w:iCs/>
          <w:color w:val="000000" w:themeColor="text1"/>
          <w:sz w:val="24"/>
          <w:szCs w:val="24"/>
        </w:rPr>
        <w:t xml:space="preserve">seduta </w:t>
      </w:r>
      <w:r w:rsidR="00174402">
        <w:rPr>
          <w:rFonts w:asciiTheme="minorHAnsi" w:eastAsia="Times New Roman" w:hAnsiTheme="minorHAnsi" w:cs="Times New Roman"/>
          <w:i/>
          <w:iCs/>
          <w:color w:val="000000" w:themeColor="text1"/>
          <w:sz w:val="24"/>
          <w:szCs w:val="24"/>
        </w:rPr>
        <w:t>del</w:t>
      </w:r>
      <w:r w:rsidR="006D2F23">
        <w:rPr>
          <w:rFonts w:asciiTheme="minorHAnsi" w:eastAsia="Times New Roman" w:hAnsiTheme="minorHAnsi" w:cs="Times New Roman"/>
          <w:i/>
          <w:iCs/>
          <w:color w:val="000000" w:themeColor="text1"/>
          <w:sz w:val="24"/>
          <w:szCs w:val="24"/>
        </w:rPr>
        <w:t xml:space="preserve"> </w:t>
      </w:r>
      <w:r w:rsidR="00AF5621">
        <w:rPr>
          <w:rFonts w:asciiTheme="minorHAnsi" w:eastAsia="Times New Roman" w:hAnsiTheme="minorHAnsi" w:cs="Times New Roman"/>
          <w:i/>
          <w:iCs/>
          <w:color w:val="000000" w:themeColor="text1"/>
          <w:sz w:val="24"/>
          <w:szCs w:val="24"/>
        </w:rPr>
        <w:t>3 novembre</w:t>
      </w:r>
      <w:r w:rsidR="006D2F23">
        <w:rPr>
          <w:rFonts w:asciiTheme="minorHAnsi" w:eastAsia="Times New Roman" w:hAnsiTheme="minorHAnsi" w:cs="Times New Roman"/>
          <w:i/>
          <w:iCs/>
          <w:color w:val="000000" w:themeColor="text1"/>
          <w:sz w:val="24"/>
          <w:szCs w:val="24"/>
        </w:rPr>
        <w:t xml:space="preserve"> 2021,</w:t>
      </w:r>
      <w:r w:rsidRPr="00262713">
        <w:rPr>
          <w:rFonts w:asciiTheme="minorHAnsi" w:eastAsia="Times New Roman" w:hAnsiTheme="minorHAnsi" w:cs="Times New Roman"/>
          <w:i/>
          <w:iCs/>
          <w:color w:val="000000" w:themeColor="text1"/>
          <w:sz w:val="24"/>
          <w:szCs w:val="24"/>
        </w:rPr>
        <w:t xml:space="preserve"> l</w:t>
      </w:r>
      <w:r w:rsidR="00AF5621">
        <w:rPr>
          <w:rFonts w:asciiTheme="minorHAnsi" w:eastAsia="Times New Roman" w:hAnsiTheme="minorHAnsi" w:cs="Times New Roman"/>
          <w:i/>
          <w:iCs/>
          <w:color w:val="000000" w:themeColor="text1"/>
          <w:sz w:val="24"/>
          <w:szCs w:val="24"/>
        </w:rPr>
        <w:t>a</w:t>
      </w:r>
      <w:r w:rsidR="00073239">
        <w:rPr>
          <w:rFonts w:asciiTheme="minorHAnsi" w:eastAsia="Times New Roman" w:hAnsiTheme="minorHAnsi" w:cs="Times New Roman"/>
          <w:i/>
          <w:iCs/>
          <w:color w:val="000000" w:themeColor="text1"/>
          <w:sz w:val="24"/>
          <w:szCs w:val="24"/>
        </w:rPr>
        <w:t xml:space="preserve"> Commission</w:t>
      </w:r>
      <w:r w:rsidR="00AF5621">
        <w:rPr>
          <w:rFonts w:asciiTheme="minorHAnsi" w:eastAsia="Times New Roman" w:hAnsiTheme="minorHAnsi" w:cs="Times New Roman"/>
          <w:i/>
          <w:iCs/>
          <w:color w:val="000000" w:themeColor="text1"/>
          <w:sz w:val="24"/>
          <w:szCs w:val="24"/>
        </w:rPr>
        <w:t xml:space="preserve">e Affari Costituzionale </w:t>
      </w:r>
      <w:r w:rsidR="00BF56FD">
        <w:rPr>
          <w:rFonts w:asciiTheme="minorHAnsi" w:eastAsia="Times New Roman" w:hAnsiTheme="minorHAnsi" w:cs="Times New Roman"/>
          <w:i/>
          <w:iCs/>
          <w:color w:val="000000" w:themeColor="text1"/>
          <w:sz w:val="24"/>
          <w:szCs w:val="24"/>
        </w:rPr>
        <w:t xml:space="preserve">del Senato </w:t>
      </w:r>
      <w:r w:rsidR="00AF5621">
        <w:rPr>
          <w:rFonts w:asciiTheme="minorHAnsi" w:eastAsia="Times New Roman" w:hAnsiTheme="minorHAnsi" w:cs="Times New Roman"/>
          <w:i/>
          <w:iCs/>
          <w:color w:val="000000" w:themeColor="text1"/>
          <w:sz w:val="24"/>
          <w:szCs w:val="24"/>
        </w:rPr>
        <w:t>ha proseguito l’esame del provvedimento.</w:t>
      </w:r>
    </w:p>
    <w:p w14:paraId="5787DC29" w14:textId="6C7C44F6" w:rsidR="00AF5621" w:rsidRPr="00AF5621" w:rsidRDefault="00AF5621" w:rsidP="00AF5621">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AF5621">
        <w:rPr>
          <w:rFonts w:asciiTheme="minorHAnsi" w:eastAsia="Times New Roman" w:hAnsiTheme="minorHAnsi" w:cs="Times New Roman"/>
          <w:i/>
          <w:iCs/>
          <w:color w:val="000000" w:themeColor="text1"/>
          <w:sz w:val="24"/>
          <w:szCs w:val="24"/>
        </w:rPr>
        <w:t>Sono state presentate le seguenti riformulazioni: 1.17 (testo 2), 1.21 (testo 2), 1.23 (testo 2), 1.28 (testo 2), 1.37 (testo 2), 2.5 (testo 2), 3.21 (testo 2), 3.23 (testo 2), 3.29 (testo 2), 3.33 (testo 2), 3.57 (testo 2), 3.0.4 (testo 2), 3.34 (testo 2), 3.36 (testo 2), 3.51 (testo 2), 3.60 (testo 2), 3.0.3 (testo 2), 4.0.1 (testo 2), 5.3 (testo 2), 5.19 (testo 2), pubblicate in allegato al resoconto.</w:t>
      </w:r>
    </w:p>
    <w:p w14:paraId="6EBE15C0" w14:textId="766E95B0" w:rsidR="00AF5621" w:rsidRPr="00AF5621" w:rsidRDefault="00AF5621" w:rsidP="00AF5621">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AF5621">
        <w:rPr>
          <w:rFonts w:asciiTheme="minorHAnsi" w:eastAsia="Times New Roman" w:hAnsiTheme="minorHAnsi" w:cs="Times New Roman"/>
          <w:i/>
          <w:iCs/>
          <w:color w:val="000000" w:themeColor="text1"/>
          <w:sz w:val="24"/>
          <w:szCs w:val="24"/>
        </w:rPr>
        <w:t>E' stato riammesso all'esame l'emendamento 3.0.19.</w:t>
      </w:r>
    </w:p>
    <w:p w14:paraId="1D7E714B" w14:textId="0B7178C0" w:rsidR="00AF5621" w:rsidRPr="00AF5621" w:rsidRDefault="00AF5621" w:rsidP="00AF5621">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AF5621">
        <w:rPr>
          <w:rFonts w:asciiTheme="minorHAnsi" w:eastAsia="Times New Roman" w:hAnsiTheme="minorHAnsi" w:cs="Times New Roman"/>
          <w:i/>
          <w:iCs/>
          <w:color w:val="000000" w:themeColor="text1"/>
          <w:sz w:val="24"/>
          <w:szCs w:val="24"/>
        </w:rPr>
        <w:t>La relatrice ha presentato gli emendamenti 1.100, 1.200, 1.300, 2.100, 4.100, 4.200 e 5.100, pubblicati in allegato al resoconto.</w:t>
      </w:r>
    </w:p>
    <w:p w14:paraId="535EFAA9" w14:textId="4150793B" w:rsidR="00AF5621" w:rsidRPr="00AF5621" w:rsidRDefault="00AF5621" w:rsidP="00AF5621">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AF5621">
        <w:rPr>
          <w:rFonts w:asciiTheme="minorHAnsi" w:eastAsia="Times New Roman" w:hAnsiTheme="minorHAnsi" w:cs="Times New Roman"/>
          <w:i/>
          <w:iCs/>
          <w:color w:val="000000" w:themeColor="text1"/>
          <w:sz w:val="24"/>
          <w:szCs w:val="24"/>
        </w:rPr>
        <w:t>Sono stati approvati i seguenti emendamenti: gli identici 1.17 (testo 2), 1.21 (testo 2), 1.28 (testo 2), 1.37 (testo 2), 3.23 (testo 2), 3.57 (testo 2) e 5.19 (testo 2), gli identici 1.22 e 1.23 (testo 2), 1.100, 1.200, 1.300, 2.5 (testo 2), 2.100, 3.5, gli identici 3.20 e 3.21 (testo 2), gli identici 3.29 (testo 2), 3.33 (testo 2) e 3.0.4 (testo 2), gli identici 3.49, 3.50 e 3.51 (testo 2), 3.52, 3.0.3 (testo 2), 4.5, 4.100, 4.200, 4.0.1 (testo 2), gli identici 5.100 e 5.3 (testo 2), 8.0.3, 10.0.1.</w:t>
      </w:r>
    </w:p>
    <w:p w14:paraId="3D02CFC1" w14:textId="4747B5DC" w:rsidR="00AF5621" w:rsidRPr="00AF5621" w:rsidRDefault="00AF5621" w:rsidP="00AF5621">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AF5621">
        <w:rPr>
          <w:rFonts w:asciiTheme="minorHAnsi" w:eastAsia="Times New Roman" w:hAnsiTheme="minorHAnsi" w:cs="Times New Roman"/>
          <w:i/>
          <w:iCs/>
          <w:color w:val="000000" w:themeColor="text1"/>
          <w:sz w:val="24"/>
          <w:szCs w:val="24"/>
        </w:rPr>
        <w:t>Sono stati accantonati gli emendamenti 1.9, 1.10, 1.11, 1.33, 2.6, gli identici 2.0.1, 2.0.2 e 2.0.3, 3.4, gli identici 3.34 (testo 2) e 3.36 (testo 2), 3.35, 3.38, 3.60 (testo 2), 3.0.1, 3.0.6, 3.0.7, gli identici 3.0.12, 3.0.13, 3.0.14 e 3.0.15, 3.0.19, 4.6, 4.11, 4.0.4, 5.2, 5.4, 5.5, 5.9, gli identici 5.10 e 5.11, 5.12, 5.17, 5.20, 5.21, 5.0.2, 6.3, 6.0.1, 8.2, 8.0.1, 8.0.2, 9.0.1 (testo 2).</w:t>
      </w:r>
    </w:p>
    <w:p w14:paraId="22C25C77" w14:textId="1268908E" w:rsidR="00084030" w:rsidRDefault="00AF5621"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AF5621">
        <w:rPr>
          <w:rFonts w:asciiTheme="minorHAnsi" w:eastAsia="Times New Roman" w:hAnsiTheme="minorHAnsi" w:cs="Times New Roman"/>
          <w:i/>
          <w:iCs/>
          <w:color w:val="000000" w:themeColor="text1"/>
          <w:sz w:val="24"/>
          <w:szCs w:val="24"/>
        </w:rPr>
        <w:t>I restanti emendamenti sono stati respinti, ritirati o dichiarati decaduti per assenza dei proponenti.</w:t>
      </w:r>
    </w:p>
    <w:p w14:paraId="556EE300" w14:textId="2D1A7EB9" w:rsidR="008015BA" w:rsidRDefault="00BF56FD"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Di seguito</w:t>
      </w:r>
      <w:r w:rsidR="0062189D">
        <w:rPr>
          <w:rFonts w:asciiTheme="minorHAnsi" w:eastAsia="Times New Roman" w:hAnsiTheme="minorHAnsi" w:cs="Times New Roman"/>
          <w:i/>
          <w:iCs/>
          <w:color w:val="000000" w:themeColor="text1"/>
          <w:sz w:val="24"/>
          <w:szCs w:val="24"/>
        </w:rPr>
        <w:t xml:space="preserve"> l’articolato</w:t>
      </w:r>
      <w:r>
        <w:rPr>
          <w:rFonts w:asciiTheme="minorHAnsi" w:eastAsia="Times New Roman" w:hAnsiTheme="minorHAnsi" w:cs="Times New Roman"/>
          <w:i/>
          <w:iCs/>
          <w:color w:val="000000" w:themeColor="text1"/>
          <w:sz w:val="24"/>
          <w:szCs w:val="24"/>
        </w:rPr>
        <w:t xml:space="preserve"> aggiornato con gli emendamenti approvati</w:t>
      </w:r>
    </w:p>
    <w:p w14:paraId="4B4E3588" w14:textId="66616528" w:rsidR="00BF56FD" w:rsidRPr="00BF56FD" w:rsidRDefault="00BF56FD" w:rsidP="00BF56FD">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F56FD">
        <w:rPr>
          <w:rFonts w:asciiTheme="minorHAnsi" w:eastAsia="Times New Roman" w:hAnsiTheme="minorHAnsi" w:cs="Times New Roman"/>
          <w:color w:val="000000" w:themeColor="text1"/>
          <w:sz w:val="24"/>
          <w:szCs w:val="24"/>
        </w:rPr>
        <w:t xml:space="preserve">Le modifiche introdotte dagli emendamenti approvati si riportano in </w:t>
      </w:r>
      <w:r>
        <w:rPr>
          <w:rFonts w:asciiTheme="minorHAnsi" w:eastAsia="Times New Roman" w:hAnsiTheme="minorHAnsi" w:cs="Times New Roman"/>
          <w:color w:val="000000" w:themeColor="text1"/>
          <w:sz w:val="24"/>
          <w:szCs w:val="24"/>
        </w:rPr>
        <w:t xml:space="preserve">carattere </w:t>
      </w:r>
      <w:r w:rsidRPr="00BF56FD">
        <w:rPr>
          <w:rFonts w:asciiTheme="minorHAnsi" w:eastAsia="Times New Roman" w:hAnsiTheme="minorHAnsi" w:cs="Times New Roman"/>
          <w:b/>
          <w:bCs/>
          <w:color w:val="000000" w:themeColor="text1"/>
          <w:sz w:val="24"/>
          <w:szCs w:val="24"/>
        </w:rPr>
        <w:t>grassetto</w:t>
      </w:r>
      <w:r w:rsidRPr="00793CC1">
        <w:rPr>
          <w:rFonts w:asciiTheme="minorHAnsi" w:eastAsia="Times New Roman" w:hAnsiTheme="minorHAnsi" w:cs="Times New Roman"/>
          <w:b/>
          <w:bCs/>
          <w:color w:val="000000" w:themeColor="text1"/>
          <w:sz w:val="24"/>
          <w:szCs w:val="24"/>
        </w:rPr>
        <w:t xml:space="preserve">, </w:t>
      </w:r>
      <w:r w:rsidRPr="00BF56FD">
        <w:rPr>
          <w:rFonts w:asciiTheme="minorHAnsi" w:eastAsia="Times New Roman" w:hAnsiTheme="minorHAnsi" w:cs="Times New Roman"/>
          <w:color w:val="000000" w:themeColor="text1"/>
          <w:sz w:val="24"/>
          <w:szCs w:val="24"/>
        </w:rPr>
        <w:t xml:space="preserve">mentre le soppressioni (sostituzioni comprese) si riportano </w:t>
      </w:r>
      <w:r w:rsidRPr="00BF56FD">
        <w:rPr>
          <w:rFonts w:asciiTheme="minorHAnsi" w:eastAsia="Times New Roman" w:hAnsiTheme="minorHAnsi" w:cs="Times New Roman"/>
          <w:strike/>
          <w:color w:val="000000" w:themeColor="text1"/>
          <w:sz w:val="24"/>
          <w:szCs w:val="24"/>
          <w:shd w:val="clear" w:color="auto" w:fill="FFFB01"/>
        </w:rPr>
        <w:t>evidenziat</w:t>
      </w:r>
      <w:r w:rsidRPr="00793CC1">
        <w:rPr>
          <w:rFonts w:asciiTheme="minorHAnsi" w:eastAsia="Times New Roman" w:hAnsiTheme="minorHAnsi" w:cs="Times New Roman"/>
          <w:strike/>
          <w:color w:val="000000" w:themeColor="text1"/>
          <w:sz w:val="24"/>
          <w:szCs w:val="24"/>
          <w:shd w:val="clear" w:color="auto" w:fill="FFFB01"/>
        </w:rPr>
        <w:t>e</w:t>
      </w:r>
      <w:r w:rsidRPr="00793CC1">
        <w:rPr>
          <w:rFonts w:asciiTheme="minorHAnsi" w:eastAsia="Times New Roman" w:hAnsiTheme="minorHAnsi" w:cs="Times New Roman"/>
          <w:b/>
          <w:bCs/>
          <w:color w:val="000000" w:themeColor="text1"/>
          <w:sz w:val="24"/>
          <w:szCs w:val="24"/>
        </w:rPr>
        <w:t xml:space="preserve">. </w:t>
      </w:r>
      <w:r w:rsidRPr="00BF56FD">
        <w:rPr>
          <w:rFonts w:asciiTheme="minorHAnsi" w:eastAsia="Times New Roman" w:hAnsiTheme="minorHAnsi" w:cs="Times New Roman"/>
          <w:color w:val="000000" w:themeColor="text1"/>
          <w:sz w:val="24"/>
          <w:szCs w:val="24"/>
        </w:rPr>
        <w:t>Eventuali subemendamenti approvati</w:t>
      </w:r>
      <w:r w:rsidRPr="00793CC1">
        <w:rPr>
          <w:rFonts w:asciiTheme="minorHAnsi" w:eastAsia="Times New Roman" w:hAnsiTheme="minorHAnsi" w:cs="Times New Roman"/>
          <w:b/>
          <w:bCs/>
          <w:color w:val="000000" w:themeColor="text1"/>
          <w:sz w:val="24"/>
          <w:szCs w:val="24"/>
        </w:rPr>
        <w:t xml:space="preserve"> </w:t>
      </w:r>
      <w:r w:rsidRPr="00BF56FD">
        <w:rPr>
          <w:rFonts w:asciiTheme="minorHAnsi" w:eastAsia="Times New Roman" w:hAnsiTheme="minorHAnsi" w:cs="Times New Roman"/>
          <w:color w:val="000000" w:themeColor="text1"/>
          <w:sz w:val="24"/>
          <w:szCs w:val="24"/>
        </w:rPr>
        <w:t>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BF56FD">
        <w:rPr>
          <w:rFonts w:asciiTheme="minorHAnsi" w:eastAsia="Times New Roman" w:hAnsiTheme="minorHAnsi" w:cs="Times New Roman"/>
          <w:color w:val="000000" w:themeColor="text1"/>
          <w:sz w:val="24"/>
          <w:szCs w:val="24"/>
        </w:rPr>
        <w:t>A piè di pagina si riportano i riferimenti della proposta di modifica approvata.</w:t>
      </w:r>
    </w:p>
    <w:p w14:paraId="46873021" w14:textId="77777777" w:rsidR="00BF56FD" w:rsidRDefault="00BF56FD"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70ABB95B" w14:textId="61E7CC95" w:rsidR="008F456C" w:rsidRDefault="008F456C"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14A04E51" w14:textId="77777777" w:rsidR="00BE3672" w:rsidRPr="00262713" w:rsidRDefault="00BE3672"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06F2CA07"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B3D2CA9" w14:textId="77777777"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64E7191F" w14:textId="64E93943" w:rsidR="007B4730" w:rsidRDefault="007B4730"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46B640" w14:textId="77777777" w:rsidR="00BE3672" w:rsidRDefault="00BE3672"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0BBB047" w14:textId="77777777" w:rsidR="007B4730" w:rsidRPr="007B4730" w:rsidRDefault="007B4730" w:rsidP="007B47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7B4730">
        <w:rPr>
          <w:rFonts w:asciiTheme="minorHAnsi" w:eastAsia="Times New Roman" w:hAnsiTheme="minorHAnsi" w:cs="Times New Roman"/>
          <w:color w:val="000000" w:themeColor="text1"/>
          <w:sz w:val="24"/>
          <w:szCs w:val="24"/>
        </w:rPr>
        <w:t>DISEGNO DI LEGGE</w:t>
      </w:r>
    </w:p>
    <w:p w14:paraId="197F4129" w14:textId="77777777" w:rsidR="007633F7" w:rsidRDefault="007633F7" w:rsidP="007633F7">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p>
    <w:p w14:paraId="17E511F4" w14:textId="3457CA45" w:rsidR="007633F7" w:rsidRDefault="007633F7" w:rsidP="007633F7">
      <w:pPr>
        <w:shd w:val="clear" w:color="auto" w:fill="FFFFFF"/>
        <w:tabs>
          <w:tab w:val="left" w:pos="993"/>
        </w:tabs>
        <w:spacing w:after="120" w:line="240" w:lineRule="auto"/>
        <w:jc w:val="both"/>
        <w:rPr>
          <w:rFonts w:asciiTheme="minorHAnsi" w:eastAsia="Times New Roman" w:hAnsiTheme="minorHAnsi" w:cs="Times New Roman"/>
          <w:bCs/>
          <w:iCs/>
          <w:color w:val="000000" w:themeColor="text1"/>
          <w:sz w:val="24"/>
          <w:szCs w:val="24"/>
        </w:rPr>
      </w:pPr>
      <w:r w:rsidRPr="007633F7">
        <w:rPr>
          <w:rFonts w:asciiTheme="minorHAnsi" w:eastAsia="Times New Roman" w:hAnsiTheme="minorHAnsi" w:cs="Times New Roman"/>
          <w:bCs/>
          <w:iCs/>
          <w:color w:val="000000" w:themeColor="text1"/>
          <w:sz w:val="24"/>
          <w:szCs w:val="24"/>
        </w:rPr>
        <w:t>Conversione in legge del decreto-legge 21 settembre 2021, n. 127, recante misure urgenti per assicurare lo svolgimento in sicurezza del lavoro pubblico e privato mediante l'estensione dell'ambito applicativo della certificazione verde COVID-19 e il rafforzamento del sistema di screening</w:t>
      </w:r>
    </w:p>
    <w:p w14:paraId="5D9B64DE" w14:textId="77777777" w:rsidR="007633F7" w:rsidRDefault="007633F7" w:rsidP="004D4424">
      <w:pPr>
        <w:shd w:val="clear" w:color="auto" w:fill="FFFFFF"/>
        <w:tabs>
          <w:tab w:val="left" w:pos="993"/>
        </w:tabs>
        <w:spacing w:after="120" w:line="240" w:lineRule="auto"/>
        <w:jc w:val="center"/>
        <w:rPr>
          <w:rFonts w:asciiTheme="minorHAnsi" w:eastAsia="Times New Roman" w:hAnsiTheme="minorHAnsi" w:cs="Times New Roman"/>
          <w:bCs/>
          <w:iCs/>
          <w:color w:val="000000" w:themeColor="text1"/>
          <w:sz w:val="24"/>
          <w:szCs w:val="24"/>
        </w:rPr>
      </w:pPr>
    </w:p>
    <w:p w14:paraId="295B4902" w14:textId="77777777" w:rsidR="00073239" w:rsidRPr="00073239" w:rsidRDefault="00073239" w:rsidP="00073239">
      <w:pPr>
        <w:spacing w:after="160" w:line="259" w:lineRule="auto"/>
        <w:jc w:val="center"/>
        <w:rPr>
          <w:color w:val="auto"/>
          <w:sz w:val="24"/>
          <w:szCs w:val="24"/>
          <w:lang w:eastAsia="en-US"/>
        </w:rPr>
      </w:pPr>
    </w:p>
    <w:p w14:paraId="236BEBB4"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1.</w:t>
      </w:r>
    </w:p>
    <w:p w14:paraId="7E3E135B" w14:textId="77777777" w:rsidR="00AF5621" w:rsidRPr="00AF5621" w:rsidRDefault="00AF5621" w:rsidP="00AF5621">
      <w:pPr>
        <w:spacing w:after="160" w:line="259" w:lineRule="auto"/>
        <w:jc w:val="both"/>
        <w:rPr>
          <w:color w:val="auto"/>
          <w:sz w:val="24"/>
          <w:szCs w:val="24"/>
          <w:lang w:eastAsia="en-US"/>
        </w:rPr>
      </w:pPr>
    </w:p>
    <w:p w14:paraId="2E798864"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 È convertito in legge il decreto-legge 21 settembre 2021, n. 127, recante misure urgenti per assicurare lo svolgimento in sicurezza del lavoro pubblico e privato mediante l'estensione dell'ambito applicativo della certificazione verde COVID-19 e il rafforzamento del sistema di screening.</w:t>
      </w:r>
    </w:p>
    <w:p w14:paraId="07722166" w14:textId="77777777" w:rsidR="00AF5621" w:rsidRPr="00AF5621" w:rsidRDefault="00AF5621" w:rsidP="00AF5621">
      <w:pPr>
        <w:spacing w:after="160" w:line="259" w:lineRule="auto"/>
        <w:jc w:val="both"/>
        <w:rPr>
          <w:color w:val="auto"/>
          <w:sz w:val="24"/>
          <w:szCs w:val="24"/>
          <w:lang w:eastAsia="en-US"/>
        </w:rPr>
      </w:pPr>
    </w:p>
    <w:p w14:paraId="4077FAF4"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2. La presente legge entra in vigore il giorno successivo a quello della sua pubblicazione nella Gazzetta Ufficiale.</w:t>
      </w:r>
    </w:p>
    <w:p w14:paraId="55E3459F" w14:textId="77777777" w:rsidR="00AF5621" w:rsidRPr="00AF5621" w:rsidRDefault="00AF5621" w:rsidP="00AF5621">
      <w:pPr>
        <w:spacing w:after="160" w:line="259" w:lineRule="auto"/>
        <w:jc w:val="both"/>
        <w:rPr>
          <w:color w:val="auto"/>
          <w:sz w:val="24"/>
          <w:szCs w:val="24"/>
          <w:lang w:eastAsia="en-US"/>
        </w:rPr>
      </w:pPr>
    </w:p>
    <w:p w14:paraId="0241A62A" w14:textId="5F664B65" w:rsidR="007633F7" w:rsidRDefault="007633F7" w:rsidP="007633F7">
      <w:pPr>
        <w:spacing w:after="160" w:line="259" w:lineRule="auto"/>
        <w:jc w:val="center"/>
        <w:rPr>
          <w:color w:val="auto"/>
          <w:sz w:val="24"/>
          <w:szCs w:val="24"/>
          <w:lang w:eastAsia="en-US"/>
        </w:rPr>
      </w:pPr>
      <w:r>
        <w:rPr>
          <w:color w:val="auto"/>
          <w:sz w:val="24"/>
          <w:szCs w:val="24"/>
          <w:lang w:eastAsia="en-US"/>
        </w:rPr>
        <w:t>***</w:t>
      </w:r>
    </w:p>
    <w:p w14:paraId="7E71D5EB" w14:textId="77777777" w:rsidR="007633F7" w:rsidRDefault="007633F7" w:rsidP="00AF5621">
      <w:pPr>
        <w:spacing w:after="160" w:line="259" w:lineRule="auto"/>
        <w:jc w:val="both"/>
        <w:rPr>
          <w:color w:val="auto"/>
          <w:sz w:val="24"/>
          <w:szCs w:val="24"/>
          <w:lang w:eastAsia="en-US"/>
        </w:rPr>
      </w:pPr>
    </w:p>
    <w:p w14:paraId="0AF2BC95" w14:textId="72674292"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Decreto-legge 21 settembre 2021, n. 127, pubblicato nella Gazzetta Ufficiale n. 226 del 21 settembre 2021.</w:t>
      </w:r>
    </w:p>
    <w:p w14:paraId="1D394F1D"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Misure urgenti per assicurare lo svolgimento in sicurezza del lavoro pubblico e privato mediante l'estensione dell'ambito applicativo della certificazione verde COVID-19 e il rafforzamento del sistema di screening</w:t>
      </w:r>
    </w:p>
    <w:p w14:paraId="3A9CBABE" w14:textId="77777777" w:rsidR="00AF5621" w:rsidRPr="00AF5621" w:rsidRDefault="00AF5621" w:rsidP="00AF5621">
      <w:pPr>
        <w:spacing w:after="160" w:line="259" w:lineRule="auto"/>
        <w:jc w:val="both"/>
        <w:rPr>
          <w:color w:val="auto"/>
          <w:sz w:val="24"/>
          <w:szCs w:val="24"/>
          <w:lang w:eastAsia="en-US"/>
        </w:rPr>
      </w:pPr>
    </w:p>
    <w:p w14:paraId="29B4CF23"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lastRenderedPageBreak/>
        <w:t>Art. 1.</w:t>
      </w:r>
    </w:p>
    <w:p w14:paraId="187B2977"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(Disposizioni urgenti sull'impiego di certificazioni verdi</w:t>
      </w:r>
    </w:p>
    <w:p w14:paraId="47F2731A"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COVID-19 in ambito lavorativo pubblico)</w:t>
      </w:r>
    </w:p>
    <w:p w14:paraId="3B36811D" w14:textId="77777777" w:rsidR="00AF5621" w:rsidRPr="00AF5621" w:rsidRDefault="00AF5621" w:rsidP="00AF5621">
      <w:pPr>
        <w:spacing w:after="160" w:line="259" w:lineRule="auto"/>
        <w:jc w:val="both"/>
        <w:rPr>
          <w:color w:val="auto"/>
          <w:sz w:val="24"/>
          <w:szCs w:val="24"/>
          <w:lang w:eastAsia="en-US"/>
        </w:rPr>
      </w:pPr>
    </w:p>
    <w:p w14:paraId="3504191E"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 Al decreto-legge 22 aprile 2021, n. 52, convertito, con modificazioni, dalla legge 17 giugno 2021, n. 87, dopo l'articolo 9-quater è inserito il seguente:</w:t>
      </w:r>
    </w:p>
    <w:p w14:paraId="794456BB"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Art. 9-quinquies (Impiego delle certificazioni verdi COVID-19 nel settore pubblico). – 1. Dal 15 ottobre 2021 e fino al 31 dicembre 2021, termine di cessazione dello stato di emergenza, al fine di prevenire la diffusione dell'infezione da SARS-CoV-2, al personale delle amministrazioni pubbliche di cui all'articolo 1, comma 2, del decreto legislativo 30 marzo 2001, n. 165, al personale di cui all'articolo 3 del predetto decreto legislativo, al personale delle Autorità amministrative indipendenti, ivi comprese la Commissione nazionale per la società e la borsa e la Commissione di vigilanza sui fondi pensione, della Banca d'Italia, nonché degli enti pubblici economici e degli organi di rilievo costituzionale, ai fini dell'accesso ai luoghi di lavoro, nell'ambito del territorio nazionale, in cui il predetto personale svolge l'attività lavorativa, è fatto obbligo di possedere e di esibire, su richiesta, la certificazione verde COVID-19 di cui all'articolo 9, comma 2. Resta fermo quanto previsto dagli articoli 9-ter, 9-ter.1 e 9-ter.2 del presente decreto e dagli articoli 4 e 4-bis del decreto-legge 1° aprile 2021, n. 44, convertito, con modificazioni, dalla legge 28 maggio 2021, n. 76.</w:t>
      </w:r>
    </w:p>
    <w:p w14:paraId="4DC04509" w14:textId="77777777" w:rsidR="00AF5621" w:rsidRPr="00AF5621" w:rsidRDefault="00AF5621" w:rsidP="00AF5621">
      <w:pPr>
        <w:spacing w:after="160" w:line="259" w:lineRule="auto"/>
        <w:jc w:val="both"/>
        <w:rPr>
          <w:color w:val="auto"/>
          <w:sz w:val="24"/>
          <w:szCs w:val="24"/>
          <w:lang w:eastAsia="en-US"/>
        </w:rPr>
      </w:pPr>
    </w:p>
    <w:p w14:paraId="642542E8"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2. La disposizione di cui al comma 1 si applica altresì a tutti i soggetti che svolgono, a qualsiasi titolo, la propria attività lavorativa o di formazione o di volontariato presso le amministrazioni di cui al comma 1, anche sulla base di contratti esterni.</w:t>
      </w:r>
    </w:p>
    <w:p w14:paraId="0484B9EB" w14:textId="77777777" w:rsidR="00AF5621" w:rsidRPr="00AF5621" w:rsidRDefault="00AF5621" w:rsidP="00AF5621">
      <w:pPr>
        <w:spacing w:after="160" w:line="259" w:lineRule="auto"/>
        <w:jc w:val="both"/>
        <w:rPr>
          <w:color w:val="auto"/>
          <w:sz w:val="24"/>
          <w:szCs w:val="24"/>
          <w:lang w:eastAsia="en-US"/>
        </w:rPr>
      </w:pPr>
    </w:p>
    <w:p w14:paraId="72DD149B" w14:textId="6077014E"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xml:space="preserve">3. Le disposizioni di cui ai commi 1 e 2 non si applicano ai </w:t>
      </w:r>
      <w:r w:rsidRPr="00966FBB">
        <w:rPr>
          <w:strike/>
          <w:color w:val="auto"/>
          <w:sz w:val="24"/>
          <w:szCs w:val="24"/>
          <w:highlight w:val="yellow"/>
          <w:lang w:eastAsia="en-US"/>
        </w:rPr>
        <w:t>soggetti esenti dalla campagna vaccinale</w:t>
      </w:r>
      <w:r w:rsidRPr="00AF5621">
        <w:rPr>
          <w:color w:val="auto"/>
          <w:sz w:val="24"/>
          <w:szCs w:val="24"/>
          <w:lang w:eastAsia="en-US"/>
        </w:rPr>
        <w:t xml:space="preserve"> </w:t>
      </w:r>
      <w:r w:rsidR="00966FBB" w:rsidRPr="00952BDC">
        <w:rPr>
          <w:rFonts w:asciiTheme="minorHAnsi" w:hAnsiTheme="minorHAnsi" w:cstheme="minorHAnsi"/>
          <w:b/>
          <w:bCs/>
          <w:color w:val="000000" w:themeColor="text1"/>
          <w:sz w:val="24"/>
          <w:szCs w:val="24"/>
        </w:rPr>
        <w:t>soggetti esentati dalla somministrazione del vaccino</w:t>
      </w:r>
      <w:r w:rsidR="00966FBB" w:rsidRPr="00966FBB">
        <w:rPr>
          <w:rStyle w:val="Rimandonotaapidipagina"/>
          <w:rFonts w:asciiTheme="minorHAnsi" w:hAnsiTheme="minorHAnsi" w:cstheme="minorHAnsi"/>
          <w:color w:val="000000" w:themeColor="text1"/>
          <w:sz w:val="24"/>
          <w:szCs w:val="24"/>
        </w:rPr>
        <w:footnoteReference w:id="1"/>
      </w:r>
      <w:r w:rsidR="00966FBB" w:rsidRPr="00966FBB">
        <w:rPr>
          <w:rFonts w:asciiTheme="minorHAnsi" w:hAnsiTheme="minorHAnsi" w:cstheme="minorHAnsi"/>
          <w:color w:val="000000" w:themeColor="text1"/>
          <w:sz w:val="24"/>
          <w:szCs w:val="24"/>
        </w:rPr>
        <w:t xml:space="preserve"> </w:t>
      </w:r>
      <w:r w:rsidRPr="00AF5621">
        <w:rPr>
          <w:color w:val="auto"/>
          <w:sz w:val="24"/>
          <w:szCs w:val="24"/>
          <w:lang w:eastAsia="en-US"/>
        </w:rPr>
        <w:t>sulla base di idonea certificazione medica rilasciata secondo i criteri definiti con circolare del Ministero della salute.</w:t>
      </w:r>
    </w:p>
    <w:p w14:paraId="266C6CE8" w14:textId="77777777" w:rsidR="00AF5621" w:rsidRPr="00AF5621" w:rsidRDefault="00AF5621" w:rsidP="00AF5621">
      <w:pPr>
        <w:spacing w:after="160" w:line="259" w:lineRule="auto"/>
        <w:jc w:val="both"/>
        <w:rPr>
          <w:color w:val="auto"/>
          <w:sz w:val="24"/>
          <w:szCs w:val="24"/>
          <w:lang w:eastAsia="en-US"/>
        </w:rPr>
      </w:pPr>
    </w:p>
    <w:p w14:paraId="289AB7A8"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lastRenderedPageBreak/>
        <w:t>4. I datori di lavoro del personale di cui al comma 1 sono tenuti a verificare il rispetto delle prescrizioni di cui ai commi 1 e 2. Per i lavoratori di cui al comma 2 la verifica sul rispetto delle prescrizioni di cui al comma 1, oltre che dai soggetti di cui al primo periodo, è effettuata anche dai rispettivi datori di lavoro.</w:t>
      </w:r>
    </w:p>
    <w:p w14:paraId="5284646C" w14:textId="77777777" w:rsidR="00AF5621" w:rsidRPr="00AF5621" w:rsidRDefault="00AF5621" w:rsidP="00AF5621">
      <w:pPr>
        <w:spacing w:after="160" w:line="259" w:lineRule="auto"/>
        <w:jc w:val="both"/>
        <w:rPr>
          <w:color w:val="auto"/>
          <w:sz w:val="24"/>
          <w:szCs w:val="24"/>
          <w:lang w:eastAsia="en-US"/>
        </w:rPr>
      </w:pPr>
    </w:p>
    <w:p w14:paraId="3C0D6C82" w14:textId="4EA1C90F" w:rsidR="00AF5621" w:rsidRPr="00AF5621" w:rsidRDefault="00AF5621" w:rsidP="00174402">
      <w:pPr>
        <w:jc w:val="both"/>
        <w:rPr>
          <w:color w:val="auto"/>
          <w:sz w:val="24"/>
          <w:szCs w:val="24"/>
          <w:lang w:eastAsia="en-US"/>
        </w:rPr>
      </w:pPr>
      <w:r w:rsidRPr="00AF5621">
        <w:rPr>
          <w:color w:val="auto"/>
          <w:sz w:val="24"/>
          <w:szCs w:val="24"/>
          <w:lang w:eastAsia="en-US"/>
        </w:rPr>
        <w:t>5. I datori di lavoro di cui al comma 4, primo periodo, definiscono, entro il 15 ottobre 2021, le modalità operative per l'organizzazione delle verifiche di cui al comma 4, anche a campione, prevedendo prioritariamente, ove possibile, che tali controlli siano effettuati al momento dell'accesso ai luoghi di lavoro, e individuano con atto formale i soggetti incaricati dell'accertamento e della contestazione delle violazioni degli obblighi di cui ai commi 1 e 2.</w:t>
      </w:r>
      <w:r w:rsidR="004838A9">
        <w:rPr>
          <w:color w:val="auto"/>
          <w:sz w:val="24"/>
          <w:szCs w:val="24"/>
          <w:lang w:eastAsia="en-US"/>
        </w:rPr>
        <w:t xml:space="preserve"> </w:t>
      </w:r>
      <w:r w:rsidR="004838A9" w:rsidRPr="0064718B">
        <w:rPr>
          <w:b/>
          <w:bCs/>
          <w:color w:val="000000" w:themeColor="text1"/>
          <w:sz w:val="24"/>
          <w:szCs w:val="24"/>
        </w:rPr>
        <w:t>I datori di lavoro forniscono idonea informativa ai lavoratori e alle rispettive rappresentanze circa la predisposizione delle nuove modalità organizzative adottate per le verifiche di cui al comma 4.</w:t>
      </w:r>
      <w:r w:rsidR="008C42DF" w:rsidRPr="001E017B">
        <w:rPr>
          <w:rStyle w:val="Rimandonotaapidipagina"/>
          <w:color w:val="000000" w:themeColor="text1"/>
          <w:sz w:val="24"/>
          <w:szCs w:val="24"/>
        </w:rPr>
        <w:footnoteReference w:id="2"/>
      </w:r>
      <w:r w:rsidRPr="00AF5621">
        <w:rPr>
          <w:color w:val="auto"/>
          <w:sz w:val="24"/>
          <w:szCs w:val="24"/>
          <w:lang w:eastAsia="en-US"/>
        </w:rPr>
        <w:t xml:space="preserve"> Le verifiche delle certificazioni verdi COVID-19 sono effettuate con le modalità indicate dal decreto del Presidente del Consiglio dei ministri adottato ai sensi dell'articolo 9, comma 10. Il Presidente del Consiglio dei ministri, su proposta dei Ministri per la pubblica amministrazione e della salute, può adottare linee guida per la omogenea definizione delle modalità organizzative di cui al primo periodo. Per le regioni</w:t>
      </w:r>
      <w:r w:rsidR="00174402" w:rsidRPr="00952BDC">
        <w:rPr>
          <w:rFonts w:asciiTheme="minorHAnsi" w:hAnsiTheme="minorHAnsi" w:cstheme="minorHAnsi"/>
          <w:b/>
          <w:bCs/>
          <w:color w:val="000000" w:themeColor="text1"/>
          <w:sz w:val="24"/>
          <w:szCs w:val="24"/>
        </w:rPr>
        <w:t>, le province autonome</w:t>
      </w:r>
      <w:r w:rsidR="00174402">
        <w:rPr>
          <w:rStyle w:val="Rimandonotaapidipagina"/>
          <w:rFonts w:asciiTheme="minorHAnsi" w:hAnsiTheme="minorHAnsi" w:cstheme="minorHAnsi"/>
          <w:b/>
          <w:bCs/>
          <w:color w:val="000000" w:themeColor="text1"/>
          <w:sz w:val="24"/>
          <w:szCs w:val="24"/>
        </w:rPr>
        <w:footnoteReference w:id="3"/>
      </w:r>
      <w:r w:rsidR="00174402">
        <w:rPr>
          <w:rFonts w:asciiTheme="minorHAnsi" w:hAnsiTheme="minorHAnsi" w:cstheme="minorHAnsi"/>
          <w:b/>
          <w:bCs/>
          <w:color w:val="000000" w:themeColor="text1"/>
          <w:sz w:val="24"/>
          <w:szCs w:val="24"/>
        </w:rPr>
        <w:t xml:space="preserve"> </w:t>
      </w:r>
      <w:r w:rsidRPr="00AF5621">
        <w:rPr>
          <w:color w:val="auto"/>
          <w:sz w:val="24"/>
          <w:szCs w:val="24"/>
          <w:lang w:eastAsia="en-US"/>
        </w:rPr>
        <w:t>e gli enti locali le predette linee guida, ove adottate, sono definite d'intesa con la Conferenza unificata di cui all'articolo 8 del decreto legislativo 28 agosto 1997, n. 281.</w:t>
      </w:r>
    </w:p>
    <w:p w14:paraId="6A0898EE" w14:textId="77777777" w:rsidR="00AF5621" w:rsidRPr="00AF5621" w:rsidRDefault="00AF5621" w:rsidP="00AF5621">
      <w:pPr>
        <w:spacing w:after="160" w:line="259" w:lineRule="auto"/>
        <w:jc w:val="both"/>
        <w:rPr>
          <w:color w:val="auto"/>
          <w:sz w:val="24"/>
          <w:szCs w:val="24"/>
          <w:lang w:eastAsia="en-US"/>
        </w:rPr>
      </w:pPr>
    </w:p>
    <w:p w14:paraId="66DFDD44"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6. Il personale di cui al comma 1, nel caso in cui comunichi di non essere in possesso della certificazione verde COVID-19 o qualora risulti privo della predetta certificazione al momento dell'accesso al luogo di lavoro, al fine di tutelare la salute e la sicurezza dei lavoratori nel luogo di lavoro, è considerato assente ingiustificato fino alla presentazione della predetta certificazione e, comunque, non oltre il 31 dicembre 2021, termine di cessazione dello stato di emergenza, senza conseguenze disciplinari e con diritto alla conservazione del rapporto di lavoro. Per i giorni di assenza ingiustificata di cui al primo periodo non sono dovuti la retribuzione né altro compenso o emolumento, comunque denominati.</w:t>
      </w:r>
    </w:p>
    <w:p w14:paraId="35386EBE" w14:textId="77777777" w:rsidR="00AF5621" w:rsidRPr="00AF5621" w:rsidRDefault="00AF5621" w:rsidP="00AF5621">
      <w:pPr>
        <w:spacing w:after="160" w:line="259" w:lineRule="auto"/>
        <w:jc w:val="both"/>
        <w:rPr>
          <w:color w:val="auto"/>
          <w:sz w:val="24"/>
          <w:szCs w:val="24"/>
          <w:lang w:eastAsia="en-US"/>
        </w:rPr>
      </w:pPr>
    </w:p>
    <w:p w14:paraId="50FD3E39"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lastRenderedPageBreak/>
        <w:t>7. L'accesso del personale ai luoghi di lavoro di cui al comma 1 in violazione degli obblighi di cui ai commi 1 e 2, è punito con la sanzione di cui al comma 8 e restano ferme le conseguenze disciplinari secondo i rispettivi ordinamenti di appartenenza.</w:t>
      </w:r>
    </w:p>
    <w:p w14:paraId="1E48EA53" w14:textId="77777777" w:rsidR="00AF5621" w:rsidRPr="00AF5621" w:rsidRDefault="00AF5621" w:rsidP="00AF5621">
      <w:pPr>
        <w:spacing w:after="160" w:line="259" w:lineRule="auto"/>
        <w:jc w:val="both"/>
        <w:rPr>
          <w:color w:val="auto"/>
          <w:sz w:val="24"/>
          <w:szCs w:val="24"/>
          <w:lang w:eastAsia="en-US"/>
        </w:rPr>
      </w:pPr>
    </w:p>
    <w:p w14:paraId="14D5C80F" w14:textId="0619230B" w:rsidR="00102599" w:rsidRPr="00BF6935" w:rsidRDefault="00AF5621" w:rsidP="00102599">
      <w:pPr>
        <w:jc w:val="both"/>
        <w:rPr>
          <w:rFonts w:asciiTheme="minorHAnsi" w:hAnsiTheme="minorHAnsi" w:cstheme="minorHAnsi"/>
          <w:b/>
          <w:bCs/>
          <w:color w:val="000000" w:themeColor="text1"/>
          <w:sz w:val="24"/>
          <w:szCs w:val="24"/>
        </w:rPr>
      </w:pPr>
      <w:r w:rsidRPr="00AF5621">
        <w:rPr>
          <w:color w:val="auto"/>
          <w:sz w:val="24"/>
          <w:szCs w:val="24"/>
          <w:lang w:eastAsia="en-US"/>
        </w:rPr>
        <w:t xml:space="preserve">8. In caso di violazione delle disposizioni di cui al comma 4, di mancata adozione delle misure organizzative di cui al comma 5 nel termine previsto, nonché per la violazione di cui al comma 7, si applica l'articolo 4, commi 1, 3, 5 e 9, del decreto-legge 25 marzo 2020, n. 19, convertito, con modificazioni, dalla legge 22 maggio 2020, n. 35. Resta fermo quanto previsto dall'articolo 2, comma 2-bis, del decreto-legge 16 maggio 2020, n. 33, convertito, con modificazioni, dalla legge 14 luglio 2020, n. 74. Per le violazioni di cui al comma 7, la sanzione amministrativa prevista dal comma 1 del citato articolo 4 del decreto-legge n. 19 del 2020 </w:t>
      </w:r>
      <w:r w:rsidRPr="00102599">
        <w:rPr>
          <w:strike/>
          <w:color w:val="auto"/>
          <w:sz w:val="24"/>
          <w:szCs w:val="24"/>
          <w:highlight w:val="yellow"/>
          <w:lang w:eastAsia="en-US"/>
        </w:rPr>
        <w:t>è stabilita in euro da 600 a 1.500</w:t>
      </w:r>
      <w:r w:rsidR="00102599">
        <w:rPr>
          <w:color w:val="auto"/>
          <w:sz w:val="24"/>
          <w:szCs w:val="24"/>
          <w:lang w:eastAsia="en-US"/>
        </w:rPr>
        <w:t xml:space="preserve"> </w:t>
      </w:r>
      <w:r w:rsidR="00102599" w:rsidRPr="00BF6935">
        <w:rPr>
          <w:rFonts w:asciiTheme="minorHAnsi" w:hAnsiTheme="minorHAnsi" w:cstheme="minorHAnsi"/>
          <w:b/>
          <w:bCs/>
          <w:color w:val="000000" w:themeColor="text1"/>
          <w:sz w:val="24"/>
          <w:szCs w:val="24"/>
        </w:rPr>
        <w:t>è stabilita nel pagamento di una somma da euro 600 a euro 1.500</w:t>
      </w:r>
      <w:r w:rsidR="00102599" w:rsidRPr="00102599">
        <w:rPr>
          <w:rStyle w:val="Rimandonotaapidipagina"/>
          <w:rFonts w:asciiTheme="minorHAnsi" w:hAnsiTheme="minorHAnsi" w:cstheme="minorHAnsi"/>
          <w:color w:val="000000" w:themeColor="text1"/>
          <w:sz w:val="24"/>
          <w:szCs w:val="24"/>
        </w:rPr>
        <w:footnoteReference w:id="4"/>
      </w:r>
      <w:r w:rsidR="00102599" w:rsidRPr="00BF6935">
        <w:rPr>
          <w:rFonts w:asciiTheme="minorHAnsi" w:hAnsiTheme="minorHAnsi" w:cstheme="minorHAnsi"/>
          <w:b/>
          <w:bCs/>
          <w:color w:val="000000" w:themeColor="text1"/>
          <w:sz w:val="24"/>
          <w:szCs w:val="24"/>
        </w:rPr>
        <w:t>.</w:t>
      </w:r>
    </w:p>
    <w:p w14:paraId="61DED31F" w14:textId="0AEDB81E" w:rsidR="00AF5621" w:rsidRPr="00AF5621" w:rsidRDefault="00AF5621" w:rsidP="00AF5621">
      <w:pPr>
        <w:spacing w:after="160" w:line="259" w:lineRule="auto"/>
        <w:jc w:val="both"/>
        <w:rPr>
          <w:color w:val="auto"/>
          <w:sz w:val="24"/>
          <w:szCs w:val="24"/>
          <w:lang w:eastAsia="en-US"/>
        </w:rPr>
      </w:pPr>
    </w:p>
    <w:p w14:paraId="3C563FE0"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9. Le sanzioni di cui al comma 8 sono irrogate dal Prefetto. I soggetti incaricati dell'accertamento e della contestazione delle violazioni di cui al medesimo comma 8 trasmettono al Prefetto gli atti relativi alla violazione.</w:t>
      </w:r>
    </w:p>
    <w:p w14:paraId="53DD58A1" w14:textId="77777777" w:rsidR="00AF5621" w:rsidRPr="00AF5621" w:rsidRDefault="00AF5621" w:rsidP="00AF5621">
      <w:pPr>
        <w:spacing w:after="160" w:line="259" w:lineRule="auto"/>
        <w:jc w:val="both"/>
        <w:rPr>
          <w:color w:val="auto"/>
          <w:sz w:val="24"/>
          <w:szCs w:val="24"/>
          <w:lang w:eastAsia="en-US"/>
        </w:rPr>
      </w:pPr>
    </w:p>
    <w:p w14:paraId="6D9DF3AC"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10. Al personale di cui al comma 1 dell'articolo 9-sexies, collocato fuori ruolo presso le amministrazioni di cui al comma 1, si applicano le disposizioni di cui al medesimo articolo 9-sexies, commi 2 e 3, fermo restando quanto previsto dal comma 8 del presente articolo.</w:t>
      </w:r>
    </w:p>
    <w:p w14:paraId="5F9A0FDC" w14:textId="77777777" w:rsidR="00AF5621" w:rsidRPr="00AF5621" w:rsidRDefault="00AF5621" w:rsidP="00AF5621">
      <w:pPr>
        <w:spacing w:after="160" w:line="259" w:lineRule="auto"/>
        <w:jc w:val="both"/>
        <w:rPr>
          <w:color w:val="auto"/>
          <w:sz w:val="24"/>
          <w:szCs w:val="24"/>
          <w:lang w:eastAsia="en-US"/>
        </w:rPr>
      </w:pPr>
    </w:p>
    <w:p w14:paraId="345F46DC"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11. Fermo restando quanto previsto al comma 12, ai soggetti titolari di cariche elettive o di cariche istituzionali di vertice, si applicano le disposizioni di cui ai commi 1, 3, 4, 5 e 8.</w:t>
      </w:r>
    </w:p>
    <w:p w14:paraId="462E3AE4" w14:textId="77777777" w:rsidR="00AF5621" w:rsidRPr="00AF5621" w:rsidRDefault="00AF5621" w:rsidP="00AF5621">
      <w:pPr>
        <w:spacing w:after="160" w:line="259" w:lineRule="auto"/>
        <w:jc w:val="both"/>
        <w:rPr>
          <w:color w:val="auto"/>
          <w:sz w:val="24"/>
          <w:szCs w:val="24"/>
          <w:lang w:eastAsia="en-US"/>
        </w:rPr>
      </w:pPr>
    </w:p>
    <w:p w14:paraId="769615EA"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12. Gli organi costituzionali, ciascuno nell'ambito della propria autonomia, adeguano il proprio ordinamento alle disposizioni di cui al presente articolo.</w:t>
      </w:r>
    </w:p>
    <w:p w14:paraId="76D3B115" w14:textId="77777777" w:rsidR="00AF5621" w:rsidRPr="00AF5621" w:rsidRDefault="00AF5621" w:rsidP="00AF5621">
      <w:pPr>
        <w:spacing w:after="160" w:line="259" w:lineRule="auto"/>
        <w:jc w:val="both"/>
        <w:rPr>
          <w:color w:val="auto"/>
          <w:sz w:val="24"/>
          <w:szCs w:val="24"/>
          <w:lang w:eastAsia="en-US"/>
        </w:rPr>
      </w:pPr>
    </w:p>
    <w:p w14:paraId="323D753B"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lastRenderedPageBreak/>
        <w:t>13. Le amministrazioni di cui al comma 1, provvedono alle attività di cui al presente articolo con le risorse umane, finanziarie e strumentali disponibili a legislazione vigente e senza nuovi o maggiori oneri a carico della finanza pubblica. ».</w:t>
      </w:r>
    </w:p>
    <w:p w14:paraId="7AC722FC" w14:textId="77777777" w:rsidR="00AF5621" w:rsidRPr="00AF5621" w:rsidRDefault="00AF5621" w:rsidP="00AF5621">
      <w:pPr>
        <w:spacing w:after="160" w:line="259" w:lineRule="auto"/>
        <w:jc w:val="both"/>
        <w:rPr>
          <w:color w:val="auto"/>
          <w:sz w:val="24"/>
          <w:szCs w:val="24"/>
          <w:lang w:eastAsia="en-US"/>
        </w:rPr>
      </w:pPr>
    </w:p>
    <w:p w14:paraId="4496137C"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2.</w:t>
      </w:r>
    </w:p>
    <w:p w14:paraId="4C76524A"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(Impiego delle certificazioni verdi COVID-19 da parte</w:t>
      </w:r>
    </w:p>
    <w:p w14:paraId="723FBD57"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dei magistrati negli uffici giudiziari)</w:t>
      </w:r>
    </w:p>
    <w:p w14:paraId="124FB85B" w14:textId="77777777" w:rsidR="00AF5621" w:rsidRPr="00AF5621" w:rsidRDefault="00AF5621" w:rsidP="00AF5621">
      <w:pPr>
        <w:spacing w:after="160" w:line="259" w:lineRule="auto"/>
        <w:jc w:val="both"/>
        <w:rPr>
          <w:color w:val="auto"/>
          <w:sz w:val="24"/>
          <w:szCs w:val="24"/>
          <w:lang w:eastAsia="en-US"/>
        </w:rPr>
      </w:pPr>
    </w:p>
    <w:p w14:paraId="17603761"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 Al decreto-legge 22 aprile 2021, n. 52, convertito, con modificazioni, dalla legge 17 giugno 2021, n. 87, dopo l'articolo 9-quinquies, come introdotto dall'articolo 1, è inserito il seguente:</w:t>
      </w:r>
    </w:p>
    <w:p w14:paraId="6139402E"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Art. 9-sexies (Impiego delle certificazioni verdi COVID-19 da parte dei magistrati negli uffici giudiziari). – 1. Dal 15 ottobre 2021 e fino al 31 dicembre 2021, termine di cessazione dello stato di emergenza, al fine di tutelare la salute pubblica e mantenere adeguate condizioni di sicurezza, i magistrati ordinari, amministrativi, contabili e militari, i componenti delle commissioni tributarie non possono accedere agli uffici giudiziari ove svolgono la loro attività lavorativa se non possiedono e, su richiesta, non esibiscono la certificazione verde COVID-19 di cui all'articolo 9, comma 2.</w:t>
      </w:r>
    </w:p>
    <w:p w14:paraId="6C600A89" w14:textId="77777777" w:rsidR="00AF5621" w:rsidRPr="00AF5621" w:rsidRDefault="00AF5621" w:rsidP="00AF5621">
      <w:pPr>
        <w:spacing w:after="160" w:line="259" w:lineRule="auto"/>
        <w:jc w:val="both"/>
        <w:rPr>
          <w:color w:val="auto"/>
          <w:sz w:val="24"/>
          <w:szCs w:val="24"/>
          <w:lang w:eastAsia="en-US"/>
        </w:rPr>
      </w:pPr>
    </w:p>
    <w:p w14:paraId="3B812434" w14:textId="144A95C0" w:rsidR="00AF5621" w:rsidRPr="00AF5621" w:rsidRDefault="00AF5621" w:rsidP="00A016E1">
      <w:pPr>
        <w:jc w:val="both"/>
        <w:rPr>
          <w:color w:val="auto"/>
          <w:sz w:val="24"/>
          <w:szCs w:val="24"/>
          <w:lang w:eastAsia="en-US"/>
        </w:rPr>
      </w:pPr>
      <w:r w:rsidRPr="00AF5621">
        <w:rPr>
          <w:color w:val="auto"/>
          <w:sz w:val="24"/>
          <w:szCs w:val="24"/>
          <w:lang w:eastAsia="en-US"/>
        </w:rPr>
        <w:t xml:space="preserve">2. L'assenza dall'ufficio conseguente </w:t>
      </w:r>
      <w:r w:rsidRPr="00CB64E8">
        <w:rPr>
          <w:strike/>
          <w:color w:val="auto"/>
          <w:sz w:val="24"/>
          <w:szCs w:val="24"/>
          <w:highlight w:val="yellow"/>
          <w:lang w:eastAsia="en-US"/>
        </w:rPr>
        <w:t>alla carenza</w:t>
      </w:r>
      <w:r w:rsidRPr="00AF5621">
        <w:rPr>
          <w:color w:val="auto"/>
          <w:sz w:val="24"/>
          <w:szCs w:val="24"/>
          <w:lang w:eastAsia="en-US"/>
        </w:rPr>
        <w:t xml:space="preserve"> </w:t>
      </w:r>
      <w:r w:rsidR="00CB64E8" w:rsidRPr="00AD4C9E">
        <w:rPr>
          <w:rFonts w:asciiTheme="minorHAnsi" w:hAnsiTheme="minorHAnsi" w:cstheme="minorHAnsi"/>
          <w:b/>
          <w:bCs/>
          <w:color w:val="000000" w:themeColor="text1"/>
          <w:sz w:val="24"/>
          <w:szCs w:val="24"/>
        </w:rPr>
        <w:t>al mancato possesso</w:t>
      </w:r>
      <w:r w:rsidR="00CB64E8" w:rsidRPr="00A016E1">
        <w:rPr>
          <w:rStyle w:val="Rimandonotaapidipagina"/>
          <w:rFonts w:asciiTheme="minorHAnsi" w:hAnsiTheme="minorHAnsi" w:cstheme="minorHAnsi"/>
          <w:color w:val="000000" w:themeColor="text1"/>
          <w:sz w:val="24"/>
          <w:szCs w:val="24"/>
        </w:rPr>
        <w:footnoteReference w:id="5"/>
      </w:r>
      <w:r w:rsidR="00CB64E8" w:rsidRPr="00AF5621">
        <w:rPr>
          <w:color w:val="auto"/>
          <w:sz w:val="24"/>
          <w:szCs w:val="24"/>
          <w:lang w:eastAsia="en-US"/>
        </w:rPr>
        <w:t xml:space="preserve"> </w:t>
      </w:r>
      <w:r w:rsidRPr="00AF5621">
        <w:rPr>
          <w:color w:val="auto"/>
          <w:sz w:val="24"/>
          <w:szCs w:val="24"/>
          <w:lang w:eastAsia="en-US"/>
        </w:rPr>
        <w:t xml:space="preserve">o alla mancata esibizione della certificazione verde COVID-19 da parte dei soggetti di cui al comma 1 è considerata assenza ingiustificata con diritto alla conservazione del rapporto di lavoro </w:t>
      </w:r>
      <w:r w:rsidRPr="00A016E1">
        <w:rPr>
          <w:strike/>
          <w:color w:val="auto"/>
          <w:sz w:val="24"/>
          <w:szCs w:val="24"/>
          <w:highlight w:val="yellow"/>
          <w:lang w:eastAsia="en-US"/>
        </w:rPr>
        <w:t>e non sono dovuti</w:t>
      </w:r>
      <w:r w:rsidR="00A016E1">
        <w:rPr>
          <w:rFonts w:asciiTheme="minorHAnsi" w:hAnsiTheme="minorHAnsi" w:cstheme="minorHAnsi"/>
          <w:b/>
          <w:bCs/>
          <w:color w:val="000000" w:themeColor="text1"/>
          <w:sz w:val="24"/>
          <w:szCs w:val="24"/>
        </w:rPr>
        <w:t xml:space="preserve">. </w:t>
      </w:r>
      <w:r w:rsidR="00A016E1" w:rsidRPr="00B711BD">
        <w:rPr>
          <w:rFonts w:asciiTheme="minorHAnsi" w:hAnsiTheme="minorHAnsi" w:cstheme="minorHAnsi"/>
          <w:b/>
          <w:bCs/>
          <w:color w:val="000000" w:themeColor="text1"/>
          <w:sz w:val="24"/>
          <w:szCs w:val="24"/>
        </w:rPr>
        <w:t>Per i giorni di assenza ingiustificata di cui al primo periodo non sono dovuti</w:t>
      </w:r>
      <w:r w:rsidR="00A016E1" w:rsidRPr="00A016E1">
        <w:rPr>
          <w:rStyle w:val="Rimandonotaapidipagina"/>
          <w:rFonts w:asciiTheme="minorHAnsi" w:hAnsiTheme="minorHAnsi" w:cstheme="minorHAnsi"/>
          <w:color w:val="000000" w:themeColor="text1"/>
          <w:sz w:val="24"/>
          <w:szCs w:val="24"/>
        </w:rPr>
        <w:footnoteReference w:id="6"/>
      </w:r>
      <w:r w:rsidR="00A016E1">
        <w:rPr>
          <w:rFonts w:asciiTheme="minorHAnsi" w:hAnsiTheme="minorHAnsi" w:cstheme="minorHAnsi"/>
          <w:b/>
          <w:bCs/>
          <w:color w:val="000000" w:themeColor="text1"/>
          <w:sz w:val="24"/>
          <w:szCs w:val="24"/>
        </w:rPr>
        <w:t xml:space="preserve"> </w:t>
      </w:r>
      <w:r w:rsidRPr="00AF5621">
        <w:rPr>
          <w:color w:val="auto"/>
          <w:sz w:val="24"/>
          <w:szCs w:val="24"/>
          <w:lang w:eastAsia="en-US"/>
        </w:rPr>
        <w:t>la retribuzione né altro compenso o emolumento, comunque denominati.</w:t>
      </w:r>
    </w:p>
    <w:p w14:paraId="6456B13C" w14:textId="77777777" w:rsidR="00AF5621" w:rsidRPr="00AF5621" w:rsidRDefault="00AF5621" w:rsidP="00AF5621">
      <w:pPr>
        <w:spacing w:after="160" w:line="259" w:lineRule="auto"/>
        <w:jc w:val="both"/>
        <w:rPr>
          <w:color w:val="auto"/>
          <w:sz w:val="24"/>
          <w:szCs w:val="24"/>
          <w:lang w:eastAsia="en-US"/>
        </w:rPr>
      </w:pPr>
    </w:p>
    <w:p w14:paraId="6CDA3C89"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xml:space="preserve">3. L'accesso dei soggetti di cui al comma 1 agli uffici giudiziari in violazione della disposizione di cui al medesimo comma 1 integra illecito disciplinare ed è sanzionato per i magistrati ordinari ai sensi dell'articolo 12, comma 1, del decreto legislativo 23 febbraio 2006, n. 109, e per gli altri soggetti di cui al </w:t>
      </w:r>
      <w:r w:rsidRPr="00AF5621">
        <w:rPr>
          <w:color w:val="auto"/>
          <w:sz w:val="24"/>
          <w:szCs w:val="24"/>
          <w:lang w:eastAsia="en-US"/>
        </w:rPr>
        <w:lastRenderedPageBreak/>
        <w:t>medesimo comma 1 del presente articolo secondo i rispettivi ordinamenti di appartenenza. Il verbale di accertamento della violazione è trasmesso senza ritardo al titolare dell'azione disciplinare.</w:t>
      </w:r>
    </w:p>
    <w:p w14:paraId="0B5149A3" w14:textId="77777777" w:rsidR="00AF5621" w:rsidRPr="00AF5621" w:rsidRDefault="00AF5621" w:rsidP="00AF5621">
      <w:pPr>
        <w:spacing w:after="160" w:line="259" w:lineRule="auto"/>
        <w:jc w:val="both"/>
        <w:rPr>
          <w:color w:val="auto"/>
          <w:sz w:val="24"/>
          <w:szCs w:val="24"/>
          <w:lang w:eastAsia="en-US"/>
        </w:rPr>
      </w:pPr>
    </w:p>
    <w:p w14:paraId="55831B56" w14:textId="7B0A5CB4" w:rsidR="00AF5621" w:rsidRPr="00A016E1" w:rsidRDefault="00AF5621" w:rsidP="00A016E1">
      <w:pPr>
        <w:jc w:val="both"/>
        <w:rPr>
          <w:rFonts w:cstheme="minorHAnsi"/>
          <w:b/>
          <w:bCs/>
          <w:color w:val="000000" w:themeColor="text1"/>
          <w:sz w:val="24"/>
          <w:szCs w:val="24"/>
        </w:rPr>
      </w:pPr>
      <w:r w:rsidRPr="00AF5621">
        <w:rPr>
          <w:color w:val="auto"/>
          <w:sz w:val="24"/>
          <w:szCs w:val="24"/>
          <w:lang w:eastAsia="en-US"/>
        </w:rPr>
        <w:t>4. Le disposizioni di cui ai commi 1 e 6, e, in quanto compatibili, quelle di cui ai commi 2 e 3, si applicano anche al magistrato onorario</w:t>
      </w:r>
      <w:r w:rsidR="00A016E1" w:rsidRPr="00A016E1">
        <w:rPr>
          <w:rFonts w:asciiTheme="minorHAnsi" w:hAnsiTheme="minorHAnsi" w:cstheme="minorHAnsi"/>
          <w:b/>
          <w:bCs/>
          <w:color w:val="000000" w:themeColor="text1"/>
          <w:sz w:val="24"/>
          <w:szCs w:val="24"/>
        </w:rPr>
        <w:t xml:space="preserve"> </w:t>
      </w:r>
      <w:r w:rsidR="00A016E1" w:rsidRPr="00B711BD">
        <w:rPr>
          <w:rFonts w:asciiTheme="minorHAnsi" w:hAnsiTheme="minorHAnsi" w:cstheme="minorHAnsi"/>
          <w:b/>
          <w:bCs/>
          <w:color w:val="000000" w:themeColor="text1"/>
          <w:sz w:val="24"/>
          <w:szCs w:val="24"/>
        </w:rPr>
        <w:t>e ai giudici popolari</w:t>
      </w:r>
      <w:r w:rsidR="00A016E1">
        <w:rPr>
          <w:rFonts w:asciiTheme="minorHAnsi" w:hAnsiTheme="minorHAnsi" w:cstheme="minorHAnsi"/>
          <w:b/>
          <w:bCs/>
          <w:color w:val="000000" w:themeColor="text1"/>
          <w:sz w:val="24"/>
          <w:szCs w:val="24"/>
        </w:rPr>
        <w:t>.</w:t>
      </w:r>
      <w:r w:rsidR="00A016E1" w:rsidRPr="00A016E1">
        <w:rPr>
          <w:rStyle w:val="Rimandonotaapidipagina"/>
          <w:rFonts w:asciiTheme="minorHAnsi" w:hAnsiTheme="minorHAnsi" w:cstheme="minorHAnsi"/>
          <w:color w:val="000000" w:themeColor="text1"/>
          <w:sz w:val="24"/>
          <w:szCs w:val="24"/>
        </w:rPr>
        <w:footnoteReference w:id="7"/>
      </w:r>
    </w:p>
    <w:p w14:paraId="21BC9560"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5. I responsabili della sicurezza delle strutture in cui si svolge l'attività giudiziaria, individuato per la magistratura ordinaria nel procuratore generale presso la corte di appello, sono tenuti a verificare il rispetto delle prescrizioni di cui al comma 1, anche avvalendosi di delegati. Le verifiche delle certificazioni verdi COVID-19 sono effettuate con le modalità di cui al comma 5, dell'articolo 9-quinquies. Con circolare del Ministero della giustizia, per i profili di competenza, possono essere stabilite ulteriori modalità di verifica.</w:t>
      </w:r>
    </w:p>
    <w:p w14:paraId="5ABB4343" w14:textId="77777777" w:rsidR="00AF5621" w:rsidRPr="00AF5621" w:rsidRDefault="00AF5621" w:rsidP="00AF5621">
      <w:pPr>
        <w:spacing w:after="160" w:line="259" w:lineRule="auto"/>
        <w:jc w:val="both"/>
        <w:rPr>
          <w:color w:val="auto"/>
          <w:sz w:val="24"/>
          <w:szCs w:val="24"/>
          <w:lang w:eastAsia="en-US"/>
        </w:rPr>
      </w:pPr>
    </w:p>
    <w:p w14:paraId="5D1054CE"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6. Fermo restando quanto previsto ai commi 3 e 4, l'accesso agli uffici giudiziari in violazione della disposizione di cui al comma 1 e la violazione delle disposizioni di cui al comma 5 sono sanzionati ai sensi del comma 8 dell'articolo 9-quinquies.</w:t>
      </w:r>
    </w:p>
    <w:p w14:paraId="56923927" w14:textId="77777777" w:rsidR="00AF5621" w:rsidRPr="00AF5621" w:rsidRDefault="00AF5621" w:rsidP="00AF5621">
      <w:pPr>
        <w:spacing w:after="160" w:line="259" w:lineRule="auto"/>
        <w:jc w:val="both"/>
        <w:rPr>
          <w:color w:val="auto"/>
          <w:sz w:val="24"/>
          <w:szCs w:val="24"/>
          <w:lang w:eastAsia="en-US"/>
        </w:rPr>
      </w:pPr>
    </w:p>
    <w:p w14:paraId="42A77099"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7. Si applicano le disposizioni di cui ai commi 3, 9 e 13 dell'articolo 9-quinquies.</w:t>
      </w:r>
    </w:p>
    <w:p w14:paraId="2C9778D9" w14:textId="77777777" w:rsidR="00AF5621" w:rsidRPr="00AF5621" w:rsidRDefault="00AF5621" w:rsidP="00AF5621">
      <w:pPr>
        <w:spacing w:after="160" w:line="259" w:lineRule="auto"/>
        <w:jc w:val="both"/>
        <w:rPr>
          <w:color w:val="auto"/>
          <w:sz w:val="24"/>
          <w:szCs w:val="24"/>
          <w:lang w:eastAsia="en-US"/>
        </w:rPr>
      </w:pPr>
    </w:p>
    <w:p w14:paraId="4A03D973"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8. Le disposizioni del presente articolo non si applicano ai soggetti diversi da quelli di cui ai commi 1 e 4, che accedono agli uffici giudiziari, ivi inclusi gli avvocati e gli altri difensori, i consulenti, i periti e gli altri ausiliari del magistrato estranei alle amministrazioni della giustizia, i testimoni e le parti del processo. ».</w:t>
      </w:r>
    </w:p>
    <w:p w14:paraId="10B9E899" w14:textId="77777777" w:rsidR="00AF5621" w:rsidRPr="00AF5621" w:rsidRDefault="00AF5621" w:rsidP="00AF5621">
      <w:pPr>
        <w:spacing w:after="160" w:line="259" w:lineRule="auto"/>
        <w:jc w:val="both"/>
        <w:rPr>
          <w:color w:val="auto"/>
          <w:sz w:val="24"/>
          <w:szCs w:val="24"/>
          <w:lang w:eastAsia="en-US"/>
        </w:rPr>
      </w:pPr>
    </w:p>
    <w:p w14:paraId="471CE490"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3.</w:t>
      </w:r>
    </w:p>
    <w:p w14:paraId="3A793DE2"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(Disposizioni urgenti sull'impiego di certificazioni verdi</w:t>
      </w:r>
    </w:p>
    <w:p w14:paraId="5847CB36"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COVID-19 in ambito lavorativo privato)</w:t>
      </w:r>
    </w:p>
    <w:p w14:paraId="554BB4BA" w14:textId="77777777" w:rsidR="00AF5621" w:rsidRPr="00AF5621" w:rsidRDefault="00AF5621" w:rsidP="00AF5621">
      <w:pPr>
        <w:spacing w:after="160" w:line="259" w:lineRule="auto"/>
        <w:jc w:val="both"/>
        <w:rPr>
          <w:color w:val="auto"/>
          <w:sz w:val="24"/>
          <w:szCs w:val="24"/>
          <w:lang w:eastAsia="en-US"/>
        </w:rPr>
      </w:pPr>
    </w:p>
    <w:p w14:paraId="546122CE"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lastRenderedPageBreak/>
        <w:t>1. Al decreto-legge 22 aprile 2021, n. 52, convertito, con modificazioni, dalla legge 17 giugno 2021, n. 87, dopo l'articolo 9-sexies, come introdotto dall'articolo 2, è inserito il seguente:</w:t>
      </w:r>
    </w:p>
    <w:p w14:paraId="2D810D82"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Art. 9-septies (Impiego delle certificazioni verdi COVID-19 nel settore privato). – 1. Dal 15 ottobre 2021 e fino al 31 dicembre 2021, termine di cessazione dello stato di emergenza, al fine di prevenire la diffusione dell'infezione da SARS-CoV-2, a chiunque svolge una attività lavorativa nel settore privato è fatto obbligo, ai fini dell'accesso ai luoghi in cui la predetta attività è svolta, di possedere e di esibire, su richiesta, la certificazione verde COVID-19 di cui all'articolo 9, comma 2. Resta fermo quanto previsto dagli articoli 9-ter, 9-ter.1 e 9-ter.2 del presente decreto e dagli articoli 4 e 4-bis del decreto-legge 1° aprile 2021, n. 44, convertito, con modificazioni, dalla legge 28 maggio 2021, n. 76.</w:t>
      </w:r>
    </w:p>
    <w:p w14:paraId="4AEFF171" w14:textId="77777777" w:rsidR="00AF5621" w:rsidRPr="00AF5621" w:rsidRDefault="00AF5621" w:rsidP="00AF5621">
      <w:pPr>
        <w:spacing w:after="160" w:line="259" w:lineRule="auto"/>
        <w:jc w:val="both"/>
        <w:rPr>
          <w:color w:val="auto"/>
          <w:sz w:val="24"/>
          <w:szCs w:val="24"/>
          <w:lang w:eastAsia="en-US"/>
        </w:rPr>
      </w:pPr>
    </w:p>
    <w:p w14:paraId="720E653F" w14:textId="5268B758"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2. La disposizione di cui al comma 1 si applica altresì a tutti i soggetti che svolgono, a qualsiasi titolo, la propria attività lavorativa o di formazione</w:t>
      </w:r>
      <w:r w:rsidR="0062189D" w:rsidRPr="0064718B">
        <w:rPr>
          <w:b/>
          <w:bCs/>
          <w:color w:val="000000" w:themeColor="text1"/>
          <w:sz w:val="24"/>
          <w:szCs w:val="24"/>
        </w:rPr>
        <w:t>, anche in qualità di discenti,</w:t>
      </w:r>
      <w:r w:rsidR="0062189D" w:rsidRPr="0062189D">
        <w:rPr>
          <w:rStyle w:val="Rimandonotaapidipagina"/>
          <w:color w:val="000000" w:themeColor="text1"/>
          <w:sz w:val="24"/>
          <w:szCs w:val="24"/>
        </w:rPr>
        <w:footnoteReference w:id="8"/>
      </w:r>
      <w:r w:rsidRPr="00AF5621">
        <w:rPr>
          <w:color w:val="auto"/>
          <w:sz w:val="24"/>
          <w:szCs w:val="24"/>
          <w:lang w:eastAsia="en-US"/>
        </w:rPr>
        <w:t xml:space="preserve"> o di volontariato nei luoghi di cui al comma 1, anche sulla base di contratti esterni.</w:t>
      </w:r>
    </w:p>
    <w:p w14:paraId="2D4F22FD" w14:textId="77777777" w:rsidR="00AF5621" w:rsidRPr="00AF5621" w:rsidRDefault="00AF5621" w:rsidP="00AF5621">
      <w:pPr>
        <w:spacing w:after="160" w:line="259" w:lineRule="auto"/>
        <w:jc w:val="both"/>
        <w:rPr>
          <w:color w:val="auto"/>
          <w:sz w:val="24"/>
          <w:szCs w:val="24"/>
          <w:lang w:eastAsia="en-US"/>
        </w:rPr>
      </w:pPr>
    </w:p>
    <w:p w14:paraId="4FFE1C8D" w14:textId="4AA473B2"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xml:space="preserve">3. Le disposizioni di cui ai commi 1 e 2 non si applicano ai </w:t>
      </w:r>
      <w:r w:rsidRPr="00B73C5C">
        <w:rPr>
          <w:strike/>
          <w:color w:val="auto"/>
          <w:sz w:val="24"/>
          <w:szCs w:val="24"/>
          <w:highlight w:val="yellow"/>
          <w:lang w:eastAsia="en-US"/>
        </w:rPr>
        <w:t>soggetti esenti dalla campagna vaccinale</w:t>
      </w:r>
      <w:r w:rsidRPr="00AF5621">
        <w:rPr>
          <w:color w:val="auto"/>
          <w:sz w:val="24"/>
          <w:szCs w:val="24"/>
          <w:lang w:eastAsia="en-US"/>
        </w:rPr>
        <w:t xml:space="preserve"> </w:t>
      </w:r>
      <w:r w:rsidR="00B73C5C" w:rsidRPr="00952BDC">
        <w:rPr>
          <w:rFonts w:asciiTheme="minorHAnsi" w:hAnsiTheme="minorHAnsi" w:cstheme="minorHAnsi"/>
          <w:b/>
          <w:bCs/>
          <w:color w:val="000000" w:themeColor="text1"/>
          <w:sz w:val="24"/>
          <w:szCs w:val="24"/>
        </w:rPr>
        <w:t>soggetti esentati dalla somministrazione del vaccino</w:t>
      </w:r>
      <w:r w:rsidR="00B73C5C" w:rsidRPr="00102599">
        <w:rPr>
          <w:rStyle w:val="Rimandonotaapidipagina"/>
          <w:rFonts w:asciiTheme="minorHAnsi" w:hAnsiTheme="minorHAnsi" w:cstheme="minorHAnsi"/>
          <w:color w:val="000000" w:themeColor="text1"/>
          <w:sz w:val="24"/>
          <w:szCs w:val="24"/>
        </w:rPr>
        <w:footnoteReference w:id="9"/>
      </w:r>
      <w:r w:rsidR="00B73C5C" w:rsidRPr="00AF5621">
        <w:rPr>
          <w:color w:val="auto"/>
          <w:sz w:val="24"/>
          <w:szCs w:val="24"/>
          <w:lang w:eastAsia="en-US"/>
        </w:rPr>
        <w:t xml:space="preserve"> </w:t>
      </w:r>
      <w:r w:rsidRPr="00AF5621">
        <w:rPr>
          <w:color w:val="auto"/>
          <w:sz w:val="24"/>
          <w:szCs w:val="24"/>
          <w:lang w:eastAsia="en-US"/>
        </w:rPr>
        <w:t>sulla base di idonea certificazione medica rilasciata secondo i criteri definiti con circolare del Ministero della salute.</w:t>
      </w:r>
    </w:p>
    <w:p w14:paraId="629A227D" w14:textId="77777777" w:rsidR="00AF5621" w:rsidRPr="00AF5621" w:rsidRDefault="00AF5621" w:rsidP="00AF5621">
      <w:pPr>
        <w:spacing w:after="160" w:line="259" w:lineRule="auto"/>
        <w:jc w:val="both"/>
        <w:rPr>
          <w:color w:val="auto"/>
          <w:sz w:val="24"/>
          <w:szCs w:val="24"/>
          <w:lang w:eastAsia="en-US"/>
        </w:rPr>
      </w:pPr>
    </w:p>
    <w:p w14:paraId="4E2A0A5F" w14:textId="16A519F9"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4. I datori di lavoro di cui al comma 1 sono tenuti a verificare il rispetto delle prescrizioni di cui ai commi 1 e 2. Per i lavoratori di cui al comma 2 la verifica sul rispetto delle prescrizioni di cui al comma 1, oltre che dai soggetti di cui al primo periodo, è effettuata anche dai rispettivi datori di lavoro.</w:t>
      </w:r>
      <w:r w:rsidR="00BB4EFD">
        <w:rPr>
          <w:color w:val="auto"/>
          <w:sz w:val="24"/>
          <w:szCs w:val="24"/>
          <w:lang w:eastAsia="en-US"/>
        </w:rPr>
        <w:t xml:space="preserve"> </w:t>
      </w:r>
      <w:r w:rsidR="00BB4EFD" w:rsidRPr="00224289">
        <w:rPr>
          <w:b/>
          <w:bCs/>
          <w:color w:val="000000" w:themeColor="text1"/>
          <w:sz w:val="24"/>
          <w:szCs w:val="24"/>
        </w:rPr>
        <w:t>Per i lavoratori in somministrazione la verifica del rispetto delle prescrizioni di cui al comma 1 è in capo all'utilizzatore; è onere del somministratore informare i lavoratori circa la sussistenza delle predette prescrizioni.</w:t>
      </w:r>
      <w:r w:rsidR="00BB4EFD" w:rsidRPr="001351FF">
        <w:rPr>
          <w:rStyle w:val="Rimandonotaapidipagina"/>
          <w:color w:val="000000" w:themeColor="text1"/>
          <w:sz w:val="24"/>
          <w:szCs w:val="24"/>
        </w:rPr>
        <w:footnoteReference w:id="10"/>
      </w:r>
    </w:p>
    <w:p w14:paraId="3DDCCD1B" w14:textId="77777777" w:rsidR="00AF5621" w:rsidRPr="00AF5621" w:rsidRDefault="00AF5621" w:rsidP="00AF5621">
      <w:pPr>
        <w:spacing w:after="160" w:line="259" w:lineRule="auto"/>
        <w:jc w:val="both"/>
        <w:rPr>
          <w:color w:val="auto"/>
          <w:sz w:val="24"/>
          <w:szCs w:val="24"/>
          <w:lang w:eastAsia="en-US"/>
        </w:rPr>
      </w:pPr>
    </w:p>
    <w:p w14:paraId="5AB5628B"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lastRenderedPageBreak/>
        <w:t>5. I datori di lavoro di cui al comma 1, definiscono, entro il 15 ottobre 2021, le modalità operative per l'organizzazione delle verifiche di cui al comma 4, anche a campione, prevedendo prioritariamente, ove possibile, che tali controlli siano effettuati al momento dell'accesso ai luoghi di lavoro, e individuano con atto formale i soggetti incaricati dell'accertamento delle violazioni degli obblighi di cui ai commi 1 e 2. Le verifiche delle certificazioni verdi COVID-19 sono effettuate con le modalità indicate dal decreto del Presidente del Consiglio dei ministri adottato ai sensi dell'articolo 9, comma 10.</w:t>
      </w:r>
    </w:p>
    <w:p w14:paraId="7B925140" w14:textId="77777777" w:rsidR="00AF5621" w:rsidRPr="00AF5621" w:rsidRDefault="00AF5621" w:rsidP="00AF5621">
      <w:pPr>
        <w:spacing w:after="160" w:line="259" w:lineRule="auto"/>
        <w:jc w:val="both"/>
        <w:rPr>
          <w:color w:val="auto"/>
          <w:sz w:val="24"/>
          <w:szCs w:val="24"/>
          <w:lang w:eastAsia="en-US"/>
        </w:rPr>
      </w:pPr>
    </w:p>
    <w:p w14:paraId="3743ED86" w14:textId="771ED915"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xml:space="preserve">6. I lavoratori di cui al comma 1, nel caso in cui comunichino di non essere in possesso della certificazione verde COVID-19 o qualora risultino privi della predetta certificazione al momento dell'accesso al luogo di lavoro, al fine di tutelare la salute e la sicurezza dei lavoratori nel luogo di lavoro, sono considerati assenti ingiustificati fino alla presentazione della predetta certificazione e, comunque, non oltre il 31 dicembre 2021, termine di cessazione dello stato di emergenza, senza conseguenze disciplinari e con diritto alla conservazione del rapporto di lavoro. Per i giorni di assenza ingiustificata </w:t>
      </w:r>
      <w:r w:rsidR="00A016E1" w:rsidRPr="00B711BD">
        <w:rPr>
          <w:rFonts w:asciiTheme="minorHAnsi" w:hAnsiTheme="minorHAnsi" w:cstheme="minorHAnsi"/>
          <w:b/>
          <w:bCs/>
          <w:color w:val="000000" w:themeColor="text1"/>
          <w:sz w:val="24"/>
          <w:szCs w:val="24"/>
        </w:rPr>
        <w:t>di cui al primo periodo</w:t>
      </w:r>
      <w:r w:rsidR="00A016E1" w:rsidRPr="00A016E1">
        <w:rPr>
          <w:rStyle w:val="Rimandonotaapidipagina"/>
          <w:rFonts w:asciiTheme="minorHAnsi" w:hAnsiTheme="minorHAnsi" w:cstheme="minorHAnsi"/>
          <w:color w:val="000000" w:themeColor="text1"/>
          <w:sz w:val="24"/>
          <w:szCs w:val="24"/>
        </w:rPr>
        <w:footnoteReference w:id="11"/>
      </w:r>
      <w:r w:rsidR="00A016E1" w:rsidRPr="00A016E1">
        <w:rPr>
          <w:color w:val="auto"/>
          <w:sz w:val="24"/>
          <w:szCs w:val="24"/>
          <w:lang w:eastAsia="en-US"/>
        </w:rPr>
        <w:t xml:space="preserve"> </w:t>
      </w:r>
      <w:r w:rsidRPr="00AF5621">
        <w:rPr>
          <w:color w:val="auto"/>
          <w:sz w:val="24"/>
          <w:szCs w:val="24"/>
          <w:lang w:eastAsia="en-US"/>
        </w:rPr>
        <w:t>non sono dovuti la retribuzione né altro compenso o emolumento, comunque denominato.</w:t>
      </w:r>
    </w:p>
    <w:p w14:paraId="43FC0F76" w14:textId="77777777" w:rsidR="00AF5621" w:rsidRPr="00AF5621" w:rsidRDefault="00AF5621" w:rsidP="00AF5621">
      <w:pPr>
        <w:spacing w:after="160" w:line="259" w:lineRule="auto"/>
        <w:jc w:val="both"/>
        <w:rPr>
          <w:color w:val="auto"/>
          <w:sz w:val="24"/>
          <w:szCs w:val="24"/>
          <w:lang w:eastAsia="en-US"/>
        </w:rPr>
      </w:pPr>
    </w:p>
    <w:p w14:paraId="72CC954C" w14:textId="5252B423" w:rsidR="00503559" w:rsidRPr="00224289" w:rsidRDefault="00AF5621" w:rsidP="00503559">
      <w:pPr>
        <w:jc w:val="both"/>
        <w:rPr>
          <w:b/>
          <w:bCs/>
          <w:color w:val="000000" w:themeColor="text1"/>
          <w:sz w:val="24"/>
          <w:szCs w:val="24"/>
        </w:rPr>
      </w:pPr>
      <w:r w:rsidRPr="00AF5621">
        <w:rPr>
          <w:color w:val="auto"/>
          <w:sz w:val="24"/>
          <w:szCs w:val="24"/>
          <w:lang w:eastAsia="en-US"/>
        </w:rPr>
        <w:t xml:space="preserve">7. Per le imprese con meno di quindici dipendenti, dopo il quinto giorno di assenza ingiustificata di cui al comma 6, il datore di lavoro può sospendere il lavoratore per la durata corrispondente a quella del contratto di lavoro stipulato per la sostituzione, comunque per un periodo non superiore a dieci giorni, </w:t>
      </w:r>
      <w:r w:rsidRPr="001351FF">
        <w:rPr>
          <w:strike/>
          <w:color w:val="auto"/>
          <w:sz w:val="24"/>
          <w:szCs w:val="24"/>
          <w:highlight w:val="yellow"/>
          <w:lang w:eastAsia="en-US"/>
        </w:rPr>
        <w:t>rinnovabili per una sola volta, e non oltre il</w:t>
      </w:r>
      <w:r w:rsidRPr="00AF5621">
        <w:rPr>
          <w:color w:val="auto"/>
          <w:sz w:val="24"/>
          <w:szCs w:val="24"/>
          <w:lang w:eastAsia="en-US"/>
        </w:rPr>
        <w:t xml:space="preserve"> </w:t>
      </w:r>
      <w:r w:rsidR="001351FF" w:rsidRPr="00224289">
        <w:rPr>
          <w:b/>
          <w:bCs/>
          <w:color w:val="000000" w:themeColor="text1"/>
          <w:sz w:val="24"/>
          <w:szCs w:val="24"/>
        </w:rPr>
        <w:t>lavorativi, rinnovabili fino al</w:t>
      </w:r>
      <w:r w:rsidR="001351FF" w:rsidRPr="001351FF">
        <w:rPr>
          <w:rStyle w:val="Rimandonotaapidipagina"/>
          <w:color w:val="000000" w:themeColor="text1"/>
          <w:sz w:val="24"/>
          <w:szCs w:val="24"/>
        </w:rPr>
        <w:footnoteReference w:id="12"/>
      </w:r>
      <w:r w:rsidR="001351FF">
        <w:rPr>
          <w:b/>
          <w:bCs/>
          <w:color w:val="000000" w:themeColor="text1"/>
          <w:sz w:val="24"/>
          <w:szCs w:val="24"/>
        </w:rPr>
        <w:t xml:space="preserve"> </w:t>
      </w:r>
      <w:r w:rsidRPr="00AF5621">
        <w:rPr>
          <w:color w:val="auto"/>
          <w:sz w:val="24"/>
          <w:szCs w:val="24"/>
          <w:lang w:eastAsia="en-US"/>
        </w:rPr>
        <w:t>predetto termine del 31 dicembre 2021</w:t>
      </w:r>
      <w:r w:rsidR="00503559" w:rsidRPr="00224289">
        <w:rPr>
          <w:b/>
          <w:bCs/>
          <w:color w:val="000000" w:themeColor="text1"/>
          <w:sz w:val="24"/>
          <w:szCs w:val="24"/>
        </w:rPr>
        <w:t>, senza conseguenze disciplinari e con diritto alla conservazione del posto di lavoro per il lavoratore sospeso.</w:t>
      </w:r>
      <w:r w:rsidR="00503559" w:rsidRPr="00503559">
        <w:rPr>
          <w:rStyle w:val="Rimandonotaapidipagina"/>
          <w:color w:val="000000" w:themeColor="text1"/>
          <w:sz w:val="24"/>
          <w:szCs w:val="24"/>
        </w:rPr>
        <w:footnoteReference w:id="13"/>
      </w:r>
    </w:p>
    <w:p w14:paraId="26A67DB6" w14:textId="77777777" w:rsidR="00AF5621" w:rsidRPr="00AF5621" w:rsidRDefault="00AF5621" w:rsidP="00AF5621">
      <w:pPr>
        <w:spacing w:after="160" w:line="259" w:lineRule="auto"/>
        <w:jc w:val="both"/>
        <w:rPr>
          <w:color w:val="auto"/>
          <w:sz w:val="24"/>
          <w:szCs w:val="24"/>
          <w:lang w:eastAsia="en-US"/>
        </w:rPr>
      </w:pPr>
    </w:p>
    <w:p w14:paraId="5C317EB1"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8. L'accesso di lavoratori ai luoghi di lavoro di cui al comma 1 in violazione degli obblighi di cui ai commi 1 e 2, è punito con la sanzione di cui al comma 9 e restano ferme le conseguenze disciplinari secondo i rispettivi ordinamenti di settore.</w:t>
      </w:r>
    </w:p>
    <w:p w14:paraId="71D62264" w14:textId="77777777" w:rsidR="00AF5621" w:rsidRPr="00AF5621" w:rsidRDefault="00AF5621" w:rsidP="00AF5621">
      <w:pPr>
        <w:spacing w:after="160" w:line="259" w:lineRule="auto"/>
        <w:jc w:val="both"/>
        <w:rPr>
          <w:color w:val="auto"/>
          <w:sz w:val="24"/>
          <w:szCs w:val="24"/>
          <w:lang w:eastAsia="en-US"/>
        </w:rPr>
      </w:pPr>
    </w:p>
    <w:p w14:paraId="3EF24B37" w14:textId="0C9CFDC0"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xml:space="preserve">9. In caso di violazione delle disposizioni di cui al comma 4 o di mancata adozione delle misure organizzative di cui al comma 5 nel termine previsto, nonché per la violazione di cui al comma 8, si applica l'articolo 4, commi 1, 3, 5 e 9, del decreto-legge 25 marzo 2020, n. 19, convertito, con modificazioni, dalla legge 22 maggio 2020, n. 35. Resta fermo quanto previsto dall'articolo 2, comma 2-bis, del decreto-legge 16 maggio 2020, n. 33, convertito, con modificazioni, dalla legge 14 luglio 2020, n. 74. Per le violazioni di cui al comma 8, la sanzione amministrativa prevista dal comma 1 del citato articolo 4 del decreto-legge n. 19 del 2020 </w:t>
      </w:r>
      <w:r w:rsidRPr="007E62F8">
        <w:rPr>
          <w:strike/>
          <w:color w:val="auto"/>
          <w:sz w:val="24"/>
          <w:szCs w:val="24"/>
          <w:highlight w:val="yellow"/>
          <w:lang w:eastAsia="en-US"/>
        </w:rPr>
        <w:t>è stabilita in euro da 600 a 1.500</w:t>
      </w:r>
      <w:r w:rsidR="007E62F8">
        <w:rPr>
          <w:color w:val="auto"/>
          <w:sz w:val="24"/>
          <w:szCs w:val="24"/>
          <w:lang w:eastAsia="en-US"/>
        </w:rPr>
        <w:t xml:space="preserve"> </w:t>
      </w:r>
      <w:r w:rsidR="007E62F8" w:rsidRPr="00BF6935">
        <w:rPr>
          <w:rFonts w:asciiTheme="minorHAnsi" w:hAnsiTheme="minorHAnsi" w:cstheme="minorHAnsi"/>
          <w:b/>
          <w:bCs/>
          <w:color w:val="000000" w:themeColor="text1"/>
          <w:sz w:val="24"/>
          <w:szCs w:val="24"/>
        </w:rPr>
        <w:t>è stabilita nel pagamento di una somma da euro 600 a euro 1.500</w:t>
      </w:r>
      <w:r w:rsidRPr="00AF5621">
        <w:rPr>
          <w:color w:val="auto"/>
          <w:sz w:val="24"/>
          <w:szCs w:val="24"/>
          <w:lang w:eastAsia="en-US"/>
        </w:rPr>
        <w:t>.</w:t>
      </w:r>
      <w:r w:rsidR="007E62F8">
        <w:rPr>
          <w:rStyle w:val="Rimandonotaapidipagina"/>
          <w:color w:val="auto"/>
          <w:sz w:val="24"/>
          <w:szCs w:val="24"/>
          <w:lang w:eastAsia="en-US"/>
        </w:rPr>
        <w:footnoteReference w:id="14"/>
      </w:r>
    </w:p>
    <w:p w14:paraId="703C649B" w14:textId="77777777" w:rsidR="00AF5621" w:rsidRPr="00AF5621" w:rsidRDefault="00AF5621" w:rsidP="00AF5621">
      <w:pPr>
        <w:spacing w:after="160" w:line="259" w:lineRule="auto"/>
        <w:jc w:val="both"/>
        <w:rPr>
          <w:color w:val="auto"/>
          <w:sz w:val="24"/>
          <w:szCs w:val="24"/>
          <w:lang w:eastAsia="en-US"/>
        </w:rPr>
      </w:pPr>
    </w:p>
    <w:p w14:paraId="57EC702A" w14:textId="52392A34" w:rsidR="00AF5621" w:rsidRDefault="00AF5621" w:rsidP="00AF5621">
      <w:pPr>
        <w:spacing w:after="160" w:line="259" w:lineRule="auto"/>
        <w:jc w:val="both"/>
        <w:rPr>
          <w:color w:val="auto"/>
          <w:sz w:val="24"/>
          <w:szCs w:val="24"/>
          <w:lang w:eastAsia="en-US"/>
        </w:rPr>
      </w:pPr>
      <w:r w:rsidRPr="00AF5621">
        <w:rPr>
          <w:color w:val="auto"/>
          <w:sz w:val="24"/>
          <w:szCs w:val="24"/>
          <w:lang w:eastAsia="en-US"/>
        </w:rPr>
        <w:t>10. Le sanzioni di cui al comma 9 sono irrogate dal Prefetto. I soggetti incaricati dell'accertamento e della contestazione delle violazioni di cui al medesimo comma 9 trasmettono al Prefetto gli atti relativi alla violazione. ».</w:t>
      </w:r>
    </w:p>
    <w:p w14:paraId="7614FB2F" w14:textId="77777777" w:rsidR="006B241D" w:rsidRPr="00AF5621" w:rsidRDefault="006B241D" w:rsidP="00AF5621">
      <w:pPr>
        <w:spacing w:after="160" w:line="259" w:lineRule="auto"/>
        <w:jc w:val="both"/>
        <w:rPr>
          <w:color w:val="auto"/>
          <w:sz w:val="24"/>
          <w:szCs w:val="24"/>
          <w:lang w:eastAsia="en-US"/>
        </w:rPr>
      </w:pPr>
    </w:p>
    <w:p w14:paraId="0F1920F8" w14:textId="77777777" w:rsidR="006B241D" w:rsidRPr="00BF6935" w:rsidRDefault="006B241D" w:rsidP="006B241D">
      <w:pPr>
        <w:jc w:val="center"/>
        <w:rPr>
          <w:rFonts w:asciiTheme="minorHAnsi" w:hAnsiTheme="minorHAnsi" w:cstheme="minorHAnsi"/>
          <w:b/>
          <w:bCs/>
          <w:color w:val="000000" w:themeColor="text1"/>
          <w:sz w:val="24"/>
          <w:szCs w:val="24"/>
        </w:rPr>
      </w:pPr>
      <w:r w:rsidRPr="00BF6935">
        <w:rPr>
          <w:rFonts w:asciiTheme="minorHAnsi" w:hAnsiTheme="minorHAnsi" w:cstheme="minorHAnsi"/>
          <w:b/>
          <w:bCs/>
          <w:color w:val="000000" w:themeColor="text1"/>
          <w:sz w:val="24"/>
          <w:szCs w:val="24"/>
        </w:rPr>
        <w:t>Art. 3-bis.</w:t>
      </w:r>
    </w:p>
    <w:p w14:paraId="5212704E" w14:textId="77777777" w:rsidR="006B241D" w:rsidRPr="00BF6935" w:rsidRDefault="006B241D" w:rsidP="006B241D">
      <w:pPr>
        <w:jc w:val="center"/>
        <w:rPr>
          <w:rFonts w:asciiTheme="minorHAnsi" w:hAnsiTheme="minorHAnsi" w:cstheme="minorHAnsi"/>
          <w:b/>
          <w:bCs/>
          <w:color w:val="000000" w:themeColor="text1"/>
          <w:sz w:val="24"/>
          <w:szCs w:val="24"/>
        </w:rPr>
      </w:pPr>
    </w:p>
    <w:p w14:paraId="286B529A" w14:textId="77777777" w:rsidR="006B241D" w:rsidRPr="00BF6935" w:rsidRDefault="006B241D" w:rsidP="006B241D">
      <w:pPr>
        <w:jc w:val="center"/>
        <w:rPr>
          <w:rFonts w:asciiTheme="minorHAnsi" w:hAnsiTheme="minorHAnsi" w:cstheme="minorHAnsi"/>
          <w:b/>
          <w:bCs/>
          <w:color w:val="000000" w:themeColor="text1"/>
          <w:sz w:val="24"/>
          <w:szCs w:val="24"/>
        </w:rPr>
      </w:pPr>
      <w:r w:rsidRPr="00BF6935">
        <w:rPr>
          <w:rFonts w:asciiTheme="minorHAnsi" w:hAnsiTheme="minorHAnsi" w:cstheme="minorHAnsi"/>
          <w:b/>
          <w:bCs/>
          <w:color w:val="000000" w:themeColor="text1"/>
          <w:sz w:val="24"/>
          <w:szCs w:val="24"/>
        </w:rPr>
        <w:t>(Scadenza delle certificazioni verdi Covid-19 in corso di prestazione lavorativa)</w:t>
      </w:r>
    </w:p>
    <w:p w14:paraId="384CB7DC" w14:textId="77777777" w:rsidR="006B241D" w:rsidRPr="00BF6935" w:rsidRDefault="006B241D" w:rsidP="006B241D">
      <w:pPr>
        <w:jc w:val="both"/>
        <w:rPr>
          <w:rFonts w:asciiTheme="minorHAnsi" w:hAnsiTheme="minorHAnsi" w:cstheme="minorHAnsi"/>
          <w:b/>
          <w:bCs/>
          <w:color w:val="000000" w:themeColor="text1"/>
          <w:sz w:val="24"/>
          <w:szCs w:val="24"/>
        </w:rPr>
      </w:pPr>
    </w:p>
    <w:p w14:paraId="72364B8F" w14:textId="77777777" w:rsidR="006B241D" w:rsidRPr="00BF6935" w:rsidRDefault="006B241D" w:rsidP="006B241D">
      <w:pPr>
        <w:jc w:val="both"/>
        <w:rPr>
          <w:rFonts w:asciiTheme="minorHAnsi" w:hAnsiTheme="minorHAnsi" w:cstheme="minorHAnsi"/>
          <w:b/>
          <w:bCs/>
          <w:color w:val="000000" w:themeColor="text1"/>
          <w:sz w:val="24"/>
          <w:szCs w:val="24"/>
        </w:rPr>
      </w:pPr>
      <w:r w:rsidRPr="00BF6935">
        <w:rPr>
          <w:rFonts w:asciiTheme="minorHAnsi" w:hAnsiTheme="minorHAnsi" w:cstheme="minorHAnsi"/>
          <w:b/>
          <w:bCs/>
          <w:color w:val="000000" w:themeColor="text1"/>
          <w:sz w:val="24"/>
          <w:szCs w:val="24"/>
        </w:rPr>
        <w:t xml:space="preserve">            1. Al decreto-legge 22 aprile 2021, n.52, convertito, con modificazioni, dalla legge 17 giugno 2021, n.87, dopo l'articolo 9-octies, è inserito il seguente:</w:t>
      </w:r>
    </w:p>
    <w:p w14:paraId="27FDA895" w14:textId="77777777" w:rsidR="006B241D" w:rsidRPr="00BF6935" w:rsidRDefault="006B241D" w:rsidP="006B241D">
      <w:pPr>
        <w:jc w:val="both"/>
        <w:rPr>
          <w:rFonts w:asciiTheme="minorHAnsi" w:hAnsiTheme="minorHAnsi" w:cstheme="minorHAnsi"/>
          <w:b/>
          <w:bCs/>
          <w:color w:val="000000" w:themeColor="text1"/>
          <w:sz w:val="24"/>
          <w:szCs w:val="24"/>
        </w:rPr>
      </w:pPr>
    </w:p>
    <w:p w14:paraId="49392AE1" w14:textId="77777777" w:rsidR="006B241D" w:rsidRPr="00BF6935" w:rsidRDefault="006B241D" w:rsidP="006B241D">
      <w:pPr>
        <w:jc w:val="both"/>
        <w:rPr>
          <w:rFonts w:asciiTheme="minorHAnsi" w:hAnsiTheme="minorHAnsi" w:cstheme="minorHAnsi"/>
          <w:b/>
          <w:bCs/>
          <w:color w:val="000000" w:themeColor="text1"/>
          <w:sz w:val="24"/>
          <w:szCs w:val="24"/>
        </w:rPr>
      </w:pPr>
      <w:r w:rsidRPr="00BF6935">
        <w:rPr>
          <w:rFonts w:asciiTheme="minorHAnsi" w:hAnsiTheme="minorHAnsi" w:cstheme="minorHAnsi"/>
          <w:b/>
          <w:bCs/>
          <w:color w:val="000000" w:themeColor="text1"/>
          <w:sz w:val="24"/>
          <w:szCs w:val="24"/>
        </w:rPr>
        <w:t xml:space="preserve">        «Art 9-nonies.</w:t>
      </w:r>
    </w:p>
    <w:p w14:paraId="312ECFE8" w14:textId="77777777" w:rsidR="006B241D" w:rsidRPr="00BF6935" w:rsidRDefault="006B241D" w:rsidP="006B241D">
      <w:pPr>
        <w:jc w:val="both"/>
        <w:rPr>
          <w:rFonts w:asciiTheme="minorHAnsi" w:hAnsiTheme="minorHAnsi" w:cstheme="minorHAnsi"/>
          <w:b/>
          <w:bCs/>
          <w:color w:val="000000" w:themeColor="text1"/>
          <w:sz w:val="24"/>
          <w:szCs w:val="24"/>
        </w:rPr>
      </w:pPr>
    </w:p>
    <w:p w14:paraId="6BEACCC6" w14:textId="77777777" w:rsidR="006B241D" w:rsidRPr="00BF6935" w:rsidRDefault="006B241D" w:rsidP="006B241D">
      <w:pPr>
        <w:jc w:val="both"/>
        <w:rPr>
          <w:rFonts w:asciiTheme="minorHAnsi" w:hAnsiTheme="minorHAnsi" w:cstheme="minorHAnsi"/>
          <w:b/>
          <w:bCs/>
          <w:color w:val="000000" w:themeColor="text1"/>
          <w:sz w:val="24"/>
          <w:szCs w:val="24"/>
        </w:rPr>
      </w:pPr>
      <w:r w:rsidRPr="00BF6935">
        <w:rPr>
          <w:rFonts w:asciiTheme="minorHAnsi" w:hAnsiTheme="minorHAnsi" w:cstheme="minorHAnsi"/>
          <w:b/>
          <w:bCs/>
          <w:color w:val="000000" w:themeColor="text1"/>
          <w:sz w:val="24"/>
          <w:szCs w:val="24"/>
        </w:rPr>
        <w:t>(Scadenza delle certificazioni verdi Covid-19 in corso di prestazione lavorativa)</w:t>
      </w:r>
    </w:p>
    <w:p w14:paraId="29BEAB70" w14:textId="77777777" w:rsidR="006B241D" w:rsidRPr="00BF6935" w:rsidRDefault="006B241D" w:rsidP="006B241D">
      <w:pPr>
        <w:jc w:val="both"/>
        <w:rPr>
          <w:rFonts w:asciiTheme="minorHAnsi" w:hAnsiTheme="minorHAnsi" w:cstheme="minorHAnsi"/>
          <w:b/>
          <w:bCs/>
          <w:color w:val="000000" w:themeColor="text1"/>
          <w:sz w:val="24"/>
          <w:szCs w:val="24"/>
        </w:rPr>
      </w:pPr>
    </w:p>
    <w:p w14:paraId="12C3A38F" w14:textId="6D5D3C7A" w:rsidR="006B241D" w:rsidRPr="00BF6935" w:rsidRDefault="006B241D" w:rsidP="006B241D">
      <w:pPr>
        <w:jc w:val="both"/>
        <w:rPr>
          <w:rFonts w:asciiTheme="minorHAnsi" w:hAnsiTheme="minorHAnsi" w:cstheme="minorHAnsi"/>
          <w:b/>
          <w:bCs/>
          <w:color w:val="000000" w:themeColor="text1"/>
          <w:sz w:val="24"/>
          <w:szCs w:val="24"/>
        </w:rPr>
      </w:pPr>
      <w:r w:rsidRPr="00BF6935">
        <w:rPr>
          <w:rFonts w:asciiTheme="minorHAnsi" w:hAnsiTheme="minorHAnsi" w:cstheme="minorHAnsi"/>
          <w:b/>
          <w:bCs/>
          <w:color w:val="000000" w:themeColor="text1"/>
          <w:sz w:val="24"/>
          <w:szCs w:val="24"/>
        </w:rPr>
        <w:t>1. Per i dipendenti pubblici e privati la scadenza della validità della certificazione verde COVID- 19 in corso di prestazione lavorativa non dà luogo alle sanzioni previste, rispettivamente, dagli articoli 9-quinquies, commi 7 e 8, e 9-septies, commi 8 e 9. Nei casi di cui al precedente periodo la permanenza del lavoratore sul luogo di lavoro è consentita esclusivamente per il tempo necessario a portare a termine il turno di lavoro».</w:t>
      </w:r>
      <w:r w:rsidRPr="009B24DB">
        <w:rPr>
          <w:rStyle w:val="Rimandonotaapidipagina"/>
          <w:rFonts w:asciiTheme="minorHAnsi" w:hAnsiTheme="minorHAnsi" w:cstheme="minorHAnsi"/>
          <w:color w:val="000000" w:themeColor="text1"/>
          <w:sz w:val="24"/>
          <w:szCs w:val="24"/>
        </w:rPr>
        <w:footnoteReference w:id="15"/>
      </w:r>
    </w:p>
    <w:p w14:paraId="2C59374F" w14:textId="77777777" w:rsidR="00E6494B" w:rsidRPr="000365D8" w:rsidRDefault="00E6494B" w:rsidP="00E6494B">
      <w:pPr>
        <w:jc w:val="center"/>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Art. 3-bis</w:t>
      </w:r>
    </w:p>
    <w:p w14:paraId="75AB8E17" w14:textId="77777777" w:rsidR="00E6494B" w:rsidRPr="000365D8" w:rsidRDefault="00E6494B" w:rsidP="00E6494B">
      <w:pPr>
        <w:jc w:val="center"/>
        <w:rPr>
          <w:rFonts w:asciiTheme="minorHAnsi" w:hAnsiTheme="minorHAnsi" w:cstheme="minorHAnsi"/>
          <w:b/>
          <w:bCs/>
          <w:color w:val="000000" w:themeColor="text1"/>
          <w:sz w:val="24"/>
          <w:szCs w:val="24"/>
        </w:rPr>
      </w:pPr>
    </w:p>
    <w:p w14:paraId="5176F1A1" w14:textId="77777777" w:rsidR="00E6494B" w:rsidRPr="000365D8" w:rsidRDefault="00E6494B" w:rsidP="00E6494B">
      <w:pPr>
        <w:jc w:val="center"/>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(Modalità di verifica del possesso delle certificazioni verdi COVID-19 nel settore privato per finalità di semplificazione e razionalizzazione dei controlli)</w:t>
      </w:r>
    </w:p>
    <w:p w14:paraId="5B208F45" w14:textId="77777777" w:rsidR="00E6494B" w:rsidRPr="000365D8" w:rsidRDefault="00E6494B" w:rsidP="00E6494B">
      <w:pPr>
        <w:jc w:val="both"/>
        <w:rPr>
          <w:rFonts w:asciiTheme="minorHAnsi" w:hAnsiTheme="minorHAnsi" w:cstheme="minorHAnsi"/>
          <w:b/>
          <w:bCs/>
          <w:color w:val="000000" w:themeColor="text1"/>
          <w:sz w:val="24"/>
          <w:szCs w:val="24"/>
        </w:rPr>
      </w:pPr>
    </w:p>
    <w:p w14:paraId="0B25257C" w14:textId="77777777" w:rsidR="00E6494B" w:rsidRPr="000365D8" w:rsidRDefault="00E6494B" w:rsidP="00E6494B">
      <w:pPr>
        <w:jc w:val="both"/>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 xml:space="preserve">        1. All'articolo 9-octies del decreto-legge 22 aprile 2021, n.  52, convertito, con modificazioni, dalla legge 17 giugno 2021, n.  87, sono apportate le seguenti modificazioni:</w:t>
      </w:r>
    </w:p>
    <w:p w14:paraId="2B1BAA3D" w14:textId="77777777" w:rsidR="00E6494B" w:rsidRPr="000365D8" w:rsidRDefault="00E6494B" w:rsidP="00E6494B">
      <w:pPr>
        <w:jc w:val="both"/>
        <w:rPr>
          <w:rFonts w:asciiTheme="minorHAnsi" w:hAnsiTheme="minorHAnsi" w:cstheme="minorHAnsi"/>
          <w:b/>
          <w:bCs/>
          <w:color w:val="000000" w:themeColor="text1"/>
          <w:sz w:val="24"/>
          <w:szCs w:val="24"/>
        </w:rPr>
      </w:pPr>
    </w:p>
    <w:p w14:paraId="5F5EB5BB" w14:textId="77777777" w:rsidR="00E6494B" w:rsidRPr="000365D8" w:rsidRDefault="00E6494B" w:rsidP="00E6494B">
      <w:pPr>
        <w:jc w:val="both"/>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 xml:space="preserve">        a) alla rubrica, sono aggiunte in fine le seguenti parole: "e di semplificazione e razionalizzazione dei controlli";</w:t>
      </w:r>
    </w:p>
    <w:p w14:paraId="4F6EC364" w14:textId="77777777" w:rsidR="00E6494B" w:rsidRPr="000365D8" w:rsidRDefault="00E6494B" w:rsidP="00E6494B">
      <w:pPr>
        <w:jc w:val="both"/>
        <w:rPr>
          <w:rFonts w:asciiTheme="minorHAnsi" w:hAnsiTheme="minorHAnsi" w:cstheme="minorHAnsi"/>
          <w:b/>
          <w:bCs/>
          <w:color w:val="000000" w:themeColor="text1"/>
          <w:sz w:val="24"/>
          <w:szCs w:val="24"/>
        </w:rPr>
      </w:pPr>
    </w:p>
    <w:p w14:paraId="674AA1DA" w14:textId="36E92C9A" w:rsidR="00E6494B" w:rsidRDefault="00E6494B" w:rsidP="00E6494B">
      <w:pPr>
        <w:jc w:val="both"/>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 xml:space="preserve">            b) dopo il comma 1, è inserito il seguente: "1-bis. Al fine di semplificare e razionalizzare le verifiche di cui all'articolo 9-septies, i lavoratori possono richiedere di consegnare al proprio datore di lavoro copia della propria certificazione verde COVID-19. I lavoratori che consegnano la predetta </w:t>
      </w:r>
      <w:r w:rsidRPr="000365D8">
        <w:rPr>
          <w:rFonts w:asciiTheme="minorHAnsi" w:hAnsiTheme="minorHAnsi" w:cstheme="minorHAnsi"/>
          <w:b/>
          <w:bCs/>
          <w:color w:val="000000" w:themeColor="text1"/>
          <w:sz w:val="24"/>
          <w:szCs w:val="24"/>
        </w:rPr>
        <w:lastRenderedPageBreak/>
        <w:t>certificazione, per tutta la durata della relativa validità, sono esonerati dai controlli da parte dei rispettivi datori di lavoro."</w:t>
      </w:r>
      <w:r w:rsidRPr="00E6494B">
        <w:rPr>
          <w:rStyle w:val="Rimandonotaapidipagina"/>
          <w:rFonts w:asciiTheme="minorHAnsi" w:hAnsiTheme="minorHAnsi" w:cstheme="minorHAnsi"/>
          <w:color w:val="000000" w:themeColor="text1"/>
          <w:sz w:val="24"/>
          <w:szCs w:val="24"/>
        </w:rPr>
        <w:footnoteReference w:id="16"/>
      </w:r>
    </w:p>
    <w:p w14:paraId="2A60E1C5" w14:textId="77777777" w:rsidR="005D611D" w:rsidRPr="000365D8" w:rsidRDefault="005D611D" w:rsidP="00E6494B">
      <w:pPr>
        <w:jc w:val="both"/>
        <w:rPr>
          <w:rFonts w:asciiTheme="minorHAnsi" w:hAnsiTheme="minorHAnsi" w:cstheme="minorHAnsi"/>
          <w:b/>
          <w:bCs/>
          <w:color w:val="000000" w:themeColor="text1"/>
          <w:sz w:val="24"/>
          <w:szCs w:val="24"/>
        </w:rPr>
      </w:pPr>
    </w:p>
    <w:p w14:paraId="26603E58" w14:textId="77777777" w:rsidR="005D611D" w:rsidRPr="000365D8" w:rsidRDefault="005D611D" w:rsidP="005D611D">
      <w:pPr>
        <w:jc w:val="center"/>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Articolo 3-bis</w:t>
      </w:r>
    </w:p>
    <w:p w14:paraId="554484B8" w14:textId="77777777" w:rsidR="005D611D" w:rsidRPr="000365D8" w:rsidRDefault="005D611D" w:rsidP="005D611D">
      <w:pPr>
        <w:jc w:val="center"/>
        <w:rPr>
          <w:rFonts w:asciiTheme="minorHAnsi" w:hAnsiTheme="minorHAnsi" w:cstheme="minorHAnsi"/>
          <w:b/>
          <w:bCs/>
          <w:color w:val="000000" w:themeColor="text1"/>
          <w:sz w:val="24"/>
          <w:szCs w:val="24"/>
        </w:rPr>
      </w:pPr>
    </w:p>
    <w:p w14:paraId="40A45D03" w14:textId="77777777" w:rsidR="005D611D" w:rsidRPr="000365D8" w:rsidRDefault="005D611D" w:rsidP="005D611D">
      <w:pPr>
        <w:jc w:val="center"/>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(Disposizioni urgenti sull'impiego di certificazioni verdi COVID-19 per gli operatori volontari del servizio civile universale)</w:t>
      </w:r>
    </w:p>
    <w:p w14:paraId="7C911194" w14:textId="77777777" w:rsidR="005D611D" w:rsidRPr="000365D8" w:rsidRDefault="005D611D" w:rsidP="005D611D">
      <w:pPr>
        <w:jc w:val="both"/>
        <w:rPr>
          <w:rFonts w:asciiTheme="minorHAnsi" w:hAnsiTheme="minorHAnsi" w:cstheme="minorHAnsi"/>
          <w:b/>
          <w:bCs/>
          <w:color w:val="000000" w:themeColor="text1"/>
          <w:sz w:val="24"/>
          <w:szCs w:val="24"/>
        </w:rPr>
      </w:pPr>
    </w:p>
    <w:p w14:paraId="645C64A2" w14:textId="6B0E3E63" w:rsidR="005D611D" w:rsidRPr="000365D8" w:rsidRDefault="005D611D" w:rsidP="005D611D">
      <w:pPr>
        <w:jc w:val="both"/>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 xml:space="preserve">        1. Agli operatori del servizio civile universale che prestano il proprio servizio presso enti pubblici e privati accreditati ai sensi dell'articolo 16 del decreto legislativo 6 marzo 2017, n. 40, si applicano, secondo l'ambito di appartenenza, le disposizioni di cui all'articolo 9-quinquies, comma 6, e all'articolo 9-septies, comma 6, del decreto-legge 22 aprile 2021, n. 52, convertito, con modificazioni, dalla legge 17 giugno 2021, n. 87, come introdotti dal presente decreto.</w:t>
      </w:r>
      <w:r w:rsidRPr="005D611D">
        <w:rPr>
          <w:rStyle w:val="Rimandonotaapidipagina"/>
          <w:rFonts w:asciiTheme="minorHAnsi" w:hAnsiTheme="minorHAnsi" w:cstheme="minorHAnsi"/>
          <w:color w:val="000000" w:themeColor="text1"/>
          <w:sz w:val="24"/>
          <w:szCs w:val="24"/>
        </w:rPr>
        <w:footnoteReference w:id="17"/>
      </w:r>
    </w:p>
    <w:p w14:paraId="10A3347E" w14:textId="77777777" w:rsidR="001518A1" w:rsidRDefault="001518A1" w:rsidP="008015BA">
      <w:pPr>
        <w:jc w:val="center"/>
        <w:rPr>
          <w:rFonts w:asciiTheme="minorHAnsi" w:hAnsiTheme="minorHAnsi" w:cstheme="minorHAnsi"/>
          <w:b/>
          <w:bCs/>
          <w:color w:val="000000" w:themeColor="text1"/>
          <w:sz w:val="24"/>
          <w:szCs w:val="24"/>
        </w:rPr>
      </w:pPr>
    </w:p>
    <w:p w14:paraId="28587069" w14:textId="77777777" w:rsidR="00283D3D" w:rsidRPr="00952BDC" w:rsidRDefault="00283D3D" w:rsidP="008015BA">
      <w:pPr>
        <w:jc w:val="both"/>
        <w:rPr>
          <w:rFonts w:asciiTheme="minorHAnsi" w:hAnsiTheme="minorHAnsi" w:cstheme="minorHAnsi"/>
          <w:b/>
          <w:bCs/>
          <w:color w:val="000000" w:themeColor="text1"/>
          <w:sz w:val="24"/>
          <w:szCs w:val="24"/>
        </w:rPr>
      </w:pPr>
    </w:p>
    <w:p w14:paraId="4E2B06D0" w14:textId="77777777" w:rsidR="00B53B26" w:rsidRPr="00AF5621" w:rsidRDefault="00B53B26" w:rsidP="00AF5621">
      <w:pPr>
        <w:spacing w:after="160" w:line="259" w:lineRule="auto"/>
        <w:jc w:val="both"/>
        <w:rPr>
          <w:color w:val="auto"/>
          <w:sz w:val="24"/>
          <w:szCs w:val="24"/>
          <w:lang w:eastAsia="en-US"/>
        </w:rPr>
      </w:pPr>
    </w:p>
    <w:p w14:paraId="712462C0"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4.</w:t>
      </w:r>
    </w:p>
    <w:p w14:paraId="1BED4DD2"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(Misure urgenti per la somministrazione di test antigenici rapidi)</w:t>
      </w:r>
    </w:p>
    <w:p w14:paraId="79CF44AE" w14:textId="77777777" w:rsidR="00AF5621" w:rsidRPr="00AF5621" w:rsidRDefault="00AF5621" w:rsidP="00AF5621">
      <w:pPr>
        <w:spacing w:after="160" w:line="259" w:lineRule="auto"/>
        <w:jc w:val="both"/>
        <w:rPr>
          <w:color w:val="auto"/>
          <w:sz w:val="24"/>
          <w:szCs w:val="24"/>
          <w:lang w:eastAsia="en-US"/>
        </w:rPr>
      </w:pPr>
    </w:p>
    <w:p w14:paraId="1F8ACDC9"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 All'articolo 5 del decreto-legge 23 luglio 2021, n. 105, convertito, con modificazioni, dalla legge 16 settembre 2021, n. 126, sono apportate le seguenti modificazioni:</w:t>
      </w:r>
    </w:p>
    <w:p w14:paraId="2B055430" w14:textId="77777777" w:rsidR="00AF5621" w:rsidRPr="00AF5621" w:rsidRDefault="00AF5621" w:rsidP="00AF5621">
      <w:pPr>
        <w:spacing w:after="160" w:line="259" w:lineRule="auto"/>
        <w:jc w:val="both"/>
        <w:rPr>
          <w:color w:val="auto"/>
          <w:sz w:val="24"/>
          <w:szCs w:val="24"/>
          <w:lang w:eastAsia="en-US"/>
        </w:rPr>
      </w:pPr>
    </w:p>
    <w:p w14:paraId="067B89D0"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a) al comma 1, primo periodo, le parole « fino al 30 novembre 2021 » sono sostituite dalle seguenti: « fino al 31 dicembre 2021 »;</w:t>
      </w:r>
    </w:p>
    <w:p w14:paraId="4C6291E8" w14:textId="77777777" w:rsidR="00AF5621" w:rsidRPr="00AF5621" w:rsidRDefault="00AF5621" w:rsidP="00AF5621">
      <w:pPr>
        <w:spacing w:after="160" w:line="259" w:lineRule="auto"/>
        <w:jc w:val="both"/>
        <w:rPr>
          <w:color w:val="auto"/>
          <w:sz w:val="24"/>
          <w:szCs w:val="24"/>
          <w:lang w:eastAsia="en-US"/>
        </w:rPr>
      </w:pPr>
    </w:p>
    <w:p w14:paraId="7C844499"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b) dopo il comma 1, sono inseriti i seguenti:</w:t>
      </w:r>
    </w:p>
    <w:p w14:paraId="7948A12F"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1-bis. Le farmacie di cui all'articolo 1, commi 418 e 419, della legge 30 dicembre 2020, n. 178, sono altresì tenute ad assicurare, sino al 31 dicembre 2021, la somministrazione di test antigenici rapidi per la rilevazione di antigene SARS-CoV-2, di cui all'articolo 9, comma 1, lettera d), del decreto-legge 22 aprile 2021, n. 52, convertito, con modificazioni, dalla legge 17 giugno 2021, n. 87, secondo le modalità e i prezzi previsti nel protocollo d'intesa di cui al comma 1. In caso di inosservanza della disposizione di cui al presente comma, si applica la sanzione amministrativa del pagamento di una somma da euro 1.000 a euro 10.000 e il Prefetto territorialmente competente, tenendo conto delle esigenze di continuità del servizio di assistenza farmaceutica, può disporre la chiusura dell'attività per una durata non superiore a cinque giorni.</w:t>
      </w:r>
    </w:p>
    <w:p w14:paraId="725C6ECC" w14:textId="77777777" w:rsidR="00AF5621" w:rsidRPr="00AF5621" w:rsidRDefault="00AF5621" w:rsidP="00AF5621">
      <w:pPr>
        <w:spacing w:after="160" w:line="259" w:lineRule="auto"/>
        <w:jc w:val="both"/>
        <w:rPr>
          <w:color w:val="auto"/>
          <w:sz w:val="24"/>
          <w:szCs w:val="24"/>
          <w:lang w:eastAsia="en-US"/>
        </w:rPr>
      </w:pPr>
    </w:p>
    <w:p w14:paraId="5F138982" w14:textId="6B725581"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xml:space="preserve">1-ter. L'applicazione del prezzo calmierato, è assicurata anche </w:t>
      </w:r>
      <w:r w:rsidRPr="00A016E1">
        <w:rPr>
          <w:strike/>
          <w:color w:val="auto"/>
          <w:sz w:val="24"/>
          <w:szCs w:val="24"/>
          <w:highlight w:val="yellow"/>
          <w:lang w:eastAsia="en-US"/>
        </w:rPr>
        <w:t>da tutte le strutture sanitarie convenzionate, autorizzate o accreditate con il Servizio Sanitario Nazionale</w:t>
      </w:r>
      <w:r w:rsidRPr="00AF5621">
        <w:rPr>
          <w:color w:val="auto"/>
          <w:sz w:val="24"/>
          <w:szCs w:val="24"/>
          <w:lang w:eastAsia="en-US"/>
        </w:rPr>
        <w:t xml:space="preserve"> </w:t>
      </w:r>
      <w:r w:rsidR="00A016E1" w:rsidRPr="00B711BD">
        <w:rPr>
          <w:rFonts w:asciiTheme="minorHAnsi" w:hAnsiTheme="minorHAnsi" w:cstheme="minorHAnsi"/>
          <w:b/>
          <w:bCs/>
          <w:color w:val="000000" w:themeColor="text1"/>
          <w:sz w:val="24"/>
          <w:szCs w:val="24"/>
        </w:rPr>
        <w:t>da tutte le strutture sanitarie autorizzate e da quelle accreditate o convenzionate con il Servizio sanitario nazionale</w:t>
      </w:r>
      <w:r w:rsidR="00A016E1" w:rsidRPr="00A016E1">
        <w:rPr>
          <w:rStyle w:val="Rimandonotaapidipagina"/>
          <w:rFonts w:asciiTheme="minorHAnsi" w:hAnsiTheme="minorHAnsi" w:cstheme="minorHAnsi"/>
          <w:color w:val="000000" w:themeColor="text1"/>
          <w:sz w:val="24"/>
          <w:szCs w:val="24"/>
        </w:rPr>
        <w:footnoteReference w:id="18"/>
      </w:r>
      <w:r w:rsidR="00A016E1" w:rsidRPr="00AF5621">
        <w:rPr>
          <w:color w:val="auto"/>
          <w:sz w:val="24"/>
          <w:szCs w:val="24"/>
          <w:lang w:eastAsia="en-US"/>
        </w:rPr>
        <w:t xml:space="preserve"> </w:t>
      </w:r>
      <w:r w:rsidRPr="00AF5621">
        <w:rPr>
          <w:color w:val="auto"/>
          <w:sz w:val="24"/>
          <w:szCs w:val="24"/>
          <w:lang w:eastAsia="en-US"/>
        </w:rPr>
        <w:t>e autorizzate dalle regioni alla somministrazione di test antigenici rapidi per la rilevazione di antigene SARS-CoV-2, di cui all'articolo 9, comma 1, lettera d), del decreto-legge 22 aprile 2021, n. 52, convertito, con modificazioni, dalla legge 17 giugno 2021, n. 87, aderenti al protocollo d'intesa di cui al comma 1. ».</w:t>
      </w:r>
    </w:p>
    <w:p w14:paraId="0B8F34BE" w14:textId="77777777" w:rsidR="00AF5621" w:rsidRPr="00AF5621" w:rsidRDefault="00AF5621" w:rsidP="00AF5621">
      <w:pPr>
        <w:spacing w:after="160" w:line="259" w:lineRule="auto"/>
        <w:jc w:val="both"/>
        <w:rPr>
          <w:color w:val="auto"/>
          <w:sz w:val="24"/>
          <w:szCs w:val="24"/>
          <w:lang w:eastAsia="en-US"/>
        </w:rPr>
      </w:pPr>
    </w:p>
    <w:p w14:paraId="0FE721D0"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2. All'articolo 34, del decreto-legge 25 maggio 2021, n. 73, convertito, con modificazioni, dalla legge 23 luglio 2021, n. 106, i commi 9-quater e 9-quinquies sono sostituiti dai seguenti:</w:t>
      </w:r>
    </w:p>
    <w:p w14:paraId="3108D24C" w14:textId="361706B5" w:rsidR="00AF5621" w:rsidRPr="00AF5621" w:rsidRDefault="00AF5621" w:rsidP="002E182D">
      <w:pPr>
        <w:jc w:val="both"/>
        <w:rPr>
          <w:color w:val="auto"/>
          <w:sz w:val="24"/>
          <w:szCs w:val="24"/>
          <w:lang w:eastAsia="en-US"/>
        </w:rPr>
      </w:pPr>
      <w:r w:rsidRPr="00AF5621">
        <w:rPr>
          <w:color w:val="auto"/>
          <w:sz w:val="24"/>
          <w:szCs w:val="24"/>
          <w:lang w:eastAsia="en-US"/>
        </w:rPr>
        <w:t xml:space="preserve">« 9-quater. Al fine di garantire fino al 31 dicembre 2021, nel limite di spesa autorizzato ai sensi del presente comma che costituisce tetto massimo di spesa, l'esecuzione gratuita di test antigenici rapidi per la rilevazione di antigene SARS-CoV-2, di cui all'articolo 9, comma 1, lettera d), del decreto-legge 22 aprile 2021, n. 52, convertito, con modificazioni, dalla legge 17 giugno 2021, n. 87, somministrati nelle farmacie di cui all'articolo 1, commi 418 e 419, della legge 30 dicembre 2020, n. 178, ovvero nelle strutture </w:t>
      </w:r>
      <w:r w:rsidRPr="00AF5621">
        <w:rPr>
          <w:color w:val="auto"/>
          <w:sz w:val="24"/>
          <w:szCs w:val="24"/>
          <w:lang w:eastAsia="en-US"/>
        </w:rPr>
        <w:lastRenderedPageBreak/>
        <w:t xml:space="preserve">sanitarie aderenti al protocollo d'intesa di cui all'articolo 5, comma 1, del decreto-legge 23 luglio 2021, n. 105, convertito, con modificazioni, dalla legge 16 settembre 2021, n. 126, per i soggetti che non possono ricevere o completare la vaccinazione anti SARS-CoV-2, sulla base di idonea certificazione medica, rilasciata ai sensi </w:t>
      </w:r>
      <w:r w:rsidRPr="002E182D">
        <w:rPr>
          <w:strike/>
          <w:color w:val="auto"/>
          <w:sz w:val="24"/>
          <w:szCs w:val="24"/>
          <w:highlight w:val="yellow"/>
          <w:lang w:eastAsia="en-US"/>
        </w:rPr>
        <w:t>dell'articolo 3, comma 3, del predetto decreto-legge n. 105 del 2021</w:t>
      </w:r>
      <w:r w:rsidR="002E182D" w:rsidRPr="002E182D">
        <w:rPr>
          <w:b/>
          <w:bCs/>
          <w:color w:val="000000" w:themeColor="text1"/>
          <w:sz w:val="24"/>
          <w:szCs w:val="24"/>
        </w:rPr>
        <w:t xml:space="preserve"> </w:t>
      </w:r>
      <w:r w:rsidR="002E182D" w:rsidRPr="00027E68">
        <w:rPr>
          <w:b/>
          <w:bCs/>
          <w:color w:val="000000" w:themeColor="text1"/>
          <w:sz w:val="24"/>
          <w:szCs w:val="24"/>
        </w:rPr>
        <w:t>dell'articolo 9-bis, comma 3, del decreto legge n. 52 del 2021, convertito, con modificazioni, dalla legge 17 giugno 2021, n. 87,</w:t>
      </w:r>
      <w:r w:rsidR="002E182D" w:rsidRPr="00783F07">
        <w:rPr>
          <w:rStyle w:val="Rimandonotaapidipagina"/>
          <w:color w:val="000000" w:themeColor="text1"/>
          <w:sz w:val="24"/>
          <w:szCs w:val="24"/>
        </w:rPr>
        <w:footnoteReference w:id="19"/>
      </w:r>
      <w:r w:rsidRPr="00AF5621">
        <w:rPr>
          <w:color w:val="auto"/>
          <w:sz w:val="24"/>
          <w:szCs w:val="24"/>
          <w:lang w:eastAsia="en-US"/>
        </w:rPr>
        <w:t xml:space="preserve"> e secondo i criteri definiti con circolare del Ministro della salute, è autorizzata a favore del Commissario straordinario per l'attuazione e il coordinamento delle misure di contenimento e contrasto dell'emergenza epidemiologica COVID-19 la spesa di 105 milioni di euro per l'anno 2021, a valere sulle risorse di cui al comma 1, che sono per il medesimo anno corrispondentemente incrementate.</w:t>
      </w:r>
    </w:p>
    <w:p w14:paraId="3A788E1E" w14:textId="77777777" w:rsidR="00AF5621" w:rsidRPr="00AF5621" w:rsidRDefault="00AF5621" w:rsidP="00AF5621">
      <w:pPr>
        <w:spacing w:after="160" w:line="259" w:lineRule="auto"/>
        <w:jc w:val="both"/>
        <w:rPr>
          <w:color w:val="auto"/>
          <w:sz w:val="24"/>
          <w:szCs w:val="24"/>
          <w:lang w:eastAsia="en-US"/>
        </w:rPr>
      </w:pPr>
    </w:p>
    <w:p w14:paraId="3DF0ECF1" w14:textId="2EE43F91"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xml:space="preserve">9-quinquies. Il Commissario straordinario provvede al trasferimento delle risorse di cui al comma 9-quater alle regioni e alle province autonome di Trento e di Bolzano sulla base dei dati disponibili sul sistema Tessera Sanitaria, al fine </w:t>
      </w:r>
      <w:r w:rsidRPr="004C1EE5">
        <w:rPr>
          <w:strike/>
          <w:color w:val="auto"/>
          <w:sz w:val="24"/>
          <w:szCs w:val="24"/>
          <w:highlight w:val="yellow"/>
          <w:lang w:eastAsia="en-US"/>
        </w:rPr>
        <w:t>del ristoro del prezzo calmierato alle farmacie e alle strutture sanitarie di cui al comma 9-quater</w:t>
      </w:r>
      <w:r w:rsidRPr="00AF5621">
        <w:rPr>
          <w:color w:val="auto"/>
          <w:sz w:val="24"/>
          <w:szCs w:val="24"/>
          <w:lang w:eastAsia="en-US"/>
        </w:rPr>
        <w:t xml:space="preserve"> </w:t>
      </w:r>
      <w:r w:rsidR="004C1EE5" w:rsidRPr="00B711BD">
        <w:rPr>
          <w:rFonts w:asciiTheme="minorHAnsi" w:hAnsiTheme="minorHAnsi" w:cstheme="minorHAnsi"/>
          <w:b/>
          <w:bCs/>
          <w:color w:val="000000" w:themeColor="text1"/>
          <w:sz w:val="24"/>
          <w:szCs w:val="24"/>
        </w:rPr>
        <w:t>del ristoro per i mancati introiti derivanti alle farmacie e alle strutture sanitarie dall'applicazione del comma 9-quater</w:t>
      </w:r>
      <w:r w:rsidR="004C1EE5" w:rsidRPr="004C1EE5">
        <w:rPr>
          <w:rStyle w:val="Rimandonotaapidipagina"/>
          <w:rFonts w:asciiTheme="minorHAnsi" w:hAnsiTheme="minorHAnsi" w:cstheme="minorHAnsi"/>
          <w:color w:val="000000" w:themeColor="text1"/>
          <w:sz w:val="24"/>
          <w:szCs w:val="24"/>
        </w:rPr>
        <w:footnoteReference w:id="20"/>
      </w:r>
      <w:r w:rsidR="004C1EE5" w:rsidRPr="004C1EE5">
        <w:rPr>
          <w:color w:val="auto"/>
          <w:sz w:val="24"/>
          <w:szCs w:val="24"/>
          <w:lang w:eastAsia="en-US"/>
        </w:rPr>
        <w:t xml:space="preserve"> </w:t>
      </w:r>
      <w:r w:rsidRPr="00AF5621">
        <w:rPr>
          <w:color w:val="auto"/>
          <w:sz w:val="24"/>
          <w:szCs w:val="24"/>
          <w:lang w:eastAsia="en-US"/>
        </w:rPr>
        <w:t>secondo le medesime modalità previste dai protocolli d'intesa di cui all'articolo 5, comma 1, del decreto-legge 23 luglio 2021, n. 105, convertito, con modificazioni, dalla legge 16 settembre 2021, n. 126. ».</w:t>
      </w:r>
    </w:p>
    <w:p w14:paraId="5EBE9D6F" w14:textId="77777777" w:rsidR="00AF5621" w:rsidRPr="00AF5621" w:rsidRDefault="00AF5621" w:rsidP="00AF5621">
      <w:pPr>
        <w:spacing w:after="160" w:line="259" w:lineRule="auto"/>
        <w:jc w:val="both"/>
        <w:rPr>
          <w:color w:val="auto"/>
          <w:sz w:val="24"/>
          <w:szCs w:val="24"/>
          <w:lang w:eastAsia="en-US"/>
        </w:rPr>
      </w:pPr>
    </w:p>
    <w:p w14:paraId="51AA9AE4" w14:textId="4DA3C8EE" w:rsidR="00AF5621" w:rsidRDefault="00AF5621" w:rsidP="00AF5621">
      <w:pPr>
        <w:spacing w:after="160" w:line="259" w:lineRule="auto"/>
        <w:jc w:val="both"/>
        <w:rPr>
          <w:color w:val="auto"/>
          <w:sz w:val="24"/>
          <w:szCs w:val="24"/>
          <w:lang w:eastAsia="en-US"/>
        </w:rPr>
      </w:pPr>
      <w:r w:rsidRPr="00AF5621">
        <w:rPr>
          <w:color w:val="auto"/>
          <w:sz w:val="24"/>
          <w:szCs w:val="24"/>
          <w:lang w:eastAsia="en-US"/>
        </w:rPr>
        <w:t>3. Agli oneri derivanti dai commi 1, lettera a) e 2, pari a 115,85 milioni di euro per l'anno 2021, si provvede, per 10 milioni di euro mediante corrispondente utilizzo delle risorse rivenienti dalle modifiche di cui al comma 2, capoverso 9-quater, e per 105,85 milioni di euro mediante corrispondente riduzione del fondo di cui all'articolo 44, del decreto legislativo 2 gennaio 2018, n. 1, come incrementato dall'articolo 40, comma 3, del decreto-legge 22 marzo 2021, n. 41, convertito, con modificazioni, dalla legge 21 maggio 2021, n. 69.</w:t>
      </w:r>
    </w:p>
    <w:p w14:paraId="1F6034FE" w14:textId="77777777" w:rsidR="005D611D" w:rsidRPr="00AF5621" w:rsidRDefault="005D611D" w:rsidP="00AF5621">
      <w:pPr>
        <w:spacing w:after="160" w:line="259" w:lineRule="auto"/>
        <w:jc w:val="both"/>
        <w:rPr>
          <w:color w:val="auto"/>
          <w:sz w:val="24"/>
          <w:szCs w:val="24"/>
          <w:lang w:eastAsia="en-US"/>
        </w:rPr>
      </w:pPr>
    </w:p>
    <w:p w14:paraId="1E1F2E9C" w14:textId="77777777" w:rsidR="005D611D" w:rsidRPr="000365D8" w:rsidRDefault="005D611D" w:rsidP="005D611D">
      <w:pPr>
        <w:jc w:val="center"/>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Articolo 4-bis</w:t>
      </w:r>
    </w:p>
    <w:p w14:paraId="2D4BC833" w14:textId="77777777" w:rsidR="005D611D" w:rsidRPr="000365D8" w:rsidRDefault="005D611D" w:rsidP="005D611D">
      <w:pPr>
        <w:jc w:val="center"/>
        <w:rPr>
          <w:rFonts w:asciiTheme="minorHAnsi" w:hAnsiTheme="minorHAnsi" w:cstheme="minorHAnsi"/>
          <w:b/>
          <w:bCs/>
          <w:color w:val="000000" w:themeColor="text1"/>
          <w:sz w:val="24"/>
          <w:szCs w:val="24"/>
        </w:rPr>
      </w:pPr>
    </w:p>
    <w:p w14:paraId="4F4C28D7" w14:textId="77777777" w:rsidR="005D611D" w:rsidRPr="000365D8" w:rsidRDefault="005D611D" w:rsidP="005D611D">
      <w:pPr>
        <w:jc w:val="center"/>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lastRenderedPageBreak/>
        <w:t>(Campagne di informazione e sensibilizzazione sulla vaccinazione anti-COVID-19 nei luoghi di lavoro)</w:t>
      </w:r>
    </w:p>
    <w:p w14:paraId="37C7918E" w14:textId="77777777" w:rsidR="005D611D" w:rsidRPr="000365D8" w:rsidRDefault="005D611D" w:rsidP="005D611D">
      <w:pPr>
        <w:jc w:val="both"/>
        <w:rPr>
          <w:rFonts w:asciiTheme="minorHAnsi" w:hAnsiTheme="minorHAnsi" w:cstheme="minorHAnsi"/>
          <w:b/>
          <w:bCs/>
          <w:color w:val="000000" w:themeColor="text1"/>
          <w:sz w:val="24"/>
          <w:szCs w:val="24"/>
        </w:rPr>
      </w:pPr>
    </w:p>
    <w:p w14:paraId="7E27B911" w14:textId="77777777" w:rsidR="005D611D" w:rsidRPr="000365D8" w:rsidRDefault="005D611D" w:rsidP="005D611D">
      <w:pPr>
        <w:jc w:val="both"/>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 xml:space="preserve">        1. Al fine di garantire il più elevato livello di copertura vaccinale e al fine di proteggere, in modo specifico, i soggetti a rischio, fino alla data di cessazione dello stato di emergenza, i datori di lavoro pubblici e privati possono promuovere campagne di informazione e sensibilizzazione sulla necessità e sull'importanza della vaccinazione contro il Covid-19. Le campagne di informazione sono dirette alla tutela della salute dei dipendenti e al contrasto e al contenimento della diffusione del SARS-CoV-2 negli ambienti di lavoro.</w:t>
      </w:r>
    </w:p>
    <w:p w14:paraId="54F3C220" w14:textId="77777777" w:rsidR="005D611D" w:rsidRPr="000365D8" w:rsidRDefault="005D611D" w:rsidP="005D611D">
      <w:pPr>
        <w:jc w:val="both"/>
        <w:rPr>
          <w:rFonts w:asciiTheme="minorHAnsi" w:hAnsiTheme="minorHAnsi" w:cstheme="minorHAnsi"/>
          <w:b/>
          <w:bCs/>
          <w:color w:val="000000" w:themeColor="text1"/>
          <w:sz w:val="24"/>
          <w:szCs w:val="24"/>
        </w:rPr>
      </w:pPr>
    </w:p>
    <w:p w14:paraId="266B36B2" w14:textId="77777777" w:rsidR="005D611D" w:rsidRPr="000365D8" w:rsidRDefault="005D611D" w:rsidP="005D611D">
      <w:pPr>
        <w:jc w:val="both"/>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 xml:space="preserve">        2. Le amministrazioni pubbliche provvedono alle attività previste dal presente articolo con le risorse, strumentali e finanziarie previste a legislazione vigente, senza nuovi o maggiori oneri per la finanza pubblica.</w:t>
      </w:r>
    </w:p>
    <w:p w14:paraId="7A1E01CF" w14:textId="77777777" w:rsidR="005D611D" w:rsidRPr="000365D8" w:rsidRDefault="005D611D" w:rsidP="005D611D">
      <w:pPr>
        <w:jc w:val="both"/>
        <w:rPr>
          <w:rFonts w:asciiTheme="minorHAnsi" w:hAnsiTheme="minorHAnsi" w:cstheme="minorHAnsi"/>
          <w:b/>
          <w:bCs/>
          <w:color w:val="000000" w:themeColor="text1"/>
          <w:sz w:val="24"/>
          <w:szCs w:val="24"/>
        </w:rPr>
      </w:pPr>
    </w:p>
    <w:p w14:paraId="6C385669" w14:textId="7F6729A5" w:rsidR="005D611D" w:rsidRPr="000365D8" w:rsidRDefault="005D611D" w:rsidP="005D611D">
      <w:pPr>
        <w:jc w:val="both"/>
        <w:rPr>
          <w:rFonts w:asciiTheme="minorHAnsi" w:hAnsiTheme="minorHAnsi" w:cstheme="minorHAnsi"/>
          <w:b/>
          <w:bCs/>
          <w:color w:val="000000" w:themeColor="text1"/>
          <w:sz w:val="24"/>
          <w:szCs w:val="24"/>
        </w:rPr>
      </w:pPr>
      <w:r w:rsidRPr="000365D8">
        <w:rPr>
          <w:rFonts w:asciiTheme="minorHAnsi" w:hAnsiTheme="minorHAnsi" w:cstheme="minorHAnsi"/>
          <w:b/>
          <w:bCs/>
          <w:color w:val="000000" w:themeColor="text1"/>
          <w:sz w:val="24"/>
          <w:szCs w:val="24"/>
        </w:rPr>
        <w:t xml:space="preserve">        3. Per le finalità di cui al presente articolo i datori di lavoro si avvalgono del medico competente nominato ai sensi dell'articolo 18, comma 1, lettera a), del decreto legislativo 9 aprile 2008, n. 81.</w:t>
      </w:r>
      <w:r w:rsidRPr="005D611D">
        <w:rPr>
          <w:rStyle w:val="Rimandonotaapidipagina"/>
          <w:rFonts w:asciiTheme="minorHAnsi" w:hAnsiTheme="minorHAnsi" w:cstheme="minorHAnsi"/>
          <w:color w:val="000000" w:themeColor="text1"/>
          <w:sz w:val="24"/>
          <w:szCs w:val="24"/>
        </w:rPr>
        <w:footnoteReference w:id="21"/>
      </w:r>
    </w:p>
    <w:p w14:paraId="1905086E" w14:textId="77777777" w:rsidR="00AF5621" w:rsidRPr="00AF5621" w:rsidRDefault="00AF5621" w:rsidP="00AF5621">
      <w:pPr>
        <w:spacing w:after="160" w:line="259" w:lineRule="auto"/>
        <w:jc w:val="both"/>
        <w:rPr>
          <w:color w:val="auto"/>
          <w:sz w:val="24"/>
          <w:szCs w:val="24"/>
          <w:lang w:eastAsia="en-US"/>
        </w:rPr>
      </w:pPr>
    </w:p>
    <w:p w14:paraId="71211124"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5.</w:t>
      </w:r>
    </w:p>
    <w:p w14:paraId="1C9B803A"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(Durata delle certificazioni verdi COVID-19)</w:t>
      </w:r>
    </w:p>
    <w:p w14:paraId="1492E526" w14:textId="77777777" w:rsidR="00AF5621" w:rsidRPr="00AF5621" w:rsidRDefault="00AF5621" w:rsidP="00AF5621">
      <w:pPr>
        <w:spacing w:after="160" w:line="259" w:lineRule="auto"/>
        <w:jc w:val="both"/>
        <w:rPr>
          <w:color w:val="auto"/>
          <w:sz w:val="24"/>
          <w:szCs w:val="24"/>
          <w:lang w:eastAsia="en-US"/>
        </w:rPr>
      </w:pPr>
    </w:p>
    <w:p w14:paraId="626D9F7F"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 All'articolo 9 del decreto-legge 22 aprile 2021, n. 52, convertito, con modificazioni, dalla legge 17 giugno 2021, n. 87, sono apportate le seguenti modificazioni:</w:t>
      </w:r>
    </w:p>
    <w:p w14:paraId="228CA9EC" w14:textId="77777777" w:rsidR="00AF5621" w:rsidRPr="00AF5621" w:rsidRDefault="00AF5621" w:rsidP="00AF5621">
      <w:pPr>
        <w:spacing w:after="160" w:line="259" w:lineRule="auto"/>
        <w:jc w:val="both"/>
        <w:rPr>
          <w:color w:val="auto"/>
          <w:sz w:val="24"/>
          <w:szCs w:val="24"/>
          <w:lang w:eastAsia="en-US"/>
        </w:rPr>
      </w:pPr>
    </w:p>
    <w:p w14:paraId="095F93F6" w14:textId="4101C515" w:rsidR="00AF5621" w:rsidRPr="00F14943" w:rsidRDefault="00AF5621" w:rsidP="00AF5621">
      <w:pPr>
        <w:spacing w:after="160" w:line="259" w:lineRule="auto"/>
        <w:jc w:val="both"/>
        <w:rPr>
          <w:strike/>
          <w:color w:val="auto"/>
          <w:sz w:val="24"/>
          <w:szCs w:val="24"/>
          <w:lang w:eastAsia="en-US"/>
        </w:rPr>
      </w:pPr>
      <w:r w:rsidRPr="00F14943">
        <w:rPr>
          <w:strike/>
          <w:color w:val="auto"/>
          <w:sz w:val="24"/>
          <w:szCs w:val="24"/>
          <w:highlight w:val="yellow"/>
          <w:lang w:eastAsia="en-US"/>
        </w:rPr>
        <w:lastRenderedPageBreak/>
        <w:t>a) al comma 1, lettera b), dopo le parole « da SARS-CoV-2 » sono inserite le seguenti: « e le vaccinazioni somministrate dalle autorità sanitarie nazionali competenti e riconosciute come equivalenti con circolare del Ministero della salute, »;</w:t>
      </w:r>
      <w:r w:rsidR="00F14943" w:rsidRPr="00F14943">
        <w:rPr>
          <w:rStyle w:val="Rimandonotaapidipagina"/>
          <w:color w:val="auto"/>
          <w:sz w:val="24"/>
          <w:szCs w:val="24"/>
          <w:lang w:eastAsia="en-US"/>
        </w:rPr>
        <w:footnoteReference w:id="22"/>
      </w:r>
    </w:p>
    <w:p w14:paraId="32BBF3F3" w14:textId="77777777" w:rsidR="00AF5621" w:rsidRPr="00AF5621" w:rsidRDefault="00AF5621" w:rsidP="00AF5621">
      <w:pPr>
        <w:spacing w:after="160" w:line="259" w:lineRule="auto"/>
        <w:jc w:val="both"/>
        <w:rPr>
          <w:color w:val="auto"/>
          <w:sz w:val="24"/>
          <w:szCs w:val="24"/>
          <w:lang w:eastAsia="en-US"/>
        </w:rPr>
      </w:pPr>
    </w:p>
    <w:p w14:paraId="6F8A71DD"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b) al comma 2, dopo la lettera c) è inserita la seguente:</w:t>
      </w:r>
    </w:p>
    <w:p w14:paraId="2D3F1B28"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c-bis) avvenuta guarigione dopo la somministrazione della prima dose di vaccino o al termine del prescritto ciclo. »;</w:t>
      </w:r>
    </w:p>
    <w:p w14:paraId="69018859" w14:textId="77777777" w:rsidR="00AF5621" w:rsidRPr="00AF5621" w:rsidRDefault="00AF5621" w:rsidP="00AF5621">
      <w:pPr>
        <w:spacing w:after="160" w:line="259" w:lineRule="auto"/>
        <w:jc w:val="both"/>
        <w:rPr>
          <w:color w:val="auto"/>
          <w:sz w:val="24"/>
          <w:szCs w:val="24"/>
          <w:lang w:eastAsia="en-US"/>
        </w:rPr>
      </w:pPr>
    </w:p>
    <w:p w14:paraId="7AD8AEB9"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c) al comma 3, terzo periodo, le parole « dal quindicesimo giorno successivo alla somministrazione » sono sostituite dalle seguenti: « dalla medesima somministrazione »;</w:t>
      </w:r>
    </w:p>
    <w:p w14:paraId="65B3DABA" w14:textId="77777777" w:rsidR="00AF5621" w:rsidRPr="00AF5621" w:rsidRDefault="00AF5621" w:rsidP="00AF5621">
      <w:pPr>
        <w:spacing w:after="160" w:line="259" w:lineRule="auto"/>
        <w:jc w:val="both"/>
        <w:rPr>
          <w:color w:val="auto"/>
          <w:sz w:val="24"/>
          <w:szCs w:val="24"/>
          <w:lang w:eastAsia="en-US"/>
        </w:rPr>
      </w:pPr>
    </w:p>
    <w:p w14:paraId="3FDB0496"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d) dopo il comma 4 è inserito il seguente:</w:t>
      </w:r>
    </w:p>
    <w:p w14:paraId="504BC15D"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4-bis. A coloro che sono stati identificati come casi accertati positivi al SARS-CoV-2 oltre il quattordicesimo giorno dalla somministrazione della prima dose di vaccino, nonché a seguito del prescritto ciclo, è rilasciata, altresì, la certificazione verde COVID-19 di cui alla lettera c-bis), che ha validità di dodici mesi a decorrere dall'avvenuta guarigione. ».</w:t>
      </w:r>
    </w:p>
    <w:p w14:paraId="0545E295" w14:textId="77777777" w:rsidR="00AF5621" w:rsidRPr="00AF5621" w:rsidRDefault="00AF5621" w:rsidP="00AF5621">
      <w:pPr>
        <w:spacing w:after="160" w:line="259" w:lineRule="auto"/>
        <w:jc w:val="both"/>
        <w:rPr>
          <w:color w:val="auto"/>
          <w:sz w:val="24"/>
          <w:szCs w:val="24"/>
          <w:lang w:eastAsia="en-US"/>
        </w:rPr>
      </w:pPr>
    </w:p>
    <w:p w14:paraId="651220C7"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6.</w:t>
      </w:r>
    </w:p>
    <w:p w14:paraId="03806A68"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(Misure urgenti per lo sport)</w:t>
      </w:r>
    </w:p>
    <w:p w14:paraId="707ED1C6" w14:textId="77777777" w:rsidR="00AF5621" w:rsidRPr="00AF5621" w:rsidRDefault="00AF5621" w:rsidP="00AF5621">
      <w:pPr>
        <w:spacing w:after="160" w:line="259" w:lineRule="auto"/>
        <w:jc w:val="both"/>
        <w:rPr>
          <w:color w:val="auto"/>
          <w:sz w:val="24"/>
          <w:szCs w:val="24"/>
          <w:lang w:eastAsia="en-US"/>
        </w:rPr>
      </w:pPr>
    </w:p>
    <w:p w14:paraId="4C428966"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 xml:space="preserve">1. Le somme trasferite a Sport e Salute </w:t>
      </w:r>
      <w:proofErr w:type="spellStart"/>
      <w:r w:rsidRPr="00AF5621">
        <w:rPr>
          <w:color w:val="auto"/>
          <w:sz w:val="24"/>
          <w:szCs w:val="24"/>
          <w:lang w:eastAsia="en-US"/>
        </w:rPr>
        <w:t>s.p.a</w:t>
      </w:r>
      <w:proofErr w:type="spellEnd"/>
      <w:r w:rsidRPr="00AF5621">
        <w:rPr>
          <w:color w:val="auto"/>
          <w:sz w:val="24"/>
          <w:szCs w:val="24"/>
          <w:lang w:eastAsia="en-US"/>
        </w:rPr>
        <w:t xml:space="preserve"> per il pagamento delle indennità per i collaboratori sportivi connesse all'emergenza COVID-19 di cui all'articolo 44 del decreto-legge 25 maggio 2021, n. 73, convertito, con modificazioni, dalla legge 23 luglio 2021, n. 106, non utilizzate, sono riversate, in deroga a quanto previsto dal comma 13 del suddetto articolo 44, entro il 15 ottobre 2021, all'entrata del bilancio dello Stato per essere riassegnate per il 50 per cento al « Fondo unico a sostegno del potenziamento del movimento sportivo italiano » di cui all'articolo 1, comma 369, della legge 27 dicembre 2017, n. 205, e per il restante 50 per cento al « Fondo per il rilancio del Sistema sportivo nazionale » di cui all'articolo </w:t>
      </w:r>
      <w:r w:rsidRPr="00AF5621">
        <w:rPr>
          <w:color w:val="auto"/>
          <w:sz w:val="24"/>
          <w:szCs w:val="24"/>
          <w:lang w:eastAsia="en-US"/>
        </w:rPr>
        <w:lastRenderedPageBreak/>
        <w:t>217 del decreto-legge 19 maggio 2020, n. 34, convertito, con modificazioni, dalla legge 17 luglio 2020, n. 77.</w:t>
      </w:r>
    </w:p>
    <w:p w14:paraId="2F9DDA42" w14:textId="77777777" w:rsidR="00AF5621" w:rsidRPr="00AF5621" w:rsidRDefault="00AF5621" w:rsidP="00AF5621">
      <w:pPr>
        <w:spacing w:after="160" w:line="259" w:lineRule="auto"/>
        <w:jc w:val="both"/>
        <w:rPr>
          <w:color w:val="auto"/>
          <w:sz w:val="24"/>
          <w:szCs w:val="24"/>
          <w:lang w:eastAsia="en-US"/>
        </w:rPr>
      </w:pPr>
    </w:p>
    <w:p w14:paraId="55CAE566" w14:textId="77777777" w:rsidR="00AF5621" w:rsidRPr="00AF5621" w:rsidRDefault="00AF5621" w:rsidP="00AF5621">
      <w:pPr>
        <w:spacing w:after="160" w:line="259" w:lineRule="auto"/>
        <w:jc w:val="center"/>
        <w:rPr>
          <w:color w:val="auto"/>
          <w:sz w:val="24"/>
          <w:szCs w:val="24"/>
          <w:lang w:val="en-US" w:eastAsia="en-US"/>
        </w:rPr>
      </w:pPr>
      <w:r w:rsidRPr="00AF5621">
        <w:rPr>
          <w:color w:val="auto"/>
          <w:sz w:val="24"/>
          <w:szCs w:val="24"/>
          <w:lang w:val="en-US" w:eastAsia="en-US"/>
        </w:rPr>
        <w:t>Art. 7.</w:t>
      </w:r>
    </w:p>
    <w:p w14:paraId="63CF6892" w14:textId="77777777" w:rsidR="00AF5621" w:rsidRPr="00AF5621" w:rsidRDefault="00AF5621" w:rsidP="00AF5621">
      <w:pPr>
        <w:spacing w:after="160" w:line="259" w:lineRule="auto"/>
        <w:jc w:val="center"/>
        <w:rPr>
          <w:color w:val="auto"/>
          <w:sz w:val="24"/>
          <w:szCs w:val="24"/>
          <w:lang w:val="en-US" w:eastAsia="en-US"/>
        </w:rPr>
      </w:pPr>
      <w:r w:rsidRPr="00AF5621">
        <w:rPr>
          <w:color w:val="auto"/>
          <w:sz w:val="24"/>
          <w:szCs w:val="24"/>
          <w:lang w:val="en-US" w:eastAsia="en-US"/>
        </w:rPr>
        <w:t>(Contact center Green pass)</w:t>
      </w:r>
    </w:p>
    <w:p w14:paraId="26EBA62C" w14:textId="77777777" w:rsidR="00AF5621" w:rsidRPr="00AF5621" w:rsidRDefault="00AF5621" w:rsidP="00AF5621">
      <w:pPr>
        <w:spacing w:after="160" w:line="259" w:lineRule="auto"/>
        <w:jc w:val="both"/>
        <w:rPr>
          <w:color w:val="auto"/>
          <w:sz w:val="24"/>
          <w:szCs w:val="24"/>
          <w:lang w:val="en-US" w:eastAsia="en-US"/>
        </w:rPr>
      </w:pPr>
    </w:p>
    <w:p w14:paraId="3952A680"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 All'articolo 1, comma 621-bis, della legge 30 dicembre 2020, n. 178, sono apportate le seguenti modificazioni:</w:t>
      </w:r>
    </w:p>
    <w:p w14:paraId="32CA3F0A"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a) al primo periodo:</w:t>
      </w:r>
    </w:p>
    <w:p w14:paraId="13E12180"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 le parole « La competente struttura per l'innovazione tecnologica e la digitalizzazione della Presidenza del Consiglio dei ministri » sono sostituite dalle seguenti: « Il Ministero della salute »;</w:t>
      </w:r>
    </w:p>
    <w:p w14:paraId="3ECEEE30" w14:textId="77777777" w:rsidR="00AF5621" w:rsidRPr="00AF5621" w:rsidRDefault="00AF5621" w:rsidP="00AF5621">
      <w:pPr>
        <w:spacing w:after="160" w:line="259" w:lineRule="auto"/>
        <w:jc w:val="both"/>
        <w:rPr>
          <w:color w:val="auto"/>
          <w:sz w:val="24"/>
          <w:szCs w:val="24"/>
          <w:lang w:eastAsia="en-US"/>
        </w:rPr>
      </w:pPr>
    </w:p>
    <w:p w14:paraId="2394743E"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2) dopo le parole « dalla legge 17 giugno 2021, n. 87 », sono aggiunte le seguenti: « , quale servizio supplementare rispetto a quello di contact center reso in potenziamento del Servizio 1500-numero di pubblica utilità, di cui all'articolo 1 dell'ordinanza del Capo del Dipartimento della protezione civile dell'8 marzo 2020, n. 645, anche ai fini dell'eventuale integrazione dei rapporti negoziali in essere »;</w:t>
      </w:r>
    </w:p>
    <w:p w14:paraId="113C28F8"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b) al secondo periodo, le parole « 1 milione » sono sostituite dalle seguenti: « 4 milioni ».</w:t>
      </w:r>
    </w:p>
    <w:p w14:paraId="4BFC7FA5" w14:textId="77777777" w:rsidR="00AF5621" w:rsidRPr="00AF5621" w:rsidRDefault="00AF5621" w:rsidP="00AF5621">
      <w:pPr>
        <w:spacing w:after="160" w:line="259" w:lineRule="auto"/>
        <w:jc w:val="both"/>
        <w:rPr>
          <w:color w:val="auto"/>
          <w:sz w:val="24"/>
          <w:szCs w:val="24"/>
          <w:lang w:eastAsia="en-US"/>
        </w:rPr>
      </w:pPr>
    </w:p>
    <w:p w14:paraId="30B9B6B5"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2. Alla copertura degli oneri derivanti dal comma 1, lettera b) pari a 3 milioni di euro per l'anno 2021, si provvede mediante corrispondente riduzione dello stanziamento del Fondo speciale di parte corrente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medesimo Ministero.</w:t>
      </w:r>
    </w:p>
    <w:p w14:paraId="5FA30875" w14:textId="77777777" w:rsidR="00AF5621" w:rsidRPr="00AF5621" w:rsidRDefault="00AF5621" w:rsidP="00AF5621">
      <w:pPr>
        <w:spacing w:after="160" w:line="259" w:lineRule="auto"/>
        <w:jc w:val="both"/>
        <w:rPr>
          <w:color w:val="auto"/>
          <w:sz w:val="24"/>
          <w:szCs w:val="24"/>
          <w:lang w:eastAsia="en-US"/>
        </w:rPr>
      </w:pPr>
    </w:p>
    <w:p w14:paraId="0C884E05"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8.</w:t>
      </w:r>
    </w:p>
    <w:p w14:paraId="6425BD4D"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(Disposizioni per lo svolgimento di attività culturali,</w:t>
      </w:r>
    </w:p>
    <w:p w14:paraId="16DC289D"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sportive, sociali e ricreative)</w:t>
      </w:r>
    </w:p>
    <w:p w14:paraId="170EC942" w14:textId="77777777" w:rsidR="00AF5621" w:rsidRPr="00AF5621" w:rsidRDefault="00AF5621" w:rsidP="00AF5621">
      <w:pPr>
        <w:spacing w:after="160" w:line="259" w:lineRule="auto"/>
        <w:jc w:val="both"/>
        <w:rPr>
          <w:color w:val="auto"/>
          <w:sz w:val="24"/>
          <w:szCs w:val="24"/>
          <w:lang w:eastAsia="en-US"/>
        </w:rPr>
      </w:pPr>
    </w:p>
    <w:p w14:paraId="2D4BA1A0" w14:textId="12014627" w:rsidR="00AF5621" w:rsidRDefault="00AF5621" w:rsidP="00AF5621">
      <w:pPr>
        <w:spacing w:after="160" w:line="259" w:lineRule="auto"/>
        <w:jc w:val="both"/>
        <w:rPr>
          <w:color w:val="auto"/>
          <w:sz w:val="24"/>
          <w:szCs w:val="24"/>
          <w:lang w:eastAsia="en-US"/>
        </w:rPr>
      </w:pPr>
      <w:r w:rsidRPr="00AF5621">
        <w:rPr>
          <w:color w:val="auto"/>
          <w:sz w:val="24"/>
          <w:szCs w:val="24"/>
          <w:lang w:eastAsia="en-US"/>
        </w:rPr>
        <w:lastRenderedPageBreak/>
        <w:t>1. Entro il 30 settembre 2021, il Comitato tecnico scientifico di cui all'ordinanza del Capo del Dipartimento della protezione civile 3 febbraio 2020, n. 630, e successive modificazioni, in vista dell'adozione di successivi provvedimenti normativi e tenuto conto dell'andamento dell'epidemia, dell'estensione dell'obbligo di certificazione verde COVID-19 e dell'evoluzione della campagna vaccinale, esprime parere sulle misure di distanziamento, capienza e protezione nei luoghi nei quali si svolgono attività culturali, sportive, sociali e ricreative.</w:t>
      </w:r>
    </w:p>
    <w:p w14:paraId="55ECF838" w14:textId="7D202855" w:rsidR="002E182D" w:rsidRDefault="002E182D" w:rsidP="00AF5621">
      <w:pPr>
        <w:spacing w:after="160" w:line="259" w:lineRule="auto"/>
        <w:jc w:val="both"/>
        <w:rPr>
          <w:color w:val="auto"/>
          <w:sz w:val="24"/>
          <w:szCs w:val="24"/>
          <w:lang w:eastAsia="en-US"/>
        </w:rPr>
      </w:pPr>
    </w:p>
    <w:p w14:paraId="1844F38E" w14:textId="77777777" w:rsidR="002E182D" w:rsidRPr="00027E68" w:rsidRDefault="002E182D" w:rsidP="002E182D">
      <w:pPr>
        <w:jc w:val="center"/>
        <w:rPr>
          <w:b/>
          <w:bCs/>
          <w:color w:val="000000" w:themeColor="text1"/>
          <w:sz w:val="24"/>
          <w:szCs w:val="24"/>
        </w:rPr>
      </w:pPr>
      <w:r w:rsidRPr="00027E68">
        <w:rPr>
          <w:b/>
          <w:bCs/>
          <w:color w:val="000000" w:themeColor="text1"/>
          <w:sz w:val="24"/>
          <w:szCs w:val="24"/>
        </w:rPr>
        <w:t>Articolo 8-bis</w:t>
      </w:r>
    </w:p>
    <w:p w14:paraId="28404EE0" w14:textId="77777777" w:rsidR="002E182D" w:rsidRPr="00027E68" w:rsidRDefault="002E182D" w:rsidP="002E182D">
      <w:pPr>
        <w:jc w:val="center"/>
        <w:rPr>
          <w:b/>
          <w:bCs/>
          <w:color w:val="000000" w:themeColor="text1"/>
          <w:sz w:val="24"/>
          <w:szCs w:val="24"/>
        </w:rPr>
      </w:pPr>
      <w:r w:rsidRPr="00027E68">
        <w:rPr>
          <w:b/>
          <w:bCs/>
          <w:color w:val="000000" w:themeColor="text1"/>
          <w:sz w:val="24"/>
          <w:szCs w:val="24"/>
        </w:rPr>
        <w:t>(Disposizioni per lo svolgimento dell'attività didattica scuola-spettacolo)</w:t>
      </w:r>
    </w:p>
    <w:p w14:paraId="461EBB5F" w14:textId="248B8ED2" w:rsidR="002E182D" w:rsidRPr="00027E68" w:rsidRDefault="002E182D" w:rsidP="002E182D">
      <w:pPr>
        <w:jc w:val="both"/>
        <w:rPr>
          <w:b/>
          <w:bCs/>
          <w:color w:val="000000" w:themeColor="text1"/>
          <w:sz w:val="24"/>
          <w:szCs w:val="24"/>
        </w:rPr>
      </w:pPr>
      <w:r w:rsidRPr="00027E68">
        <w:rPr>
          <w:b/>
          <w:bCs/>
          <w:color w:val="000000" w:themeColor="text1"/>
          <w:sz w:val="24"/>
          <w:szCs w:val="24"/>
        </w:rPr>
        <w:t xml:space="preserve">        1. Per lo svolgimento delle attività didattiche di Teatro ragazzi, comprese le matinée scolastiche in orario curriculare, in merito all'impiego delle certificazioni verdi COVID-19, si applicano le disposizioni riferite allo svolgimento delle attività didattiche.</w:t>
      </w:r>
      <w:r w:rsidRPr="002E182D">
        <w:rPr>
          <w:rStyle w:val="Rimandonotaapidipagina"/>
          <w:color w:val="000000" w:themeColor="text1"/>
          <w:sz w:val="24"/>
          <w:szCs w:val="24"/>
        </w:rPr>
        <w:footnoteReference w:id="23"/>
      </w:r>
    </w:p>
    <w:p w14:paraId="55B83E90" w14:textId="77777777" w:rsidR="002E182D" w:rsidRPr="00AF5621" w:rsidRDefault="002E182D" w:rsidP="00AF5621">
      <w:pPr>
        <w:spacing w:after="160" w:line="259" w:lineRule="auto"/>
        <w:jc w:val="both"/>
        <w:rPr>
          <w:color w:val="auto"/>
          <w:sz w:val="24"/>
          <w:szCs w:val="24"/>
          <w:lang w:eastAsia="en-US"/>
        </w:rPr>
      </w:pPr>
    </w:p>
    <w:p w14:paraId="498436E4" w14:textId="77777777" w:rsidR="00AF5621" w:rsidRPr="00AF5621" w:rsidRDefault="00AF5621" w:rsidP="00AF5621">
      <w:pPr>
        <w:spacing w:after="160" w:line="259" w:lineRule="auto"/>
        <w:jc w:val="both"/>
        <w:rPr>
          <w:color w:val="auto"/>
          <w:sz w:val="24"/>
          <w:szCs w:val="24"/>
          <w:lang w:eastAsia="en-US"/>
        </w:rPr>
      </w:pPr>
    </w:p>
    <w:p w14:paraId="703A9268"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9.</w:t>
      </w:r>
    </w:p>
    <w:p w14:paraId="120F87DC"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(Disposizioni di coordinamento)</w:t>
      </w:r>
    </w:p>
    <w:p w14:paraId="78DBC1EF" w14:textId="77777777" w:rsidR="00AF5621" w:rsidRPr="00AF5621" w:rsidRDefault="00AF5621" w:rsidP="00AF5621">
      <w:pPr>
        <w:spacing w:after="160" w:line="259" w:lineRule="auto"/>
        <w:jc w:val="both"/>
        <w:rPr>
          <w:color w:val="auto"/>
          <w:sz w:val="24"/>
          <w:szCs w:val="24"/>
          <w:lang w:eastAsia="en-US"/>
        </w:rPr>
      </w:pPr>
    </w:p>
    <w:p w14:paraId="21ABE4D0" w14:textId="77777777" w:rsidR="00AF5621" w:rsidRPr="00AF5621" w:rsidRDefault="00AF5621" w:rsidP="00AF5621">
      <w:pPr>
        <w:spacing w:after="160" w:line="259" w:lineRule="auto"/>
        <w:jc w:val="both"/>
        <w:rPr>
          <w:color w:val="auto"/>
          <w:sz w:val="24"/>
          <w:szCs w:val="24"/>
          <w:lang w:eastAsia="en-US"/>
        </w:rPr>
      </w:pPr>
      <w:r w:rsidRPr="00AF5621">
        <w:rPr>
          <w:color w:val="auto"/>
          <w:sz w:val="24"/>
          <w:szCs w:val="24"/>
          <w:lang w:eastAsia="en-US"/>
        </w:rPr>
        <w:t>1. All'articolo 9, comma 10-bis, del decreto-legge 22 aprile 2021, n. 52, convertito, con modificazioni, dalla legge 17 giugno 2021, n. 87, le parole « e 9-bis » sono sostituite dalle seguenti: « , 9-bis, 9-quinquies, 9-sexies e 9-septies ».</w:t>
      </w:r>
    </w:p>
    <w:p w14:paraId="5A75C41F" w14:textId="77777777" w:rsidR="00AF5621" w:rsidRPr="00AF5621" w:rsidRDefault="00AF5621" w:rsidP="00AF5621">
      <w:pPr>
        <w:spacing w:after="160" w:line="259" w:lineRule="auto"/>
        <w:jc w:val="both"/>
        <w:rPr>
          <w:color w:val="auto"/>
          <w:sz w:val="24"/>
          <w:szCs w:val="24"/>
          <w:lang w:eastAsia="en-US"/>
        </w:rPr>
      </w:pPr>
    </w:p>
    <w:p w14:paraId="72F1BAD1"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10.</w:t>
      </w:r>
    </w:p>
    <w:p w14:paraId="3E98D0CC"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(Disposizioni finanziarie)</w:t>
      </w:r>
    </w:p>
    <w:p w14:paraId="078EF91B" w14:textId="77777777" w:rsidR="00AF5621" w:rsidRPr="00AF5621" w:rsidRDefault="00AF5621" w:rsidP="00AF5621">
      <w:pPr>
        <w:spacing w:after="160" w:line="259" w:lineRule="auto"/>
        <w:jc w:val="both"/>
        <w:rPr>
          <w:color w:val="auto"/>
          <w:sz w:val="24"/>
          <w:szCs w:val="24"/>
          <w:lang w:eastAsia="en-US"/>
        </w:rPr>
      </w:pPr>
    </w:p>
    <w:p w14:paraId="12F72FDE" w14:textId="691B034E" w:rsidR="00AF5621" w:rsidRDefault="00AF5621" w:rsidP="00AF5621">
      <w:pPr>
        <w:spacing w:after="160" w:line="259" w:lineRule="auto"/>
        <w:jc w:val="both"/>
        <w:rPr>
          <w:color w:val="auto"/>
          <w:sz w:val="24"/>
          <w:szCs w:val="24"/>
          <w:lang w:eastAsia="en-US"/>
        </w:rPr>
      </w:pPr>
      <w:r w:rsidRPr="00AF5621">
        <w:rPr>
          <w:color w:val="auto"/>
          <w:sz w:val="24"/>
          <w:szCs w:val="24"/>
          <w:lang w:eastAsia="en-US"/>
        </w:rPr>
        <w:lastRenderedPageBreak/>
        <w:t>1. Ai fini dell'immediata attuazione delle disposizioni recate dal presente decreto, il Ministro dell'economia e delle finanze è autorizzato ad apportare, con propri decreti, le occorrenti variazioni di bilancio.</w:t>
      </w:r>
    </w:p>
    <w:p w14:paraId="4C5AA957" w14:textId="3A8363D0" w:rsidR="006856E6" w:rsidRDefault="006856E6" w:rsidP="006856E6">
      <w:pPr>
        <w:spacing w:after="160" w:line="259" w:lineRule="auto"/>
        <w:jc w:val="center"/>
        <w:rPr>
          <w:color w:val="auto"/>
          <w:sz w:val="24"/>
          <w:szCs w:val="24"/>
          <w:lang w:eastAsia="en-US"/>
        </w:rPr>
      </w:pPr>
    </w:p>
    <w:p w14:paraId="5148AAE4" w14:textId="77777777" w:rsidR="006856E6" w:rsidRPr="00027E68" w:rsidRDefault="006856E6" w:rsidP="006856E6">
      <w:pPr>
        <w:jc w:val="center"/>
        <w:rPr>
          <w:b/>
          <w:bCs/>
          <w:color w:val="000000" w:themeColor="text1"/>
          <w:sz w:val="24"/>
          <w:szCs w:val="24"/>
        </w:rPr>
      </w:pPr>
      <w:r w:rsidRPr="00027E68">
        <w:rPr>
          <w:b/>
          <w:bCs/>
          <w:color w:val="000000" w:themeColor="text1"/>
          <w:sz w:val="24"/>
          <w:szCs w:val="24"/>
        </w:rPr>
        <w:t>Art. 10-bis.</w:t>
      </w:r>
    </w:p>
    <w:p w14:paraId="6BD0CCE2" w14:textId="77777777" w:rsidR="006856E6" w:rsidRPr="00027E68" w:rsidRDefault="006856E6" w:rsidP="006856E6">
      <w:pPr>
        <w:jc w:val="center"/>
        <w:rPr>
          <w:b/>
          <w:bCs/>
          <w:color w:val="000000" w:themeColor="text1"/>
          <w:sz w:val="24"/>
          <w:szCs w:val="24"/>
        </w:rPr>
      </w:pPr>
      <w:r w:rsidRPr="00027E68">
        <w:rPr>
          <w:b/>
          <w:bCs/>
          <w:color w:val="000000" w:themeColor="text1"/>
          <w:sz w:val="24"/>
          <w:szCs w:val="24"/>
        </w:rPr>
        <w:t>(Clausola di salvaguardia)</w:t>
      </w:r>
    </w:p>
    <w:p w14:paraId="4450F50F" w14:textId="3DD38349" w:rsidR="006856E6" w:rsidRPr="00027E68" w:rsidRDefault="006856E6" w:rsidP="006856E6">
      <w:pPr>
        <w:jc w:val="both"/>
        <w:rPr>
          <w:b/>
          <w:bCs/>
          <w:color w:val="000000" w:themeColor="text1"/>
          <w:sz w:val="24"/>
          <w:szCs w:val="24"/>
        </w:rPr>
      </w:pPr>
      <w:r w:rsidRPr="00027E68">
        <w:rPr>
          <w:b/>
          <w:bCs/>
          <w:color w:val="000000" w:themeColor="text1"/>
          <w:sz w:val="24"/>
          <w:szCs w:val="24"/>
        </w:rPr>
        <w:t xml:space="preserve">        1. Le disposizioni del presente decreto sono applicabili nelle regioni a statuto speciale e nelle province autonome di Trento e di Bolzano compatibilmente con i rispettivi statuti e le relative norme di attuazione.</w:t>
      </w:r>
      <w:r w:rsidRPr="006856E6">
        <w:rPr>
          <w:rStyle w:val="Rimandonotaapidipagina"/>
          <w:color w:val="000000" w:themeColor="text1"/>
          <w:sz w:val="24"/>
          <w:szCs w:val="24"/>
        </w:rPr>
        <w:footnoteReference w:id="24"/>
      </w:r>
    </w:p>
    <w:p w14:paraId="5D98FDAC" w14:textId="77777777" w:rsidR="006856E6" w:rsidRPr="00AF5621" w:rsidRDefault="006856E6" w:rsidP="00AF5621">
      <w:pPr>
        <w:spacing w:after="160" w:line="259" w:lineRule="auto"/>
        <w:jc w:val="both"/>
        <w:rPr>
          <w:color w:val="auto"/>
          <w:sz w:val="24"/>
          <w:szCs w:val="24"/>
          <w:lang w:eastAsia="en-US"/>
        </w:rPr>
      </w:pPr>
    </w:p>
    <w:p w14:paraId="2FF40DD3" w14:textId="77777777" w:rsidR="00AF5621" w:rsidRPr="00AF5621" w:rsidRDefault="00AF5621" w:rsidP="00AF5621">
      <w:pPr>
        <w:spacing w:after="160" w:line="259" w:lineRule="auto"/>
        <w:jc w:val="both"/>
        <w:rPr>
          <w:color w:val="auto"/>
          <w:sz w:val="24"/>
          <w:szCs w:val="24"/>
          <w:lang w:eastAsia="en-US"/>
        </w:rPr>
      </w:pPr>
    </w:p>
    <w:p w14:paraId="40C317A4"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Art. 11.</w:t>
      </w:r>
    </w:p>
    <w:p w14:paraId="176ECD11" w14:textId="77777777" w:rsidR="00AF5621" w:rsidRPr="00AF5621" w:rsidRDefault="00AF5621" w:rsidP="00AF5621">
      <w:pPr>
        <w:spacing w:after="160" w:line="259" w:lineRule="auto"/>
        <w:jc w:val="center"/>
        <w:rPr>
          <w:color w:val="auto"/>
          <w:sz w:val="24"/>
          <w:szCs w:val="24"/>
          <w:lang w:eastAsia="en-US"/>
        </w:rPr>
      </w:pPr>
      <w:r w:rsidRPr="00AF5621">
        <w:rPr>
          <w:color w:val="auto"/>
          <w:sz w:val="24"/>
          <w:szCs w:val="24"/>
          <w:lang w:eastAsia="en-US"/>
        </w:rPr>
        <w:t>(Entrata in vigore)</w:t>
      </w:r>
    </w:p>
    <w:p w14:paraId="10BDBA87" w14:textId="77777777" w:rsidR="00AF5621" w:rsidRPr="00AF5621" w:rsidRDefault="00AF5621" w:rsidP="00AF5621">
      <w:pPr>
        <w:spacing w:after="160" w:line="259" w:lineRule="auto"/>
        <w:jc w:val="both"/>
        <w:rPr>
          <w:color w:val="auto"/>
          <w:sz w:val="24"/>
          <w:szCs w:val="24"/>
          <w:lang w:eastAsia="en-US"/>
        </w:rPr>
      </w:pPr>
    </w:p>
    <w:p w14:paraId="1A9D52F8" w14:textId="59A98D1B" w:rsidR="0020695E" w:rsidRPr="00F55D5C" w:rsidRDefault="00AF5621" w:rsidP="00AF5621">
      <w:pPr>
        <w:spacing w:after="160" w:line="259" w:lineRule="auto"/>
        <w:jc w:val="both"/>
        <w:rPr>
          <w:color w:val="auto"/>
          <w:sz w:val="24"/>
          <w:szCs w:val="24"/>
          <w:lang w:eastAsia="en-US"/>
        </w:rPr>
      </w:pPr>
      <w:r w:rsidRPr="00AF5621">
        <w:rPr>
          <w:color w:val="auto"/>
          <w:sz w:val="24"/>
          <w:szCs w:val="24"/>
          <w:lang w:eastAsia="en-US"/>
        </w:rPr>
        <w:t>1. Il presente decreto entra in vigore il giorno successivo a quello della sua pubblicazione nella Gazzetta Ufficiale della Repubblica italiana e sarà presentato alle Camere per la conversione in legge.</w:t>
      </w:r>
    </w:p>
    <w:sectPr w:rsidR="0020695E" w:rsidRPr="00F55D5C"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BF76" w14:textId="77777777" w:rsidR="00760425" w:rsidRDefault="00760425">
      <w:pPr>
        <w:spacing w:after="0" w:line="240" w:lineRule="auto"/>
      </w:pPr>
      <w:r>
        <w:separator/>
      </w:r>
    </w:p>
  </w:endnote>
  <w:endnote w:type="continuationSeparator" w:id="0">
    <w:p w14:paraId="53FAE5A2" w14:textId="77777777" w:rsidR="00760425" w:rsidRDefault="0076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7DE859B2" w:rsidR="00A06B48" w:rsidRPr="004D0F93" w:rsidRDefault="00A06B48"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A06B48" w:rsidRDefault="00A06B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253A5651" w:rsidR="00A06B48" w:rsidRDefault="00A06B48" w:rsidP="004532C6">
    <w:pPr>
      <w:pStyle w:val="Pidipagina"/>
      <w:tabs>
        <w:tab w:val="clear" w:pos="9638"/>
        <w:tab w:val="right" w:pos="10034"/>
      </w:tabs>
      <w:rPr>
        <w:rFonts w:asciiTheme="majorHAnsi" w:hAnsiTheme="majorHAnsi"/>
        <w:sz w:val="18"/>
        <w:szCs w:val="18"/>
      </w:rPr>
    </w:pPr>
  </w:p>
  <w:p w14:paraId="3B296C9C" w14:textId="77777777" w:rsidR="00A06B48" w:rsidRPr="005F27F8" w:rsidRDefault="00A06B48"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A06B48" w:rsidRPr="005F27F8" w:rsidRDefault="00A06B48"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A06B48" w:rsidRPr="002739D4" w:rsidRDefault="00A06B48"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4817" w14:textId="77777777" w:rsidR="00A06B48" w:rsidRPr="002739D4" w:rsidRDefault="00A06B48"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EB28" w14:textId="77777777" w:rsidR="00760425" w:rsidRDefault="00760425">
      <w:pPr>
        <w:spacing w:after="0" w:line="240" w:lineRule="auto"/>
      </w:pPr>
      <w:r>
        <w:separator/>
      </w:r>
    </w:p>
  </w:footnote>
  <w:footnote w:type="continuationSeparator" w:id="0">
    <w:p w14:paraId="18EC37BE" w14:textId="77777777" w:rsidR="00760425" w:rsidRDefault="00760425">
      <w:pPr>
        <w:spacing w:after="0" w:line="240" w:lineRule="auto"/>
      </w:pPr>
      <w:r>
        <w:continuationSeparator/>
      </w:r>
    </w:p>
  </w:footnote>
  <w:footnote w:id="1">
    <w:p w14:paraId="07DEFB06" w14:textId="77777777" w:rsidR="00966FBB" w:rsidRPr="00952BDC" w:rsidRDefault="00966FBB" w:rsidP="00966FBB">
      <w:pPr>
        <w:jc w:val="both"/>
        <w:rPr>
          <w:rFonts w:asciiTheme="minorHAnsi" w:hAnsiTheme="minorHAnsi" w:cstheme="minorHAnsi"/>
          <w:color w:val="000000" w:themeColor="text1"/>
        </w:rPr>
      </w:pPr>
      <w:r>
        <w:rPr>
          <w:rStyle w:val="Rimandonotaapidipagina"/>
        </w:rPr>
        <w:footnoteRef/>
      </w:r>
      <w:r>
        <w:t xml:space="preserve"> </w:t>
      </w:r>
      <w:r w:rsidRPr="00952BDC">
        <w:rPr>
          <w:rFonts w:asciiTheme="minorHAnsi" w:hAnsiTheme="minorHAnsi" w:cstheme="minorHAnsi"/>
          <w:color w:val="000000" w:themeColor="text1"/>
        </w:rPr>
        <w:t>1.200</w:t>
      </w:r>
      <w:r w:rsidRPr="00952BDC">
        <w:rPr>
          <w:rFonts w:cstheme="minorHAnsi"/>
          <w:color w:val="000000" w:themeColor="text1"/>
        </w:rPr>
        <w:t xml:space="preserve"> </w:t>
      </w:r>
      <w:r w:rsidRPr="00952BDC">
        <w:rPr>
          <w:rFonts w:asciiTheme="minorHAnsi" w:hAnsiTheme="minorHAnsi" w:cstheme="minorHAnsi"/>
          <w:color w:val="000000" w:themeColor="text1"/>
        </w:rPr>
        <w:t>IL RELATORE</w:t>
      </w:r>
    </w:p>
    <w:p w14:paraId="5079EE5E" w14:textId="1050C8BC" w:rsidR="00966FBB" w:rsidRDefault="00966FBB">
      <w:pPr>
        <w:pStyle w:val="Testonotaapidipagina"/>
      </w:pPr>
    </w:p>
  </w:footnote>
  <w:footnote w:id="2">
    <w:p w14:paraId="1F32CA8F" w14:textId="77777777" w:rsidR="008C42DF" w:rsidRPr="0064718B" w:rsidRDefault="008C42DF" w:rsidP="008C42DF">
      <w:pPr>
        <w:jc w:val="both"/>
        <w:rPr>
          <w:color w:val="000000" w:themeColor="text1"/>
        </w:rPr>
      </w:pPr>
      <w:r>
        <w:rPr>
          <w:rStyle w:val="Rimandonotaapidipagina"/>
        </w:rPr>
        <w:footnoteRef/>
      </w:r>
      <w:r>
        <w:t xml:space="preserve"> </w:t>
      </w:r>
      <w:r w:rsidRPr="0064718B">
        <w:rPr>
          <w:color w:val="000000" w:themeColor="text1"/>
        </w:rPr>
        <w:t>1.22 Grimani; 1.23 Fedeli (testo 2)</w:t>
      </w:r>
    </w:p>
    <w:p w14:paraId="188FF119" w14:textId="7A9188F7" w:rsidR="008C42DF" w:rsidRDefault="008C42DF">
      <w:pPr>
        <w:pStyle w:val="Testonotaapidipagina"/>
      </w:pPr>
    </w:p>
  </w:footnote>
  <w:footnote w:id="3">
    <w:p w14:paraId="48CA216C" w14:textId="77777777" w:rsidR="00174402" w:rsidRPr="00952BDC" w:rsidRDefault="00174402" w:rsidP="00174402">
      <w:pPr>
        <w:jc w:val="both"/>
        <w:rPr>
          <w:rFonts w:asciiTheme="minorHAnsi" w:hAnsiTheme="minorHAnsi" w:cstheme="minorHAnsi"/>
          <w:color w:val="000000" w:themeColor="text1"/>
        </w:rPr>
      </w:pPr>
      <w:r>
        <w:rPr>
          <w:rStyle w:val="Rimandonotaapidipagina"/>
        </w:rPr>
        <w:footnoteRef/>
      </w:r>
      <w:r>
        <w:t xml:space="preserve"> </w:t>
      </w:r>
      <w:r w:rsidRPr="00952BDC">
        <w:rPr>
          <w:rFonts w:asciiTheme="minorHAnsi" w:hAnsiTheme="minorHAnsi" w:cstheme="minorHAnsi"/>
          <w:color w:val="000000" w:themeColor="text1"/>
        </w:rPr>
        <w:t>1.100</w:t>
      </w:r>
      <w:r w:rsidRPr="00952BDC">
        <w:rPr>
          <w:rFonts w:cstheme="minorHAnsi"/>
          <w:color w:val="000000" w:themeColor="text1"/>
        </w:rPr>
        <w:t xml:space="preserve"> </w:t>
      </w:r>
      <w:r w:rsidRPr="00952BDC">
        <w:rPr>
          <w:rFonts w:asciiTheme="minorHAnsi" w:hAnsiTheme="minorHAnsi" w:cstheme="minorHAnsi"/>
          <w:color w:val="000000" w:themeColor="text1"/>
        </w:rPr>
        <w:t>IL RELATORE</w:t>
      </w:r>
    </w:p>
    <w:p w14:paraId="2FAB1DB1" w14:textId="0D71142A" w:rsidR="00174402" w:rsidRDefault="00174402">
      <w:pPr>
        <w:pStyle w:val="Testonotaapidipagina"/>
      </w:pPr>
    </w:p>
  </w:footnote>
  <w:footnote w:id="4">
    <w:p w14:paraId="1CA4A07E" w14:textId="77777777" w:rsidR="00102599" w:rsidRPr="00BF6935" w:rsidRDefault="00102599" w:rsidP="00102599">
      <w:pPr>
        <w:jc w:val="both"/>
        <w:rPr>
          <w:rFonts w:asciiTheme="minorHAnsi" w:hAnsiTheme="minorHAnsi" w:cstheme="minorHAnsi"/>
          <w:color w:val="000000" w:themeColor="text1"/>
        </w:rPr>
      </w:pPr>
      <w:r>
        <w:rPr>
          <w:rStyle w:val="Rimandonotaapidipagina"/>
        </w:rPr>
        <w:footnoteRef/>
      </w:r>
      <w:r>
        <w:t xml:space="preserve"> </w:t>
      </w:r>
      <w:r w:rsidRPr="00BF6935">
        <w:rPr>
          <w:rFonts w:asciiTheme="minorHAnsi" w:hAnsiTheme="minorHAnsi" w:cstheme="minorHAnsi"/>
          <w:color w:val="000000" w:themeColor="text1"/>
        </w:rPr>
        <w:t>1.300</w:t>
      </w:r>
      <w:r w:rsidRPr="00BF6935">
        <w:rPr>
          <w:rFonts w:cstheme="minorHAnsi"/>
          <w:color w:val="000000" w:themeColor="text1"/>
        </w:rPr>
        <w:t xml:space="preserve"> </w:t>
      </w:r>
      <w:r w:rsidRPr="00BF6935">
        <w:rPr>
          <w:rFonts w:asciiTheme="minorHAnsi" w:hAnsiTheme="minorHAnsi" w:cstheme="minorHAnsi"/>
          <w:color w:val="000000" w:themeColor="text1"/>
        </w:rPr>
        <w:t>IL RELATORE</w:t>
      </w:r>
    </w:p>
    <w:p w14:paraId="0D620E74" w14:textId="72ADB984" w:rsidR="00102599" w:rsidRDefault="00102599">
      <w:pPr>
        <w:pStyle w:val="Testonotaapidipagina"/>
      </w:pPr>
    </w:p>
  </w:footnote>
  <w:footnote w:id="5">
    <w:p w14:paraId="5310A9D8" w14:textId="77777777" w:rsidR="00CB64E8" w:rsidRPr="00BF6935" w:rsidRDefault="00CB64E8" w:rsidP="00CB64E8">
      <w:pPr>
        <w:jc w:val="both"/>
        <w:rPr>
          <w:rFonts w:asciiTheme="minorHAnsi" w:hAnsiTheme="minorHAnsi" w:cstheme="minorHAnsi"/>
          <w:color w:val="000000" w:themeColor="text1"/>
        </w:rPr>
      </w:pPr>
      <w:r>
        <w:rPr>
          <w:rStyle w:val="Rimandonotaapidipagina"/>
        </w:rPr>
        <w:footnoteRef/>
      </w:r>
      <w:r>
        <w:t xml:space="preserve"> </w:t>
      </w:r>
      <w:r w:rsidRPr="00BF6935">
        <w:rPr>
          <w:rFonts w:asciiTheme="minorHAnsi" w:hAnsiTheme="minorHAnsi" w:cstheme="minorHAnsi"/>
          <w:color w:val="000000" w:themeColor="text1"/>
        </w:rPr>
        <w:t>2.100</w:t>
      </w:r>
      <w:r w:rsidRPr="00BF6935">
        <w:rPr>
          <w:rFonts w:cstheme="minorHAnsi"/>
          <w:color w:val="000000" w:themeColor="text1"/>
        </w:rPr>
        <w:t xml:space="preserve"> </w:t>
      </w:r>
      <w:r w:rsidRPr="00BF6935">
        <w:rPr>
          <w:rFonts w:asciiTheme="minorHAnsi" w:hAnsiTheme="minorHAnsi" w:cstheme="minorHAnsi"/>
          <w:color w:val="000000" w:themeColor="text1"/>
        </w:rPr>
        <w:t>IL RELATORE</w:t>
      </w:r>
    </w:p>
    <w:p w14:paraId="1F44D45F" w14:textId="4150B715" w:rsidR="00CB64E8" w:rsidRDefault="00CB64E8">
      <w:pPr>
        <w:pStyle w:val="Testonotaapidipagina"/>
      </w:pPr>
    </w:p>
  </w:footnote>
  <w:footnote w:id="6">
    <w:p w14:paraId="0C5FA88A" w14:textId="1B907788" w:rsidR="00A016E1" w:rsidRDefault="00A016E1">
      <w:pPr>
        <w:pStyle w:val="Testonotaapidipagina"/>
      </w:pPr>
      <w:r>
        <w:rPr>
          <w:rStyle w:val="Rimandonotaapidipagina"/>
        </w:rPr>
        <w:footnoteRef/>
      </w:r>
      <w:r>
        <w:t xml:space="preserve"> </w:t>
      </w:r>
    </w:p>
  </w:footnote>
  <w:footnote w:id="7">
    <w:p w14:paraId="258F23E5" w14:textId="77777777" w:rsidR="00A016E1" w:rsidRPr="00BF6935" w:rsidRDefault="00A016E1" w:rsidP="00A016E1">
      <w:pPr>
        <w:jc w:val="both"/>
        <w:rPr>
          <w:rFonts w:asciiTheme="minorHAnsi" w:hAnsiTheme="minorHAnsi" w:cstheme="minorHAnsi"/>
          <w:color w:val="000000" w:themeColor="text1"/>
        </w:rPr>
      </w:pPr>
      <w:r>
        <w:rPr>
          <w:rStyle w:val="Rimandonotaapidipagina"/>
        </w:rPr>
        <w:footnoteRef/>
      </w:r>
      <w:r>
        <w:t xml:space="preserve"> </w:t>
      </w:r>
      <w:r w:rsidRPr="00BF6935">
        <w:rPr>
          <w:rFonts w:asciiTheme="minorHAnsi" w:hAnsiTheme="minorHAnsi" w:cstheme="minorHAnsi"/>
          <w:color w:val="000000" w:themeColor="text1"/>
        </w:rPr>
        <w:t>2.5 (testo 2)</w:t>
      </w:r>
      <w:r w:rsidRPr="00BF6935">
        <w:rPr>
          <w:rFonts w:cstheme="minorHAnsi"/>
          <w:color w:val="000000" w:themeColor="text1"/>
        </w:rPr>
        <w:t xml:space="preserve"> </w:t>
      </w:r>
      <w:r w:rsidRPr="00BF6935">
        <w:rPr>
          <w:rFonts w:asciiTheme="minorHAnsi" w:hAnsiTheme="minorHAnsi" w:cstheme="minorHAnsi"/>
          <w:color w:val="000000" w:themeColor="text1"/>
        </w:rPr>
        <w:t>Collina, Parrini</w:t>
      </w:r>
    </w:p>
    <w:p w14:paraId="5793667E" w14:textId="7F60D06B" w:rsidR="00A016E1" w:rsidRDefault="00A016E1">
      <w:pPr>
        <w:pStyle w:val="Testonotaapidipagina"/>
      </w:pPr>
    </w:p>
  </w:footnote>
  <w:footnote w:id="8">
    <w:p w14:paraId="30FE5A3A" w14:textId="77777777" w:rsidR="0062189D" w:rsidRPr="0064718B" w:rsidRDefault="0062189D" w:rsidP="0062189D">
      <w:pPr>
        <w:jc w:val="both"/>
        <w:rPr>
          <w:color w:val="000000" w:themeColor="text1"/>
        </w:rPr>
      </w:pPr>
      <w:r>
        <w:rPr>
          <w:rStyle w:val="Rimandonotaapidipagina"/>
        </w:rPr>
        <w:footnoteRef/>
      </w:r>
      <w:r>
        <w:t xml:space="preserve"> </w:t>
      </w:r>
      <w:r w:rsidRPr="0064718B">
        <w:rPr>
          <w:color w:val="000000" w:themeColor="text1"/>
        </w:rPr>
        <w:t xml:space="preserve">3.5 </w:t>
      </w:r>
      <w:r w:rsidRPr="0064718B">
        <w:rPr>
          <w:color w:val="000000" w:themeColor="text1"/>
        </w:rPr>
        <w:t>Laus, Collina</w:t>
      </w:r>
    </w:p>
    <w:p w14:paraId="164E8449" w14:textId="28D82130" w:rsidR="0062189D" w:rsidRDefault="0062189D">
      <w:pPr>
        <w:pStyle w:val="Testonotaapidipagina"/>
      </w:pPr>
    </w:p>
  </w:footnote>
  <w:footnote w:id="9">
    <w:p w14:paraId="48A9D8FB" w14:textId="77777777" w:rsidR="00B73C5C" w:rsidRPr="00952BDC" w:rsidRDefault="00B73C5C" w:rsidP="00B73C5C">
      <w:pPr>
        <w:jc w:val="both"/>
        <w:rPr>
          <w:rFonts w:asciiTheme="minorHAnsi" w:hAnsiTheme="minorHAnsi" w:cstheme="minorHAnsi"/>
          <w:color w:val="000000" w:themeColor="text1"/>
        </w:rPr>
      </w:pPr>
      <w:r>
        <w:rPr>
          <w:rStyle w:val="Rimandonotaapidipagina"/>
        </w:rPr>
        <w:footnoteRef/>
      </w:r>
      <w:r>
        <w:t xml:space="preserve"> </w:t>
      </w:r>
      <w:r w:rsidRPr="00952BDC">
        <w:rPr>
          <w:rFonts w:asciiTheme="minorHAnsi" w:hAnsiTheme="minorHAnsi" w:cstheme="minorHAnsi"/>
          <w:color w:val="000000" w:themeColor="text1"/>
        </w:rPr>
        <w:t>1.200</w:t>
      </w:r>
      <w:r w:rsidRPr="00952BDC">
        <w:rPr>
          <w:rFonts w:cstheme="minorHAnsi"/>
          <w:color w:val="000000" w:themeColor="text1"/>
        </w:rPr>
        <w:t xml:space="preserve"> </w:t>
      </w:r>
      <w:r w:rsidRPr="00952BDC">
        <w:rPr>
          <w:rFonts w:asciiTheme="minorHAnsi" w:hAnsiTheme="minorHAnsi" w:cstheme="minorHAnsi"/>
          <w:color w:val="000000" w:themeColor="text1"/>
        </w:rPr>
        <w:t>IL RELATORE</w:t>
      </w:r>
    </w:p>
    <w:p w14:paraId="21F75A05" w14:textId="36F5FAA3" w:rsidR="00B73C5C" w:rsidRDefault="00B73C5C">
      <w:pPr>
        <w:pStyle w:val="Testonotaapidipagina"/>
      </w:pPr>
    </w:p>
  </w:footnote>
  <w:footnote w:id="10">
    <w:p w14:paraId="496835F2" w14:textId="77777777" w:rsidR="00BB4EFD" w:rsidRPr="00224289" w:rsidRDefault="00BB4EFD" w:rsidP="00BB4EFD">
      <w:pPr>
        <w:jc w:val="both"/>
        <w:rPr>
          <w:color w:val="auto"/>
        </w:rPr>
      </w:pPr>
      <w:r>
        <w:rPr>
          <w:rStyle w:val="Rimandonotaapidipagina"/>
        </w:rPr>
        <w:footnoteRef/>
      </w:r>
      <w:r>
        <w:t xml:space="preserve"> </w:t>
      </w:r>
      <w:r w:rsidRPr="00224289">
        <w:rPr>
          <w:color w:val="auto"/>
        </w:rPr>
        <w:t>3.20 Fedeli, Nannicini; 3.21 Grimani, Parente</w:t>
      </w:r>
    </w:p>
    <w:p w14:paraId="56E21B08" w14:textId="3DEA6127" w:rsidR="00BB4EFD" w:rsidRDefault="00BB4EFD">
      <w:pPr>
        <w:pStyle w:val="Testonotaapidipagina"/>
      </w:pPr>
    </w:p>
  </w:footnote>
  <w:footnote w:id="11">
    <w:p w14:paraId="4C497552" w14:textId="77777777" w:rsidR="00A016E1" w:rsidRPr="00BF6935" w:rsidRDefault="00A016E1" w:rsidP="00A016E1">
      <w:pPr>
        <w:jc w:val="both"/>
        <w:rPr>
          <w:rFonts w:asciiTheme="minorHAnsi" w:hAnsiTheme="minorHAnsi" w:cstheme="minorHAnsi"/>
          <w:color w:val="000000" w:themeColor="text1"/>
        </w:rPr>
      </w:pPr>
      <w:r>
        <w:rPr>
          <w:rStyle w:val="Rimandonotaapidipagina"/>
        </w:rPr>
        <w:footnoteRef/>
      </w:r>
      <w:r>
        <w:t xml:space="preserve"> </w:t>
      </w:r>
      <w:bookmarkStart w:id="0" w:name="_Hlk87001903"/>
      <w:r w:rsidRPr="00BF6935">
        <w:rPr>
          <w:rFonts w:asciiTheme="minorHAnsi" w:hAnsiTheme="minorHAnsi" w:cstheme="minorHAnsi"/>
          <w:color w:val="000000" w:themeColor="text1"/>
        </w:rPr>
        <w:t>2.100</w:t>
      </w:r>
      <w:r w:rsidRPr="00BF6935">
        <w:rPr>
          <w:rFonts w:cstheme="minorHAnsi"/>
          <w:color w:val="000000" w:themeColor="text1"/>
        </w:rPr>
        <w:t xml:space="preserve"> </w:t>
      </w:r>
      <w:r w:rsidRPr="00BF6935">
        <w:rPr>
          <w:rFonts w:asciiTheme="minorHAnsi" w:hAnsiTheme="minorHAnsi" w:cstheme="minorHAnsi"/>
          <w:color w:val="000000" w:themeColor="text1"/>
        </w:rPr>
        <w:t>IL RELATORE</w:t>
      </w:r>
    </w:p>
    <w:bookmarkEnd w:id="0"/>
    <w:p w14:paraId="757AFDC0" w14:textId="3926A36E" w:rsidR="00A016E1" w:rsidRDefault="00A016E1">
      <w:pPr>
        <w:pStyle w:val="Testonotaapidipagina"/>
      </w:pPr>
    </w:p>
  </w:footnote>
  <w:footnote w:id="12">
    <w:p w14:paraId="07D17A4C" w14:textId="77777777" w:rsidR="001351FF" w:rsidRPr="00224289" w:rsidRDefault="001351FF" w:rsidP="001351FF">
      <w:pPr>
        <w:jc w:val="both"/>
        <w:rPr>
          <w:color w:val="000000" w:themeColor="text1"/>
        </w:rPr>
      </w:pPr>
      <w:r>
        <w:rPr>
          <w:rStyle w:val="Rimandonotaapidipagina"/>
        </w:rPr>
        <w:footnoteRef/>
      </w:r>
      <w:r>
        <w:t xml:space="preserve"> </w:t>
      </w:r>
      <w:r w:rsidRPr="00224289">
        <w:rPr>
          <w:color w:val="000000" w:themeColor="text1"/>
        </w:rPr>
        <w:t xml:space="preserve">3.49 Rossomando; 3.50 </w:t>
      </w:r>
      <w:r w:rsidRPr="00224289">
        <w:rPr>
          <w:color w:val="000000" w:themeColor="text1"/>
        </w:rPr>
        <w:t>Mallegni; 3.51 Fedeli (testo 2)</w:t>
      </w:r>
    </w:p>
    <w:p w14:paraId="2470EB5C" w14:textId="0A4D59F4" w:rsidR="001351FF" w:rsidRDefault="001351FF">
      <w:pPr>
        <w:pStyle w:val="Testonotaapidipagina"/>
      </w:pPr>
    </w:p>
  </w:footnote>
  <w:footnote w:id="13">
    <w:p w14:paraId="4F2828F9" w14:textId="77777777" w:rsidR="00503559" w:rsidRPr="00224289" w:rsidRDefault="00503559" w:rsidP="00503559">
      <w:pPr>
        <w:jc w:val="both"/>
        <w:rPr>
          <w:color w:val="000000" w:themeColor="text1"/>
        </w:rPr>
      </w:pPr>
      <w:r>
        <w:rPr>
          <w:rStyle w:val="Rimandonotaapidipagina"/>
        </w:rPr>
        <w:footnoteRef/>
      </w:r>
      <w:r>
        <w:t xml:space="preserve"> </w:t>
      </w:r>
      <w:r w:rsidRPr="00224289">
        <w:rPr>
          <w:color w:val="000000" w:themeColor="text1"/>
        </w:rPr>
        <w:t>3.52 Fedeli</w:t>
      </w:r>
    </w:p>
    <w:p w14:paraId="49D581F3" w14:textId="52B8B332" w:rsidR="00503559" w:rsidRDefault="00503559">
      <w:pPr>
        <w:pStyle w:val="Testonotaapidipagina"/>
      </w:pPr>
    </w:p>
  </w:footnote>
  <w:footnote w:id="14">
    <w:p w14:paraId="681A741D" w14:textId="77777777" w:rsidR="007E62F8" w:rsidRPr="00BF6935" w:rsidRDefault="007E62F8" w:rsidP="007E62F8">
      <w:pPr>
        <w:jc w:val="both"/>
        <w:rPr>
          <w:rFonts w:asciiTheme="minorHAnsi" w:hAnsiTheme="minorHAnsi" w:cstheme="minorHAnsi"/>
          <w:color w:val="000000" w:themeColor="text1"/>
        </w:rPr>
      </w:pPr>
      <w:r>
        <w:rPr>
          <w:rStyle w:val="Rimandonotaapidipagina"/>
        </w:rPr>
        <w:footnoteRef/>
      </w:r>
      <w:r>
        <w:t xml:space="preserve"> </w:t>
      </w:r>
      <w:r w:rsidRPr="00BF6935">
        <w:rPr>
          <w:rFonts w:asciiTheme="minorHAnsi" w:hAnsiTheme="minorHAnsi" w:cstheme="minorHAnsi"/>
          <w:color w:val="000000" w:themeColor="text1"/>
        </w:rPr>
        <w:t>1.300</w:t>
      </w:r>
      <w:r w:rsidRPr="00BF6935">
        <w:rPr>
          <w:rFonts w:cstheme="minorHAnsi"/>
          <w:color w:val="000000" w:themeColor="text1"/>
        </w:rPr>
        <w:t xml:space="preserve"> </w:t>
      </w:r>
      <w:r w:rsidRPr="00BF6935">
        <w:rPr>
          <w:rFonts w:asciiTheme="minorHAnsi" w:hAnsiTheme="minorHAnsi" w:cstheme="minorHAnsi"/>
          <w:color w:val="000000" w:themeColor="text1"/>
        </w:rPr>
        <w:t>IL RELATORE</w:t>
      </w:r>
    </w:p>
    <w:p w14:paraId="7DBF7900" w14:textId="59E56A01" w:rsidR="007E62F8" w:rsidRDefault="007E62F8">
      <w:pPr>
        <w:pStyle w:val="Testonotaapidipagina"/>
      </w:pPr>
    </w:p>
  </w:footnote>
  <w:footnote w:id="15">
    <w:p w14:paraId="7DE07BB7" w14:textId="77777777" w:rsidR="001518A1" w:rsidRPr="00AD4C9E" w:rsidRDefault="006B241D" w:rsidP="001518A1">
      <w:pPr>
        <w:jc w:val="both"/>
        <w:rPr>
          <w:rFonts w:cstheme="minorHAnsi"/>
          <w:color w:val="000000" w:themeColor="text1"/>
        </w:rPr>
      </w:pPr>
      <w:r>
        <w:rPr>
          <w:rStyle w:val="Rimandonotaapidipagina"/>
        </w:rPr>
        <w:footnoteRef/>
      </w:r>
      <w:r>
        <w:t xml:space="preserve"> </w:t>
      </w:r>
      <w:r w:rsidRPr="00BF6935">
        <w:rPr>
          <w:rFonts w:asciiTheme="minorHAnsi" w:hAnsiTheme="minorHAnsi" w:cstheme="minorHAnsi"/>
          <w:color w:val="000000" w:themeColor="text1"/>
        </w:rPr>
        <w:t>3.23 (testo 2)</w:t>
      </w:r>
      <w:r w:rsidRPr="00BF6935">
        <w:rPr>
          <w:rFonts w:cstheme="minorHAnsi"/>
          <w:color w:val="000000" w:themeColor="text1"/>
        </w:rPr>
        <w:t xml:space="preserve"> </w:t>
      </w:r>
      <w:r w:rsidRPr="00BF6935">
        <w:rPr>
          <w:rFonts w:asciiTheme="minorHAnsi" w:hAnsiTheme="minorHAnsi" w:cstheme="minorHAnsi"/>
          <w:color w:val="000000" w:themeColor="text1"/>
        </w:rPr>
        <w:t xml:space="preserve">Toninelli, Romano, Guidolin, </w:t>
      </w:r>
      <w:r w:rsidRPr="00BF6935">
        <w:rPr>
          <w:rFonts w:asciiTheme="minorHAnsi" w:hAnsiTheme="minorHAnsi" w:cstheme="minorHAnsi"/>
          <w:color w:val="000000" w:themeColor="text1"/>
        </w:rPr>
        <w:t>Matrisciano, Coltorti, Catalfo, Castellone, Mantovani, Pesco, Vanin, Trentacoste, Perilli, Maiorino, Montevecchi</w:t>
      </w:r>
      <w:r w:rsidR="001518A1">
        <w:rPr>
          <w:rFonts w:asciiTheme="minorHAnsi" w:hAnsiTheme="minorHAnsi" w:cstheme="minorHAnsi"/>
          <w:color w:val="000000" w:themeColor="text1"/>
        </w:rPr>
        <w:t xml:space="preserve">; </w:t>
      </w:r>
      <w:r w:rsidR="001518A1" w:rsidRPr="00AD4C9E">
        <w:rPr>
          <w:rFonts w:cstheme="minorHAnsi"/>
          <w:color w:val="000000" w:themeColor="text1"/>
        </w:rPr>
        <w:t>3.57 Romano, Guidolin, Matrisciano, Coltorti, Catalfo, Castellone, Toninelli, Mantovani, Pesco, Dell'Olio, Vanin, Trentacoste, Perilli, Maiorino</w:t>
      </w:r>
      <w:r w:rsidR="001518A1">
        <w:rPr>
          <w:rFonts w:cstheme="minorHAnsi"/>
          <w:color w:val="000000" w:themeColor="text1"/>
        </w:rPr>
        <w:t xml:space="preserve">; </w:t>
      </w:r>
      <w:r w:rsidR="001518A1" w:rsidRPr="00AD4C9E">
        <w:rPr>
          <w:rFonts w:cstheme="minorHAnsi"/>
          <w:color w:val="000000" w:themeColor="text1"/>
        </w:rPr>
        <w:t>1.17 (testo 2) Toninelli, Romano, Guidolin, Matrisciano, Coltorti, Catalfo, Castellone, Mantovani, Pesco, Pirro, Vanin, Trentacoste, Perilli, Maiorino, Montevecchi</w:t>
      </w:r>
      <w:r w:rsidR="001518A1">
        <w:rPr>
          <w:rFonts w:cstheme="minorHAnsi"/>
          <w:color w:val="000000" w:themeColor="text1"/>
        </w:rPr>
        <w:t xml:space="preserve">; </w:t>
      </w:r>
      <w:r w:rsidR="001518A1" w:rsidRPr="00AD4C9E">
        <w:rPr>
          <w:rFonts w:cstheme="minorHAnsi"/>
          <w:color w:val="000000" w:themeColor="text1"/>
        </w:rPr>
        <w:t>1.21 (testo 2) Augussori, Grassi, Calderoli, Riccardi, Pirovano</w:t>
      </w:r>
      <w:r w:rsidR="001518A1">
        <w:rPr>
          <w:rFonts w:cstheme="minorHAnsi"/>
          <w:color w:val="000000" w:themeColor="text1"/>
        </w:rPr>
        <w:t xml:space="preserve">; </w:t>
      </w:r>
      <w:r w:rsidR="001518A1" w:rsidRPr="00AD4C9E">
        <w:rPr>
          <w:rFonts w:cstheme="minorHAnsi"/>
          <w:color w:val="000000" w:themeColor="text1"/>
        </w:rPr>
        <w:t>1.28 (testo 2) Romano, Guidolin, Matrisciano, Coltorti, Catalfo, Castellone, Toninelli, Mantovani, Pesco, Dell'Olio, Pirro, Vanin, Trentacoste, Perilli, Maiorino, Montevecchi</w:t>
      </w:r>
      <w:r w:rsidR="001518A1">
        <w:rPr>
          <w:rFonts w:cstheme="minorHAnsi"/>
          <w:color w:val="000000" w:themeColor="text1"/>
        </w:rPr>
        <w:t xml:space="preserve">; </w:t>
      </w:r>
      <w:r w:rsidR="001518A1" w:rsidRPr="00AD4C9E">
        <w:rPr>
          <w:rFonts w:cstheme="minorHAnsi"/>
          <w:color w:val="000000" w:themeColor="text1"/>
        </w:rPr>
        <w:t>1.37 (testo 2) Iannone, Malan, La Russa, Zaffini</w:t>
      </w:r>
      <w:r w:rsidR="001518A1">
        <w:rPr>
          <w:rFonts w:cstheme="minorHAnsi"/>
          <w:color w:val="000000" w:themeColor="text1"/>
        </w:rPr>
        <w:t xml:space="preserve">; </w:t>
      </w:r>
      <w:r w:rsidR="001518A1" w:rsidRPr="00AD4C9E">
        <w:rPr>
          <w:rFonts w:cstheme="minorHAnsi"/>
          <w:color w:val="000000" w:themeColor="text1"/>
        </w:rPr>
        <w:t>5.19 (testo 2) Fedeli, Vattuone</w:t>
      </w:r>
    </w:p>
    <w:p w14:paraId="0FBEE48E" w14:textId="27F721C1" w:rsidR="006B241D" w:rsidRPr="00BF6935" w:rsidRDefault="006B241D" w:rsidP="006B241D">
      <w:pPr>
        <w:jc w:val="both"/>
        <w:rPr>
          <w:rFonts w:asciiTheme="minorHAnsi" w:hAnsiTheme="minorHAnsi" w:cstheme="minorHAnsi"/>
          <w:color w:val="000000" w:themeColor="text1"/>
        </w:rPr>
      </w:pPr>
    </w:p>
    <w:p w14:paraId="2CE5FFFE" w14:textId="2952C732" w:rsidR="006B241D" w:rsidRDefault="006B241D">
      <w:pPr>
        <w:pStyle w:val="Testonotaapidipagina"/>
      </w:pPr>
    </w:p>
  </w:footnote>
  <w:footnote w:id="16">
    <w:p w14:paraId="10858488" w14:textId="77777777" w:rsidR="00E6494B" w:rsidRPr="000365D8" w:rsidRDefault="00E6494B" w:rsidP="00E6494B">
      <w:pPr>
        <w:jc w:val="both"/>
        <w:rPr>
          <w:rFonts w:asciiTheme="minorHAnsi" w:hAnsiTheme="minorHAnsi" w:cstheme="minorHAnsi"/>
          <w:color w:val="000000" w:themeColor="text1"/>
        </w:rPr>
      </w:pPr>
      <w:r>
        <w:rPr>
          <w:rStyle w:val="Rimandonotaapidipagina"/>
        </w:rPr>
        <w:footnoteRef/>
      </w:r>
      <w:r>
        <w:t xml:space="preserve"> </w:t>
      </w:r>
      <w:r w:rsidRPr="00BF6935">
        <w:rPr>
          <w:rFonts w:asciiTheme="minorHAnsi" w:hAnsiTheme="minorHAnsi" w:cstheme="minorHAnsi"/>
          <w:color w:val="000000" w:themeColor="text1"/>
        </w:rPr>
        <w:t>3.29 (testo 2)</w:t>
      </w:r>
      <w:r w:rsidRPr="00BF6935">
        <w:rPr>
          <w:rFonts w:cstheme="minorHAnsi"/>
          <w:color w:val="000000" w:themeColor="text1"/>
        </w:rPr>
        <w:t xml:space="preserve"> </w:t>
      </w:r>
      <w:r w:rsidRPr="00BF6935">
        <w:rPr>
          <w:rFonts w:asciiTheme="minorHAnsi" w:hAnsiTheme="minorHAnsi" w:cstheme="minorHAnsi"/>
          <w:color w:val="000000" w:themeColor="text1"/>
        </w:rPr>
        <w:t>Malan, La Russa, Zaffini</w:t>
      </w:r>
      <w:r>
        <w:rPr>
          <w:rFonts w:cstheme="minorHAnsi"/>
          <w:color w:val="000000" w:themeColor="text1"/>
        </w:rPr>
        <w:t xml:space="preserve">; </w:t>
      </w:r>
      <w:r w:rsidRPr="000365D8">
        <w:rPr>
          <w:rFonts w:asciiTheme="minorHAnsi" w:hAnsiTheme="minorHAnsi" w:cstheme="minorHAnsi"/>
          <w:color w:val="000000" w:themeColor="text1"/>
        </w:rPr>
        <w:t>3.33 (testo 2)</w:t>
      </w:r>
      <w:r w:rsidRPr="000365D8">
        <w:rPr>
          <w:rFonts w:cstheme="minorHAnsi"/>
          <w:color w:val="000000" w:themeColor="text1"/>
        </w:rPr>
        <w:t xml:space="preserve"> </w:t>
      </w:r>
      <w:r w:rsidRPr="000365D8">
        <w:rPr>
          <w:rFonts w:asciiTheme="minorHAnsi" w:hAnsiTheme="minorHAnsi" w:cstheme="minorHAnsi"/>
          <w:color w:val="000000" w:themeColor="text1"/>
        </w:rPr>
        <w:t>Malan, La Russa, Zaffini</w:t>
      </w:r>
      <w:r>
        <w:rPr>
          <w:rFonts w:cstheme="minorHAnsi"/>
          <w:color w:val="000000" w:themeColor="text1"/>
        </w:rPr>
        <w:t xml:space="preserve">; </w:t>
      </w:r>
      <w:r w:rsidRPr="000365D8">
        <w:rPr>
          <w:rFonts w:asciiTheme="minorHAnsi" w:hAnsiTheme="minorHAnsi" w:cstheme="minorHAnsi"/>
          <w:color w:val="000000" w:themeColor="text1"/>
        </w:rPr>
        <w:t>3.0.4 (testo 2)</w:t>
      </w:r>
      <w:r w:rsidRPr="000365D8">
        <w:rPr>
          <w:rFonts w:cstheme="minorHAnsi"/>
          <w:color w:val="000000" w:themeColor="text1"/>
        </w:rPr>
        <w:t xml:space="preserve"> </w:t>
      </w:r>
      <w:r w:rsidRPr="000365D8">
        <w:rPr>
          <w:rFonts w:asciiTheme="minorHAnsi" w:hAnsiTheme="minorHAnsi" w:cstheme="minorHAnsi"/>
          <w:color w:val="000000" w:themeColor="text1"/>
        </w:rPr>
        <w:t xml:space="preserve">Fedeli, </w:t>
      </w:r>
      <w:r w:rsidRPr="000365D8">
        <w:rPr>
          <w:rFonts w:asciiTheme="minorHAnsi" w:hAnsiTheme="minorHAnsi" w:cstheme="minorHAnsi"/>
          <w:color w:val="000000" w:themeColor="text1"/>
        </w:rPr>
        <w:t>Vattuone, Vitali, Pagano, Grimani, Augussori, Pirovano, Grassi, Riccardi, Briziarelli</w:t>
      </w:r>
    </w:p>
    <w:p w14:paraId="704568FE" w14:textId="6D3A15EB" w:rsidR="00E6494B" w:rsidRDefault="00E6494B">
      <w:pPr>
        <w:pStyle w:val="Testonotaapidipagina"/>
      </w:pPr>
    </w:p>
  </w:footnote>
  <w:footnote w:id="17">
    <w:p w14:paraId="2B44463D" w14:textId="77777777" w:rsidR="005D611D" w:rsidRPr="000365D8" w:rsidRDefault="005D611D" w:rsidP="005D611D">
      <w:pPr>
        <w:jc w:val="both"/>
        <w:rPr>
          <w:rFonts w:asciiTheme="minorHAnsi" w:hAnsiTheme="minorHAnsi" w:cstheme="minorHAnsi"/>
          <w:color w:val="000000" w:themeColor="text1"/>
        </w:rPr>
      </w:pPr>
      <w:r>
        <w:rPr>
          <w:rStyle w:val="Rimandonotaapidipagina"/>
        </w:rPr>
        <w:footnoteRef/>
      </w:r>
      <w:r>
        <w:t xml:space="preserve"> </w:t>
      </w:r>
      <w:r w:rsidRPr="000365D8">
        <w:rPr>
          <w:rFonts w:asciiTheme="minorHAnsi" w:hAnsiTheme="minorHAnsi" w:cstheme="minorHAnsi"/>
          <w:color w:val="000000" w:themeColor="text1"/>
        </w:rPr>
        <w:t>3.0.3 (testo 2)</w:t>
      </w:r>
      <w:r w:rsidRPr="000365D8">
        <w:rPr>
          <w:rFonts w:cstheme="minorHAnsi"/>
          <w:color w:val="000000" w:themeColor="text1"/>
        </w:rPr>
        <w:t xml:space="preserve"> </w:t>
      </w:r>
      <w:r w:rsidRPr="000365D8">
        <w:rPr>
          <w:rFonts w:asciiTheme="minorHAnsi" w:hAnsiTheme="minorHAnsi" w:cstheme="minorHAnsi"/>
          <w:color w:val="000000" w:themeColor="text1"/>
        </w:rPr>
        <w:t xml:space="preserve">Rivolta, </w:t>
      </w:r>
      <w:r w:rsidRPr="000365D8">
        <w:rPr>
          <w:rFonts w:asciiTheme="minorHAnsi" w:hAnsiTheme="minorHAnsi" w:cstheme="minorHAnsi"/>
          <w:color w:val="000000" w:themeColor="text1"/>
        </w:rPr>
        <w:t>Augussori, Grassi, Calderoli, Riccardi, Pirovano</w:t>
      </w:r>
    </w:p>
    <w:p w14:paraId="1C7C4ED5" w14:textId="75476B66" w:rsidR="005D611D" w:rsidRDefault="005D611D">
      <w:pPr>
        <w:pStyle w:val="Testonotaapidipagina"/>
      </w:pPr>
    </w:p>
  </w:footnote>
  <w:footnote w:id="18">
    <w:p w14:paraId="51AEDCF7" w14:textId="77777777" w:rsidR="00A016E1" w:rsidRPr="000365D8" w:rsidRDefault="00A016E1" w:rsidP="00A016E1">
      <w:pPr>
        <w:jc w:val="both"/>
        <w:rPr>
          <w:rFonts w:asciiTheme="minorHAnsi" w:hAnsiTheme="minorHAnsi" w:cstheme="minorHAnsi"/>
          <w:color w:val="000000" w:themeColor="text1"/>
        </w:rPr>
      </w:pPr>
      <w:r>
        <w:rPr>
          <w:rStyle w:val="Rimandonotaapidipagina"/>
        </w:rPr>
        <w:footnoteRef/>
      </w:r>
      <w:r>
        <w:t xml:space="preserve"> </w:t>
      </w:r>
      <w:r w:rsidRPr="000365D8">
        <w:rPr>
          <w:rFonts w:asciiTheme="minorHAnsi" w:hAnsiTheme="minorHAnsi" w:cstheme="minorHAnsi"/>
          <w:color w:val="000000" w:themeColor="text1"/>
        </w:rPr>
        <w:t>4.100</w:t>
      </w:r>
      <w:r w:rsidRPr="000365D8">
        <w:rPr>
          <w:rFonts w:cstheme="minorHAnsi"/>
          <w:color w:val="000000" w:themeColor="text1"/>
        </w:rPr>
        <w:t xml:space="preserve"> </w:t>
      </w:r>
      <w:r w:rsidRPr="000365D8">
        <w:rPr>
          <w:rFonts w:asciiTheme="minorHAnsi" w:hAnsiTheme="minorHAnsi" w:cstheme="minorHAnsi"/>
          <w:color w:val="000000" w:themeColor="text1"/>
        </w:rPr>
        <w:t>IL RELATORE</w:t>
      </w:r>
    </w:p>
    <w:p w14:paraId="1C471ED7" w14:textId="3C5FCD64" w:rsidR="00A016E1" w:rsidRDefault="00A016E1">
      <w:pPr>
        <w:pStyle w:val="Testonotaapidipagina"/>
      </w:pPr>
    </w:p>
  </w:footnote>
  <w:footnote w:id="19">
    <w:p w14:paraId="2B6E72F4" w14:textId="77777777" w:rsidR="002E182D" w:rsidRPr="00027E68" w:rsidRDefault="002E182D" w:rsidP="002E182D">
      <w:pPr>
        <w:jc w:val="both"/>
        <w:rPr>
          <w:color w:val="000000" w:themeColor="text1"/>
        </w:rPr>
      </w:pPr>
      <w:r>
        <w:rPr>
          <w:rStyle w:val="Rimandonotaapidipagina"/>
        </w:rPr>
        <w:footnoteRef/>
      </w:r>
      <w:r>
        <w:t xml:space="preserve"> </w:t>
      </w:r>
      <w:r w:rsidRPr="00027E68">
        <w:rPr>
          <w:color w:val="000000" w:themeColor="text1"/>
        </w:rPr>
        <w:t xml:space="preserve">4.5 Pirro, Castellone, Mantovani, Pesco, </w:t>
      </w:r>
      <w:r w:rsidRPr="00027E68">
        <w:rPr>
          <w:color w:val="000000" w:themeColor="text1"/>
        </w:rPr>
        <w:t>Vanin, Trentacoste, Guidolin, Perilli, Maiorino, Matrisciano</w:t>
      </w:r>
    </w:p>
    <w:p w14:paraId="2C691C48" w14:textId="473CC113" w:rsidR="002E182D" w:rsidRDefault="002E182D">
      <w:pPr>
        <w:pStyle w:val="Testonotaapidipagina"/>
      </w:pPr>
    </w:p>
  </w:footnote>
  <w:footnote w:id="20">
    <w:p w14:paraId="36BDDE73" w14:textId="77777777" w:rsidR="004C1EE5" w:rsidRPr="000365D8" w:rsidRDefault="004C1EE5" w:rsidP="004C1EE5">
      <w:pPr>
        <w:jc w:val="both"/>
        <w:rPr>
          <w:rFonts w:asciiTheme="minorHAnsi" w:hAnsiTheme="minorHAnsi" w:cstheme="minorHAnsi"/>
          <w:color w:val="000000" w:themeColor="text1"/>
        </w:rPr>
      </w:pPr>
      <w:r>
        <w:rPr>
          <w:rStyle w:val="Rimandonotaapidipagina"/>
        </w:rPr>
        <w:footnoteRef/>
      </w:r>
      <w:r>
        <w:t xml:space="preserve"> </w:t>
      </w:r>
      <w:r w:rsidRPr="000365D8">
        <w:rPr>
          <w:rFonts w:asciiTheme="minorHAnsi" w:hAnsiTheme="minorHAnsi" w:cstheme="minorHAnsi"/>
          <w:color w:val="000000" w:themeColor="text1"/>
        </w:rPr>
        <w:t>4.200</w:t>
      </w:r>
      <w:r w:rsidRPr="000365D8">
        <w:rPr>
          <w:rFonts w:cstheme="minorHAnsi"/>
          <w:color w:val="000000" w:themeColor="text1"/>
        </w:rPr>
        <w:t xml:space="preserve"> </w:t>
      </w:r>
      <w:r w:rsidRPr="000365D8">
        <w:rPr>
          <w:rFonts w:asciiTheme="minorHAnsi" w:hAnsiTheme="minorHAnsi" w:cstheme="minorHAnsi"/>
          <w:color w:val="000000" w:themeColor="text1"/>
        </w:rPr>
        <w:t>IL RELATORE</w:t>
      </w:r>
    </w:p>
    <w:p w14:paraId="056758F3" w14:textId="2D0BBEEA" w:rsidR="004C1EE5" w:rsidRDefault="004C1EE5">
      <w:pPr>
        <w:pStyle w:val="Testonotaapidipagina"/>
      </w:pPr>
    </w:p>
  </w:footnote>
  <w:footnote w:id="21">
    <w:p w14:paraId="059DFDB0" w14:textId="77777777" w:rsidR="005D611D" w:rsidRPr="000365D8" w:rsidRDefault="005D611D" w:rsidP="005D611D">
      <w:pPr>
        <w:jc w:val="both"/>
        <w:rPr>
          <w:rFonts w:asciiTheme="minorHAnsi" w:hAnsiTheme="minorHAnsi" w:cstheme="minorHAnsi"/>
          <w:color w:val="000000" w:themeColor="text1"/>
        </w:rPr>
      </w:pPr>
      <w:r>
        <w:rPr>
          <w:rStyle w:val="Rimandonotaapidipagina"/>
        </w:rPr>
        <w:footnoteRef/>
      </w:r>
      <w:r>
        <w:t xml:space="preserve"> </w:t>
      </w:r>
      <w:r w:rsidRPr="000365D8">
        <w:rPr>
          <w:rFonts w:asciiTheme="minorHAnsi" w:hAnsiTheme="minorHAnsi" w:cstheme="minorHAnsi"/>
          <w:color w:val="000000" w:themeColor="text1"/>
        </w:rPr>
        <w:t>4.0.1 (testo 2)</w:t>
      </w:r>
      <w:r>
        <w:rPr>
          <w:rFonts w:cstheme="minorHAnsi"/>
          <w:color w:val="000000" w:themeColor="text1"/>
          <w:sz w:val="24"/>
          <w:szCs w:val="24"/>
        </w:rPr>
        <w:t xml:space="preserve"> </w:t>
      </w:r>
      <w:r w:rsidRPr="000365D8">
        <w:rPr>
          <w:rFonts w:asciiTheme="minorHAnsi" w:hAnsiTheme="minorHAnsi" w:cstheme="minorHAnsi"/>
          <w:color w:val="000000" w:themeColor="text1"/>
        </w:rPr>
        <w:t xml:space="preserve">Castellone, Pirro, Romano, </w:t>
      </w:r>
      <w:r w:rsidRPr="000365D8">
        <w:rPr>
          <w:rFonts w:asciiTheme="minorHAnsi" w:hAnsiTheme="minorHAnsi" w:cstheme="minorHAnsi"/>
          <w:color w:val="000000" w:themeColor="text1"/>
        </w:rPr>
        <w:t>Catalfo, Matrisciano, Toninelli, Mantovani, Pesco, Dell'Olio, Vanin, Trentacoste, Guidolin, Castaldi, Perilli, Maiorino, Endrizzi, Montevecchi</w:t>
      </w:r>
    </w:p>
    <w:p w14:paraId="33B598A0" w14:textId="1919EDCE" w:rsidR="005D611D" w:rsidRDefault="005D611D">
      <w:pPr>
        <w:pStyle w:val="Testonotaapidipagina"/>
      </w:pPr>
    </w:p>
  </w:footnote>
  <w:footnote w:id="22">
    <w:p w14:paraId="50A2AAE2" w14:textId="77777777" w:rsidR="00F14943" w:rsidRPr="000365D8" w:rsidRDefault="00F14943" w:rsidP="00F14943">
      <w:pPr>
        <w:jc w:val="both"/>
        <w:rPr>
          <w:rFonts w:asciiTheme="minorHAnsi" w:hAnsiTheme="minorHAnsi" w:cstheme="minorHAnsi"/>
          <w:color w:val="000000" w:themeColor="text1"/>
        </w:rPr>
      </w:pPr>
      <w:r>
        <w:rPr>
          <w:rStyle w:val="Rimandonotaapidipagina"/>
        </w:rPr>
        <w:footnoteRef/>
      </w:r>
      <w:r>
        <w:t xml:space="preserve"> </w:t>
      </w:r>
      <w:r w:rsidRPr="000365D8">
        <w:rPr>
          <w:rFonts w:asciiTheme="minorHAnsi" w:hAnsiTheme="minorHAnsi" w:cstheme="minorHAnsi"/>
          <w:color w:val="000000" w:themeColor="text1"/>
        </w:rPr>
        <w:t>5.100</w:t>
      </w:r>
      <w:r w:rsidRPr="000365D8">
        <w:rPr>
          <w:rFonts w:cstheme="minorHAnsi"/>
          <w:color w:val="000000" w:themeColor="text1"/>
        </w:rPr>
        <w:t xml:space="preserve"> </w:t>
      </w:r>
      <w:r w:rsidRPr="000365D8">
        <w:rPr>
          <w:rFonts w:asciiTheme="minorHAnsi" w:hAnsiTheme="minorHAnsi" w:cstheme="minorHAnsi"/>
          <w:color w:val="000000" w:themeColor="text1"/>
        </w:rPr>
        <w:t>IL RELATORE</w:t>
      </w:r>
      <w:r w:rsidRPr="000365D8">
        <w:rPr>
          <w:rFonts w:cstheme="minorHAnsi"/>
          <w:color w:val="000000" w:themeColor="text1"/>
        </w:rPr>
        <w:t xml:space="preserve">; </w:t>
      </w:r>
      <w:r w:rsidRPr="000365D8">
        <w:rPr>
          <w:rFonts w:asciiTheme="minorHAnsi" w:hAnsiTheme="minorHAnsi" w:cstheme="minorHAnsi"/>
          <w:color w:val="000000" w:themeColor="text1"/>
        </w:rPr>
        <w:t>5.3 (testo 2)</w:t>
      </w:r>
      <w:r w:rsidRPr="000365D8">
        <w:rPr>
          <w:rFonts w:cstheme="minorHAnsi"/>
          <w:color w:val="000000" w:themeColor="text1"/>
        </w:rPr>
        <w:t xml:space="preserve"> </w:t>
      </w:r>
      <w:r w:rsidRPr="000365D8">
        <w:rPr>
          <w:rFonts w:asciiTheme="minorHAnsi" w:hAnsiTheme="minorHAnsi" w:cstheme="minorHAnsi"/>
          <w:color w:val="000000" w:themeColor="text1"/>
        </w:rPr>
        <w:t xml:space="preserve">Mantovani, Garruti, </w:t>
      </w:r>
      <w:r w:rsidRPr="000365D8">
        <w:rPr>
          <w:rFonts w:asciiTheme="minorHAnsi" w:hAnsiTheme="minorHAnsi" w:cstheme="minorHAnsi"/>
          <w:color w:val="000000" w:themeColor="text1"/>
        </w:rPr>
        <w:t>Perilli, Santangelo, Toninelli, Pesco, Vanin, Trentacoste, Guidolin, Castaldi, Maiorino, Matrisciano, Montevecchi</w:t>
      </w:r>
    </w:p>
    <w:p w14:paraId="7BF29B41" w14:textId="0B828196" w:rsidR="00F14943" w:rsidRDefault="00F14943">
      <w:pPr>
        <w:pStyle w:val="Testonotaapidipagina"/>
      </w:pPr>
    </w:p>
  </w:footnote>
  <w:footnote w:id="23">
    <w:p w14:paraId="6339ABC8" w14:textId="77777777" w:rsidR="002E182D" w:rsidRPr="00027E68" w:rsidRDefault="002E182D" w:rsidP="002E182D">
      <w:pPr>
        <w:jc w:val="both"/>
        <w:rPr>
          <w:color w:val="000000" w:themeColor="text1"/>
        </w:rPr>
      </w:pPr>
      <w:r>
        <w:rPr>
          <w:rStyle w:val="Rimandonotaapidipagina"/>
        </w:rPr>
        <w:footnoteRef/>
      </w:r>
      <w:r>
        <w:t xml:space="preserve"> </w:t>
      </w:r>
      <w:r w:rsidRPr="00027E68">
        <w:rPr>
          <w:color w:val="000000" w:themeColor="text1"/>
        </w:rPr>
        <w:t xml:space="preserve">8.0.3 Rampi, </w:t>
      </w:r>
      <w:r w:rsidRPr="00027E68">
        <w:rPr>
          <w:color w:val="000000" w:themeColor="text1"/>
        </w:rPr>
        <w:t>Vattuone</w:t>
      </w:r>
    </w:p>
    <w:p w14:paraId="18F2D639" w14:textId="36800773" w:rsidR="002E182D" w:rsidRDefault="002E182D">
      <w:pPr>
        <w:pStyle w:val="Testonotaapidipagina"/>
      </w:pPr>
    </w:p>
  </w:footnote>
  <w:footnote w:id="24">
    <w:p w14:paraId="766051C5" w14:textId="52F797F6" w:rsidR="006856E6" w:rsidRDefault="006856E6">
      <w:pPr>
        <w:pStyle w:val="Testonotaapidipagina"/>
      </w:pPr>
      <w:r>
        <w:rPr>
          <w:rStyle w:val="Rimandonotaapidipagina"/>
        </w:rPr>
        <w:footnoteRef/>
      </w:r>
      <w:r>
        <w:t xml:space="preserve"> </w:t>
      </w:r>
      <w:r w:rsidRPr="00027E68">
        <w:rPr>
          <w:color w:val="000000" w:themeColor="text1"/>
        </w:rPr>
        <w:t xml:space="preserve">10.0.1 </w:t>
      </w:r>
      <w:r w:rsidRPr="00027E68">
        <w:rPr>
          <w:color w:val="000000" w:themeColor="text1"/>
        </w:rPr>
        <w:t>Unterberger, Steger, Durnwalder, Laniece, Vattuone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36F396EE" w:rsidR="00A06B48" w:rsidRDefault="00A06B48"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55C5EDA2" w:rsidR="00A06B48" w:rsidRPr="00A82891" w:rsidRDefault="00A06B48"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27A9C4E7" w:rsidR="00A06B48" w:rsidRDefault="00A06B48"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20E62"/>
    <w:rsid w:val="000267C1"/>
    <w:rsid w:val="000312C3"/>
    <w:rsid w:val="000331CC"/>
    <w:rsid w:val="000334E1"/>
    <w:rsid w:val="00033C4F"/>
    <w:rsid w:val="00040E4A"/>
    <w:rsid w:val="00042E03"/>
    <w:rsid w:val="00043185"/>
    <w:rsid w:val="0004407E"/>
    <w:rsid w:val="00051A57"/>
    <w:rsid w:val="000525CC"/>
    <w:rsid w:val="0005286F"/>
    <w:rsid w:val="000548FD"/>
    <w:rsid w:val="00055E6C"/>
    <w:rsid w:val="00056752"/>
    <w:rsid w:val="00056A4A"/>
    <w:rsid w:val="00062B9B"/>
    <w:rsid w:val="00065D85"/>
    <w:rsid w:val="00073239"/>
    <w:rsid w:val="00082471"/>
    <w:rsid w:val="00084030"/>
    <w:rsid w:val="000859DC"/>
    <w:rsid w:val="0009180C"/>
    <w:rsid w:val="00093EF1"/>
    <w:rsid w:val="00095FE5"/>
    <w:rsid w:val="000A078D"/>
    <w:rsid w:val="000A0A41"/>
    <w:rsid w:val="000B30C0"/>
    <w:rsid w:val="000B4E72"/>
    <w:rsid w:val="000B5768"/>
    <w:rsid w:val="000B5D07"/>
    <w:rsid w:val="000C2735"/>
    <w:rsid w:val="000C32B0"/>
    <w:rsid w:val="000C3A15"/>
    <w:rsid w:val="000C45FD"/>
    <w:rsid w:val="000C50F1"/>
    <w:rsid w:val="000C7656"/>
    <w:rsid w:val="000D6B51"/>
    <w:rsid w:val="000D78D2"/>
    <w:rsid w:val="000E2A19"/>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636BB"/>
    <w:rsid w:val="00165484"/>
    <w:rsid w:val="00166CB1"/>
    <w:rsid w:val="0017004E"/>
    <w:rsid w:val="001718BB"/>
    <w:rsid w:val="00171C64"/>
    <w:rsid w:val="00174402"/>
    <w:rsid w:val="0017636E"/>
    <w:rsid w:val="0017723D"/>
    <w:rsid w:val="00182895"/>
    <w:rsid w:val="00187D36"/>
    <w:rsid w:val="0019195A"/>
    <w:rsid w:val="001927D7"/>
    <w:rsid w:val="00195034"/>
    <w:rsid w:val="001956A3"/>
    <w:rsid w:val="001A1A70"/>
    <w:rsid w:val="001A22CF"/>
    <w:rsid w:val="001A275C"/>
    <w:rsid w:val="001A669C"/>
    <w:rsid w:val="001A749A"/>
    <w:rsid w:val="001B3F84"/>
    <w:rsid w:val="001B687E"/>
    <w:rsid w:val="001C0AB0"/>
    <w:rsid w:val="001C56A3"/>
    <w:rsid w:val="001D04E2"/>
    <w:rsid w:val="001D1E46"/>
    <w:rsid w:val="001E017B"/>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FEC"/>
    <w:rsid w:val="00234096"/>
    <w:rsid w:val="00235445"/>
    <w:rsid w:val="00236326"/>
    <w:rsid w:val="0024213A"/>
    <w:rsid w:val="00245F0E"/>
    <w:rsid w:val="00251FEF"/>
    <w:rsid w:val="00252A4F"/>
    <w:rsid w:val="002565F2"/>
    <w:rsid w:val="00262713"/>
    <w:rsid w:val="00262F41"/>
    <w:rsid w:val="00264750"/>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44C9"/>
    <w:rsid w:val="002C7E0D"/>
    <w:rsid w:val="002D4D31"/>
    <w:rsid w:val="002D6ED1"/>
    <w:rsid w:val="002D7720"/>
    <w:rsid w:val="002E182D"/>
    <w:rsid w:val="002E1C7C"/>
    <w:rsid w:val="002E413C"/>
    <w:rsid w:val="002F18B4"/>
    <w:rsid w:val="002F2BAA"/>
    <w:rsid w:val="002F7AEC"/>
    <w:rsid w:val="00304A7A"/>
    <w:rsid w:val="003063A8"/>
    <w:rsid w:val="00306E25"/>
    <w:rsid w:val="003078B7"/>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51552"/>
    <w:rsid w:val="00354FAF"/>
    <w:rsid w:val="0035669D"/>
    <w:rsid w:val="003607B7"/>
    <w:rsid w:val="0036194E"/>
    <w:rsid w:val="00363304"/>
    <w:rsid w:val="00364A97"/>
    <w:rsid w:val="00366E11"/>
    <w:rsid w:val="00372076"/>
    <w:rsid w:val="00375658"/>
    <w:rsid w:val="00377D10"/>
    <w:rsid w:val="003801C6"/>
    <w:rsid w:val="003905DB"/>
    <w:rsid w:val="00397931"/>
    <w:rsid w:val="003A0287"/>
    <w:rsid w:val="003B5530"/>
    <w:rsid w:val="003B55CF"/>
    <w:rsid w:val="003B618F"/>
    <w:rsid w:val="003C0333"/>
    <w:rsid w:val="003C13CE"/>
    <w:rsid w:val="003C2822"/>
    <w:rsid w:val="003C382C"/>
    <w:rsid w:val="003C3FF0"/>
    <w:rsid w:val="003D1E5D"/>
    <w:rsid w:val="003D24F9"/>
    <w:rsid w:val="003D2A0B"/>
    <w:rsid w:val="003D492A"/>
    <w:rsid w:val="003D602D"/>
    <w:rsid w:val="003D6F56"/>
    <w:rsid w:val="003E19B6"/>
    <w:rsid w:val="003E6C3F"/>
    <w:rsid w:val="003E7840"/>
    <w:rsid w:val="003F032E"/>
    <w:rsid w:val="003F2553"/>
    <w:rsid w:val="003F3306"/>
    <w:rsid w:val="003F51F8"/>
    <w:rsid w:val="004033D2"/>
    <w:rsid w:val="004035C7"/>
    <w:rsid w:val="004041F4"/>
    <w:rsid w:val="00410BE0"/>
    <w:rsid w:val="00410C42"/>
    <w:rsid w:val="0041357C"/>
    <w:rsid w:val="00420460"/>
    <w:rsid w:val="004226BC"/>
    <w:rsid w:val="00422E52"/>
    <w:rsid w:val="00424DB6"/>
    <w:rsid w:val="00434AA2"/>
    <w:rsid w:val="00440F4A"/>
    <w:rsid w:val="00441A04"/>
    <w:rsid w:val="00450027"/>
    <w:rsid w:val="00450D5B"/>
    <w:rsid w:val="004519D7"/>
    <w:rsid w:val="004532C6"/>
    <w:rsid w:val="004545F6"/>
    <w:rsid w:val="00454637"/>
    <w:rsid w:val="00456787"/>
    <w:rsid w:val="0045727A"/>
    <w:rsid w:val="00465F1C"/>
    <w:rsid w:val="00470EC5"/>
    <w:rsid w:val="00473B76"/>
    <w:rsid w:val="004764A8"/>
    <w:rsid w:val="00476F77"/>
    <w:rsid w:val="0048054C"/>
    <w:rsid w:val="00481C8C"/>
    <w:rsid w:val="004832BA"/>
    <w:rsid w:val="0048371F"/>
    <w:rsid w:val="004838A9"/>
    <w:rsid w:val="004850A2"/>
    <w:rsid w:val="00487615"/>
    <w:rsid w:val="004A76FE"/>
    <w:rsid w:val="004B288A"/>
    <w:rsid w:val="004B4327"/>
    <w:rsid w:val="004B7F8A"/>
    <w:rsid w:val="004C00AE"/>
    <w:rsid w:val="004C0C9F"/>
    <w:rsid w:val="004C16CF"/>
    <w:rsid w:val="004C1EE5"/>
    <w:rsid w:val="004C7ECF"/>
    <w:rsid w:val="004D04A9"/>
    <w:rsid w:val="004D0F93"/>
    <w:rsid w:val="004D4424"/>
    <w:rsid w:val="004D533E"/>
    <w:rsid w:val="004D588C"/>
    <w:rsid w:val="004D72A3"/>
    <w:rsid w:val="004D7FDD"/>
    <w:rsid w:val="004E4696"/>
    <w:rsid w:val="004E56A0"/>
    <w:rsid w:val="004E6060"/>
    <w:rsid w:val="004F0EE3"/>
    <w:rsid w:val="004F227F"/>
    <w:rsid w:val="004F5448"/>
    <w:rsid w:val="0050205B"/>
    <w:rsid w:val="005028B7"/>
    <w:rsid w:val="00503559"/>
    <w:rsid w:val="00505A7D"/>
    <w:rsid w:val="00507E3D"/>
    <w:rsid w:val="00510FB9"/>
    <w:rsid w:val="005127BF"/>
    <w:rsid w:val="005155CB"/>
    <w:rsid w:val="00516E7D"/>
    <w:rsid w:val="005171AF"/>
    <w:rsid w:val="00522697"/>
    <w:rsid w:val="00523A2C"/>
    <w:rsid w:val="00525326"/>
    <w:rsid w:val="00533418"/>
    <w:rsid w:val="005334F4"/>
    <w:rsid w:val="005345AF"/>
    <w:rsid w:val="00535DE3"/>
    <w:rsid w:val="0053600A"/>
    <w:rsid w:val="00536959"/>
    <w:rsid w:val="00537EE1"/>
    <w:rsid w:val="00541E41"/>
    <w:rsid w:val="005455B5"/>
    <w:rsid w:val="00553F54"/>
    <w:rsid w:val="00562CBE"/>
    <w:rsid w:val="005705AA"/>
    <w:rsid w:val="0057099F"/>
    <w:rsid w:val="00571386"/>
    <w:rsid w:val="00572BE9"/>
    <w:rsid w:val="0057525D"/>
    <w:rsid w:val="005753C8"/>
    <w:rsid w:val="0058489B"/>
    <w:rsid w:val="00590380"/>
    <w:rsid w:val="00592362"/>
    <w:rsid w:val="005926F7"/>
    <w:rsid w:val="005934CD"/>
    <w:rsid w:val="005A0F9A"/>
    <w:rsid w:val="005B1E86"/>
    <w:rsid w:val="005B3648"/>
    <w:rsid w:val="005B48F7"/>
    <w:rsid w:val="005B4FD5"/>
    <w:rsid w:val="005B74C3"/>
    <w:rsid w:val="005C16F5"/>
    <w:rsid w:val="005C4A39"/>
    <w:rsid w:val="005C7C10"/>
    <w:rsid w:val="005D50F5"/>
    <w:rsid w:val="005D520C"/>
    <w:rsid w:val="005D53A6"/>
    <w:rsid w:val="005D611D"/>
    <w:rsid w:val="005E0892"/>
    <w:rsid w:val="005E2927"/>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461F"/>
    <w:rsid w:val="006361BB"/>
    <w:rsid w:val="00644AD8"/>
    <w:rsid w:val="006508D0"/>
    <w:rsid w:val="006517AA"/>
    <w:rsid w:val="00652AF5"/>
    <w:rsid w:val="00652CF5"/>
    <w:rsid w:val="00652DC6"/>
    <w:rsid w:val="00653758"/>
    <w:rsid w:val="0065552E"/>
    <w:rsid w:val="0065699F"/>
    <w:rsid w:val="00656B6D"/>
    <w:rsid w:val="006603A2"/>
    <w:rsid w:val="00666366"/>
    <w:rsid w:val="00670FEE"/>
    <w:rsid w:val="00671FC2"/>
    <w:rsid w:val="00677E92"/>
    <w:rsid w:val="00682580"/>
    <w:rsid w:val="006839D6"/>
    <w:rsid w:val="006856E6"/>
    <w:rsid w:val="0069179E"/>
    <w:rsid w:val="006973EE"/>
    <w:rsid w:val="006A144C"/>
    <w:rsid w:val="006A1DE0"/>
    <w:rsid w:val="006A579B"/>
    <w:rsid w:val="006B241D"/>
    <w:rsid w:val="006B30B2"/>
    <w:rsid w:val="006B56BC"/>
    <w:rsid w:val="006C4C74"/>
    <w:rsid w:val="006D1C75"/>
    <w:rsid w:val="006D2F23"/>
    <w:rsid w:val="006E2B63"/>
    <w:rsid w:val="006E302B"/>
    <w:rsid w:val="006E522F"/>
    <w:rsid w:val="006E7E70"/>
    <w:rsid w:val="006F455D"/>
    <w:rsid w:val="006F56B0"/>
    <w:rsid w:val="006F5E11"/>
    <w:rsid w:val="006F6F3C"/>
    <w:rsid w:val="00704B03"/>
    <w:rsid w:val="007053B8"/>
    <w:rsid w:val="0070663F"/>
    <w:rsid w:val="007156B5"/>
    <w:rsid w:val="007207DA"/>
    <w:rsid w:val="0072446D"/>
    <w:rsid w:val="0072734B"/>
    <w:rsid w:val="007329D0"/>
    <w:rsid w:val="00734D39"/>
    <w:rsid w:val="007364A2"/>
    <w:rsid w:val="00740F55"/>
    <w:rsid w:val="00744976"/>
    <w:rsid w:val="0074650F"/>
    <w:rsid w:val="00747EC8"/>
    <w:rsid w:val="00750EB1"/>
    <w:rsid w:val="00751D46"/>
    <w:rsid w:val="00753E34"/>
    <w:rsid w:val="00754B81"/>
    <w:rsid w:val="00760425"/>
    <w:rsid w:val="0076318E"/>
    <w:rsid w:val="007633F7"/>
    <w:rsid w:val="0077029C"/>
    <w:rsid w:val="00772D94"/>
    <w:rsid w:val="0077462B"/>
    <w:rsid w:val="007754B1"/>
    <w:rsid w:val="007811E7"/>
    <w:rsid w:val="007831F4"/>
    <w:rsid w:val="00783AF0"/>
    <w:rsid w:val="00783F07"/>
    <w:rsid w:val="007850F6"/>
    <w:rsid w:val="00787D0B"/>
    <w:rsid w:val="00791B08"/>
    <w:rsid w:val="00792ADB"/>
    <w:rsid w:val="00793B10"/>
    <w:rsid w:val="00793CC1"/>
    <w:rsid w:val="007A1606"/>
    <w:rsid w:val="007A303D"/>
    <w:rsid w:val="007A35B6"/>
    <w:rsid w:val="007A66FC"/>
    <w:rsid w:val="007B16C8"/>
    <w:rsid w:val="007B3A12"/>
    <w:rsid w:val="007B4730"/>
    <w:rsid w:val="007B5023"/>
    <w:rsid w:val="007B5275"/>
    <w:rsid w:val="007C3B1E"/>
    <w:rsid w:val="007C436B"/>
    <w:rsid w:val="007C573D"/>
    <w:rsid w:val="007C70BC"/>
    <w:rsid w:val="007D14FF"/>
    <w:rsid w:val="007D36E1"/>
    <w:rsid w:val="007D51FE"/>
    <w:rsid w:val="007D7409"/>
    <w:rsid w:val="007D74F4"/>
    <w:rsid w:val="007E1F1F"/>
    <w:rsid w:val="007E4D43"/>
    <w:rsid w:val="007E4F90"/>
    <w:rsid w:val="007E5FDD"/>
    <w:rsid w:val="007E62F8"/>
    <w:rsid w:val="007F0465"/>
    <w:rsid w:val="007F2DFA"/>
    <w:rsid w:val="007F34E5"/>
    <w:rsid w:val="007F4B1D"/>
    <w:rsid w:val="007F50A8"/>
    <w:rsid w:val="00800796"/>
    <w:rsid w:val="00800D74"/>
    <w:rsid w:val="008015BA"/>
    <w:rsid w:val="0080396B"/>
    <w:rsid w:val="008039B2"/>
    <w:rsid w:val="00804187"/>
    <w:rsid w:val="00816A2D"/>
    <w:rsid w:val="00820CB4"/>
    <w:rsid w:val="008246C0"/>
    <w:rsid w:val="00830635"/>
    <w:rsid w:val="0083761C"/>
    <w:rsid w:val="008413E2"/>
    <w:rsid w:val="0084772D"/>
    <w:rsid w:val="00850907"/>
    <w:rsid w:val="00854469"/>
    <w:rsid w:val="008555E4"/>
    <w:rsid w:val="0086411D"/>
    <w:rsid w:val="00873812"/>
    <w:rsid w:val="0088040D"/>
    <w:rsid w:val="00880CE0"/>
    <w:rsid w:val="008857CB"/>
    <w:rsid w:val="00885EE4"/>
    <w:rsid w:val="00891EE5"/>
    <w:rsid w:val="00892983"/>
    <w:rsid w:val="0089371A"/>
    <w:rsid w:val="008978CE"/>
    <w:rsid w:val="008A1436"/>
    <w:rsid w:val="008A15BB"/>
    <w:rsid w:val="008A2963"/>
    <w:rsid w:val="008A2975"/>
    <w:rsid w:val="008A5034"/>
    <w:rsid w:val="008A5AAC"/>
    <w:rsid w:val="008A7373"/>
    <w:rsid w:val="008B2177"/>
    <w:rsid w:val="008C1950"/>
    <w:rsid w:val="008C42DF"/>
    <w:rsid w:val="008C6A11"/>
    <w:rsid w:val="008D0E7A"/>
    <w:rsid w:val="008D3ABD"/>
    <w:rsid w:val="008D403E"/>
    <w:rsid w:val="008D50F8"/>
    <w:rsid w:val="008D5A12"/>
    <w:rsid w:val="008E1D49"/>
    <w:rsid w:val="008E3353"/>
    <w:rsid w:val="008E3C4F"/>
    <w:rsid w:val="008F0165"/>
    <w:rsid w:val="008F1B4E"/>
    <w:rsid w:val="008F456C"/>
    <w:rsid w:val="008F7901"/>
    <w:rsid w:val="00902675"/>
    <w:rsid w:val="00903114"/>
    <w:rsid w:val="00906464"/>
    <w:rsid w:val="00906668"/>
    <w:rsid w:val="00906D72"/>
    <w:rsid w:val="0090746A"/>
    <w:rsid w:val="00911352"/>
    <w:rsid w:val="009154FE"/>
    <w:rsid w:val="00916000"/>
    <w:rsid w:val="00917B1C"/>
    <w:rsid w:val="0092229A"/>
    <w:rsid w:val="00924250"/>
    <w:rsid w:val="00924849"/>
    <w:rsid w:val="00930666"/>
    <w:rsid w:val="00930989"/>
    <w:rsid w:val="00936B62"/>
    <w:rsid w:val="00936FBB"/>
    <w:rsid w:val="00937028"/>
    <w:rsid w:val="009407F9"/>
    <w:rsid w:val="009413E8"/>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6AE2"/>
    <w:rsid w:val="00966FBB"/>
    <w:rsid w:val="00971381"/>
    <w:rsid w:val="00972961"/>
    <w:rsid w:val="00972AC9"/>
    <w:rsid w:val="00974127"/>
    <w:rsid w:val="00977105"/>
    <w:rsid w:val="0099337D"/>
    <w:rsid w:val="00993538"/>
    <w:rsid w:val="00994F45"/>
    <w:rsid w:val="009962ED"/>
    <w:rsid w:val="009A74B2"/>
    <w:rsid w:val="009B23A9"/>
    <w:rsid w:val="009B24DB"/>
    <w:rsid w:val="009B2899"/>
    <w:rsid w:val="009B53F9"/>
    <w:rsid w:val="009C53EF"/>
    <w:rsid w:val="009C570D"/>
    <w:rsid w:val="009D4C28"/>
    <w:rsid w:val="009E014F"/>
    <w:rsid w:val="009F11A4"/>
    <w:rsid w:val="009F26AF"/>
    <w:rsid w:val="009F3802"/>
    <w:rsid w:val="009F3C67"/>
    <w:rsid w:val="009F5D98"/>
    <w:rsid w:val="00A00765"/>
    <w:rsid w:val="00A016E1"/>
    <w:rsid w:val="00A03B51"/>
    <w:rsid w:val="00A03D7B"/>
    <w:rsid w:val="00A06B48"/>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23E4"/>
    <w:rsid w:val="00A75719"/>
    <w:rsid w:val="00A808EB"/>
    <w:rsid w:val="00A82891"/>
    <w:rsid w:val="00A854AD"/>
    <w:rsid w:val="00A918F9"/>
    <w:rsid w:val="00A92EF0"/>
    <w:rsid w:val="00AA11AD"/>
    <w:rsid w:val="00AA120E"/>
    <w:rsid w:val="00AA127C"/>
    <w:rsid w:val="00AA5107"/>
    <w:rsid w:val="00AA706F"/>
    <w:rsid w:val="00AB6F71"/>
    <w:rsid w:val="00AC111B"/>
    <w:rsid w:val="00AC18FC"/>
    <w:rsid w:val="00AC2E79"/>
    <w:rsid w:val="00AC3A3B"/>
    <w:rsid w:val="00AD1B0C"/>
    <w:rsid w:val="00AD3DA4"/>
    <w:rsid w:val="00AD5AFD"/>
    <w:rsid w:val="00AE708D"/>
    <w:rsid w:val="00AF5621"/>
    <w:rsid w:val="00AF590A"/>
    <w:rsid w:val="00B0286F"/>
    <w:rsid w:val="00B07423"/>
    <w:rsid w:val="00B10817"/>
    <w:rsid w:val="00B10821"/>
    <w:rsid w:val="00B13F9F"/>
    <w:rsid w:val="00B159D2"/>
    <w:rsid w:val="00B16393"/>
    <w:rsid w:val="00B2344F"/>
    <w:rsid w:val="00B23C5F"/>
    <w:rsid w:val="00B2603D"/>
    <w:rsid w:val="00B26435"/>
    <w:rsid w:val="00B32CFF"/>
    <w:rsid w:val="00B32F3D"/>
    <w:rsid w:val="00B32FC9"/>
    <w:rsid w:val="00B34C24"/>
    <w:rsid w:val="00B379AF"/>
    <w:rsid w:val="00B42702"/>
    <w:rsid w:val="00B42FCB"/>
    <w:rsid w:val="00B4529F"/>
    <w:rsid w:val="00B45315"/>
    <w:rsid w:val="00B467E0"/>
    <w:rsid w:val="00B5044F"/>
    <w:rsid w:val="00B51638"/>
    <w:rsid w:val="00B520D6"/>
    <w:rsid w:val="00B522DE"/>
    <w:rsid w:val="00B5230B"/>
    <w:rsid w:val="00B52F6C"/>
    <w:rsid w:val="00B53B26"/>
    <w:rsid w:val="00B56801"/>
    <w:rsid w:val="00B61054"/>
    <w:rsid w:val="00B62016"/>
    <w:rsid w:val="00B6290E"/>
    <w:rsid w:val="00B645F5"/>
    <w:rsid w:val="00B67116"/>
    <w:rsid w:val="00B67C39"/>
    <w:rsid w:val="00B73C5C"/>
    <w:rsid w:val="00B7653B"/>
    <w:rsid w:val="00B76C9A"/>
    <w:rsid w:val="00B778D4"/>
    <w:rsid w:val="00B82448"/>
    <w:rsid w:val="00B82DA5"/>
    <w:rsid w:val="00B93B12"/>
    <w:rsid w:val="00B95499"/>
    <w:rsid w:val="00BA3423"/>
    <w:rsid w:val="00BA3516"/>
    <w:rsid w:val="00BB2691"/>
    <w:rsid w:val="00BB4EFD"/>
    <w:rsid w:val="00BB608C"/>
    <w:rsid w:val="00BB62AF"/>
    <w:rsid w:val="00BC14B9"/>
    <w:rsid w:val="00BC2C29"/>
    <w:rsid w:val="00BC2F2E"/>
    <w:rsid w:val="00BC2F98"/>
    <w:rsid w:val="00BC49F4"/>
    <w:rsid w:val="00BC4B89"/>
    <w:rsid w:val="00BD155F"/>
    <w:rsid w:val="00BD415D"/>
    <w:rsid w:val="00BD4A22"/>
    <w:rsid w:val="00BD52BC"/>
    <w:rsid w:val="00BD6B17"/>
    <w:rsid w:val="00BE1D3A"/>
    <w:rsid w:val="00BE31DC"/>
    <w:rsid w:val="00BE3369"/>
    <w:rsid w:val="00BE3672"/>
    <w:rsid w:val="00BE3C18"/>
    <w:rsid w:val="00BE42ED"/>
    <w:rsid w:val="00BE485A"/>
    <w:rsid w:val="00BE50CB"/>
    <w:rsid w:val="00BE5171"/>
    <w:rsid w:val="00BE5A1B"/>
    <w:rsid w:val="00BE5EE1"/>
    <w:rsid w:val="00BE6A6C"/>
    <w:rsid w:val="00BF1F82"/>
    <w:rsid w:val="00BF56FD"/>
    <w:rsid w:val="00C02901"/>
    <w:rsid w:val="00C051A0"/>
    <w:rsid w:val="00C0623F"/>
    <w:rsid w:val="00C12C2F"/>
    <w:rsid w:val="00C13B2F"/>
    <w:rsid w:val="00C14E8D"/>
    <w:rsid w:val="00C2005D"/>
    <w:rsid w:val="00C20DE6"/>
    <w:rsid w:val="00C2564D"/>
    <w:rsid w:val="00C27BE4"/>
    <w:rsid w:val="00C32577"/>
    <w:rsid w:val="00C437EA"/>
    <w:rsid w:val="00C4624D"/>
    <w:rsid w:val="00C466AF"/>
    <w:rsid w:val="00C50F7C"/>
    <w:rsid w:val="00C51C68"/>
    <w:rsid w:val="00C5243A"/>
    <w:rsid w:val="00C553DF"/>
    <w:rsid w:val="00C65A6F"/>
    <w:rsid w:val="00C76E5E"/>
    <w:rsid w:val="00C77FEA"/>
    <w:rsid w:val="00C86438"/>
    <w:rsid w:val="00C86901"/>
    <w:rsid w:val="00C8754B"/>
    <w:rsid w:val="00C908BC"/>
    <w:rsid w:val="00C91B38"/>
    <w:rsid w:val="00C9381B"/>
    <w:rsid w:val="00C93C0E"/>
    <w:rsid w:val="00C973FC"/>
    <w:rsid w:val="00CA6FB6"/>
    <w:rsid w:val="00CA7386"/>
    <w:rsid w:val="00CB0296"/>
    <w:rsid w:val="00CB2D1D"/>
    <w:rsid w:val="00CB3CA1"/>
    <w:rsid w:val="00CB5E62"/>
    <w:rsid w:val="00CB5F02"/>
    <w:rsid w:val="00CB64E8"/>
    <w:rsid w:val="00CC165B"/>
    <w:rsid w:val="00CC3DC5"/>
    <w:rsid w:val="00CC46ED"/>
    <w:rsid w:val="00CD386D"/>
    <w:rsid w:val="00CE0751"/>
    <w:rsid w:val="00CE5181"/>
    <w:rsid w:val="00CE59FE"/>
    <w:rsid w:val="00CE64F8"/>
    <w:rsid w:val="00CE692C"/>
    <w:rsid w:val="00CE7AE2"/>
    <w:rsid w:val="00CF5ED7"/>
    <w:rsid w:val="00D015AC"/>
    <w:rsid w:val="00D025C8"/>
    <w:rsid w:val="00D03F5F"/>
    <w:rsid w:val="00D13684"/>
    <w:rsid w:val="00D13A58"/>
    <w:rsid w:val="00D14CE4"/>
    <w:rsid w:val="00D16843"/>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90935"/>
    <w:rsid w:val="00D90D1C"/>
    <w:rsid w:val="00D920B0"/>
    <w:rsid w:val="00D946FA"/>
    <w:rsid w:val="00DA1D5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20887"/>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6494B"/>
    <w:rsid w:val="00E74D4F"/>
    <w:rsid w:val="00E76304"/>
    <w:rsid w:val="00E7709B"/>
    <w:rsid w:val="00E80AF6"/>
    <w:rsid w:val="00E810E2"/>
    <w:rsid w:val="00E831A3"/>
    <w:rsid w:val="00E8364C"/>
    <w:rsid w:val="00E87237"/>
    <w:rsid w:val="00E94B93"/>
    <w:rsid w:val="00EA41FC"/>
    <w:rsid w:val="00EA6B07"/>
    <w:rsid w:val="00EB108E"/>
    <w:rsid w:val="00EB3B2C"/>
    <w:rsid w:val="00EB45F6"/>
    <w:rsid w:val="00EB6C23"/>
    <w:rsid w:val="00EC1DCD"/>
    <w:rsid w:val="00EC58C7"/>
    <w:rsid w:val="00ED0087"/>
    <w:rsid w:val="00ED3475"/>
    <w:rsid w:val="00EE1DD8"/>
    <w:rsid w:val="00EE4D49"/>
    <w:rsid w:val="00EE5B75"/>
    <w:rsid w:val="00EE5D4B"/>
    <w:rsid w:val="00EE7D35"/>
    <w:rsid w:val="00EF0D42"/>
    <w:rsid w:val="00EF3D6D"/>
    <w:rsid w:val="00EF5680"/>
    <w:rsid w:val="00EF6A37"/>
    <w:rsid w:val="00EF7DC4"/>
    <w:rsid w:val="00EF7E38"/>
    <w:rsid w:val="00F00276"/>
    <w:rsid w:val="00F009FD"/>
    <w:rsid w:val="00F00B1C"/>
    <w:rsid w:val="00F05A11"/>
    <w:rsid w:val="00F11632"/>
    <w:rsid w:val="00F13D70"/>
    <w:rsid w:val="00F14943"/>
    <w:rsid w:val="00F1515B"/>
    <w:rsid w:val="00F164A0"/>
    <w:rsid w:val="00F17175"/>
    <w:rsid w:val="00F25B8E"/>
    <w:rsid w:val="00F25BDF"/>
    <w:rsid w:val="00F305F6"/>
    <w:rsid w:val="00F347CD"/>
    <w:rsid w:val="00F41ECE"/>
    <w:rsid w:val="00F41FA0"/>
    <w:rsid w:val="00F42C0E"/>
    <w:rsid w:val="00F43227"/>
    <w:rsid w:val="00F46BB9"/>
    <w:rsid w:val="00F51528"/>
    <w:rsid w:val="00F516A4"/>
    <w:rsid w:val="00F5379F"/>
    <w:rsid w:val="00F55D5C"/>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3CF7"/>
    <w:rsid w:val="00F86181"/>
    <w:rsid w:val="00F863AD"/>
    <w:rsid w:val="00F86472"/>
    <w:rsid w:val="00F916C7"/>
    <w:rsid w:val="00F96968"/>
    <w:rsid w:val="00FA0928"/>
    <w:rsid w:val="00FA0BE3"/>
    <w:rsid w:val="00FB097F"/>
    <w:rsid w:val="00FB0FF9"/>
    <w:rsid w:val="00FB6FCB"/>
    <w:rsid w:val="00FC1832"/>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CE1D-A5C6-47B7-BADC-ED0781A5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4819</Words>
  <Characters>27469</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2</cp:revision>
  <cp:lastPrinted>2019-01-08T11:23:00Z</cp:lastPrinted>
  <dcterms:created xsi:type="dcterms:W3CDTF">2021-11-05T11:47:00Z</dcterms:created>
  <dcterms:modified xsi:type="dcterms:W3CDTF">2021-11-05T11:47:00Z</dcterms:modified>
</cp:coreProperties>
</file>