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11C3E203" w:rsidR="00EE4D49" w:rsidRPr="00793CC1" w:rsidRDefault="00427C7D"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r w:rsidRPr="00427C7D">
        <w:rPr>
          <w:rFonts w:asciiTheme="minorHAnsi" w:hAnsiTheme="minorHAnsi" w:cstheme="minorHAnsi"/>
          <w:b/>
          <w:bCs/>
          <w:color w:val="000000" w:themeColor="text1"/>
          <w:sz w:val="24"/>
          <w:szCs w:val="24"/>
        </w:rPr>
        <w:t>C 3425</w:t>
      </w:r>
      <w:r>
        <w:rPr>
          <w:rFonts w:asciiTheme="minorHAnsi" w:hAnsiTheme="minorHAnsi" w:cstheme="minorHAnsi"/>
          <w:color w:val="000000" w:themeColor="text1"/>
          <w:sz w:val="24"/>
          <w:szCs w:val="24"/>
        </w:rPr>
        <w:t xml:space="preserve"> D</w:t>
      </w:r>
      <w:r w:rsidRPr="001C5FAC">
        <w:rPr>
          <w:rFonts w:asciiTheme="minorHAnsi" w:hAnsiTheme="minorHAnsi" w:cstheme="minorHAnsi"/>
          <w:color w:val="000000" w:themeColor="text1"/>
          <w:sz w:val="24"/>
          <w:szCs w:val="24"/>
        </w:rPr>
        <w:t>ecreto-legge 1</w:t>
      </w:r>
      <w:r w:rsidRPr="001C5FAC">
        <w:rPr>
          <w:rFonts w:cstheme="minorHAnsi"/>
          <w:color w:val="000000" w:themeColor="text1"/>
          <w:sz w:val="24"/>
          <w:szCs w:val="24"/>
        </w:rPr>
        <w:t>°</w:t>
      </w:r>
      <w:r w:rsidRPr="001C5FAC">
        <w:rPr>
          <w:rFonts w:asciiTheme="minorHAnsi" w:hAnsiTheme="minorHAnsi" w:cstheme="minorHAnsi"/>
          <w:color w:val="000000" w:themeColor="text1"/>
          <w:sz w:val="24"/>
          <w:szCs w:val="24"/>
        </w:rPr>
        <w:t>marzo 2022, n. 17, recante misure urgenti per il contenimento dei costi dell'energia elettrica e del gas naturale, per lo sviluppo delle energie rinnovabili e per il rilancio delle politiche industriali.</w:t>
      </w: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FCA655" w14:textId="7CD5777A" w:rsidR="0048061D"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427C7D">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sidR="0015700C">
        <w:rPr>
          <w:rFonts w:asciiTheme="minorHAnsi" w:eastAsia="Times New Roman" w:hAnsiTheme="minorHAnsi" w:cs="Times New Roman"/>
          <w:i/>
          <w:iCs/>
          <w:color w:val="000000" w:themeColor="text1"/>
          <w:sz w:val="24"/>
          <w:szCs w:val="24"/>
        </w:rPr>
        <w:t>di ieri</w:t>
      </w:r>
      <w:r w:rsidR="003C0376">
        <w:rPr>
          <w:rFonts w:asciiTheme="minorHAnsi" w:eastAsia="Times New Roman" w:hAnsiTheme="minorHAnsi" w:cs="Times New Roman"/>
          <w:i/>
          <w:iCs/>
          <w:color w:val="000000" w:themeColor="text1"/>
          <w:sz w:val="24"/>
          <w:szCs w:val="24"/>
        </w:rPr>
        <w:t>, 7 aprile,</w:t>
      </w:r>
      <w:r w:rsidR="0082508B">
        <w:rPr>
          <w:rFonts w:asciiTheme="minorHAnsi" w:eastAsia="Times New Roman" w:hAnsiTheme="minorHAnsi" w:cs="Times New Roman"/>
          <w:i/>
          <w:iCs/>
          <w:color w:val="000000" w:themeColor="text1"/>
          <w:sz w:val="24"/>
          <w:szCs w:val="24"/>
        </w:rPr>
        <w:t xml:space="preserve"> </w:t>
      </w:r>
      <w:r w:rsidR="00556D8D">
        <w:rPr>
          <w:rFonts w:asciiTheme="minorHAnsi" w:eastAsia="Times New Roman" w:hAnsiTheme="minorHAnsi" w:cs="Times New Roman"/>
          <w:i/>
          <w:iCs/>
          <w:color w:val="000000" w:themeColor="text1"/>
          <w:sz w:val="24"/>
          <w:szCs w:val="24"/>
        </w:rPr>
        <w:t xml:space="preserve">le Commissioni Riunite Ambiente ed Attività Produttive della Camera hanno concluso l’esame del provvedimento. </w:t>
      </w:r>
      <w:r w:rsidR="00427C7D">
        <w:rPr>
          <w:rFonts w:asciiTheme="minorHAnsi" w:eastAsia="Times New Roman" w:hAnsiTheme="minorHAnsi" w:cs="Times New Roman"/>
          <w:i/>
          <w:iCs/>
          <w:color w:val="000000" w:themeColor="text1"/>
          <w:sz w:val="24"/>
          <w:szCs w:val="24"/>
        </w:rPr>
        <w:t>Si riporta la</w:t>
      </w:r>
      <w:r w:rsidR="0062189D">
        <w:rPr>
          <w:rFonts w:asciiTheme="minorHAnsi" w:eastAsia="Times New Roman" w:hAnsiTheme="minorHAnsi" w:cs="Times New Roman"/>
          <w:i/>
          <w:iCs/>
          <w:color w:val="000000" w:themeColor="text1"/>
          <w:sz w:val="24"/>
          <w:szCs w:val="24"/>
        </w:rPr>
        <w:t xml:space="preserve"> ricostruzione dell’articolato</w:t>
      </w:r>
      <w:r w:rsidR="007E5286">
        <w:rPr>
          <w:rFonts w:asciiTheme="minorHAnsi" w:eastAsia="Times New Roman" w:hAnsiTheme="minorHAnsi" w:cs="Times New Roman"/>
          <w:i/>
          <w:iCs/>
          <w:color w:val="000000" w:themeColor="text1"/>
          <w:sz w:val="24"/>
          <w:szCs w:val="24"/>
        </w:rPr>
        <w:t xml:space="preserve"> e le correzioni di forma approvate</w:t>
      </w:r>
      <w:r w:rsidR="0048061D">
        <w:rPr>
          <w:rFonts w:asciiTheme="minorHAnsi" w:eastAsia="Times New Roman" w:hAnsiTheme="minorHAnsi" w:cs="Times New Roman"/>
          <w:i/>
          <w:iCs/>
          <w:color w:val="000000" w:themeColor="text1"/>
          <w:sz w:val="24"/>
          <w:szCs w:val="24"/>
        </w:rPr>
        <w:t xml:space="preserve"> in vista della trasmissione del testo all’Assemblea.</w:t>
      </w:r>
    </w:p>
    <w:p w14:paraId="6C4AEFF3" w14:textId="77777777" w:rsidR="00427C7D" w:rsidRDefault="00427C7D"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84817E8" w14:textId="591ED737" w:rsidR="00427C7D" w:rsidRPr="00427C7D" w:rsidRDefault="00427C7D" w:rsidP="00427C7D">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27C7D">
        <w:rPr>
          <w:rFonts w:asciiTheme="minorHAnsi" w:eastAsia="Times New Roman" w:hAnsiTheme="minorHAnsi" w:cs="Times New Roman"/>
          <w:color w:val="000000" w:themeColor="text1"/>
          <w:sz w:val="24"/>
          <w:szCs w:val="24"/>
        </w:rPr>
        <w:t xml:space="preserve">Le modifiche introdotte dagli emendamenti approvati si riportano in </w:t>
      </w:r>
      <w:r w:rsidRPr="00427C7D">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427C7D">
        <w:rPr>
          <w:rFonts w:asciiTheme="minorHAnsi" w:eastAsia="Times New Roman" w:hAnsiTheme="minorHAnsi" w:cs="Times New Roman"/>
          <w:color w:val="000000" w:themeColor="text1"/>
          <w:sz w:val="24"/>
          <w:szCs w:val="24"/>
        </w:rPr>
        <w:t xml:space="preserve">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427C7D">
        <w:rPr>
          <w:rFonts w:asciiTheme="minorHAnsi" w:eastAsia="Times New Roman" w:hAnsiTheme="minorHAnsi" w:cs="Times New Roman"/>
          <w:color w:val="000000" w:themeColor="text1"/>
          <w:sz w:val="24"/>
          <w:szCs w:val="24"/>
        </w:rPr>
        <w:t xml:space="preserve">Gli </w:t>
      </w:r>
      <w:proofErr w:type="spellStart"/>
      <w:r w:rsidRPr="00427C7D">
        <w:rPr>
          <w:rFonts w:asciiTheme="minorHAnsi" w:eastAsia="Times New Roman" w:hAnsiTheme="minorHAnsi" w:cs="Times New Roman"/>
          <w:color w:val="000000" w:themeColor="text1"/>
          <w:sz w:val="24"/>
          <w:szCs w:val="24"/>
        </w:rPr>
        <w:t>eventauali</w:t>
      </w:r>
      <w:proofErr w:type="spellEnd"/>
      <w:r w:rsidRPr="00427C7D">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427C7D">
        <w:rPr>
          <w:rFonts w:asciiTheme="minorHAnsi" w:eastAsia="Times New Roman" w:hAnsiTheme="minorHAnsi" w:cs="Times New Roman"/>
          <w:color w:val="000000" w:themeColor="text1"/>
          <w:sz w:val="24"/>
          <w:szCs w:val="24"/>
        </w:rPr>
        <w:t>A piè di pagina si riportano i riferimenti della proposta di modifica approvata.</w:t>
      </w:r>
    </w:p>
    <w:p w14:paraId="76875421" w14:textId="77777777" w:rsidR="006B20AE" w:rsidRDefault="006B20AE" w:rsidP="006B20AE">
      <w:pPr>
        <w:jc w:val="both"/>
        <w:rPr>
          <w:color w:val="000000" w:themeColor="text1"/>
          <w:sz w:val="24"/>
          <w:szCs w:val="24"/>
        </w:rPr>
      </w:pPr>
    </w:p>
    <w:p w14:paraId="6CBFD197" w14:textId="6947D40B" w:rsidR="006B20AE" w:rsidRPr="006B20AE" w:rsidRDefault="006B20AE" w:rsidP="006B20AE">
      <w:pPr>
        <w:jc w:val="center"/>
        <w:rPr>
          <w:color w:val="000000" w:themeColor="text1"/>
          <w:sz w:val="24"/>
          <w:szCs w:val="24"/>
        </w:rPr>
      </w:pPr>
      <w:r>
        <w:rPr>
          <w:color w:val="000000" w:themeColor="text1"/>
          <w:sz w:val="24"/>
          <w:szCs w:val="24"/>
        </w:rPr>
        <w:t>***</w:t>
      </w:r>
    </w:p>
    <w:p w14:paraId="10DCC32C" w14:textId="77777777" w:rsidR="004C5039" w:rsidRPr="004C5039" w:rsidRDefault="004C5039" w:rsidP="004C503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C9ECB4" w14:textId="77777777" w:rsidR="001C5FAC" w:rsidRPr="001C5FAC" w:rsidRDefault="001C5FAC" w:rsidP="001C5FAC">
      <w:pPr>
        <w:spacing w:after="0" w:line="240" w:lineRule="auto"/>
        <w:rPr>
          <w:rFonts w:cstheme="minorHAnsi"/>
          <w:color w:val="000000" w:themeColor="text1"/>
          <w:sz w:val="24"/>
          <w:szCs w:val="24"/>
        </w:rPr>
      </w:pPr>
    </w:p>
    <w:p w14:paraId="618A8CFB" w14:textId="77777777" w:rsidR="001C5FAC" w:rsidRPr="001C5FAC" w:rsidRDefault="001C5FAC" w:rsidP="001C5FAC">
      <w:pPr>
        <w:spacing w:after="0" w:line="240" w:lineRule="auto"/>
        <w:jc w:val="center"/>
        <w:rPr>
          <w:rFonts w:cstheme="minorHAnsi"/>
          <w:b/>
          <w:bCs/>
          <w:color w:val="000000" w:themeColor="text1"/>
          <w:sz w:val="24"/>
          <w:szCs w:val="24"/>
        </w:rPr>
      </w:pPr>
      <w:r w:rsidRPr="001C5FAC">
        <w:rPr>
          <w:rFonts w:cstheme="minorHAnsi"/>
          <w:b/>
          <w:bCs/>
          <w:color w:val="000000" w:themeColor="text1"/>
          <w:sz w:val="24"/>
          <w:szCs w:val="24"/>
        </w:rPr>
        <w:t>C. 3425</w:t>
      </w:r>
    </w:p>
    <w:p w14:paraId="1B4F5FFD" w14:textId="77777777" w:rsidR="001C5FAC" w:rsidRPr="001C5FAC" w:rsidRDefault="001C5FAC" w:rsidP="001C5FAC">
      <w:pPr>
        <w:spacing w:after="0" w:line="240" w:lineRule="auto"/>
        <w:jc w:val="center"/>
        <w:rPr>
          <w:rFonts w:asciiTheme="minorHAnsi" w:hAnsiTheme="minorHAnsi" w:cstheme="minorHAnsi"/>
          <w:b/>
          <w:bCs/>
          <w:color w:val="000000" w:themeColor="text1"/>
          <w:sz w:val="24"/>
          <w:szCs w:val="24"/>
        </w:rPr>
      </w:pPr>
      <w:r w:rsidRPr="001C5FAC">
        <w:rPr>
          <w:rFonts w:asciiTheme="minorHAnsi" w:hAnsiTheme="minorHAnsi" w:cstheme="minorHAnsi"/>
          <w:b/>
          <w:bCs/>
          <w:color w:val="000000" w:themeColor="text1"/>
          <w:sz w:val="24"/>
          <w:szCs w:val="24"/>
        </w:rPr>
        <w:t>DISEGNO DI LEGGE</w:t>
      </w:r>
    </w:p>
    <w:p w14:paraId="4F22287A"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6C77B9A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 1.</w:t>
      </w:r>
    </w:p>
    <w:p w14:paraId="481ABDCC"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44F00B82" w14:textId="77777777" w:rsidR="001C5FAC" w:rsidRPr="001C5FAC" w:rsidRDefault="001C5FAC" w:rsidP="001C5FAC">
      <w:pPr>
        <w:spacing w:after="0" w:line="240" w:lineRule="auto"/>
        <w:rPr>
          <w:rFonts w:cstheme="minorHAnsi"/>
          <w:color w:val="000000" w:themeColor="text1"/>
          <w:sz w:val="24"/>
          <w:szCs w:val="24"/>
        </w:rPr>
      </w:pPr>
      <w:r w:rsidRPr="001C5FAC">
        <w:rPr>
          <w:rFonts w:asciiTheme="minorHAnsi" w:hAnsiTheme="minorHAnsi" w:cstheme="minorHAnsi"/>
          <w:color w:val="000000" w:themeColor="text1"/>
          <w:sz w:val="24"/>
          <w:szCs w:val="24"/>
        </w:rPr>
        <w:t xml:space="preserve">  1. È convertito in legge il </w:t>
      </w:r>
      <w:bookmarkStart w:id="0" w:name="_Hlk100316869"/>
      <w:r w:rsidRPr="001C5FAC">
        <w:rPr>
          <w:rFonts w:asciiTheme="minorHAnsi" w:hAnsiTheme="minorHAnsi" w:cstheme="minorHAnsi"/>
          <w:color w:val="000000" w:themeColor="text1"/>
          <w:sz w:val="24"/>
          <w:szCs w:val="24"/>
        </w:rPr>
        <w:t>decreto-legge 1</w:t>
      </w:r>
      <w:r w:rsidRPr="001C5FAC">
        <w:rPr>
          <w:rFonts w:cstheme="minorHAnsi"/>
          <w:color w:val="000000" w:themeColor="text1"/>
          <w:sz w:val="24"/>
          <w:szCs w:val="24"/>
        </w:rPr>
        <w:t>°</w:t>
      </w:r>
      <w:r w:rsidRPr="001C5FAC">
        <w:rPr>
          <w:rFonts w:asciiTheme="minorHAnsi" w:hAnsiTheme="minorHAnsi" w:cstheme="minorHAnsi"/>
          <w:color w:val="000000" w:themeColor="text1"/>
          <w:sz w:val="24"/>
          <w:szCs w:val="24"/>
        </w:rPr>
        <w:t>marzo 2022, n. 17, recante misure urgenti per il contenimento dei costi dell'energia elettrica e del gas naturale, per lo sviluppo delle energie rinnovabili e per il rilancio delle politiche industriali.</w:t>
      </w:r>
      <w:bookmarkEnd w:id="0"/>
    </w:p>
    <w:p w14:paraId="47F6503E"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4F714871" w14:textId="77777777" w:rsidR="001C5FAC" w:rsidRPr="001C5FAC" w:rsidRDefault="001C5FAC" w:rsidP="001C5FAC">
      <w:pPr>
        <w:spacing w:after="0" w:line="240" w:lineRule="auto"/>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  2. La presente legge entra in vigore il giorno successivo a quello della sua pubblicazione nella Gazzetta Ufficiale.</w:t>
      </w:r>
    </w:p>
    <w:p w14:paraId="47F502CC"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1D792D98" w14:textId="77777777" w:rsidR="001C5FAC" w:rsidRPr="001C5FAC" w:rsidRDefault="001C5FAC" w:rsidP="001C5FAC">
      <w:pPr>
        <w:spacing w:after="0" w:line="240" w:lineRule="auto"/>
        <w:jc w:val="center"/>
        <w:rPr>
          <w:rFonts w:asciiTheme="minorHAnsi" w:hAnsiTheme="minorHAnsi" w:cstheme="minorHAnsi"/>
          <w:b/>
          <w:bCs/>
          <w:color w:val="000000" w:themeColor="text1"/>
          <w:sz w:val="24"/>
          <w:szCs w:val="24"/>
        </w:rPr>
      </w:pPr>
      <w:r w:rsidRPr="001C5FAC">
        <w:rPr>
          <w:rFonts w:asciiTheme="minorHAnsi" w:hAnsiTheme="minorHAnsi" w:cstheme="minorHAnsi"/>
          <w:b/>
          <w:bCs/>
          <w:color w:val="000000" w:themeColor="text1"/>
          <w:sz w:val="24"/>
          <w:szCs w:val="24"/>
        </w:rPr>
        <w:t xml:space="preserve">Decreto-legge </w:t>
      </w:r>
      <w:r w:rsidRPr="001C5FAC">
        <w:rPr>
          <w:rFonts w:cstheme="minorHAnsi"/>
          <w:b/>
          <w:bCs/>
          <w:color w:val="000000" w:themeColor="text1"/>
          <w:sz w:val="24"/>
          <w:szCs w:val="24"/>
        </w:rPr>
        <w:t>1°</w:t>
      </w:r>
      <w:r w:rsidRPr="001C5FAC">
        <w:rPr>
          <w:rFonts w:asciiTheme="minorHAnsi" w:hAnsiTheme="minorHAnsi" w:cstheme="minorHAnsi"/>
          <w:b/>
          <w:bCs/>
          <w:color w:val="000000" w:themeColor="text1"/>
          <w:sz w:val="24"/>
          <w:szCs w:val="24"/>
        </w:rPr>
        <w:t xml:space="preserve"> marzo 2022, n. 17, pubblicato nella Gazzetta Ufficiale n. 50 del 1° marzo 2022.</w:t>
      </w:r>
    </w:p>
    <w:p w14:paraId="4CD6DFC2"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6A52F08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Misure urgenti per il contenimento dei costi dell'energia elettrica e del gas naturale, per lo sviluppo delle energie rinnovabili e per il rilancio delle politiche industriali.</w:t>
      </w:r>
    </w:p>
    <w:p w14:paraId="0AE1C608"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1276DEBA"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754B336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TITOLO I</w:t>
      </w:r>
    </w:p>
    <w:p w14:paraId="6100BCB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MISURE URGENTI IN MATERIA DI ENERGIA ELETTRICA, GAS NATURALE E FONTI RINNOVABILI</w:t>
      </w:r>
    </w:p>
    <w:p w14:paraId="74552D9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02C2198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Capo I</w:t>
      </w:r>
    </w:p>
    <w:p w14:paraId="6B5906D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MISURE URGENTI PER IL CONTENIMENTO DEGLI EFFETTI DEGLI AUMENTI DEI PREZZI NEL SETTORE ELETTRICO E DEL GAS NATURALE</w:t>
      </w:r>
    </w:p>
    <w:p w14:paraId="51690B14"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45DAD11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w:t>
      </w:r>
    </w:p>
    <w:p w14:paraId="769321A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(Azzeramento degli oneri di sistema per il secondo trimestre 2022)</w:t>
      </w:r>
    </w:p>
    <w:p w14:paraId="057E475B"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5884192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Per ridurre gli effetti degli aumenti dei prezzi nel settore elettrico, l'Autorità di regolazione per energia, reti e ambiente (ARERA) provvede ad annullare, per il secondo trimestre 2022, le aliquote relative agli oneri generali di sistema applicate alle utenze domestiche e alle utenze non domestiche in bassa tensione, per altri usi, con potenza disponibile fino a 16,5 kW.</w:t>
      </w:r>
    </w:p>
    <w:p w14:paraId="5EC564ED"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55BDB2A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Per ridurre gli effetti degli aumenti dei prezzi nel settore elettrico, l'ARERA provvede ad annullare, per il secondo trimestre 2022, le aliquote relative agli oneri generali di sistema applicate alle utenze con potenza disponibile pari o superiore a 16,5 kW, anche connesse in media e alta/altissima tensione o per usi di illuminazione pubblica o di ricarica di veicoli elettrici in luoghi accessibili al pubblico.</w:t>
      </w:r>
    </w:p>
    <w:p w14:paraId="697CD490"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74F3953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Agli oneri derivanti dalla presente disposizione, pari a complessivi 3.000 milioni di euro per l'anno 2022, da trasferire alla Cassa per i servizi energetici e ambientali (CSEA), entro il 31 maggio 2022, si provvede ai sensi dell'articolo 42.</w:t>
      </w:r>
    </w:p>
    <w:p w14:paraId="3FB05751"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6B128D7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w:t>
      </w:r>
    </w:p>
    <w:p w14:paraId="41CA4D0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(Riduzione dell'IVA e degli oneri generali nel settore del gas)</w:t>
      </w:r>
    </w:p>
    <w:p w14:paraId="08F8BE2A"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49A3F77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In deroga a quanto previsto dal decreto del Presidente della Repubblica 26 ottobre 1972, n. 633, le somministrazioni di gas metano usato per combustione per usi civili e industriali di cui all'articolo 26, comma 1, del testo unico delle disposizioni legislative concernenti le imposte sulla produzione e sui consumi e relative sanzioni penali e amministrative, di cui al decreto legislativo 26 ottobre 1995, n. 504, contabilizzate nelle fatture emesse per i consumi stimati o effettivi dei mesi di aprile, maggio e giugno 2022, sono assoggettate all'aliquota IVA del 5 per cento. Qualora le somministrazioni di cui al primo periodo siano contabilizzate sulla base di consumi stimati, l'aliquota IVA del 5 per cento si applica anche alla differenza derivante dagli importi ricalcolati sulla base dei consumi effettivi riferibili, anche percentualmente, ai mesi di aprile, maggio e giugno 2022.</w:t>
      </w:r>
    </w:p>
    <w:p w14:paraId="3259A8DC"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4AFD9D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derivanti dal comma 1, valutati in 591,83 milioni di euro per l'anno 2022, si provvede ai sensi dell'articolo 42.</w:t>
      </w:r>
    </w:p>
    <w:p w14:paraId="5944BF6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D6EE7D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3. Al fine di contenere per il secondo trimestre dell'anno 2022 gli effetti degli aumenti dei prezzi nel settore del gas naturale, l'ARERA provvede a ridurre, per il medesimo trimestre, le aliquote relative agli oneri generali di sistema per il settore del gas fino a concorrenza dell'importo di 250 milioni di euro. Tale importo è trasferito alla CSEA entro il 31 maggio 2022.</w:t>
      </w:r>
    </w:p>
    <w:p w14:paraId="62C2249C"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4D036344"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Agli oneri derivanti dal comma 3, pari a 250 milioni di euro per l'anno 2022, si provvede ai sensi dell'articolo 42.</w:t>
      </w:r>
    </w:p>
    <w:p w14:paraId="034B7169" w14:textId="77777777" w:rsidR="00871AD9" w:rsidRDefault="00871AD9" w:rsidP="001C5FAC">
      <w:pPr>
        <w:spacing w:after="0" w:line="240" w:lineRule="auto"/>
        <w:jc w:val="both"/>
        <w:rPr>
          <w:rFonts w:asciiTheme="minorHAnsi" w:hAnsiTheme="minorHAnsi" w:cstheme="minorHAnsi"/>
          <w:color w:val="000000" w:themeColor="text1"/>
          <w:sz w:val="24"/>
          <w:szCs w:val="24"/>
        </w:rPr>
      </w:pPr>
    </w:p>
    <w:p w14:paraId="490EB5C8" w14:textId="77777777" w:rsidR="00871AD9" w:rsidRPr="000C0983" w:rsidRDefault="00871AD9" w:rsidP="00871AD9">
      <w:pPr>
        <w:shd w:val="clear" w:color="auto" w:fill="FFFFFF"/>
        <w:spacing w:before="100" w:beforeAutospacing="1" w:after="100" w:afterAutospacing="1"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(Rendicontazione dell'utilizzo delle risorse destinate al</w:t>
      </w:r>
    </w:p>
    <w:p w14:paraId="546085A2" w14:textId="3243C2C5" w:rsidR="00871AD9" w:rsidRPr="000C0983" w:rsidRDefault="00871AD9" w:rsidP="00482F03">
      <w:pPr>
        <w:shd w:val="clear" w:color="auto" w:fill="FFFFFF"/>
        <w:spacing w:before="100" w:beforeAutospacing="1" w:after="100" w:afterAutospacing="1"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i/>
          <w:iCs/>
          <w:color w:val="000000" w:themeColor="text1"/>
          <w:sz w:val="24"/>
          <w:szCs w:val="24"/>
        </w:rPr>
        <w:t>contenimento degli effetti degli aumenti dei prezzi dell'energia)</w:t>
      </w:r>
    </w:p>
    <w:p w14:paraId="15F378BD" w14:textId="6C93C326"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L'ARERA effettua la rendicontazione dell'utilizzo delle risorse destinate al contenimento degli effetti degli aumenti dei prezzi nei settori elettrico e del gas naturale, con particolare riferimento alle disponibilità in conto residui trasferite alla Cassa per i servizi energetici e ambientali, distinguendo nel dettaglio tra:</w:t>
      </w:r>
    </w:p>
    <w:p w14:paraId="386B98D1"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il comparto elettrico, ai sensi delle seguenti disposizioni:</w:t>
      </w:r>
    </w:p>
    <w:p w14:paraId="12D25F92"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articolo 30, comma 3, del decreto-legge 19 maggio 2020, n. 34, convertito, con modificazioni, dalla legge 17 luglio 2020, n. 77;</w:t>
      </w:r>
    </w:p>
    <w:p w14:paraId="2BA92F1E"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articolo 6, comma 1, del decreto-legge 22 marzo 2021, n. 41, convertito, con modificazioni, dalla legge 21 maggio 2021, n. 69;</w:t>
      </w:r>
    </w:p>
    <w:p w14:paraId="14816BE4"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3) articoli 5 e 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 decreto-legge 25 maggio 2021, n. 73, convertito, con modificazioni, dalla legge 23 luglio 2021, n. 106;</w:t>
      </w:r>
    </w:p>
    <w:p w14:paraId="4414C313"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4) articolo 1, commi 1 e 2, del decreto-legge 27 settembre 2021, n. 130, convertito, con modificazioni, dalla legge 25 novembre 2021, n. 171;</w:t>
      </w:r>
    </w:p>
    <w:p w14:paraId="6B8C810C"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5) articolo 1, commi da 503 a 505, della legge 30 dicembre 2021, n. 234;</w:t>
      </w:r>
    </w:p>
    <w:p w14:paraId="083F9EB3"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6) articolo 14 del decreto-legge 27 gennaio 2022, n. 4, convertito, con modificazioni, dalla legge 28 marzo 2022, n. 25;</w:t>
      </w:r>
    </w:p>
    <w:p w14:paraId="0BB7FDE4"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7) articolo 1 del presente decreto;</w:t>
      </w:r>
    </w:p>
    <w:p w14:paraId="2C93C488"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il comparto del gas, ai sensi delle seguenti disposizioni:</w:t>
      </w:r>
    </w:p>
    <w:p w14:paraId="3BE771CB"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1) articolo 2, commi 1 e 2, del decreto-legge 27 settembre 2021, n. 130, convertito, con modificazioni, dalla legge 25 novembre 2021, n. 171;</w:t>
      </w:r>
    </w:p>
    <w:p w14:paraId="3905512A"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articolo 1, commi da 506 a 508, della legge 30 dicembre 2021, n. 234;</w:t>
      </w:r>
    </w:p>
    <w:p w14:paraId="1C0778A0" w14:textId="77777777" w:rsidR="00871AD9" w:rsidRPr="000C0983" w:rsidRDefault="00871AD9" w:rsidP="00482F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3) articolo 2 del presente decreto.</w:t>
      </w:r>
    </w:p>
    <w:p w14:paraId="4556E077" w14:textId="77777777" w:rsidR="00482F03" w:rsidRDefault="00871AD9" w:rsidP="00482F03">
      <w:pPr>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p>
    <w:p w14:paraId="45700558" w14:textId="7589DFAD" w:rsidR="00482F03" w:rsidRDefault="00871AD9" w:rsidP="00482F03">
      <w:pPr>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Entro il 16 maggio 2022, l'ARERA trasmette la rendicontazione di cui al comma 1 al Ministero dell'economia e delle finanze, al Ministero della transizione ecologica e alle competenti Commissioni parlamentari.</w:t>
      </w:r>
    </w:p>
    <w:p w14:paraId="1EC2698B" w14:textId="2359C1E4" w:rsidR="00482F03" w:rsidRDefault="00871AD9" w:rsidP="00482F03">
      <w:pPr>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p>
    <w:p w14:paraId="2B0D3F65" w14:textId="77777777" w:rsidR="00482F03" w:rsidRDefault="00871AD9" w:rsidP="00482F03">
      <w:pPr>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 A decorrere dal 1° giugno 2022, entro trenta giorni dalla data di entrata in vigore di ulteriori misure di contenimento degli effetti degli aumenti dei prezzi nei settori elettrico e del gas naturale, l'ARERA effettua la rendicontazione dell'utilizzo delle risorse destinate a tali misure, con particolare riferimento alle disponibilità in conto residui trasferite alla Cassa per i servizi energetici e ambientali, distinguendo nel dettaglio tra il comparto elettrico e il comparto del gas, e la trasmette al Ministero dell'economia e delle finanze, al Ministero della transizione ecologica e alle competenti Commissioni parlamentari.</w:t>
      </w:r>
      <w:r w:rsidR="00482F03">
        <w:rPr>
          <w:rFonts w:asciiTheme="minorHAnsi" w:eastAsia="Times New Roman" w:hAnsiTheme="minorHAnsi" w:cstheme="minorHAnsi"/>
          <w:b/>
          <w:bCs/>
          <w:color w:val="000000" w:themeColor="text1"/>
          <w:sz w:val="24"/>
          <w:szCs w:val="24"/>
        </w:rPr>
        <w:t xml:space="preserve"> </w:t>
      </w:r>
    </w:p>
    <w:p w14:paraId="33808015" w14:textId="68A55DD2" w:rsidR="00482F03" w:rsidRDefault="00871AD9" w:rsidP="00482F03">
      <w:pPr>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46731C3A" w14:textId="30EE0F5F" w:rsidR="00871AD9" w:rsidRPr="001C5FAC" w:rsidRDefault="00871AD9" w:rsidP="00482F03">
      <w:pPr>
        <w:spacing w:after="0" w:line="240" w:lineRule="auto"/>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4. Entro il 31 dicembre di ogni anno, l'ARERA trasmette al Ministero dell'economia e delle finanze, al Ministero della transizione ecologica e alle competenti Commissioni parlamentari una relazione sull'effettivo utilizzo delle risorse destinate al contenimento degli effetti degli aumenti dei prezzi nei settori elettrico e del gas naturale per l'anno in corso, con particolare riferimento alle disponibilità in conto residui trasferite alla Cassa per i servizi energetici e ambientali, distinguendo nel dettaglio tra il comparto elettrico e il comparto del gas.</w:t>
      </w:r>
      <w:r w:rsidR="00482F03">
        <w:rPr>
          <w:rStyle w:val="Rimandonotaapidipagina"/>
          <w:rFonts w:asciiTheme="minorHAnsi" w:eastAsia="Times New Roman" w:hAnsiTheme="minorHAnsi" w:cstheme="minorHAnsi"/>
          <w:b/>
          <w:bCs/>
          <w:color w:val="000000" w:themeColor="text1"/>
          <w:sz w:val="24"/>
          <w:szCs w:val="24"/>
        </w:rPr>
        <w:footnoteReference w:id="1"/>
      </w:r>
      <w:r w:rsidRPr="000C0983">
        <w:rPr>
          <w:rFonts w:asciiTheme="minorHAnsi" w:eastAsia="Times New Roman" w:hAnsiTheme="minorHAnsi" w:cstheme="minorHAnsi"/>
          <w:b/>
          <w:bCs/>
          <w:color w:val="000000" w:themeColor="text1"/>
          <w:sz w:val="24"/>
          <w:szCs w:val="24"/>
        </w:rPr>
        <w:br/>
      </w:r>
    </w:p>
    <w:p w14:paraId="16040571"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33517C7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w:t>
      </w:r>
    </w:p>
    <w:p w14:paraId="581FE45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(Rafforzamento del bonus sociale elettrico e gas)</w:t>
      </w:r>
    </w:p>
    <w:p w14:paraId="5A8725DC"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0DC43D5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Per il secondo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n. 41 del 18 febbraio 2008, e la compensazione per la fornitura di gas naturale di cui all'articolo 3, comma 9, del decreto-legge 29 novembre 2008, n. 185, convertito, con modificazioni, dalla legge 28 gennaio 2009, n. 2, sono rideterminate dall'ARERA, al fine di minimizzare gli incrementi della spesa per la fornitura, previsti per il secondo trimestre 2022, fino a concorrenza dell'importo di 400 milioni di euro. Tale importo è trasferito alla CSEA entro il 31 maggio 2022.</w:t>
      </w:r>
    </w:p>
    <w:p w14:paraId="3C730DD3"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4E626DB"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derivanti dal comma 1, pari a 400 milioni di euro per l'anno 2022, si provvede ai sensi dell'articolo 42.</w:t>
      </w:r>
    </w:p>
    <w:p w14:paraId="4928C46D" w14:textId="77777777" w:rsidR="00CA00A8" w:rsidRDefault="00CA00A8" w:rsidP="001C5FAC">
      <w:pPr>
        <w:spacing w:after="0" w:line="240" w:lineRule="auto"/>
        <w:jc w:val="both"/>
        <w:rPr>
          <w:rFonts w:asciiTheme="minorHAnsi" w:hAnsiTheme="minorHAnsi" w:cstheme="minorHAnsi"/>
          <w:color w:val="000000" w:themeColor="text1"/>
          <w:sz w:val="24"/>
          <w:szCs w:val="24"/>
        </w:rPr>
      </w:pPr>
    </w:p>
    <w:p w14:paraId="1BD6A7F5" w14:textId="77777777" w:rsidR="00CA00A8" w:rsidRDefault="00CA00A8" w:rsidP="00CA00A8">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(Strategia nazionale contro la povertà energetica)</w:t>
      </w:r>
    </w:p>
    <w:p w14:paraId="3FC83FAD" w14:textId="77777777" w:rsidR="00CA00A8" w:rsidRDefault="00CA00A8" w:rsidP="00CA00A8">
      <w:pPr>
        <w:shd w:val="clear" w:color="auto" w:fill="FFFFFF"/>
        <w:spacing w:after="0" w:line="240" w:lineRule="auto"/>
        <w:jc w:val="both"/>
        <w:rPr>
          <w:rFonts w:asciiTheme="minorHAnsi" w:eastAsia="Times New Roman" w:hAnsiTheme="minorHAnsi" w:cstheme="minorHAnsi"/>
          <w:b/>
          <w:bCs/>
          <w:color w:val="000000" w:themeColor="text1"/>
          <w:sz w:val="24"/>
          <w:szCs w:val="24"/>
        </w:rPr>
      </w:pPr>
    </w:p>
    <w:p w14:paraId="0587FA94" w14:textId="14F61675" w:rsidR="00CA00A8" w:rsidRPr="000C0983" w:rsidRDefault="00CA00A8" w:rsidP="00CA00A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11, del decreto legislativo 8 novembre 2021, n. 210, dopo il comma 6, sono aggiunti i seguenti:</w:t>
      </w:r>
    </w:p>
    <w:p w14:paraId="03BB63E7" w14:textId="77777777" w:rsidR="00CA00A8" w:rsidRDefault="00CA00A8" w:rsidP="00CA00A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Con decreto del Ministro della transizione ecologica, da adottare entro novanta giorni dalla data di entrata in vigore del presente decreto, sulla base dei dati forniti dall'Osservatorio di cui al comma 6, è adottata la Strategia Nazionale contro la Povertà Energetica.</w:t>
      </w:r>
    </w:p>
    <w:p w14:paraId="77157084" w14:textId="77777777" w:rsidR="00CA00A8" w:rsidRDefault="00CA00A8" w:rsidP="00CA00A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6-</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La Strategia di cui al comma 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prevede la fissazione di obiettivi indicativi periodici, al fine di elaborare, a livello nazionale, misure strutturali e di lungo periodo e integrare tutte le azioni in corso e quelle programmate nelle diverse politiche pubbliche per contrastare in modo omogeneo ed efficace il fenomeno.</w:t>
      </w:r>
    </w:p>
    <w:p w14:paraId="36C7F6B6" w14:textId="77777777" w:rsidR="00CA00A8" w:rsidRDefault="00CA00A8" w:rsidP="00CA00A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6-</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Lo schema di strategia di cui al comma 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è sottoposto, dopo la sua elaborazione, a consultazione pubblica e i risultati di tale consultazione sono inclusi, in forma sintetica, nella versione definitiva della strategia stessa. Durante l'attuazione della strategia sono svolte periodicamente, e in modo inclusivo, delle consultazioni pubbliche per valutare l'aggiornamento del documento.».</w:t>
      </w:r>
    </w:p>
    <w:p w14:paraId="67BC0954" w14:textId="7F1A6244" w:rsidR="00CA00A8" w:rsidRPr="000C0983" w:rsidRDefault="00CA00A8" w:rsidP="00CA00A8">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6-</w:t>
      </w:r>
      <w:proofErr w:type="gramStart"/>
      <w:r w:rsidRPr="000C0983">
        <w:rPr>
          <w:rFonts w:asciiTheme="minorHAnsi" w:eastAsia="Times New Roman" w:hAnsiTheme="minorHAnsi" w:cstheme="minorHAnsi"/>
          <w:b/>
          <w:bCs/>
          <w:color w:val="000000" w:themeColor="text1"/>
          <w:sz w:val="24"/>
          <w:szCs w:val="24"/>
        </w:rPr>
        <w:t>quinquies</w:t>
      </w:r>
      <w:proofErr w:type="gramEnd"/>
      <w:r w:rsidRPr="000C0983">
        <w:rPr>
          <w:rFonts w:asciiTheme="minorHAnsi" w:eastAsia="Times New Roman" w:hAnsiTheme="minorHAnsi" w:cstheme="minorHAnsi"/>
          <w:b/>
          <w:bCs/>
          <w:color w:val="000000" w:themeColor="text1"/>
          <w:sz w:val="24"/>
          <w:szCs w:val="24"/>
        </w:rPr>
        <w:t xml:space="preserve"> Dalle disposizioni di cui al presente articolo non devono derivare nuovi o maggiori oneri a carico della finanza pubblica e la Strategia Nazionale di cui al comma 1 è attuata con risorse umane, strumentali e finanziarie disponibili a legislazione vigente, senza nuovi o maggiori oneri a carico della finanza pubblica.</w:t>
      </w:r>
      <w:r>
        <w:rPr>
          <w:rStyle w:val="Rimandonotaapidipagina"/>
          <w:rFonts w:asciiTheme="minorHAnsi" w:eastAsia="Times New Roman" w:hAnsiTheme="minorHAnsi" w:cstheme="minorHAnsi"/>
          <w:b/>
          <w:bCs/>
          <w:color w:val="000000" w:themeColor="text1"/>
          <w:sz w:val="24"/>
          <w:szCs w:val="24"/>
        </w:rPr>
        <w:footnoteReference w:id="2"/>
      </w:r>
    </w:p>
    <w:p w14:paraId="102B0892" w14:textId="77777777" w:rsidR="00CA00A8" w:rsidRPr="001C5FAC" w:rsidRDefault="00CA00A8" w:rsidP="001C5FAC">
      <w:pPr>
        <w:spacing w:after="0" w:line="240" w:lineRule="auto"/>
        <w:jc w:val="both"/>
        <w:rPr>
          <w:rFonts w:asciiTheme="minorHAnsi" w:hAnsiTheme="minorHAnsi" w:cstheme="minorHAnsi"/>
          <w:color w:val="000000" w:themeColor="text1"/>
          <w:sz w:val="24"/>
          <w:szCs w:val="24"/>
        </w:rPr>
      </w:pPr>
    </w:p>
    <w:p w14:paraId="2C6D52D0"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790EB254"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4.</w:t>
      </w:r>
    </w:p>
    <w:p w14:paraId="43DC2645"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(Contributo straordinario, sotto forma di credito d'imposta, a favore delle imprese energivore)</w:t>
      </w:r>
    </w:p>
    <w:p w14:paraId="6FB4F251"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0BC0F1A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Alle imprese a forte consumo di energia elettrica di cui al decreto del Ministro dello sviluppo economico 21 dicembre 2017, della cui adozione è stata data comunicazione nella Gazzetta Ufficiale della Repubblica italiana n. 300 del 27 dicembre 2017, i cui costi per kWh della componente energia elettrica, calcolati sulla base della media del primo trimestre 2022 ed al netto delle imposte e degli eventuali sussidi, hanno subìto un incremento del costo per KWh superiore al 30 per cento relativo al medesimo periodo dell'anno 2019, anche tenuto conto di eventuali contratti di fornitura di durata stipulati dall'impresa, è riconosciuto un contributo straordinario a parziale compensazione dei maggiori oneri sostenuti, sotto forma di credito di imposta, pari al 20 per cento delle spese sostenute per la componente energetica acquistata ed effettivamente utilizzata nel secondo trimestre 2022.</w:t>
      </w:r>
    </w:p>
    <w:p w14:paraId="04047B8D"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B0493C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2. Il credito di imposta di cui al comma 1 è riconosciuto anche in relazione alla spesa per l'energia elettrica prodotta dalle imprese di cui al medesimo comma 1 e dalle stesse </w:t>
      </w:r>
      <w:proofErr w:type="spellStart"/>
      <w:r w:rsidRPr="001C5FAC">
        <w:rPr>
          <w:rFonts w:asciiTheme="minorHAnsi" w:hAnsiTheme="minorHAnsi" w:cstheme="minorHAnsi"/>
          <w:color w:val="000000" w:themeColor="text1"/>
          <w:sz w:val="24"/>
          <w:szCs w:val="24"/>
        </w:rPr>
        <w:t>autoconsumata</w:t>
      </w:r>
      <w:proofErr w:type="spellEnd"/>
      <w:r w:rsidRPr="001C5FAC">
        <w:rPr>
          <w:rFonts w:asciiTheme="minorHAnsi" w:hAnsiTheme="minorHAnsi" w:cstheme="minorHAnsi"/>
          <w:color w:val="000000" w:themeColor="text1"/>
          <w:sz w:val="24"/>
          <w:szCs w:val="24"/>
        </w:rPr>
        <w:t xml:space="preserve"> nel secondo trimestre 2022. In tal caso l'incremento del costo per kWh di energia elettrica prodotta e </w:t>
      </w:r>
      <w:proofErr w:type="spellStart"/>
      <w:r w:rsidRPr="001C5FAC">
        <w:rPr>
          <w:rFonts w:asciiTheme="minorHAnsi" w:hAnsiTheme="minorHAnsi" w:cstheme="minorHAnsi"/>
          <w:color w:val="000000" w:themeColor="text1"/>
          <w:sz w:val="24"/>
          <w:szCs w:val="24"/>
        </w:rPr>
        <w:t>autoconsumata</w:t>
      </w:r>
      <w:proofErr w:type="spellEnd"/>
      <w:r w:rsidRPr="001C5FAC">
        <w:rPr>
          <w:rFonts w:asciiTheme="minorHAnsi" w:hAnsiTheme="minorHAnsi" w:cstheme="minorHAnsi"/>
          <w:color w:val="000000" w:themeColor="text1"/>
          <w:sz w:val="24"/>
          <w:szCs w:val="24"/>
        </w:rPr>
        <w:t xml:space="preserve"> è calcolato con riferimento alla variazione del prezzo unitario dei combustibili acquistati ed utilizzati dall'impresa per la produzione della medesima energia elettrica e il credito di imposta è determinato con riguardo al prezzo convenzionale dell'energia elettrica pari alla media, relativa al secondo trimestre 2022, del prezzo unico nazionale dell'energia elettrica.</w:t>
      </w:r>
    </w:p>
    <w:p w14:paraId="39A73FE5"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04B09E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3. Il credito d'imposta di cui al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39C801B1"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48F5B92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Agli oneri derivanti dall'utilizzo della misura agevolativa di cui al presente articolo, valutati in 700 milioni di euro per l'anno 2022, si provvede ai sensi dell'articolo 42.</w:t>
      </w:r>
    </w:p>
    <w:p w14:paraId="15CD869B"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8B1B5F0" w14:textId="3CF24AA0"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5. Il Ministero dell'economia e delle finanze effettua il monitoraggio delle fruizioni del credito d'imposta di cui al presente articolo, ai fini di quanto previsto dall'articolo 17, comma 13, della legge 31 dicembre 2009, n. 196</w:t>
      </w:r>
      <w:r w:rsidR="00EA6860">
        <w:rPr>
          <w:rFonts w:asciiTheme="minorHAnsi" w:hAnsiTheme="minorHAnsi" w:cstheme="minorHAnsi"/>
          <w:color w:val="000000" w:themeColor="text1"/>
          <w:sz w:val="24"/>
          <w:szCs w:val="24"/>
        </w:rPr>
        <w:t>.</w:t>
      </w:r>
    </w:p>
    <w:p w14:paraId="5E21C927" w14:textId="77777777" w:rsidR="00EA6860" w:rsidRDefault="00EA6860" w:rsidP="001C5FAC">
      <w:pPr>
        <w:spacing w:after="0" w:line="240" w:lineRule="auto"/>
        <w:jc w:val="both"/>
        <w:rPr>
          <w:rFonts w:asciiTheme="minorHAnsi" w:hAnsiTheme="minorHAnsi" w:cstheme="minorHAnsi"/>
          <w:color w:val="000000" w:themeColor="text1"/>
          <w:sz w:val="24"/>
          <w:szCs w:val="24"/>
        </w:rPr>
      </w:pPr>
    </w:p>
    <w:p w14:paraId="229A41D9" w14:textId="6F74E00F" w:rsidR="00EA6860" w:rsidRDefault="00EA6860" w:rsidP="00EA686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fine di mitigare gli aumenti dei costi delle fonti energetiche per le imprese di cui al comma 1 e, in particolare, per le imprese del settore del cemento, nel rispetto dei limiti tecnici impiantistici previsti dalle disposizioni in materia di prevenzione degli incendi e dalle disposizioni in materia di elaborazione dei piani di emergenza di cui all'articolo 26-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 decreto-legge 4 ottobre 2018, n. 113, convertito, con modificazioni, dalla legge 1° dicembre 2018, n. 132, in deroga ai vigenti atti autorizzativi, in caso di impianti di produzione di cemento autorizzati allo svolgimento delle operazioni R1 con limiti quantitativi orari, giornalieri o riferiti ad altro periodo inferiore all'anno, si considera vincolante soltanto il quantitativo massimo annuo di utilizzo. Tale deroga si applica automaticamente agli impianti di cui al periodo precedente senza necessità di comunicazioni aggiuntive.</w:t>
      </w:r>
      <w:r>
        <w:rPr>
          <w:rStyle w:val="Rimandonotaapidipagina"/>
          <w:rFonts w:asciiTheme="minorHAnsi" w:eastAsia="Times New Roman" w:hAnsiTheme="minorHAnsi" w:cstheme="minorHAnsi"/>
          <w:b/>
          <w:bCs/>
          <w:color w:val="000000" w:themeColor="text1"/>
          <w:sz w:val="24"/>
          <w:szCs w:val="24"/>
        </w:rPr>
        <w:footnoteReference w:id="3"/>
      </w:r>
    </w:p>
    <w:p w14:paraId="12DCE93E" w14:textId="403FED06" w:rsidR="00EA6860" w:rsidRPr="000C0983" w:rsidRDefault="00EA6860" w:rsidP="00EA6860">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br/>
      </w:r>
    </w:p>
    <w:p w14:paraId="0B6E5407" w14:textId="77777777" w:rsidR="00EA6860" w:rsidRPr="001C5FAC" w:rsidRDefault="00EA6860" w:rsidP="001C5FAC">
      <w:pPr>
        <w:spacing w:after="0" w:line="240" w:lineRule="auto"/>
        <w:jc w:val="both"/>
        <w:rPr>
          <w:rFonts w:asciiTheme="minorHAnsi" w:hAnsiTheme="minorHAnsi" w:cstheme="minorHAnsi"/>
          <w:color w:val="000000" w:themeColor="text1"/>
          <w:sz w:val="24"/>
          <w:szCs w:val="24"/>
        </w:rPr>
      </w:pPr>
    </w:p>
    <w:p w14:paraId="249D728F"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47409E88"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5.</w:t>
      </w:r>
    </w:p>
    <w:p w14:paraId="150EA54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(Contributo straordinario, sotto forma di credito d'imposta, a favore delle imprese a forte consumo di gas naturale)</w:t>
      </w:r>
    </w:p>
    <w:p w14:paraId="6DE7F89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7738006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Alle imprese a forte consumo di gas naturale di cui al comma 2 è riconosciuto, a parziale compensazione dei maggiori oneri sostenuti per l'acquisto del gas naturale, un contributo straordinario, sotto forma di credito di imposta, pari al 15 per cento della spesa sostenuta per l'acquisto del medesimo </w:t>
      </w:r>
      <w:r w:rsidRPr="001C5FAC">
        <w:rPr>
          <w:rFonts w:asciiTheme="minorHAnsi" w:hAnsiTheme="minorHAnsi" w:cstheme="minorHAnsi"/>
          <w:color w:val="000000" w:themeColor="text1"/>
          <w:sz w:val="24"/>
          <w:szCs w:val="24"/>
        </w:rPr>
        <w:lastRenderedPageBreak/>
        <w:t xml:space="preserve">gas, consumato nel secondo trimestre solare dell'anno 2022, per usi energetici diversi dagli usi termoelettrici, qualora il prezzo di riferimento del gas naturale, calcolato come media, riferita al primo trimestre 2022, dei prezzi di riferimento del Mercato </w:t>
      </w:r>
      <w:proofErr w:type="spellStart"/>
      <w:r w:rsidRPr="001C5FAC">
        <w:rPr>
          <w:rFonts w:asciiTheme="minorHAnsi" w:hAnsiTheme="minorHAnsi" w:cstheme="minorHAnsi"/>
          <w:color w:val="000000" w:themeColor="text1"/>
          <w:sz w:val="24"/>
          <w:szCs w:val="24"/>
        </w:rPr>
        <w:t>Infragiornaliero</w:t>
      </w:r>
      <w:proofErr w:type="spellEnd"/>
      <w:r w:rsidRPr="001C5FAC">
        <w:rPr>
          <w:rFonts w:asciiTheme="minorHAnsi" w:hAnsiTheme="minorHAnsi" w:cstheme="minorHAnsi"/>
          <w:color w:val="000000" w:themeColor="text1"/>
          <w:sz w:val="24"/>
          <w:szCs w:val="24"/>
        </w:rPr>
        <w:t xml:space="preserve"> (MI-GAS) pubblicati dal Gestore del mercati energetici (GME), abbia subìto un incremento superiore al 30 per cento del corrispondente prezzo medio riferito al medesimo trimestre dell'anno 2019.</w:t>
      </w:r>
    </w:p>
    <w:p w14:paraId="3A7584DB"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49769A0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Ai fini del presente articolo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 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65FEE709"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7EF239D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Il credito d'imposta di cui al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DA179FF"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6D1E86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Agli oneri derivanti dall'utilizzo della misura agevolativa di cui al presente articolo, valutati in 522,2 milioni di euro per l'anno 2022, si provvede ai sensi dell'articolo 42.</w:t>
      </w:r>
    </w:p>
    <w:p w14:paraId="5DCD9D2B"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4136E1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5. Il Ministero dell'economia e delle finanze effettua il monitoraggio delle fruizioni del credito d'imposta di cui al presente articolo, ai fini di quanto previsto dall'articolo 17, comma 13, della legge 31 dicembre 2009, n. 196.</w:t>
      </w:r>
    </w:p>
    <w:p w14:paraId="6873184F"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2278722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6.</w:t>
      </w:r>
    </w:p>
    <w:p w14:paraId="01BF374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(Interventi in favore del settore dell'autotrasporto)</w:t>
      </w:r>
    </w:p>
    <w:p w14:paraId="1FB7753C"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5C19304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In considerazione degli effetti economici derivanti dall'eccezionale incremento dei prezzi dei prodotti energetici e al fine di sostenere il settore dell'autotrasporto, l'autorizzazione di spesa di cui all'articolo 2, comma 3, del decreto-legge 28 dicembre 1998, n. 451, convertito, con modificazioni, dalla legge 26 febbraio 1999, n. 40, è incrementata di 20 milioni di euro per l'anno 2022.</w:t>
      </w:r>
    </w:p>
    <w:p w14:paraId="4D5CF399"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1FA011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2. Per le medesime finalità di cui al comma 1, l'autorizzazione di spesa di cui all'articolo 1, comma 150, della legge 23 dicembre 2014, n. 190, è incrementata di 5 milioni di euro per l'anno 2022. Tali risorse sono destinate ad aumentare la deduzione forfettaria, per il medesimo anno, di spese non documentate di cui all'articolo 1, comma 106, della legge 23 dicembre 2005, n. 266.</w:t>
      </w:r>
    </w:p>
    <w:p w14:paraId="6F086DEC"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16DFB23" w14:textId="3E54C9F3"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3. Al fine di promuovere la sostenibilità d'esercizio nel settore del trasporto di merci su strada, alle imprese aventi sede legale o stabile organizzazione in Italia, ed esercenti attività logistica e di trasporto delle merci in conto terzi con mezzi di trasporto di ultima generazione Euro VI/D a bassissime emissioni inquinanti, </w:t>
      </w:r>
      <w:r w:rsidR="006C30CC" w:rsidRPr="000C0983">
        <w:rPr>
          <w:rFonts w:asciiTheme="minorHAnsi" w:eastAsia="Times New Roman" w:hAnsiTheme="minorHAnsi" w:cstheme="minorHAnsi"/>
          <w:b/>
          <w:bCs/>
          <w:color w:val="000000" w:themeColor="text1"/>
          <w:sz w:val="24"/>
          <w:szCs w:val="24"/>
        </w:rPr>
        <w:t>nonché Euro VI/C, Euro VI/B, Euro VI/A ed Euro V</w:t>
      </w:r>
      <w:r w:rsidR="006C30CC">
        <w:rPr>
          <w:rFonts w:asciiTheme="minorHAnsi" w:eastAsia="Times New Roman" w:hAnsiTheme="minorHAnsi" w:cstheme="minorHAnsi"/>
          <w:b/>
          <w:bCs/>
          <w:color w:val="000000" w:themeColor="text1"/>
          <w:sz w:val="24"/>
          <w:szCs w:val="24"/>
        </w:rPr>
        <w:t>,</w:t>
      </w:r>
      <w:r w:rsidR="00153EBA">
        <w:rPr>
          <w:rStyle w:val="Rimandonotaapidipagina"/>
          <w:rFonts w:asciiTheme="minorHAnsi" w:eastAsia="Times New Roman" w:hAnsiTheme="minorHAnsi" w:cstheme="minorHAnsi"/>
          <w:b/>
          <w:bCs/>
          <w:color w:val="000000" w:themeColor="text1"/>
          <w:sz w:val="24"/>
          <w:szCs w:val="24"/>
        </w:rPr>
        <w:footnoteReference w:id="4"/>
      </w:r>
      <w:r w:rsidR="006C30CC" w:rsidRPr="000C0983">
        <w:rPr>
          <w:rFonts w:asciiTheme="minorHAnsi" w:eastAsia="Times New Roman" w:hAnsiTheme="minorHAnsi" w:cstheme="minorHAnsi"/>
          <w:b/>
          <w:bCs/>
          <w:color w:val="000000" w:themeColor="text1"/>
          <w:sz w:val="24"/>
          <w:szCs w:val="24"/>
        </w:rPr>
        <w:br/>
      </w:r>
      <w:r w:rsidRPr="001C5FAC">
        <w:rPr>
          <w:rFonts w:asciiTheme="minorHAnsi" w:hAnsiTheme="minorHAnsi" w:cstheme="minorHAnsi"/>
          <w:color w:val="000000" w:themeColor="text1"/>
          <w:sz w:val="24"/>
          <w:szCs w:val="24"/>
        </w:rPr>
        <w:t>è riconosciuto, per l'anno 2022, nel limite massimo di spesa di 29,6 milioni di euro, un contributo, sotto forma di credito d'imposta nella misura del 15 per cento del costo di acquisto al netto dell'imposta sul valore aggiunto del componente AdBlue necessario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348369E"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464417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Le disposizioni di cui al comma 3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3, con particolare riguardo alle procedure di concessione, anche ai fini del rispetto del limite di spesa previsto, nonché alla documentazione richiesta, alle condizioni di revoca e all'effettuazione dei controlli.</w:t>
      </w:r>
    </w:p>
    <w:p w14:paraId="75311613"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7728C38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5. Al fine di promuovere la sostenibilità d'esercizio e di compensare parzialmente i maggiori oneri sostenuti, promuovendo altresì il processo di efficientamento energetico nel settore del trasporto di merci su strada, alle imprese aventi sede legale o stabile organizzazione in Italia, ed esercenti attività logistica e di trasporto delle merci in conto terzi con mezzi di trasporto ad elevata sostenibilità ad alimentazione alternativa a metano liquefatto, è riconosciuto, per l'anno 2022, nel limite massimo di spesa di 25 milioni di euro, un contributo, sotto forma di credito d'imposta nella misura pari al 20 per cento delle spese sostenute, al netto dell'imposta sul valore aggiunto, per l'acquisto di gas naturale liquefatto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71E2BA6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2152A6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6. Le disposizioni di cui al comma 5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5, con particolare riguardo alle procedure di concessione, anche ai fini del rispetto del limite di spesa previsto, nonché alla documentazione richiesta, alle condizioni di revoca e all'effettuazione dei controlli.</w:t>
      </w:r>
    </w:p>
    <w:p w14:paraId="210975EF"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2FE1F9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7. Agli oneri derivanti dalla presente disposizione, pari a complessivi 79,6 milioni di euro per l'anno 2022, si provvede ai sensi dell'articolo 42.</w:t>
      </w:r>
    </w:p>
    <w:p w14:paraId="6A0F1F4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12EBEF4"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7.</w:t>
      </w:r>
    </w:p>
    <w:p w14:paraId="59608C47"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(Incremento del Fondo unico a sostegno del potenziamento</w:t>
      </w:r>
    </w:p>
    <w:p w14:paraId="67F2606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del movimento sportivo italiano)</w:t>
      </w:r>
    </w:p>
    <w:p w14:paraId="586821E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DE8C13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Per far fronte alla crisi economica determinatasi dagli aumenti dei prezzi nel settore elettrico e ridurne gli effetti distorsivi, le risorse del Fondo unico a sostegno del potenziamento del movimento sportivo italiano di cui all'articolo 1, comma 369, della legge 27 dicembre 2017, n. 205, possono essere parzialmente destinate all'erogazione di contributi a fondo perduto per le associazioni e società sportive </w:t>
      </w:r>
      <w:r w:rsidRPr="001C5FAC">
        <w:rPr>
          <w:rFonts w:asciiTheme="minorHAnsi" w:hAnsiTheme="minorHAnsi" w:cstheme="minorHAnsi"/>
          <w:color w:val="000000" w:themeColor="text1"/>
          <w:sz w:val="24"/>
          <w:szCs w:val="24"/>
        </w:rPr>
        <w:lastRenderedPageBreak/>
        <w:t>dilettantistiche maggiormente colpite dagli aumenti, con specifico riferimento alle associazioni e società sportive dilettantistiche che gestiscono impianti sportivi e piscine.</w:t>
      </w:r>
    </w:p>
    <w:p w14:paraId="5549BE03"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90B612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Con decreto dell'Autorità politica delegata in materia di sport, da adottare entro trenta giorni dalla data di entrata in vigore del presente decreto, sono individuate le modalità e i termini di presentazione delle richieste di erogazione dei contributi, i criteri di ammissione, le modalità di erogazione, nonché le procedure di controllo, da effettuarsi anche a campione.</w:t>
      </w:r>
    </w:p>
    <w:p w14:paraId="149B6D90"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9C6F6F8"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Il Fondo unico a sostegno del potenziamento del movimento sportivo italiano di cui all'articolo 1, comma 369, della legge n. 205 del 2017, è incrementato di 40 milioni di euro per l'anno 2022 per le finalità di cui al comma 1.</w:t>
      </w:r>
    </w:p>
    <w:p w14:paraId="07CFC8B1" w14:textId="77777777" w:rsidR="00226389" w:rsidRDefault="00226389" w:rsidP="001C5FAC">
      <w:pPr>
        <w:spacing w:after="0" w:line="240" w:lineRule="auto"/>
        <w:jc w:val="both"/>
        <w:rPr>
          <w:rFonts w:asciiTheme="minorHAnsi" w:hAnsiTheme="minorHAnsi" w:cstheme="minorHAnsi"/>
          <w:color w:val="000000" w:themeColor="text1"/>
          <w:sz w:val="24"/>
          <w:szCs w:val="24"/>
        </w:rPr>
      </w:pPr>
    </w:p>
    <w:p w14:paraId="7DE579DA" w14:textId="77777777" w:rsidR="00675715" w:rsidRDefault="00675715" w:rsidP="00675715">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fine di sostenere le federazioni sportive nazionali, gli enti di promozione sportiva 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24 ottobre 2020, i termini di sospensione di cui all'articolo 1, comma 923, lettere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e </w:t>
      </w:r>
      <w:r w:rsidRPr="000C0983">
        <w:rPr>
          <w:rFonts w:asciiTheme="minorHAnsi" w:eastAsia="Times New Roman" w:hAnsiTheme="minorHAnsi" w:cstheme="minorHAnsi"/>
          <w:b/>
          <w:bCs/>
          <w:i/>
          <w:iCs/>
          <w:color w:val="000000" w:themeColor="text1"/>
          <w:sz w:val="24"/>
          <w:szCs w:val="24"/>
        </w:rPr>
        <w:t>d)</w:t>
      </w:r>
      <w:r w:rsidRPr="000C0983">
        <w:rPr>
          <w:rFonts w:asciiTheme="minorHAnsi" w:eastAsia="Times New Roman" w:hAnsiTheme="minorHAnsi" w:cstheme="minorHAnsi"/>
          <w:b/>
          <w:bCs/>
          <w:color w:val="000000" w:themeColor="text1"/>
          <w:sz w:val="24"/>
          <w:szCs w:val="24"/>
        </w:rPr>
        <w:t>, della legge 30 dicembre 2021, n. 234, compresi i termini in scadenza nel periodo dal 1° maggio 2022 al 31 luglio 2022, sono prorogati fino al 31 luglio 2022.</w:t>
      </w:r>
    </w:p>
    <w:p w14:paraId="67808C64" w14:textId="77777777" w:rsidR="00675715" w:rsidRDefault="00675715" w:rsidP="00675715">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p>
    <w:p w14:paraId="53BD3391" w14:textId="77777777" w:rsidR="00675715" w:rsidRDefault="00675715" w:rsidP="0067571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I versamenti sospesi ai sensi del comma 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sono effettuati, senza applicazione di sanzioni e interessi, in un'unica soluzione entro il 31 agosto 2022 o mediante rateizzazione fino a un massimo di quattro rate mensili di pari importo, pari al 50 per cento del totale dovuto, e l'ultima rata di dicembre 2022 pari al valore residuo. Il versamento della prima rata avviene entro il 31 agosto 2022, senza interessi. I versamenti relativi al mese di dicembre 2022 devono essere effettuati entro il giorno 16 del detto mese. Non si fa luogo al rimborso di quanto già versato.</w:t>
      </w:r>
      <w:r>
        <w:rPr>
          <w:rStyle w:val="Rimandonotaapidipagina"/>
          <w:rFonts w:asciiTheme="minorHAnsi" w:eastAsia="Times New Roman" w:hAnsiTheme="minorHAnsi" w:cstheme="minorHAnsi"/>
          <w:b/>
          <w:bCs/>
          <w:color w:val="000000" w:themeColor="text1"/>
          <w:sz w:val="24"/>
          <w:szCs w:val="24"/>
        </w:rPr>
        <w:footnoteReference w:id="5"/>
      </w:r>
    </w:p>
    <w:p w14:paraId="17B37C66" w14:textId="77777777" w:rsidR="00675715" w:rsidRDefault="00675715" w:rsidP="00675715">
      <w:pPr>
        <w:shd w:val="clear" w:color="auto" w:fill="FFFFFF"/>
        <w:spacing w:after="0" w:line="240" w:lineRule="auto"/>
        <w:jc w:val="both"/>
        <w:rPr>
          <w:rFonts w:asciiTheme="minorHAnsi" w:eastAsia="Times New Roman" w:hAnsiTheme="minorHAnsi" w:cstheme="minorHAnsi"/>
          <w:b/>
          <w:bCs/>
          <w:color w:val="000000" w:themeColor="text1"/>
          <w:sz w:val="24"/>
          <w:szCs w:val="24"/>
        </w:rPr>
      </w:pPr>
    </w:p>
    <w:p w14:paraId="76B61E1E" w14:textId="6B723C80" w:rsidR="001B59B0" w:rsidRDefault="001B59B0" w:rsidP="0067571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1B59B0">
        <w:rPr>
          <w:rFonts w:asciiTheme="minorHAnsi" w:eastAsia="Times New Roman" w:hAnsiTheme="minorHAnsi" w:cstheme="minorHAnsi"/>
          <w:b/>
          <w:bCs/>
          <w:color w:val="000000" w:themeColor="text1"/>
          <w:sz w:val="24"/>
          <w:szCs w:val="24"/>
        </w:rPr>
        <w:t>3-bis. Agli oneri derivanti dal comma 3, pari a 40milioni di euro per l'anno 2022, si provvede ai sensi dell'articolo 42.</w:t>
      </w:r>
      <w:r>
        <w:rPr>
          <w:rStyle w:val="Rimandonotaapidipagina"/>
          <w:rFonts w:asciiTheme="minorHAnsi" w:eastAsia="Times New Roman" w:hAnsiTheme="minorHAnsi" w:cstheme="minorHAnsi"/>
          <w:b/>
          <w:bCs/>
          <w:color w:val="000000" w:themeColor="text1"/>
          <w:sz w:val="24"/>
          <w:szCs w:val="24"/>
        </w:rPr>
        <w:footnoteReference w:id="6"/>
      </w:r>
    </w:p>
    <w:p w14:paraId="4996BD42" w14:textId="77EDBE9A" w:rsidR="00675715" w:rsidRPr="000C0983" w:rsidRDefault="00675715" w:rsidP="00675715">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br/>
      </w:r>
    </w:p>
    <w:p w14:paraId="21109D1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8.</w:t>
      </w:r>
    </w:p>
    <w:p w14:paraId="15682B9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(Sostegno alle esigenze di liquidità delle imprese conseguenti agli aumenti dei prezzi dell'energia)</w:t>
      </w:r>
    </w:p>
    <w:p w14:paraId="585C1ED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117C45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decreto-legge 8 aprile 2020 n. 23, convertito, con modificazioni, dalla legge 5 giugno 2020 n. 40, sono apportate le seguenti modificazioni:</w:t>
      </w:r>
    </w:p>
    <w:p w14:paraId="67D349B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all'articolo 1, dopo il comma 14-sexies, è inserito il seguente:</w:t>
      </w:r>
    </w:p>
    <w:p w14:paraId="2FBEE53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   «14-septies. Fino al 30 giugno 2022 le garanzie di cui al presente articolo e all'articolo 1-bis.1 sono concesse, alle medesime condizioni ivi previste, a sostegno di comprovate esigenze di liquidità delle imprese conseguenti ai maggiori costi derivanti dagli aumenti dei prezzi dell'energia.»;</w:t>
      </w:r>
    </w:p>
    <w:p w14:paraId="496C479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   b) all'articolo 13, comma 1, lettera a), dopo le parole «A decorrere dal 1° aprile 2022, le garanzie sono concesse previo pagamento di una commissione da versare al Fondo di cui all'articolo 2, comma 100, lettera a), della legge 23 dicembre 1996, n. 662» sono inserite le seguenti: «. Fino al 30 giugno 2022 la </w:t>
      </w:r>
      <w:proofErr w:type="gramStart"/>
      <w:r w:rsidRPr="001C5FAC">
        <w:rPr>
          <w:rFonts w:asciiTheme="minorHAnsi" w:hAnsiTheme="minorHAnsi" w:cstheme="minorHAnsi"/>
          <w:color w:val="000000" w:themeColor="text1"/>
          <w:sz w:val="24"/>
          <w:szCs w:val="24"/>
        </w:rPr>
        <w:t>predetta</w:t>
      </w:r>
      <w:proofErr w:type="gramEnd"/>
      <w:r w:rsidRPr="001C5FAC">
        <w:rPr>
          <w:rFonts w:asciiTheme="minorHAnsi" w:hAnsiTheme="minorHAnsi" w:cstheme="minorHAnsi"/>
          <w:color w:val="000000" w:themeColor="text1"/>
          <w:sz w:val="24"/>
          <w:szCs w:val="24"/>
        </w:rPr>
        <w:t xml:space="preserve"> commissione non è dovuta per le garanzie rilasciate su finanziamenti concessi a sostegno di comprovate esigenze di liquidità delle imprese conseguenti ai maggiori costi derivanti dagli aumenti dei prezzi dell'energia».</w:t>
      </w:r>
    </w:p>
    <w:p w14:paraId="5A04740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7E4258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Capo II</w:t>
      </w:r>
    </w:p>
    <w:p w14:paraId="067FB47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MISURE STRUTTURALI E DI SEMPLIFICAZIONE</w:t>
      </w:r>
    </w:p>
    <w:p w14:paraId="6C3ACA3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IN MATERIA ENERGETICA</w:t>
      </w:r>
    </w:p>
    <w:p w14:paraId="266D68E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4E5EC26E"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9.</w:t>
      </w:r>
    </w:p>
    <w:p w14:paraId="2455E59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(Semplificazioni per l'installazione di impianti a fonti rinnovabili)</w:t>
      </w:r>
    </w:p>
    <w:p w14:paraId="0E563784" w14:textId="77777777" w:rsidR="001C5FAC" w:rsidRDefault="001C5FAC" w:rsidP="001C5FAC">
      <w:pPr>
        <w:spacing w:after="0" w:line="240" w:lineRule="auto"/>
        <w:jc w:val="both"/>
        <w:rPr>
          <w:rFonts w:asciiTheme="minorHAnsi" w:hAnsiTheme="minorHAnsi" w:cstheme="minorHAnsi"/>
          <w:color w:val="000000" w:themeColor="text1"/>
          <w:sz w:val="24"/>
          <w:szCs w:val="24"/>
        </w:rPr>
      </w:pPr>
    </w:p>
    <w:p w14:paraId="616157E5" w14:textId="77777777" w:rsidR="007C2D7D" w:rsidRPr="000C0983"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01. Dopo il comma 2 dell'articolo 4 del decreto legislativo 3 marzo 2011, n. 28, sono inseriti i seguenti:</w:t>
      </w:r>
    </w:p>
    <w:p w14:paraId="6E75D071" w14:textId="77777777" w:rsidR="007C2D7D" w:rsidRPr="000C0983"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«2-bis. Fermo restando quanto previsto dall'articolo 6-bis e dal comma 5 dell'articolo 7-bis, nelle aree idonee identificate ai sensi dell'articolo 20 del decreto legislativo 8 novembre 2021, n. 199, comprese le aree di cui al comma 8 dello stesso articolo 20, i regimi di autorizzazione per la costruzione e l'esercizio di impianti fotovoltaici di nuova costruzione e delle opere connesse nonché, senza variazione dell'area interessata, per il potenziamento, il rifacimento e l'integrale ricostruzione degli impianti fotovoltaici esistenti e delle opere connesse sono disciplinati come segue:</w:t>
      </w:r>
    </w:p>
    <w:p w14:paraId="38CA809A" w14:textId="77777777" w:rsidR="007C2D7D" w:rsidRPr="000C0983"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a) impianti di potenza fino a 1 MW: si applica la dichiarazione di inizio lavori asseverata, di cui all'articolo 6-bis, per tutte le opere da realizzare su aree nella disponibilità del proponente;</w:t>
      </w:r>
    </w:p>
    <w:p w14:paraId="4BB47008" w14:textId="77777777" w:rsidR="007C2D7D" w:rsidRPr="000C0983"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b) impianti di potenza superiore a 1 MX e fino a 10 MW: si applica la procedura abilitativa semplificata, di cui all'articolo 6;</w:t>
      </w:r>
    </w:p>
    <w:p w14:paraId="643AC5CF" w14:textId="77777777" w:rsidR="007C2D7D" w:rsidRPr="000C0983"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c) impianti di potenza superiore a 10 MW: si applica l'autorizzazione unica, di cui all'articolo 5.</w:t>
      </w:r>
    </w:p>
    <w:p w14:paraId="3DC38D69" w14:textId="77777777" w:rsidR="007C2D7D" w:rsidRPr="000C0983"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2-ter. Ai fini del comma 2-bis resta fermo quanto stabilito all'articolo 22, comma 1, lettera a), del decreto legislativo 8 novembre 2021, n. 199».</w:t>
      </w:r>
    </w:p>
    <w:p w14:paraId="09FF8F50" w14:textId="77777777" w:rsidR="007C2D7D"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1214CE9D" w14:textId="4E7E5AF3" w:rsidR="007C2D7D" w:rsidRDefault="007C2D7D"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02. Le disposizioni dei commi 2-bis e 2-ter dell'articolo 4 del decreto legislativo 3 marzo 2011, n. 28, introdotti dal comma 01 del presente articolo, si applicano, su richiesta del proponente, anche ai procedimenti in corso alla data di entrata in vigore della legge di conversione del presente decreto.</w:t>
      </w:r>
      <w:r>
        <w:rPr>
          <w:rStyle w:val="Rimandonotaapidipagina"/>
          <w:rFonts w:asciiTheme="minorHAnsi" w:eastAsia="Times New Roman" w:hAnsiTheme="minorHAnsi" w:cstheme="minorHAnsi"/>
          <w:b/>
          <w:bCs/>
          <w:color w:val="000000" w:themeColor="text1"/>
          <w:sz w:val="24"/>
          <w:szCs w:val="24"/>
        </w:rPr>
        <w:footnoteReference w:id="7"/>
      </w:r>
    </w:p>
    <w:p w14:paraId="7451D168" w14:textId="77777777" w:rsidR="00561A5E" w:rsidRDefault="00561A5E" w:rsidP="007C2D7D">
      <w:pPr>
        <w:shd w:val="clear" w:color="auto" w:fill="FFFFFF"/>
        <w:spacing w:after="0" w:line="240" w:lineRule="auto"/>
        <w:jc w:val="both"/>
        <w:rPr>
          <w:rFonts w:asciiTheme="minorHAnsi" w:eastAsia="Times New Roman" w:hAnsiTheme="minorHAnsi" w:cstheme="minorHAnsi"/>
          <w:b/>
          <w:bCs/>
          <w:color w:val="000000" w:themeColor="text1"/>
          <w:sz w:val="24"/>
          <w:szCs w:val="24"/>
        </w:rPr>
      </w:pPr>
    </w:p>
    <w:p w14:paraId="2A4F633B"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01. All'articolo 5 del decreto legislativo 3 marzo 2011, n. 28, sono apportate le seguenti modificazioni:</w:t>
      </w:r>
    </w:p>
    <w:p w14:paraId="429EA68D"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comma 3 è aggiunto, in fine, il seguente periodo: «Per le aree interessate dalle modifiche degli impianti non precedentemente valutate sotto il profilo della tutela archeologica resta fermo quanto previsto dall'articolo 25 del codice dei contratti pubblici, di cui al decreto legislativo 18 aprile 2016, n. 50»;</w:t>
      </w:r>
    </w:p>
    <w:p w14:paraId="5B683A13"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il comma 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è sostituito dal seguente:</w:t>
      </w:r>
    </w:p>
    <w:p w14:paraId="4888D659"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3-bis.</w:t>
      </w:r>
      <w:r w:rsidRPr="000C0983">
        <w:rPr>
          <w:rFonts w:asciiTheme="minorHAnsi" w:eastAsia="Times New Roman" w:hAnsiTheme="minorHAnsi" w:cstheme="minorHAnsi"/>
          <w:b/>
          <w:bCs/>
          <w:color w:val="000000" w:themeColor="text1"/>
          <w:sz w:val="24"/>
          <w:szCs w:val="24"/>
        </w:rPr>
        <w:t> Per “sito dell'impianto eolico” si intende:</w:t>
      </w:r>
    </w:p>
    <w:p w14:paraId="4494004E"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7CDC805B"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323522F6" w14:textId="77777777" w:rsidR="00561A5E" w:rsidRPr="000C0983" w:rsidRDefault="00561A5E" w:rsidP="00561A5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il comma 3-</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è sostituito dal seguente:</w:t>
      </w:r>
    </w:p>
    <w:p w14:paraId="3B8B139B" w14:textId="6417D459" w:rsidR="00561A5E" w:rsidRDefault="00561A5E" w:rsidP="00561A5E">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3-quater.</w:t>
      </w:r>
      <w:r w:rsidRPr="000C0983">
        <w:rPr>
          <w:rFonts w:asciiTheme="minorHAnsi" w:eastAsia="Times New Roman" w:hAnsiTheme="minorHAnsi" w:cstheme="minorHAnsi"/>
          <w:b/>
          <w:bCs/>
          <w:color w:val="000000" w:themeColor="text1"/>
          <w:sz w:val="24"/>
          <w:szCs w:val="24"/>
        </w:rPr>
        <w:t> Per “altezza massima dei nuovi aerogeneratori” h2 raggiungibile dall'estremità delle pale si intende il prodotto tra l'altezza massima dal suolo h1 raggiungibile dall'estremità delle pale dell'aerogeneratore già esistente e il rapporto tra i diametri del rotore del nuovo aerogeneratore d2 e dell'aerogeneratore esistente d1: h2=h1*(d2/d1)».</w:t>
      </w:r>
      <w:r>
        <w:rPr>
          <w:rStyle w:val="Rimandonotaapidipagina"/>
          <w:rFonts w:asciiTheme="minorHAnsi" w:eastAsia="Times New Roman" w:hAnsiTheme="minorHAnsi" w:cstheme="minorHAnsi"/>
          <w:b/>
          <w:bCs/>
          <w:color w:val="000000" w:themeColor="text1"/>
          <w:sz w:val="24"/>
          <w:szCs w:val="24"/>
        </w:rPr>
        <w:footnoteReference w:id="8"/>
      </w:r>
    </w:p>
    <w:p w14:paraId="5CF7D265" w14:textId="77777777" w:rsidR="00561A5E" w:rsidRDefault="00561A5E" w:rsidP="007C2D7D">
      <w:pPr>
        <w:shd w:val="clear" w:color="auto" w:fill="FFFFFF"/>
        <w:spacing w:after="0" w:line="240" w:lineRule="auto"/>
        <w:jc w:val="both"/>
        <w:rPr>
          <w:rFonts w:eastAsia="Times New Roman" w:cstheme="minorHAnsi"/>
          <w:b/>
          <w:bCs/>
          <w:color w:val="000000" w:themeColor="text1"/>
          <w:sz w:val="24"/>
          <w:szCs w:val="24"/>
        </w:rPr>
      </w:pPr>
    </w:p>
    <w:p w14:paraId="699E9CE3" w14:textId="3A6C8341" w:rsidR="006B1D9A" w:rsidRPr="00CF7C12" w:rsidRDefault="006B1D9A" w:rsidP="006B1D9A">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01. All'articolo 5, comma 3, del decreto legislativo 3 marzo 2011, n. 28 è aggiunto, infine il seguente periodo: «Nel caso in cui la modifica non sostanziale determini un incremento della potenza installata e la necessità di realizzazione di ulteriori opere connesse senza incremento dell'area già occupata, queste ultime sono autorizzate mediante la medesima procedura semplificata applicabile all'intervento non sostanziale di cui all'articolo 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w:t>
      </w:r>
      <w:r w:rsidR="00CF7C12">
        <w:rPr>
          <w:rStyle w:val="Rimandonotaapidipagina"/>
          <w:rFonts w:asciiTheme="minorHAnsi" w:eastAsia="Times New Roman" w:hAnsiTheme="minorHAnsi" w:cstheme="minorHAnsi"/>
          <w:b/>
          <w:bCs/>
          <w:i/>
          <w:iCs/>
          <w:color w:val="000000" w:themeColor="text1"/>
          <w:sz w:val="24"/>
          <w:szCs w:val="24"/>
        </w:rPr>
        <w:footnoteReference w:id="9"/>
      </w:r>
    </w:p>
    <w:p w14:paraId="587F196A" w14:textId="63DC0E6A" w:rsidR="006B1D9A" w:rsidRPr="00222C16" w:rsidRDefault="006B1D9A" w:rsidP="006B1D9A">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color w:val="000000" w:themeColor="text1"/>
          <w:sz w:val="24"/>
          <w:szCs w:val="24"/>
        </w:rPr>
        <w:br/>
      </w:r>
      <w:r w:rsidRPr="000C0983">
        <w:rPr>
          <w:rFonts w:asciiTheme="minorHAnsi" w:eastAsia="Times New Roman" w:hAnsiTheme="minorHAnsi" w:cstheme="minorHAnsi"/>
          <w:b/>
          <w:bCs/>
          <w:color w:val="000000" w:themeColor="text1"/>
          <w:sz w:val="24"/>
          <w:szCs w:val="24"/>
        </w:rPr>
        <w:t>01. All'articolo 6</w:t>
      </w:r>
      <w:r w:rsidRPr="000C0983">
        <w:rPr>
          <w:rFonts w:asciiTheme="minorHAnsi" w:eastAsia="Times New Roman" w:hAnsiTheme="minorHAnsi" w:cstheme="minorHAnsi"/>
          <w:b/>
          <w:bCs/>
          <w:i/>
          <w:iCs/>
          <w:color w:val="000000" w:themeColor="text1"/>
          <w:sz w:val="24"/>
          <w:szCs w:val="24"/>
        </w:rPr>
        <w:t>,</w:t>
      </w:r>
      <w:r w:rsidRPr="000C0983">
        <w:rPr>
          <w:rFonts w:asciiTheme="minorHAnsi" w:eastAsia="Times New Roman" w:hAnsiTheme="minorHAnsi" w:cstheme="minorHAnsi"/>
          <w:b/>
          <w:bCs/>
          <w:color w:val="000000" w:themeColor="text1"/>
          <w:sz w:val="24"/>
          <w:szCs w:val="24"/>
        </w:rPr>
        <w:t> comma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 decreto legislativo 3 marzo 2011, n. 28, dopo il primo periodo è inserito il seguente: «Le medesime disposizioni di cui al comma 1 si applicano ai progetti di nuovi impianti fotovoltaici da realizzare nelle aree classificate idonee ai sensi dell'articolo 20 del decreto legislativo 8 novembre 2021, n. 199, ivi incluse le aree di cui al comma 8 dello stesso articolo 20, di potenza fino a 10 MW»</w:t>
      </w:r>
      <w:r w:rsidR="00306DE5">
        <w:rPr>
          <w:rFonts w:asciiTheme="minorHAnsi" w:eastAsia="Times New Roman" w:hAnsiTheme="minorHAnsi" w:cstheme="minorHAnsi"/>
          <w:b/>
          <w:bCs/>
          <w:color w:val="000000" w:themeColor="text1"/>
          <w:sz w:val="24"/>
          <w:szCs w:val="24"/>
        </w:rPr>
        <w:t>.</w:t>
      </w:r>
      <w:r w:rsidR="00306DE5">
        <w:rPr>
          <w:rStyle w:val="Rimandonotaapidipagina"/>
          <w:rFonts w:asciiTheme="minorHAnsi" w:eastAsia="Times New Roman" w:hAnsiTheme="minorHAnsi" w:cstheme="minorHAnsi"/>
          <w:b/>
          <w:bCs/>
          <w:color w:val="000000" w:themeColor="text1"/>
          <w:sz w:val="24"/>
          <w:szCs w:val="24"/>
        </w:rPr>
        <w:footnoteReference w:id="10"/>
      </w:r>
    </w:p>
    <w:p w14:paraId="65CC401E" w14:textId="51F7C19C" w:rsidR="006B1D9A" w:rsidRPr="000C0983" w:rsidRDefault="006B1D9A" w:rsidP="00306DE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color w:val="000000" w:themeColor="text1"/>
          <w:sz w:val="24"/>
          <w:szCs w:val="24"/>
        </w:rPr>
        <w:lastRenderedPageBreak/>
        <w:br/>
      </w:r>
      <w:r w:rsidRPr="000C0983">
        <w:rPr>
          <w:rFonts w:asciiTheme="minorHAnsi" w:eastAsia="Times New Roman" w:hAnsiTheme="minorHAnsi" w:cstheme="minorHAnsi"/>
          <w:b/>
          <w:bCs/>
          <w:color w:val="000000" w:themeColor="text1"/>
          <w:sz w:val="24"/>
          <w:szCs w:val="24"/>
        </w:rPr>
        <w:t>01. All'articolo 6, comma 9-</w:t>
      </w:r>
      <w:proofErr w:type="gramStart"/>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w:t>
      </w:r>
      <w:proofErr w:type="gramEnd"/>
      <w:r w:rsidRPr="000C0983">
        <w:rPr>
          <w:rFonts w:asciiTheme="minorHAnsi" w:eastAsia="Times New Roman" w:hAnsiTheme="minorHAnsi" w:cstheme="minorHAnsi"/>
          <w:b/>
          <w:bCs/>
          <w:color w:val="000000" w:themeColor="text1"/>
          <w:sz w:val="24"/>
          <w:szCs w:val="24"/>
        </w:rPr>
        <w:t xml:space="preserve"> del decreto legislativo 3 marzo 2011 n. 28, sono apportate le seguenti modificazioni:</w:t>
      </w:r>
    </w:p>
    <w:p w14:paraId="67C4B44F" w14:textId="77777777" w:rsidR="006B1D9A" w:rsidRPr="000C0983" w:rsidRDefault="006B1D9A" w:rsidP="006B1D9A">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primo periodo, dopo le parole: «ulteriore sfruttamento,» sono inserite le seguenti: «e delle relative opere connesse e infrastrutture necessarie,»;</w:t>
      </w:r>
    </w:p>
    <w:p w14:paraId="00462CBF" w14:textId="1716B913" w:rsidR="006B1D9A" w:rsidRPr="00222C16" w:rsidRDefault="006B1D9A" w:rsidP="006B1D9A">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 terzo periodo, dopo le parole: «impianti fotovoltaici» sono inserite le seguenti: «e delle relative opere connesse e infrastrutture necessarie,».</w:t>
      </w:r>
      <w:r w:rsidR="00306DE5">
        <w:rPr>
          <w:rStyle w:val="Rimandonotaapidipagina"/>
          <w:rFonts w:asciiTheme="minorHAnsi" w:eastAsia="Times New Roman" w:hAnsiTheme="minorHAnsi" w:cstheme="minorHAnsi"/>
          <w:b/>
          <w:bCs/>
          <w:color w:val="000000" w:themeColor="text1"/>
          <w:sz w:val="24"/>
          <w:szCs w:val="24"/>
        </w:rPr>
        <w:footnoteReference w:id="11"/>
      </w:r>
    </w:p>
    <w:p w14:paraId="2BD3FA54" w14:textId="77777777" w:rsidR="007C2D7D" w:rsidRDefault="007C2D7D" w:rsidP="001C5FAC">
      <w:pPr>
        <w:spacing w:after="0" w:line="240" w:lineRule="auto"/>
        <w:jc w:val="both"/>
        <w:rPr>
          <w:rFonts w:asciiTheme="minorHAnsi" w:hAnsiTheme="minorHAnsi" w:cstheme="minorHAnsi"/>
          <w:color w:val="000000" w:themeColor="text1"/>
          <w:sz w:val="24"/>
          <w:szCs w:val="24"/>
        </w:rPr>
      </w:pPr>
    </w:p>
    <w:p w14:paraId="1C9C6C04" w14:textId="71718A4F" w:rsidR="001C5FAC" w:rsidRPr="00802166" w:rsidRDefault="001C5FAC" w:rsidP="001C5FAC">
      <w:pPr>
        <w:spacing w:after="0" w:line="240" w:lineRule="auto"/>
        <w:jc w:val="both"/>
        <w:rPr>
          <w:rFonts w:asciiTheme="minorHAnsi" w:hAnsiTheme="minorHAnsi" w:cstheme="minorHAnsi"/>
          <w:strike/>
          <w:color w:val="000000" w:themeColor="text1"/>
          <w:sz w:val="24"/>
          <w:szCs w:val="24"/>
          <w:highlight w:val="yellow"/>
        </w:rPr>
      </w:pPr>
      <w:r w:rsidRPr="00802166">
        <w:rPr>
          <w:rFonts w:asciiTheme="minorHAnsi" w:hAnsiTheme="minorHAnsi" w:cstheme="minorHAnsi"/>
          <w:strike/>
          <w:color w:val="000000" w:themeColor="text1"/>
          <w:sz w:val="24"/>
          <w:szCs w:val="24"/>
          <w:highlight w:val="yellow"/>
        </w:rPr>
        <w:t>1. All'articolo 7-bis, del decreto legislativo 3 marzo 2011, n. 28, il comma 5 è sostituito dal seguente:</w:t>
      </w:r>
    </w:p>
    <w:p w14:paraId="37E89D9C" w14:textId="79AE251A" w:rsidR="001C5FAC" w:rsidRPr="00802166" w:rsidRDefault="001C5FAC" w:rsidP="001C5FAC">
      <w:pPr>
        <w:spacing w:after="0" w:line="240" w:lineRule="auto"/>
        <w:jc w:val="both"/>
        <w:rPr>
          <w:rFonts w:asciiTheme="minorHAnsi" w:hAnsiTheme="minorHAnsi" w:cstheme="minorHAnsi"/>
          <w:strike/>
          <w:color w:val="000000" w:themeColor="text1"/>
          <w:sz w:val="24"/>
          <w:szCs w:val="24"/>
        </w:rPr>
      </w:pPr>
      <w:r w:rsidRPr="00802166">
        <w:rPr>
          <w:rFonts w:asciiTheme="minorHAnsi" w:hAnsiTheme="minorHAnsi" w:cstheme="minorHAnsi"/>
          <w:strike/>
          <w:color w:val="000000" w:themeColor="text1"/>
          <w:sz w:val="24"/>
          <w:szCs w:val="24"/>
          <w:highlight w:val="yellow"/>
        </w:rPr>
        <w:t>   «5. Ferme restando le disposizioni tributarie in materia di accisa sull'energia elettrica, l'installazione, con qualunque modalità, di impianti solari fotovoltaici e termici sugli edifici, come definiti alla voce 32 dell'allegato A al regolamento edilizio-tipo, adottato con intesa sancita in sede di Conferenza unificata 20 ottobre 2016, n. 125/CU, o su strutture e manufatti fuori terra diversi dagli edifici e la realizzazione delle opere funzionali alla connessione alla rete elettrica nei predetti edifici o strutture e manufatti, nonché nelle relative pertinenze</w:t>
      </w:r>
      <w:r w:rsidR="0088744D" w:rsidRPr="000C0983">
        <w:rPr>
          <w:rFonts w:asciiTheme="minorHAnsi" w:eastAsia="Times New Roman" w:hAnsiTheme="minorHAnsi" w:cstheme="minorHAnsi"/>
          <w:b/>
          <w:bCs/>
          <w:strike/>
          <w:color w:val="000000" w:themeColor="text1"/>
          <w:sz w:val="24"/>
          <w:szCs w:val="24"/>
          <w:highlight w:val="yellow"/>
        </w:rPr>
        <w:t>, compresi gli eventuali potenziamenti o adeguamenti della rete esterni alle aree dei medesimi edifici, strutture e manufatti, ove necessari</w:t>
      </w:r>
      <w:r w:rsidR="0088744D" w:rsidRPr="00802166">
        <w:rPr>
          <w:rStyle w:val="Rimandonotaapidipagina"/>
          <w:rFonts w:asciiTheme="minorHAnsi" w:eastAsia="Times New Roman" w:hAnsiTheme="minorHAnsi" w:cstheme="minorHAnsi"/>
          <w:b/>
          <w:bCs/>
          <w:strike/>
          <w:color w:val="000000" w:themeColor="text1"/>
          <w:sz w:val="24"/>
          <w:szCs w:val="24"/>
          <w:highlight w:val="yellow"/>
        </w:rPr>
        <w:footnoteReference w:id="12"/>
      </w:r>
      <w:r w:rsidRPr="00802166">
        <w:rPr>
          <w:rFonts w:asciiTheme="minorHAnsi" w:hAnsiTheme="minorHAnsi" w:cstheme="minorHAnsi"/>
          <w:strike/>
          <w:color w:val="000000" w:themeColor="text1"/>
          <w:sz w:val="24"/>
          <w:szCs w:val="24"/>
          <w:highlight w:val="yellow"/>
        </w:rPr>
        <w:t xml:space="preserve">, </w:t>
      </w:r>
      <w:r w:rsidR="009922D9" w:rsidRPr="000C0983">
        <w:rPr>
          <w:rFonts w:asciiTheme="minorHAnsi" w:eastAsia="Times New Roman" w:hAnsiTheme="minorHAnsi" w:cstheme="minorHAnsi"/>
          <w:b/>
          <w:bCs/>
          <w:strike/>
          <w:color w:val="000000" w:themeColor="text1"/>
          <w:sz w:val="24"/>
          <w:szCs w:val="24"/>
          <w:highlight w:val="yellow"/>
        </w:rPr>
        <w:t>ivi comprese strutture, manufatti e edifici all'interno dei comprensori sciistici</w:t>
      </w:r>
      <w:r w:rsidR="009922D9" w:rsidRPr="00802166">
        <w:rPr>
          <w:rFonts w:asciiTheme="minorHAnsi" w:eastAsia="Times New Roman" w:hAnsiTheme="minorHAnsi" w:cstheme="minorHAnsi"/>
          <w:b/>
          <w:bCs/>
          <w:strike/>
          <w:color w:val="000000" w:themeColor="text1"/>
          <w:sz w:val="24"/>
          <w:szCs w:val="24"/>
          <w:highlight w:val="yellow"/>
        </w:rPr>
        <w:t>,</w:t>
      </w:r>
      <w:r w:rsidR="009922D9" w:rsidRPr="00802166">
        <w:rPr>
          <w:rStyle w:val="Rimandonotaapidipagina"/>
          <w:rFonts w:asciiTheme="minorHAnsi" w:eastAsia="Times New Roman" w:hAnsiTheme="minorHAnsi" w:cstheme="minorHAnsi"/>
          <w:b/>
          <w:bCs/>
          <w:strike/>
          <w:color w:val="000000" w:themeColor="text1"/>
          <w:sz w:val="24"/>
          <w:szCs w:val="24"/>
          <w:highlight w:val="yellow"/>
        </w:rPr>
        <w:footnoteReference w:id="13"/>
      </w:r>
      <w:r w:rsidR="009922D9" w:rsidRPr="00802166">
        <w:rPr>
          <w:rFonts w:asciiTheme="minorHAnsi" w:eastAsia="Times New Roman" w:hAnsiTheme="minorHAnsi" w:cstheme="minorHAnsi"/>
          <w:b/>
          <w:bCs/>
          <w:strike/>
          <w:color w:val="000000" w:themeColor="text1"/>
          <w:sz w:val="24"/>
          <w:szCs w:val="24"/>
          <w:highlight w:val="yellow"/>
        </w:rPr>
        <w:t xml:space="preserve"> </w:t>
      </w:r>
      <w:r w:rsidRPr="00802166">
        <w:rPr>
          <w:rFonts w:asciiTheme="minorHAnsi" w:hAnsiTheme="minorHAnsi" w:cstheme="minorHAnsi"/>
          <w:strike/>
          <w:color w:val="000000" w:themeColor="text1"/>
          <w:sz w:val="24"/>
          <w:szCs w:val="24"/>
          <w:highlight w:val="yellow"/>
        </w:rPr>
        <w:t>è considerata intervento di manutenzione ordinaria e non è subordinata all'acquisizione di permessi, autorizzazioni o atti amministrativi di assenso comunque denominati, ivi inclusi quelli previsti dal decreto legislativo 22 gennaio 2004, n. 42, a eccezione degli impianti che ricadono in aree o immobili di cui all'articolo 136, comma 1, lettere b) e c), del codice dei beni culturali e del paesaggio di cui al decreto legislativo 22 gennaio 2004, n. 42, individuati ai sensi degli articoli da 138 a 141 del medesimo codice, e fermo restando quanto previsto dagli articoli 21 e 157 del codice.».</w:t>
      </w:r>
    </w:p>
    <w:p w14:paraId="04CF1EB2" w14:textId="77777777" w:rsidR="00FE395B" w:rsidRPr="000C0983" w:rsidRDefault="00FE395B" w:rsidP="00FE395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7, il comma 5 è sostituito dal seguente:</w:t>
      </w:r>
    </w:p>
    <w:p w14:paraId="18D944DE" w14:textId="3DA8FEBB" w:rsidR="00FE395B" w:rsidRDefault="00FE395B" w:rsidP="00FE395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«5. Ferme restando le disposizioni tributarie in materia di accisa sull'energia elettrica, l'installazione, con qualunque modalità, anche nelle zone A degli strumenti urbanistici comunali, come individuate ai sensi del decreto ministeriale n. 1444 del 1968, di impianti solari fotovoltaici e termici sugli edifici, come definiti alla voce 32 dell'allegato A al regolamento edilizio-tipo, adottato con intesa sancita in sede di Conferenza unificata 20 ottobre 2016, n. 125/CU, o su strutture e manufatti fuori terra diversi dagli edifici, ivi comprese strutture, manufatti e edifici già esistenti all'interno dei comprensori sciistici,</w:t>
      </w:r>
      <w:r w:rsidR="00F26973">
        <w:rPr>
          <w:rFonts w:asciiTheme="minorHAnsi" w:eastAsia="Times New Roman" w:hAnsiTheme="minorHAnsi" w:cstheme="minorHAnsi"/>
          <w:b/>
          <w:bCs/>
          <w:color w:val="000000" w:themeColor="text1"/>
          <w:sz w:val="24"/>
          <w:szCs w:val="24"/>
        </w:rPr>
        <w:t xml:space="preserve"> </w:t>
      </w:r>
      <w:r w:rsidRPr="000C0983">
        <w:rPr>
          <w:rFonts w:asciiTheme="minorHAnsi" w:eastAsia="Times New Roman" w:hAnsiTheme="minorHAnsi" w:cstheme="minorHAnsi"/>
          <w:b/>
          <w:bCs/>
          <w:color w:val="000000" w:themeColor="text1"/>
          <w:sz w:val="24"/>
          <w:szCs w:val="24"/>
        </w:rPr>
        <w:t xml:space="preserve">e la realizzazione delle opere funzionali alla connessione alla rete elettrica nei predetti edifici o strutture e manufatti, nonché nelle relative pertinenze, è considerata intervento di manutenzione ordinaria e non è subordinata all'acquisizione di permessi, autorizzazioni o atti amministrativi di assenso comunque denominati, ivi inclusi quelli previsti dal decreto legislativo 22 </w:t>
      </w:r>
      <w:r w:rsidRPr="000C0983">
        <w:rPr>
          <w:rFonts w:asciiTheme="minorHAnsi" w:eastAsia="Times New Roman" w:hAnsiTheme="minorHAnsi" w:cstheme="minorHAnsi"/>
          <w:b/>
          <w:bCs/>
          <w:color w:val="000000" w:themeColor="text1"/>
          <w:sz w:val="24"/>
          <w:szCs w:val="24"/>
        </w:rPr>
        <w:lastRenderedPageBreak/>
        <w:t>gennaio 2004, n. 42, a eccezione degli impianti che ricadono in aree o immobili di cui all'articolo 136, comma 1, lettere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e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del codice dei beni culturali e del paesaggio di cui al decreto legislativo 22 gennaio 2004, n. 42, individuati mediante apposito provvedimento amministrativo ai sensi degli articoli da 138 a 141 del medesimo codice, e fermo restando quanto previsto dagli articoli 21 e 157 del codice. In presenza dei vincoli di cui al periodo precedente, la realizzazione dei medesimi interventi è consentita previo rilascio dell'autorizzazione da parte dell'amministrazione competente, ai sensi del decreto legislativo n. 42 del 2004. Le disposizioni del primo periodo si applicano anche in presenza di vincoli ai sensi dell'art. 136, comma 1, lettera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del decreto legislativo n. 42 del 2004 ai soli fini della installazione di pannelli integrati nelle coperture non visibili dagli spazi pubblici esterni e dai punti di vista panoramici, eccettuate le coperture i cui manti siano realizzati in materiali della tradizione locale».</w:t>
      </w:r>
      <w:r w:rsidR="00802166">
        <w:rPr>
          <w:rStyle w:val="Rimandonotaapidipagina"/>
          <w:rFonts w:asciiTheme="minorHAnsi" w:eastAsia="Times New Roman" w:hAnsiTheme="minorHAnsi" w:cstheme="minorHAnsi"/>
          <w:b/>
          <w:bCs/>
          <w:color w:val="000000" w:themeColor="text1"/>
          <w:sz w:val="24"/>
          <w:szCs w:val="24"/>
        </w:rPr>
        <w:footnoteReference w:id="14"/>
      </w:r>
    </w:p>
    <w:p w14:paraId="1AC6D486" w14:textId="77777777" w:rsidR="00BB6C41" w:rsidRDefault="00BB6C41" w:rsidP="00FE395B">
      <w:pPr>
        <w:shd w:val="clear" w:color="auto" w:fill="FFFFFF"/>
        <w:spacing w:after="0" w:line="240" w:lineRule="auto"/>
        <w:jc w:val="both"/>
        <w:rPr>
          <w:rFonts w:asciiTheme="minorHAnsi" w:eastAsia="Times New Roman" w:hAnsiTheme="minorHAnsi" w:cstheme="minorHAnsi"/>
          <w:b/>
          <w:bCs/>
          <w:color w:val="000000" w:themeColor="text1"/>
          <w:sz w:val="24"/>
          <w:szCs w:val="24"/>
        </w:rPr>
      </w:pPr>
    </w:p>
    <w:p w14:paraId="797B55BD" w14:textId="77777777" w:rsidR="00BB6C41" w:rsidRDefault="00BB6C41" w:rsidP="00BB6C4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Il comma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dell'articolo 6 del decreto legislativo 3 marzo 2011, n. 28, è sostituito dal seguente: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Per l'attività di costruzione ed esercizio di impianti fotovoltaici di potenza sino a 20 MW e delle relative opere di connessione alla rete elettrica di alta e media tensione e localizzati in area a destinazione industriale, produttiva o commerciale nonché in discariche o lotti di discarica chiusi e ripristinati ovvero in cave o lotti di cave non suscettibili di ulteriore sfruttamento, per i quali l'autorità competente al rilascio dell'autorizzazione abbia attestato l'avvenuto completamento delle attività di recupero e di ripristino ambientale previste nel titolo autorizzatorio nel rispetto delle norme regionali vigenti, si applicano le disposizioni di cui al comma 1. Le medesime disposizioni di cui al comma 1 si applicano ai progetti di nuovi impianti fotovoltaici da realizzare nelle aree classificate idonee ai sensi dell'articolo 20 del decreto legislativo 8 novembre 2021, n. 199, ivi incluse le aree di cui al comma 8 dello stesso articolo 20, di potenza sino a 10 MW , ovvero agli impianti agro-voltaici, di cui all'articolo 65, comma 1-</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del decreto-legge 24 gennaio 2012, n. 1, convertito, con modificazioni, dalla legge 24 marzo 2012, n. 27, che distino non più di 3 chilometri dalle aree a destinazione industriale, artigianale e commerciale. Le soglie di cui all'Allegato IV, punto 2, lettera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xml:space="preserve">, alla Parte seconda del decreto legislativo 3 aprile 2006, n. 152, per la procedura di verifica di assoggettabilità alla valutazione di impatto ambientale di cui all'articolo 19 del medesimo decreto, si intendono per questa tipologia di </w:t>
      </w:r>
      <w:r w:rsidRPr="000C0983">
        <w:rPr>
          <w:rFonts w:asciiTheme="minorHAnsi" w:eastAsia="Times New Roman" w:hAnsiTheme="minorHAnsi" w:cstheme="minorHAnsi"/>
          <w:b/>
          <w:bCs/>
          <w:color w:val="000000" w:themeColor="text1"/>
          <w:sz w:val="24"/>
          <w:szCs w:val="24"/>
        </w:rPr>
        <w:lastRenderedPageBreak/>
        <w:t>impianti elevate a 20 MW purché il proponente alleghi alla dichiarazione di cui al comma 2 una autodichiarazione dalla quale risulti che l'impianto non si trovi all'interno di aree fra quelle specificamente elencate e individuate dall'Allegato 3, lettera </w:t>
      </w:r>
      <w:r w:rsidRPr="000C0983">
        <w:rPr>
          <w:rFonts w:asciiTheme="minorHAnsi" w:eastAsia="Times New Roman" w:hAnsiTheme="minorHAnsi" w:cstheme="minorHAnsi"/>
          <w:b/>
          <w:bCs/>
          <w:i/>
          <w:iCs/>
          <w:color w:val="000000" w:themeColor="text1"/>
          <w:sz w:val="24"/>
          <w:szCs w:val="24"/>
        </w:rPr>
        <w:t>f)</w:t>
      </w:r>
      <w:r w:rsidRPr="000C0983">
        <w:rPr>
          <w:rFonts w:asciiTheme="minorHAnsi" w:eastAsia="Times New Roman" w:hAnsiTheme="minorHAnsi" w:cstheme="minorHAnsi"/>
          <w:b/>
          <w:bCs/>
          <w:color w:val="000000" w:themeColor="text1"/>
          <w:sz w:val="24"/>
          <w:szCs w:val="24"/>
        </w:rPr>
        <w:t>, al decreto del Ministro dello sviluppo economico 10 settembre 2010. Si potrà procedere a seguito della procedura di cui sopra con edificazione diretta degli impianti fotovoltaici anche qualora la pianificazione urbanistica richieda piani attuativi per l'edificazione».</w:t>
      </w:r>
    </w:p>
    <w:p w14:paraId="0B953D4F" w14:textId="77777777" w:rsidR="00BB6C41" w:rsidRDefault="00BB6C41" w:rsidP="00BB6C4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1-</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Al fine di conseguire celermente i target del Piano Nazionale di Ripresa e Resilienza previsti dalla Missione 2 (M2-Rivoluzione verde e Transizione ecologica), Componente 1 (Economia circolare e agricoltura sostenibile) Investimento 3.1 (Isole Verdi) e di raggiungere entro il 31 dicembre 2026 la copertura totale del fabbisogno delle isole minori non interconnesse attraverso energia da fonti rinnovabili, entro 30 giorni dalla pubblicazione del presente decreto il Ministero della transizione ecologica, con proprio decreto ministeriale da emanarsi sentita l'Autorità di regolazione per energia reti e ambiente e d'intesa con la Conferenza Unificata Stato Regioni ed Enti Locali, aggiorna il decreto ministeriale del 14 febbraio 2017.</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775DA6BC" w14:textId="77777777" w:rsidR="00BB6C41" w:rsidRDefault="00BB6C41" w:rsidP="00BB6C4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La revisione del decreto ministeriale 14 febbraio 2017 di cui al comma 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deve prevedere la conversione entro il 2026 degli impianti di produzione energetica a combustibili fossili da parte delle società elettriche di cui all'Allegato 1 del decreto ministeriale, mediante Piani di investimenti comprensivi delle reti di distribuzione, da trasmettere al Ministero della transizione ecologica e agli enti locali competenti entro il 31 dicembre 2022.</w:t>
      </w:r>
    </w:p>
    <w:p w14:paraId="5ED26C7C" w14:textId="51659480" w:rsidR="00BB6C41" w:rsidRDefault="00BB6C41" w:rsidP="00BB6C4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1-</w:t>
      </w:r>
      <w:r w:rsidRPr="000C0983">
        <w:rPr>
          <w:rFonts w:asciiTheme="minorHAnsi" w:eastAsia="Times New Roman" w:hAnsiTheme="minorHAnsi" w:cstheme="minorHAnsi"/>
          <w:b/>
          <w:bCs/>
          <w:i/>
          <w:iCs/>
          <w:color w:val="000000" w:themeColor="text1"/>
          <w:sz w:val="24"/>
          <w:szCs w:val="24"/>
        </w:rPr>
        <w:t>quinquies</w:t>
      </w:r>
      <w:r w:rsidRPr="000C0983">
        <w:rPr>
          <w:rFonts w:asciiTheme="minorHAnsi" w:eastAsia="Times New Roman" w:hAnsiTheme="minorHAnsi" w:cstheme="minorHAnsi"/>
          <w:b/>
          <w:bCs/>
          <w:color w:val="000000" w:themeColor="text1"/>
          <w:sz w:val="24"/>
          <w:szCs w:val="24"/>
        </w:rPr>
        <w:t>. Al fine di conseguire i target del Piano Nazionale di Ripresa e Resilienza previsti dalla Missione 2 (M2-Rivoluzione verde e Transizione ecologica), Componente 1 (Economia circolare e agricoltura sostenibile) Investimento 3.1 (Isole Verdi), alle isole di cui all'allegato 1 del DM 14 febbraio 2017 è aggiunta Giannutri, come territorio del Comune dell'Isola del Giglio.</w:t>
      </w:r>
      <w:r>
        <w:rPr>
          <w:rStyle w:val="Rimandonotaapidipagina"/>
          <w:rFonts w:asciiTheme="minorHAnsi" w:eastAsia="Times New Roman" w:hAnsiTheme="minorHAnsi" w:cstheme="minorHAnsi"/>
          <w:b/>
          <w:bCs/>
          <w:color w:val="000000" w:themeColor="text1"/>
          <w:sz w:val="24"/>
          <w:szCs w:val="24"/>
        </w:rPr>
        <w:footnoteReference w:id="15"/>
      </w:r>
    </w:p>
    <w:p w14:paraId="533A2A73" w14:textId="77777777" w:rsidR="00BB6C41" w:rsidRDefault="00BB6C41" w:rsidP="00FE395B">
      <w:pPr>
        <w:shd w:val="clear" w:color="auto" w:fill="FFFFFF"/>
        <w:spacing w:after="0" w:line="240" w:lineRule="auto"/>
        <w:jc w:val="both"/>
        <w:rPr>
          <w:rFonts w:eastAsia="Times New Roman" w:cstheme="minorHAnsi"/>
          <w:b/>
          <w:bCs/>
          <w:color w:val="000000" w:themeColor="text1"/>
          <w:sz w:val="24"/>
          <w:szCs w:val="24"/>
        </w:rPr>
      </w:pPr>
    </w:p>
    <w:p w14:paraId="17568A35" w14:textId="64B63F83" w:rsidR="00743EBD" w:rsidRDefault="00743EBD" w:rsidP="00743EBD">
      <w:pPr>
        <w:shd w:val="clear" w:color="auto" w:fill="FFFFFF"/>
        <w:spacing w:after="0" w:line="240" w:lineRule="auto"/>
        <w:jc w:val="both"/>
        <w:rPr>
          <w:rFonts w:eastAsia="Times New Roman"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Gli impianti fotovoltaici con moduli a terra la cui potenza elettrica risulta inferiore a 1 MW, nonché le opere connesse e le infrastrutture indispensabili alla costruzione e all'esercizio degli stessi impianti ricadenti in aree idonee, non sottoposte alle norme di tutela ai sensi del codice dei beni culturali e del paesaggio di cui al decreto legislativo 22 gennaio 2004, n. 42 e al di fuori delle zone A di cui al decreto del Ministro dei lavori pubblici 2 aprile 1968, n. 1444, per la cui realizzazione non sono previste procedure di esproprio, sono realizzati mediante dichiarazione di inizio lavori asseverata di cui all'articolo 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comma 1, del decreto legislativo 3 marzo 2011, n. 28.</w:t>
      </w:r>
      <w:r>
        <w:rPr>
          <w:rStyle w:val="Rimandonotaapidipagina"/>
          <w:rFonts w:eastAsia="Times New Roman" w:cstheme="minorHAnsi"/>
          <w:color w:val="000000" w:themeColor="text1"/>
          <w:sz w:val="24"/>
          <w:szCs w:val="24"/>
        </w:rPr>
        <w:footnoteReference w:id="16"/>
      </w:r>
    </w:p>
    <w:p w14:paraId="4108AC84" w14:textId="77777777" w:rsidR="00FE395B" w:rsidRDefault="00FE395B" w:rsidP="001C5FAC">
      <w:pPr>
        <w:spacing w:after="0" w:line="240" w:lineRule="auto"/>
        <w:jc w:val="both"/>
        <w:rPr>
          <w:rFonts w:asciiTheme="minorHAnsi" w:hAnsiTheme="minorHAnsi" w:cstheme="minorHAnsi"/>
          <w:color w:val="000000" w:themeColor="text1"/>
          <w:sz w:val="24"/>
          <w:szCs w:val="24"/>
        </w:rPr>
      </w:pPr>
    </w:p>
    <w:p w14:paraId="2E343760" w14:textId="77777777" w:rsidR="0090483E" w:rsidRPr="000C0983" w:rsidRDefault="0090483E" w:rsidP="0090483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comma 2-</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dell'articolo 1 del decreto-legge 7 febbraio 2002, n. 7, convertito, con modificazioni, dalla legge 9 aprile 2002, n. 55, sono apportate le seguenti modificazioni:</w:t>
      </w:r>
    </w:p>
    <w:p w14:paraId="243D2030" w14:textId="77777777" w:rsidR="0090483E" w:rsidRPr="000C0983" w:rsidRDefault="0090483E" w:rsidP="0090483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le parole: «da fonte fossile di» sono sostituite dalle seguenti: </w:t>
      </w:r>
      <w:r w:rsidRPr="000C0983">
        <w:rPr>
          <w:rFonts w:asciiTheme="minorHAnsi" w:eastAsia="Times New Roman" w:hAnsiTheme="minorHAnsi" w:cstheme="minorHAnsi"/>
          <w:b/>
          <w:bCs/>
          <w:i/>
          <w:iCs/>
          <w:color w:val="000000" w:themeColor="text1"/>
          <w:sz w:val="24"/>
          <w:szCs w:val="24"/>
        </w:rPr>
        <w:t>«</w:t>
      </w:r>
      <w:r w:rsidRPr="000C0983">
        <w:rPr>
          <w:rFonts w:asciiTheme="minorHAnsi" w:eastAsia="Times New Roman" w:hAnsiTheme="minorHAnsi" w:cstheme="minorHAnsi"/>
          <w:b/>
          <w:bCs/>
          <w:color w:val="000000" w:themeColor="text1"/>
          <w:sz w:val="24"/>
          <w:szCs w:val="24"/>
        </w:rPr>
        <w:t>da fonte rinnovabile o da fonte fossile che abbiano»</w:t>
      </w:r>
      <w:r w:rsidRPr="000C0983">
        <w:rPr>
          <w:rFonts w:asciiTheme="minorHAnsi" w:eastAsia="Times New Roman" w:hAnsiTheme="minorHAnsi" w:cstheme="minorHAnsi"/>
          <w:b/>
          <w:bCs/>
          <w:i/>
          <w:iCs/>
          <w:color w:val="000000" w:themeColor="text1"/>
          <w:sz w:val="24"/>
          <w:szCs w:val="24"/>
        </w:rPr>
        <w:t>;</w:t>
      </w:r>
    </w:p>
    <w:p w14:paraId="5808A1C2" w14:textId="053DAFA5" w:rsidR="0090483E" w:rsidRDefault="0090483E" w:rsidP="0090483E">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alla lettera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alinea, le parole: </w:t>
      </w:r>
      <w:r w:rsidRPr="000C0983">
        <w:rPr>
          <w:rFonts w:asciiTheme="minorHAnsi" w:eastAsia="Times New Roman" w:hAnsiTheme="minorHAnsi" w:cstheme="minorHAnsi"/>
          <w:b/>
          <w:bCs/>
          <w:i/>
          <w:iCs/>
          <w:color w:val="000000" w:themeColor="text1"/>
          <w:sz w:val="24"/>
          <w:szCs w:val="24"/>
        </w:rPr>
        <w:t>«</w:t>
      </w:r>
      <w:r w:rsidRPr="000C0983">
        <w:rPr>
          <w:rFonts w:asciiTheme="minorHAnsi" w:eastAsia="Times New Roman" w:hAnsiTheme="minorHAnsi" w:cstheme="minorHAnsi"/>
          <w:b/>
          <w:bCs/>
          <w:color w:val="000000" w:themeColor="text1"/>
          <w:sz w:val="24"/>
          <w:szCs w:val="24"/>
        </w:rPr>
        <w:t>o meno» sono soppresse.</w:t>
      </w:r>
      <w:r>
        <w:rPr>
          <w:rStyle w:val="Rimandonotaapidipagina"/>
          <w:rFonts w:asciiTheme="minorHAnsi" w:eastAsia="Times New Roman" w:hAnsiTheme="minorHAnsi" w:cstheme="minorHAnsi"/>
          <w:b/>
          <w:bCs/>
          <w:color w:val="000000" w:themeColor="text1"/>
          <w:sz w:val="24"/>
          <w:szCs w:val="24"/>
        </w:rPr>
        <w:footnoteReference w:id="17"/>
      </w:r>
    </w:p>
    <w:p w14:paraId="15B682A0" w14:textId="77777777" w:rsidR="00D44A1F" w:rsidRDefault="00D44A1F" w:rsidP="0090483E">
      <w:pPr>
        <w:shd w:val="clear" w:color="auto" w:fill="FFFFFF"/>
        <w:spacing w:after="0" w:line="240" w:lineRule="auto"/>
        <w:jc w:val="both"/>
        <w:rPr>
          <w:rFonts w:asciiTheme="minorHAnsi" w:eastAsia="Times New Roman" w:hAnsiTheme="minorHAnsi" w:cstheme="minorHAnsi"/>
          <w:b/>
          <w:bCs/>
          <w:color w:val="000000" w:themeColor="text1"/>
          <w:sz w:val="24"/>
          <w:szCs w:val="24"/>
        </w:rPr>
      </w:pPr>
    </w:p>
    <w:p w14:paraId="1CF8D7F3" w14:textId="77777777" w:rsidR="00D44A1F" w:rsidRPr="000C0983" w:rsidRDefault="00D44A1F" w:rsidP="00D44A1F">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(Requisiti degli impianti termici)</w:t>
      </w:r>
    </w:p>
    <w:p w14:paraId="118136E2" w14:textId="77777777"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25233905" w14:textId="77777777" w:rsidR="00D44A1F" w:rsidRPr="000C0983" w:rsidRDefault="00D44A1F" w:rsidP="00D44A1F">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5 del regolamento di cui al decreto del Presidente della Repubblica 26 agosto 1993, n. 412, sono apportate le seguenti modificazioni:</w:t>
      </w:r>
    </w:p>
    <w:p w14:paraId="534F4224" w14:textId="77777777" w:rsidR="00D44A1F" w:rsidRPr="000C0983" w:rsidRDefault="00D44A1F" w:rsidP="00D44A1F">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comma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lettera </w:t>
      </w:r>
      <w:r w:rsidRPr="000C0983">
        <w:rPr>
          <w:rFonts w:asciiTheme="minorHAnsi" w:eastAsia="Times New Roman" w:hAnsiTheme="minorHAnsi" w:cstheme="minorHAnsi"/>
          <w:b/>
          <w:bCs/>
          <w:i/>
          <w:iCs/>
          <w:color w:val="000000" w:themeColor="text1"/>
          <w:sz w:val="24"/>
          <w:szCs w:val="24"/>
        </w:rPr>
        <w:t>e)</w:t>
      </w:r>
      <w:r w:rsidRPr="000C0983">
        <w:rPr>
          <w:rFonts w:asciiTheme="minorHAnsi" w:eastAsia="Times New Roman" w:hAnsiTheme="minorHAnsi" w:cstheme="minorHAnsi"/>
          <w:b/>
          <w:bCs/>
          <w:color w:val="000000" w:themeColor="text1"/>
          <w:sz w:val="24"/>
          <w:szCs w:val="24"/>
        </w:rPr>
        <w:t>, dopo la parola: «installati» sono inserite le seguenti: «pompe di calore a gas o»;</w:t>
      </w:r>
    </w:p>
    <w:p w14:paraId="22A94A4D" w14:textId="3A5AEABA"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 comma 9-</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numero iii, dopo la parola: «installare» sono inserite le seguenti: «pompe di calore a gas o» e le parole: «e pompe di calore il cui rendimento sia» sono sostituite dalle seguenti: «e pompe di calore a gas, comprese quelle dei generatori ibridi, che abbiano un rendimento».</w:t>
      </w:r>
      <w:r>
        <w:rPr>
          <w:rStyle w:val="Rimandonotaapidipagina"/>
          <w:rFonts w:asciiTheme="minorHAnsi" w:eastAsia="Times New Roman" w:hAnsiTheme="minorHAnsi" w:cstheme="minorHAnsi"/>
          <w:b/>
          <w:bCs/>
          <w:color w:val="000000" w:themeColor="text1"/>
          <w:sz w:val="24"/>
          <w:szCs w:val="24"/>
        </w:rPr>
        <w:footnoteReference w:id="18"/>
      </w:r>
    </w:p>
    <w:p w14:paraId="79DCB304" w14:textId="5FF44DD6" w:rsidR="00D44A1F" w:rsidRDefault="00D44A1F" w:rsidP="00D44A1F">
      <w:pPr>
        <w:shd w:val="clear" w:color="auto" w:fill="FFFFFF"/>
        <w:spacing w:after="0" w:line="240" w:lineRule="auto"/>
        <w:jc w:val="both"/>
        <w:rPr>
          <w:rFonts w:eastAsia="Times New Roman" w:cstheme="minorHAnsi"/>
          <w:color w:val="000000" w:themeColor="text1"/>
          <w:sz w:val="24"/>
          <w:szCs w:val="24"/>
        </w:rPr>
      </w:pPr>
      <w:r w:rsidRPr="000C0983">
        <w:rPr>
          <w:rFonts w:asciiTheme="minorHAnsi" w:eastAsia="Times New Roman" w:hAnsiTheme="minorHAnsi" w:cstheme="minorHAnsi"/>
          <w:color w:val="000000" w:themeColor="text1"/>
          <w:sz w:val="24"/>
          <w:szCs w:val="24"/>
        </w:rPr>
        <w:br/>
      </w:r>
    </w:p>
    <w:p w14:paraId="22CC9F3C" w14:textId="77777777" w:rsidR="00D44A1F" w:rsidRPr="000C0983" w:rsidRDefault="00D44A1F" w:rsidP="00D44A1F">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(Semplificazioni per l'installazione di impianti fotovoltaici flottanti)</w:t>
      </w:r>
    </w:p>
    <w:p w14:paraId="1F05812A" w14:textId="77777777" w:rsidR="00D44A1F" w:rsidRDefault="00D44A1F" w:rsidP="00D44A1F">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3138DCDC" w14:textId="77777777"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Ferme restando le disposizioni tributarie in materia di accisa sull'energia elettrica, per l'attività di realizzazione e di esercizio di impianti solari fotovoltaici di potenza fino a 10 MW, comprese le opere funzionali alla connessione alla rete elettrica, posizionati in modalità flottante sullo specchio d'acqua di invasi e di bacini idrici, compresi gli invasi idrici nelle cave dismesse, o installati a copertura dei canali di irrigazione, si applica la procedura abilitativa semplificata di cui all'articolo 6, comma 1, del decreto legislativo 3 marzo 2011, n. 28, fatte salve le disposizioni in materia di valutazione di impatto ambientale e di tutela delle risorse idriche di cui al decreto legislativo 3 aprile 2006, n. 152, a eccezione degli impianti installati in bacini d'acqua che ricadono all'interno delle aree previste all'articolo 136 del codice dei beni culturali e del paesaggio, di cui al decreto legislativo 22 gennaio 2004, n. 42, delle aree naturali protette di cui alla legge 6 dicembre 1991, n. 394, o di siti della rete Natura 2000.</w:t>
      </w:r>
    </w:p>
    <w:p w14:paraId="6D7DAB07" w14:textId="77777777"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1962699E" w14:textId="70F305C8" w:rsidR="00B073AB" w:rsidRDefault="00D44A1F" w:rsidP="00D44A1F">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xml:space="preserve">2. Con decreto del Ministro della transizione ecologica, di concerto con il Ministro delle infrastrutture e della mobilità sostenibili e con il Ministro dell'economia e delle finanze, da emanare entro novanta giorni dalla data di entrata in vigore della legge di conversione del presente decreto, previa intesa con la Conferenza unificata di cui all'articolo 8 del decreto legislativo 28 agosto 1997, n. 281, sono stabiliti i criteri per l'inserimento e l'integrazione degli impianti di cui al comma 1 sotto il profilo ambientale, </w:t>
      </w:r>
      <w:r w:rsidRPr="000C0983">
        <w:rPr>
          <w:rFonts w:asciiTheme="minorHAnsi" w:eastAsia="Times New Roman" w:hAnsiTheme="minorHAnsi" w:cstheme="minorHAnsi"/>
          <w:b/>
          <w:bCs/>
          <w:color w:val="000000" w:themeColor="text1"/>
          <w:sz w:val="24"/>
          <w:szCs w:val="24"/>
        </w:rPr>
        <w:lastRenderedPageBreak/>
        <w:t>anche al fine di assicurare un'adeguata superficie di soleggiamento dello specchio d'acqua e una corretta posizione dell'impianto rispetto alle sponde e alla profondità del bacino.</w:t>
      </w:r>
      <w:r w:rsidR="00B073AB">
        <w:rPr>
          <w:rStyle w:val="Rimandonotaapidipagina"/>
          <w:rFonts w:asciiTheme="minorHAnsi" w:eastAsia="Times New Roman" w:hAnsiTheme="minorHAnsi" w:cstheme="minorHAnsi"/>
          <w:b/>
          <w:bCs/>
          <w:color w:val="000000" w:themeColor="text1"/>
          <w:sz w:val="24"/>
          <w:szCs w:val="24"/>
        </w:rPr>
        <w:footnoteReference w:id="19"/>
      </w:r>
    </w:p>
    <w:p w14:paraId="0914F5B9" w14:textId="77C58E5A" w:rsidR="00D44A1F" w:rsidRDefault="00D44A1F" w:rsidP="00B073AB">
      <w:pPr>
        <w:shd w:val="clear" w:color="auto" w:fill="FFFFFF"/>
        <w:spacing w:after="0" w:line="240" w:lineRule="auto"/>
        <w:jc w:val="both"/>
        <w:rPr>
          <w:rFonts w:eastAsia="Times New Roman" w:cstheme="minorHAnsi"/>
          <w:i/>
          <w:iCs/>
          <w:color w:val="000000" w:themeColor="text1"/>
          <w:sz w:val="24"/>
          <w:szCs w:val="24"/>
        </w:rPr>
      </w:pPr>
      <w:r w:rsidRPr="000C0983">
        <w:rPr>
          <w:rFonts w:asciiTheme="minorHAnsi" w:eastAsia="Times New Roman" w:hAnsiTheme="minorHAnsi" w:cstheme="minorHAnsi"/>
          <w:color w:val="000000" w:themeColor="text1"/>
          <w:sz w:val="24"/>
          <w:szCs w:val="24"/>
        </w:rPr>
        <w:t> </w:t>
      </w:r>
    </w:p>
    <w:p w14:paraId="04235DA7" w14:textId="77777777" w:rsidR="00D44A1F" w:rsidRPr="000C0983" w:rsidRDefault="00D44A1F" w:rsidP="00D44A1F">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p>
    <w:p w14:paraId="5BCC7FEC" w14:textId="77777777"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p>
    <w:p w14:paraId="4F5459AC" w14:textId="77777777"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1.</w:t>
      </w:r>
      <w:r w:rsidRPr="000C0983">
        <w:rPr>
          <w:rFonts w:asciiTheme="minorHAnsi" w:eastAsia="Times New Roman" w:hAnsiTheme="minorHAnsi" w:cstheme="minorHAnsi"/>
          <w:b/>
          <w:bCs/>
          <w:color w:val="000000" w:themeColor="text1"/>
          <w:sz w:val="24"/>
          <w:szCs w:val="24"/>
        </w:rPr>
        <w:t xml:space="preserve"> All'articolo 13, comma 6, del decreto del Presidente della Repubblica 31 agosto 1972, n. 670, recante Statuto speciale per il Trentino-Alto Adige, le parole: «ancorché scadute, sono prorogate di diritto» sono sostituite dalle seguenti: «o a data successiva, individuata dallo Stato per analoghe le concessioni di grandi derivazioni idroelettriche sul territorio nazionale, sono prorogate di diritto, ancorché scadute».</w:t>
      </w:r>
    </w:p>
    <w:p w14:paraId="72010CA0" w14:textId="141C16F0" w:rsidR="00D44A1F" w:rsidRDefault="00D44A1F" w:rsidP="00D44A1F">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2 Le modifiche di cui al comma 1 sono approvate ai sensi e per gli effetti dell'articolo 104 del testo unico delle leggi costituzionali concernenti lo statuto speciale per il Trentino-Alto Adige, di cui al decreto del Presidente della Repubblica 31 agosto 1972, n. 670, e successive modificazioni.</w:t>
      </w:r>
      <w:r w:rsidR="00BC5582">
        <w:rPr>
          <w:rStyle w:val="Rimandonotaapidipagina"/>
          <w:rFonts w:asciiTheme="minorHAnsi" w:eastAsia="Times New Roman" w:hAnsiTheme="minorHAnsi" w:cstheme="minorHAnsi"/>
          <w:b/>
          <w:bCs/>
          <w:color w:val="000000" w:themeColor="text1"/>
          <w:sz w:val="24"/>
          <w:szCs w:val="24"/>
        </w:rPr>
        <w:footnoteReference w:id="20"/>
      </w:r>
    </w:p>
    <w:p w14:paraId="1BFBEF91" w14:textId="7FF88302" w:rsidR="001C5FAC" w:rsidRPr="001C5FAC" w:rsidRDefault="00D44A1F" w:rsidP="00D44CF9">
      <w:pPr>
        <w:shd w:val="clear" w:color="auto" w:fill="FFFFFF"/>
        <w:spacing w:after="0" w:line="240" w:lineRule="auto"/>
        <w:jc w:val="center"/>
        <w:rPr>
          <w:rFonts w:asciiTheme="minorHAnsi"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br/>
      </w:r>
      <w:r w:rsidR="001C5FAC" w:rsidRPr="001C5FAC">
        <w:rPr>
          <w:rFonts w:asciiTheme="minorHAnsi" w:hAnsiTheme="minorHAnsi" w:cstheme="minorHAnsi"/>
          <w:color w:val="000000" w:themeColor="text1"/>
          <w:sz w:val="24"/>
          <w:szCs w:val="24"/>
        </w:rPr>
        <w:t>Articolo 10.</w:t>
      </w:r>
    </w:p>
    <w:p w14:paraId="2B22504A"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(Definizione di un modello unico per impianti di potenza superiore a 50 kW e fino a 200 kW)</w:t>
      </w:r>
    </w:p>
    <w:p w14:paraId="5E6EECB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07C0D68"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Entro sessanta giorni dalla data di entrata in vigore del presente decreto, con decreto del Ministro della transizione ecologica, di concerto con il Ministro per gli affari regionali e le autonomie, sono individuate le condizioni e le modalità per l'estensione del modello unico semplificato di cui all'articolo 25, comma 3, lettera a), del decreto legislativo 8 novembre 2021, n. 199, agli impianti di potenza superiore a 50 kW e fino a 200 kW, realizzati ai sensi dell'articolo 7-bis, comma 5, del decreto legislativo 3 marzo 2011, n. 28, come modificato dall'articolo 9 del presente decreto.</w:t>
      </w:r>
    </w:p>
    <w:p w14:paraId="428FC14F" w14:textId="77777777" w:rsidR="00B57B4B" w:rsidRDefault="00B57B4B" w:rsidP="001C5FAC">
      <w:pPr>
        <w:spacing w:after="0" w:line="240" w:lineRule="auto"/>
        <w:jc w:val="both"/>
        <w:rPr>
          <w:rFonts w:asciiTheme="minorHAnsi" w:hAnsiTheme="minorHAnsi" w:cstheme="minorHAnsi"/>
          <w:color w:val="000000" w:themeColor="text1"/>
          <w:sz w:val="24"/>
          <w:szCs w:val="24"/>
        </w:rPr>
      </w:pPr>
    </w:p>
    <w:p w14:paraId="0DD3C3F2" w14:textId="77777777" w:rsidR="00B57B4B" w:rsidRPr="000C0983" w:rsidRDefault="00B57B4B" w:rsidP="00B57B4B">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10-</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(Installazione di impianti a fonti rinnovabili in aree a destinazione industriale)</w:t>
      </w:r>
    </w:p>
    <w:p w14:paraId="1010CD7E" w14:textId="77777777" w:rsidR="00B57B4B" w:rsidRDefault="00B57B4B" w:rsidP="00B57B4B">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6FA8258D" w14:textId="77777777" w:rsidR="00B57B4B" w:rsidRDefault="00B57B4B" w:rsidP="00B57B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In deroga agli strumenti urbanistici comunali e agli indici di copertura esistenti, nelle aree a destinazione industriale è consentita l'installazione di impianti solari fotovoltaici e termici che coprano una superficie non superiore al 60 per cento dell'area industriale di pertinenza.</w:t>
      </w:r>
    </w:p>
    <w:p w14:paraId="20B576B4" w14:textId="77777777" w:rsidR="00B57B4B" w:rsidRDefault="00B57B4B" w:rsidP="00B57B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6C97A131" w14:textId="4168B9B6" w:rsidR="00B57B4B" w:rsidRDefault="00B57B4B" w:rsidP="00B57B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Gli impianti di cui al comma 1 possono essere installati su strutture di sostegno appositamente realizzate.</w:t>
      </w:r>
      <w:r w:rsidR="000C0F51">
        <w:rPr>
          <w:rStyle w:val="Rimandonotaapidipagina"/>
          <w:rFonts w:asciiTheme="minorHAnsi" w:eastAsia="Times New Roman" w:hAnsiTheme="minorHAnsi" w:cstheme="minorHAnsi"/>
          <w:b/>
          <w:bCs/>
          <w:color w:val="000000" w:themeColor="text1"/>
          <w:sz w:val="24"/>
          <w:szCs w:val="24"/>
        </w:rPr>
        <w:footnoteReference w:id="21"/>
      </w:r>
    </w:p>
    <w:p w14:paraId="100FD1C9" w14:textId="77777777" w:rsidR="00B57B4B" w:rsidRDefault="00B57B4B" w:rsidP="00B57B4B">
      <w:pPr>
        <w:shd w:val="clear" w:color="auto" w:fill="FFFFFF"/>
        <w:spacing w:after="0" w:line="240" w:lineRule="auto"/>
        <w:jc w:val="both"/>
        <w:rPr>
          <w:rFonts w:eastAsia="Times New Roman" w:cstheme="minorHAnsi"/>
          <w:b/>
          <w:bCs/>
          <w:color w:val="000000" w:themeColor="text1"/>
          <w:sz w:val="24"/>
          <w:szCs w:val="24"/>
        </w:rPr>
      </w:pPr>
    </w:p>
    <w:p w14:paraId="0D6FBE5D" w14:textId="77777777" w:rsidR="00B57B4B" w:rsidRDefault="00B57B4B" w:rsidP="00B57B4B">
      <w:pPr>
        <w:shd w:val="clear" w:color="auto" w:fill="FFFFFF"/>
        <w:spacing w:after="0" w:line="240" w:lineRule="auto"/>
        <w:jc w:val="center"/>
        <w:rPr>
          <w:rFonts w:eastAsia="Times New Roman" w:cstheme="minorHAnsi"/>
          <w:color w:val="000000" w:themeColor="text1"/>
          <w:sz w:val="24"/>
          <w:szCs w:val="24"/>
        </w:rPr>
      </w:pPr>
    </w:p>
    <w:p w14:paraId="12E6B3E7" w14:textId="77777777" w:rsidR="00B57B4B" w:rsidRPr="000C0983" w:rsidRDefault="00B57B4B" w:rsidP="00B57B4B">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Articolo 10-</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(Misure per lo sviluppo delle fonti rinnovabili e per il contenimento dei prezzi energetici)</w:t>
      </w:r>
    </w:p>
    <w:p w14:paraId="37906EA6" w14:textId="77777777" w:rsidR="00B57B4B" w:rsidRDefault="00B57B4B" w:rsidP="00B57B4B">
      <w:pPr>
        <w:shd w:val="clear" w:color="auto" w:fill="FFFFFF"/>
        <w:spacing w:after="0" w:line="240" w:lineRule="auto"/>
        <w:rPr>
          <w:rFonts w:eastAsia="Times New Roman"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3AF1A5F4"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comma 1 dell'articolo 30 del decreto legislativo 8 novembre 2021, n. 199, sono apportate le seguenti modificazioni:</w:t>
      </w:r>
    </w:p>
    <w:p w14:paraId="63785EB3"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il numero 2) è sostituito dal seguente:</w:t>
      </w:r>
    </w:p>
    <w:p w14:paraId="1BD5E9CC"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con uno o più impianti di produzione da fonti rinnovabili ubicati presso edifici o in siti diversi da quelli presso il quale l'</w:t>
      </w:r>
      <w:proofErr w:type="spellStart"/>
      <w:r w:rsidRPr="000C0983">
        <w:rPr>
          <w:rFonts w:asciiTheme="minorHAnsi" w:eastAsia="Times New Roman" w:hAnsiTheme="minorHAnsi" w:cstheme="minorHAnsi"/>
          <w:b/>
          <w:bCs/>
          <w:color w:val="000000" w:themeColor="text1"/>
          <w:sz w:val="24"/>
          <w:szCs w:val="24"/>
        </w:rPr>
        <w:t>autoconsumatore</w:t>
      </w:r>
      <w:proofErr w:type="spellEnd"/>
      <w:r w:rsidRPr="000C0983">
        <w:rPr>
          <w:rFonts w:asciiTheme="minorHAnsi" w:eastAsia="Times New Roman" w:hAnsiTheme="minorHAnsi" w:cstheme="minorHAnsi"/>
          <w:b/>
          <w:bCs/>
          <w:color w:val="000000" w:themeColor="text1"/>
          <w:sz w:val="24"/>
          <w:szCs w:val="24"/>
        </w:rPr>
        <w:t xml:space="preserve"> opera, fermo restando che tali edifici o siti devono essere nella disponibilità dell'</w:t>
      </w:r>
      <w:proofErr w:type="spellStart"/>
      <w:r w:rsidRPr="000C0983">
        <w:rPr>
          <w:rFonts w:asciiTheme="minorHAnsi" w:eastAsia="Times New Roman" w:hAnsiTheme="minorHAnsi" w:cstheme="minorHAnsi"/>
          <w:b/>
          <w:bCs/>
          <w:color w:val="000000" w:themeColor="text1"/>
          <w:sz w:val="24"/>
          <w:szCs w:val="24"/>
        </w:rPr>
        <w:t>autoconsumatore</w:t>
      </w:r>
      <w:proofErr w:type="spellEnd"/>
      <w:r w:rsidRPr="000C0983">
        <w:rPr>
          <w:rFonts w:asciiTheme="minorHAnsi" w:eastAsia="Times New Roman" w:hAnsiTheme="minorHAnsi" w:cstheme="minorHAnsi"/>
          <w:b/>
          <w:bCs/>
          <w:color w:val="000000" w:themeColor="text1"/>
          <w:sz w:val="24"/>
          <w:szCs w:val="24"/>
        </w:rPr>
        <w:t xml:space="preserve"> stesso. In tal caso:</w:t>
      </w:r>
    </w:p>
    <w:p w14:paraId="7876F8BE"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2.1) l'impianto può essere direttamente interconnesso all'utenza del cliente finale con un collegamento diretto di lunghezza non superiore a 10 chilometri al quale non possono essere allacciate utenze diverse da quella dell'unità di produzione e dell'unità di consumo. La linea diretta di collegamento tra l'impianto di produzione e l'unità di consumo, se interrata, è autorizzata con le medesime procedure di autorizzazione dell'impianto di produzione. L'impianto dell'</w:t>
      </w:r>
      <w:proofErr w:type="spellStart"/>
      <w:r w:rsidRPr="000C0983">
        <w:rPr>
          <w:rFonts w:asciiTheme="minorHAnsi" w:eastAsia="Times New Roman" w:hAnsiTheme="minorHAnsi" w:cstheme="minorHAnsi"/>
          <w:b/>
          <w:bCs/>
          <w:color w:val="000000" w:themeColor="text1"/>
          <w:sz w:val="24"/>
          <w:szCs w:val="24"/>
        </w:rPr>
        <w:t>autoconsumatore</w:t>
      </w:r>
      <w:proofErr w:type="spellEnd"/>
      <w:r w:rsidRPr="000C0983">
        <w:rPr>
          <w:rFonts w:asciiTheme="minorHAnsi" w:eastAsia="Times New Roman" w:hAnsiTheme="minorHAnsi" w:cstheme="minorHAnsi"/>
          <w:b/>
          <w:bCs/>
          <w:color w:val="000000" w:themeColor="text1"/>
          <w:sz w:val="24"/>
          <w:szCs w:val="24"/>
        </w:rPr>
        <w:t xml:space="preserve"> può essere di proprietà di un terzo o gestito da un terzo alle condizioni di cui al numero 1);</w:t>
      </w:r>
    </w:p>
    <w:p w14:paraId="073195BA"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2.2) l'</w:t>
      </w:r>
      <w:proofErr w:type="spellStart"/>
      <w:r w:rsidRPr="000C0983">
        <w:rPr>
          <w:rFonts w:asciiTheme="minorHAnsi" w:eastAsia="Times New Roman" w:hAnsiTheme="minorHAnsi" w:cstheme="minorHAnsi"/>
          <w:b/>
          <w:bCs/>
          <w:color w:val="000000" w:themeColor="text1"/>
          <w:sz w:val="24"/>
          <w:szCs w:val="24"/>
        </w:rPr>
        <w:t>autoconsumatore</w:t>
      </w:r>
      <w:proofErr w:type="spellEnd"/>
      <w:r w:rsidRPr="000C0983">
        <w:rPr>
          <w:rFonts w:asciiTheme="minorHAnsi" w:eastAsia="Times New Roman" w:hAnsiTheme="minorHAnsi" w:cstheme="minorHAnsi"/>
          <w:b/>
          <w:bCs/>
          <w:color w:val="000000" w:themeColor="text1"/>
          <w:sz w:val="24"/>
          <w:szCs w:val="24"/>
        </w:rPr>
        <w:t xml:space="preserve"> può utilizzare la rete di distribuzione esistente per condividere l'energia prodotta dagli impianti a fonti rinnovabili e consumarla nei punti di prelievo nella titolarità dello stesso </w:t>
      </w:r>
      <w:proofErr w:type="spellStart"/>
      <w:r w:rsidRPr="000C0983">
        <w:rPr>
          <w:rFonts w:asciiTheme="minorHAnsi" w:eastAsia="Times New Roman" w:hAnsiTheme="minorHAnsi" w:cstheme="minorHAnsi"/>
          <w:b/>
          <w:bCs/>
          <w:color w:val="000000" w:themeColor="text1"/>
          <w:sz w:val="24"/>
          <w:szCs w:val="24"/>
        </w:rPr>
        <w:t>autoconsumatore</w:t>
      </w:r>
      <w:proofErr w:type="spellEnd"/>
      <w:r w:rsidRPr="000C0983">
        <w:rPr>
          <w:rFonts w:asciiTheme="minorHAnsi" w:eastAsia="Times New Roman" w:hAnsiTheme="minorHAnsi" w:cstheme="minorHAnsi"/>
          <w:b/>
          <w:bCs/>
          <w:color w:val="000000" w:themeColor="text1"/>
          <w:sz w:val="24"/>
          <w:szCs w:val="24"/>
        </w:rPr>
        <w:t>»;</w:t>
      </w:r>
    </w:p>
    <w:p w14:paraId="1449A80F"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la lettera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è sostituita dalla seguente:</w:t>
      </w:r>
    </w:p>
    <w:p w14:paraId="68C116B9"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nel caso in cui operi con le modalità di cui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numero 2.2), può accedere agli strumenti di incentivazione di cui all'articolo 8 e alle compensazioni di cui all'articolo 32, comma 3,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nel caso in cui operi con le modalità di cui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numeri 1) 2.2), può accedere agli strumenti di incentivazione di cui agli articoli 6, 7 e 8».</w:t>
      </w:r>
    </w:p>
    <w:p w14:paraId="529197CA" w14:textId="77777777" w:rsidR="00B57B4B" w:rsidRPr="00593640" w:rsidRDefault="00B57B4B" w:rsidP="00B57B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3678FF65" w14:textId="77777777" w:rsidR="00B57B4B" w:rsidRPr="000C0983" w:rsidRDefault="00B57B4B" w:rsidP="00B57B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Dopo il comma 1 dell'articolo 30 del decreto legislativo 8 novembre 2021, n. 199, è inserito il seguente:</w:t>
      </w:r>
    </w:p>
    <w:p w14:paraId="5AEA8574" w14:textId="68A41B8E" w:rsidR="00B57B4B" w:rsidRDefault="00B57B4B" w:rsidP="00B57B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1-bis.</w:t>
      </w:r>
      <w:r w:rsidRPr="000C0983">
        <w:rPr>
          <w:rFonts w:asciiTheme="minorHAnsi" w:eastAsia="Times New Roman" w:hAnsiTheme="minorHAnsi" w:cstheme="minorHAnsi"/>
          <w:b/>
          <w:bCs/>
          <w:color w:val="000000" w:themeColor="text1"/>
          <w:sz w:val="24"/>
          <w:szCs w:val="24"/>
        </w:rPr>
        <w:t> Gli oneri generali afferenti al sistema elettrico, compresi quelli di cui all'articolo 3, comma 3, del decreto legislativo 16 marzo 1999, n. 79, sono applicati alle configurazioni di cui al numero 2.1) della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del comma 1 del presente articolo nella stessa misura applicata alle configurazioni di cui al numero 2.2) della medesima lettera. In sede di aggiornamento e adeguamento della regolazione dei sistemi semplici di produzione e consumo, ai sensi dell'articolo 16, comma 3, del decreto legislativo 8 novembre 2021, n. 210, ARERA stabilisce le modalità con le quali quanto previsto dal primo periodo del presente comma è applicato all'energia auto-consumata nelle configurazioni di nuova costruzione di cui al comma 1,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numero 2.1), del presente comma».</w:t>
      </w:r>
      <w:r w:rsidR="000C0F51">
        <w:rPr>
          <w:rStyle w:val="Rimandonotaapidipagina"/>
          <w:rFonts w:asciiTheme="minorHAnsi" w:eastAsia="Times New Roman" w:hAnsiTheme="minorHAnsi" w:cstheme="minorHAnsi"/>
          <w:b/>
          <w:bCs/>
          <w:color w:val="000000" w:themeColor="text1"/>
          <w:sz w:val="24"/>
          <w:szCs w:val="24"/>
        </w:rPr>
        <w:footnoteReference w:id="22"/>
      </w:r>
    </w:p>
    <w:p w14:paraId="6F0AD67F" w14:textId="77777777" w:rsidR="00B57B4B" w:rsidRPr="001C5FAC" w:rsidRDefault="00B57B4B" w:rsidP="001C5FAC">
      <w:pPr>
        <w:spacing w:after="0" w:line="240" w:lineRule="auto"/>
        <w:jc w:val="both"/>
        <w:rPr>
          <w:rFonts w:asciiTheme="minorHAnsi" w:hAnsiTheme="minorHAnsi" w:cstheme="minorHAnsi"/>
          <w:color w:val="000000" w:themeColor="text1"/>
          <w:sz w:val="24"/>
          <w:szCs w:val="24"/>
        </w:rPr>
      </w:pPr>
    </w:p>
    <w:p w14:paraId="121B425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3ACC211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11.</w:t>
      </w:r>
    </w:p>
    <w:p w14:paraId="441DB53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(Regolamentazione dello sviluppo del fotovoltaico in area agricola)</w:t>
      </w:r>
    </w:p>
    <w:p w14:paraId="42BDB44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2B9011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65 del decreto-legge 24 gennaio 2012, n. 1, convertito, con modificazioni, dalla legge 24 marzo 2012, n. 27, sono apportate le seguenti modificazioni:</w:t>
      </w:r>
    </w:p>
    <w:p w14:paraId="0E6AF91E"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w:t>
      </w:r>
      <w:r w:rsidRPr="00EC007D">
        <w:rPr>
          <w:rFonts w:asciiTheme="minorHAnsi" w:hAnsiTheme="minorHAnsi" w:cstheme="minorHAnsi"/>
          <w:strike/>
          <w:color w:val="000000" w:themeColor="text1"/>
          <w:sz w:val="24"/>
          <w:szCs w:val="24"/>
          <w:highlight w:val="yellow"/>
        </w:rPr>
        <w:t>a) al comma 1-quinquies, dopo le parole «aziende agricole interessate» sono inserite le seguenti: «, purché tali impianti occupino una superficie complessiva non superiore al 10 per cento della superficie agricola aziendale»</w:t>
      </w:r>
      <w:r w:rsidRPr="001C5FAC">
        <w:rPr>
          <w:rFonts w:asciiTheme="minorHAnsi" w:hAnsiTheme="minorHAnsi" w:cstheme="minorHAnsi"/>
          <w:color w:val="000000" w:themeColor="text1"/>
          <w:sz w:val="24"/>
          <w:szCs w:val="24"/>
        </w:rPr>
        <w:t>.</w:t>
      </w:r>
    </w:p>
    <w:p w14:paraId="07609B5F" w14:textId="0DC34F73" w:rsidR="00EC007D" w:rsidRPr="001C5FAC" w:rsidRDefault="00EC007D" w:rsidP="00EC007D">
      <w:pPr>
        <w:spacing w:after="0" w:line="240" w:lineRule="auto"/>
        <w:ind w:firstLine="567"/>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comma 1-</w:t>
      </w:r>
      <w:r w:rsidRPr="000C0983">
        <w:rPr>
          <w:rFonts w:asciiTheme="minorHAnsi" w:eastAsia="Times New Roman" w:hAnsiTheme="minorHAnsi" w:cstheme="minorHAnsi"/>
          <w:b/>
          <w:bCs/>
          <w:i/>
          <w:iCs/>
          <w:color w:val="000000" w:themeColor="text1"/>
          <w:sz w:val="24"/>
          <w:szCs w:val="24"/>
        </w:rPr>
        <w:t>quinquies</w:t>
      </w:r>
      <w:r w:rsidRPr="000C0983">
        <w:rPr>
          <w:rFonts w:asciiTheme="minorHAnsi" w:eastAsia="Times New Roman" w:hAnsiTheme="minorHAnsi" w:cstheme="minorHAnsi"/>
          <w:b/>
          <w:bCs/>
          <w:color w:val="000000" w:themeColor="text1"/>
          <w:sz w:val="24"/>
          <w:szCs w:val="24"/>
        </w:rPr>
        <w:t>, dopo le parole “realizzazione di sistemi di monitoraggio” sono inserite le seguenti: “, da attuarsi sulla base delle Linee guida adottate dal CREA, in collaborazione con il GSE, entro 30 giorni dalla data di entrata in vigore della presente disposizione.”</w:t>
      </w:r>
      <w:r>
        <w:rPr>
          <w:rStyle w:val="Rimandonotaapidipagina"/>
          <w:rFonts w:asciiTheme="minorHAnsi" w:eastAsia="Times New Roman" w:hAnsiTheme="minorHAnsi" w:cstheme="minorHAnsi"/>
          <w:b/>
          <w:bCs/>
          <w:color w:val="000000" w:themeColor="text1"/>
          <w:sz w:val="24"/>
          <w:szCs w:val="24"/>
        </w:rPr>
        <w:footnoteReference w:id="23"/>
      </w:r>
    </w:p>
    <w:p w14:paraId="38E3A4C1" w14:textId="77777777" w:rsidR="001C5FAC" w:rsidRPr="008E4779" w:rsidRDefault="001C5FAC" w:rsidP="001C5FAC">
      <w:pPr>
        <w:spacing w:after="0" w:line="240" w:lineRule="auto"/>
        <w:jc w:val="both"/>
        <w:rPr>
          <w:rFonts w:asciiTheme="minorHAnsi" w:hAnsiTheme="minorHAnsi" w:cstheme="minorHAnsi"/>
          <w:strike/>
          <w:color w:val="000000" w:themeColor="text1"/>
          <w:sz w:val="24"/>
          <w:szCs w:val="24"/>
          <w:highlight w:val="yellow"/>
        </w:rPr>
      </w:pPr>
      <w:r w:rsidRPr="001C5FAC">
        <w:rPr>
          <w:rFonts w:asciiTheme="minorHAnsi" w:hAnsiTheme="minorHAnsi" w:cstheme="minorHAnsi"/>
          <w:color w:val="000000" w:themeColor="text1"/>
          <w:sz w:val="24"/>
          <w:szCs w:val="24"/>
        </w:rPr>
        <w:t>   </w:t>
      </w:r>
      <w:r w:rsidRPr="008E4779">
        <w:rPr>
          <w:rFonts w:asciiTheme="minorHAnsi" w:hAnsiTheme="minorHAnsi" w:cstheme="minorHAnsi"/>
          <w:strike/>
          <w:color w:val="000000" w:themeColor="text1"/>
          <w:sz w:val="24"/>
          <w:szCs w:val="24"/>
          <w:highlight w:val="yellow"/>
        </w:rPr>
        <w:t>b) dopo il comma 1-sexies sono inseriti i seguenti:</w:t>
      </w:r>
    </w:p>
    <w:p w14:paraId="10345B14" w14:textId="68FF6154"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8E4779">
        <w:rPr>
          <w:rFonts w:asciiTheme="minorHAnsi" w:hAnsiTheme="minorHAnsi" w:cstheme="minorHAnsi"/>
          <w:strike/>
          <w:color w:val="000000" w:themeColor="text1"/>
          <w:sz w:val="24"/>
          <w:szCs w:val="24"/>
          <w:highlight w:val="yellow"/>
        </w:rPr>
        <w:t>   «1-septies. Il comma 1 non si applica agli impianti fotovoltaici con moduli collocati a terra, a condizione che occupino una superficie complessiva non superiore al 10 per cento della superficie agricola aziendale</w:t>
      </w:r>
      <w:r w:rsidRPr="001C5FAC">
        <w:rPr>
          <w:rFonts w:asciiTheme="minorHAnsi" w:hAnsiTheme="minorHAnsi" w:cstheme="minorHAnsi"/>
          <w:color w:val="000000" w:themeColor="text1"/>
          <w:sz w:val="24"/>
          <w:szCs w:val="24"/>
        </w:rPr>
        <w:t>.</w:t>
      </w:r>
    </w:p>
    <w:p w14:paraId="4396D55F" w14:textId="2845D478" w:rsidR="001C5FAC" w:rsidRDefault="001C5FAC" w:rsidP="001C5FAC">
      <w:pPr>
        <w:spacing w:after="0" w:line="240" w:lineRule="auto"/>
        <w:jc w:val="both"/>
        <w:rPr>
          <w:rFonts w:asciiTheme="minorHAnsi" w:hAnsiTheme="minorHAnsi" w:cstheme="minorHAnsi"/>
          <w:strike/>
          <w:color w:val="000000" w:themeColor="text1"/>
          <w:sz w:val="24"/>
          <w:szCs w:val="24"/>
        </w:rPr>
      </w:pPr>
      <w:r w:rsidRPr="001C5FAC">
        <w:rPr>
          <w:rFonts w:asciiTheme="minorHAnsi" w:hAnsiTheme="minorHAnsi" w:cstheme="minorHAnsi"/>
          <w:color w:val="000000" w:themeColor="text1"/>
          <w:sz w:val="24"/>
          <w:szCs w:val="24"/>
        </w:rPr>
        <w:t>   </w:t>
      </w:r>
      <w:r w:rsidRPr="008E4779">
        <w:rPr>
          <w:rFonts w:asciiTheme="minorHAnsi" w:hAnsiTheme="minorHAnsi" w:cstheme="minorHAnsi"/>
          <w:strike/>
          <w:color w:val="000000" w:themeColor="text1"/>
          <w:sz w:val="24"/>
          <w:szCs w:val="24"/>
          <w:highlight w:val="yellow"/>
        </w:rPr>
        <w:t xml:space="preserve">1-octies. Il comma 1 non si applica agli impianti </w:t>
      </w:r>
      <w:proofErr w:type="spellStart"/>
      <w:r w:rsidRPr="008E4779">
        <w:rPr>
          <w:rFonts w:asciiTheme="minorHAnsi" w:hAnsiTheme="minorHAnsi" w:cstheme="minorHAnsi"/>
          <w:strike/>
          <w:color w:val="000000" w:themeColor="text1"/>
          <w:sz w:val="24"/>
          <w:szCs w:val="24"/>
          <w:highlight w:val="yellow"/>
        </w:rPr>
        <w:t>agrovoltaici</w:t>
      </w:r>
      <w:proofErr w:type="spellEnd"/>
      <w:r w:rsidRPr="008E4779">
        <w:rPr>
          <w:rFonts w:asciiTheme="minorHAnsi" w:hAnsiTheme="minorHAnsi" w:cstheme="minorHAnsi"/>
          <w:strike/>
          <w:color w:val="000000" w:themeColor="text1"/>
          <w:sz w:val="24"/>
          <w:szCs w:val="24"/>
          <w:highlight w:val="yellow"/>
        </w:rPr>
        <w:t xml:space="preserve"> che, pur adottando soluzioni costruttive diverse da quelle di cui al comma 1-quater, prevedano la realizzazione dei sistemi di monitoraggio di cui al comma 1-quinquies ai fini della verifica e della attestazione della continuità dell'attività agricola e pastorale sull'area interessata e occupino una superficie complessiva non superiore al 10 per cento della superficie agricola aziendale.».</w:t>
      </w:r>
      <w:r w:rsidR="008E4779">
        <w:rPr>
          <w:rStyle w:val="Rimandonotaapidipagina"/>
          <w:rFonts w:asciiTheme="minorHAnsi" w:hAnsiTheme="minorHAnsi" w:cstheme="minorHAnsi"/>
          <w:strike/>
          <w:color w:val="000000" w:themeColor="text1"/>
          <w:sz w:val="24"/>
          <w:szCs w:val="24"/>
          <w:highlight w:val="yellow"/>
        </w:rPr>
        <w:footnoteReference w:id="24"/>
      </w:r>
    </w:p>
    <w:p w14:paraId="5EBFCC6C" w14:textId="709BC0C8" w:rsidR="004C2441" w:rsidRDefault="004C2441" w:rsidP="004C2441">
      <w:pPr>
        <w:spacing w:after="0" w:line="240" w:lineRule="auto"/>
        <w:ind w:firstLine="284"/>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novies</w:t>
      </w:r>
      <w:r w:rsidRPr="000C0983">
        <w:rPr>
          <w:rFonts w:asciiTheme="minorHAnsi" w:eastAsia="Times New Roman" w:hAnsiTheme="minorHAnsi" w:cstheme="minorHAnsi"/>
          <w:b/>
          <w:bCs/>
          <w:color w:val="000000" w:themeColor="text1"/>
          <w:sz w:val="24"/>
          <w:szCs w:val="24"/>
        </w:rPr>
        <w:t>. Il comma 1 non si applica altresì agli impianti solari fotovoltaici flottanti da realizzare su superfici bagnate ovvero su invasi artificiali di piccole o grandi dimensioni ove compatibili con altri usi.</w:t>
      </w:r>
      <w:r w:rsidR="00BF7D13">
        <w:rPr>
          <w:rStyle w:val="Rimandonotaapidipagina"/>
          <w:rFonts w:asciiTheme="minorHAnsi" w:eastAsia="Times New Roman" w:hAnsiTheme="minorHAnsi" w:cstheme="minorHAnsi"/>
          <w:b/>
          <w:bCs/>
          <w:color w:val="000000" w:themeColor="text1"/>
          <w:sz w:val="24"/>
          <w:szCs w:val="24"/>
        </w:rPr>
        <w:footnoteReference w:id="25"/>
      </w:r>
    </w:p>
    <w:p w14:paraId="7F76F596" w14:textId="3A2FA739" w:rsidR="0097748C" w:rsidRDefault="0097748C" w:rsidP="004C2441">
      <w:pPr>
        <w:spacing w:after="0" w:line="240" w:lineRule="auto"/>
        <w:ind w:firstLine="284"/>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novies</w:t>
      </w:r>
      <w:r w:rsidRPr="000C0983">
        <w:rPr>
          <w:rFonts w:asciiTheme="minorHAnsi" w:eastAsia="Times New Roman" w:hAnsiTheme="minorHAnsi" w:cstheme="minorHAnsi"/>
          <w:b/>
          <w:bCs/>
          <w:color w:val="000000" w:themeColor="text1"/>
          <w:sz w:val="24"/>
          <w:szCs w:val="24"/>
        </w:rPr>
        <w:t>. Le particelle su cui insistono gli impianti fotovoltaici di cui ai commi da 1-</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a 1-</w:t>
      </w:r>
      <w:r w:rsidRPr="000C0983">
        <w:rPr>
          <w:rFonts w:asciiTheme="minorHAnsi" w:eastAsia="Times New Roman" w:hAnsiTheme="minorHAnsi" w:cstheme="minorHAnsi"/>
          <w:b/>
          <w:bCs/>
          <w:i/>
          <w:iCs/>
          <w:color w:val="000000" w:themeColor="text1"/>
          <w:sz w:val="24"/>
          <w:szCs w:val="24"/>
        </w:rPr>
        <w:t>octies</w:t>
      </w:r>
      <w:r w:rsidRPr="000C0983">
        <w:rPr>
          <w:rFonts w:asciiTheme="minorHAnsi" w:eastAsia="Times New Roman" w:hAnsiTheme="minorHAnsi" w:cstheme="minorHAnsi"/>
          <w:b/>
          <w:bCs/>
          <w:color w:val="000000" w:themeColor="text1"/>
          <w:sz w:val="24"/>
          <w:szCs w:val="24"/>
        </w:rPr>
        <w:t> del presente articolo anche a seguito di frazionamento o trasferimento a qualsiasi titolo dei terreni, non possono essere oggetto di ulteriori richieste di installazione di impianti fotovoltaici per 10 anni successivi al rilascio degli incentivi statali di cui al decreto legislativo 3 marzo 2011, n. 28.</w:t>
      </w:r>
      <w:r>
        <w:rPr>
          <w:rStyle w:val="Rimandonotaapidipagina"/>
          <w:rFonts w:asciiTheme="minorHAnsi" w:eastAsia="Times New Roman" w:hAnsiTheme="minorHAnsi" w:cstheme="minorHAnsi"/>
          <w:b/>
          <w:bCs/>
          <w:color w:val="000000" w:themeColor="text1"/>
          <w:sz w:val="24"/>
          <w:szCs w:val="24"/>
        </w:rPr>
        <w:footnoteReference w:id="26"/>
      </w:r>
    </w:p>
    <w:p w14:paraId="08124B37" w14:textId="3B800AEB" w:rsidR="00EC007D" w:rsidRPr="000C0983" w:rsidRDefault="0097748C" w:rsidP="0097748C">
      <w:pPr>
        <w:spacing w:after="0" w:line="240" w:lineRule="auto"/>
        <w:ind w:firstLine="284"/>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r>
      <w:r w:rsidR="00EC007D" w:rsidRPr="000C0983">
        <w:rPr>
          <w:rFonts w:asciiTheme="minorHAnsi" w:eastAsia="Times New Roman" w:hAnsiTheme="minorHAnsi" w:cstheme="minorHAnsi"/>
          <w:b/>
          <w:bCs/>
          <w:color w:val="000000" w:themeColor="text1"/>
          <w:sz w:val="24"/>
          <w:szCs w:val="24"/>
        </w:rPr>
        <w:t>1-</w:t>
      </w:r>
      <w:r w:rsidR="00EC007D" w:rsidRPr="000C0983">
        <w:rPr>
          <w:rFonts w:asciiTheme="minorHAnsi" w:eastAsia="Times New Roman" w:hAnsiTheme="minorHAnsi" w:cstheme="minorHAnsi"/>
          <w:b/>
          <w:bCs/>
          <w:i/>
          <w:iCs/>
          <w:color w:val="000000" w:themeColor="text1"/>
          <w:sz w:val="24"/>
          <w:szCs w:val="24"/>
        </w:rPr>
        <w:t>bis</w:t>
      </w:r>
      <w:r w:rsidR="00EC007D" w:rsidRPr="000C0983">
        <w:rPr>
          <w:rFonts w:asciiTheme="minorHAnsi" w:eastAsia="Times New Roman" w:hAnsiTheme="minorHAnsi" w:cstheme="minorHAnsi"/>
          <w:b/>
          <w:bCs/>
          <w:color w:val="000000" w:themeColor="text1"/>
          <w:sz w:val="24"/>
          <w:szCs w:val="24"/>
        </w:rPr>
        <w:t>. All'articolo 20 del decreto legislativo 8 novembre 2021, n. 199, apportare le seguenti modifiche:</w:t>
      </w:r>
    </w:p>
    <w:p w14:paraId="630A0B51" w14:textId="0B41DEE5" w:rsidR="00EC007D" w:rsidRPr="008E4779" w:rsidRDefault="00EC007D" w:rsidP="00EC007D">
      <w:pPr>
        <w:spacing w:after="0" w:line="240" w:lineRule="auto"/>
        <w:jc w:val="both"/>
        <w:rPr>
          <w:rFonts w:asciiTheme="minorHAnsi"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al comma 3, dopo le parole</w:t>
      </w:r>
      <w:r w:rsidRPr="000C0983">
        <w:rPr>
          <w:rFonts w:asciiTheme="minorHAnsi" w:eastAsia="Times New Roman" w:hAnsiTheme="minorHAnsi" w:cstheme="minorHAnsi"/>
          <w:b/>
          <w:bCs/>
          <w:i/>
          <w:iCs/>
          <w:color w:val="000000" w:themeColor="text1"/>
          <w:sz w:val="24"/>
          <w:szCs w:val="24"/>
        </w:rPr>
        <w:t> “</w:t>
      </w:r>
      <w:r w:rsidRPr="000C0983">
        <w:rPr>
          <w:rFonts w:asciiTheme="minorHAnsi" w:eastAsia="Times New Roman" w:hAnsiTheme="minorHAnsi" w:cstheme="minorHAnsi"/>
          <w:b/>
          <w:bCs/>
          <w:color w:val="000000" w:themeColor="text1"/>
          <w:sz w:val="24"/>
          <w:szCs w:val="24"/>
        </w:rPr>
        <w:t>quali capannoni industriali e parcheggi” sono inserite le seguenti</w:t>
      </w:r>
      <w:r w:rsidRPr="000C0983">
        <w:rPr>
          <w:rFonts w:asciiTheme="minorHAnsi" w:eastAsia="Times New Roman" w:hAnsiTheme="minorHAnsi" w:cstheme="minorHAnsi"/>
          <w:b/>
          <w:bCs/>
          <w:i/>
          <w:iCs/>
          <w:color w:val="000000" w:themeColor="text1"/>
          <w:sz w:val="24"/>
          <w:szCs w:val="24"/>
        </w:rPr>
        <w:t>: “</w:t>
      </w:r>
      <w:r w:rsidRPr="000C0983">
        <w:rPr>
          <w:rFonts w:asciiTheme="minorHAnsi" w:eastAsia="Times New Roman" w:hAnsiTheme="minorHAnsi" w:cstheme="minorHAnsi"/>
          <w:b/>
          <w:bCs/>
          <w:color w:val="000000" w:themeColor="text1"/>
          <w:sz w:val="24"/>
          <w:szCs w:val="24"/>
        </w:rPr>
        <w:t>oppure aree a destinazione industriale e artigianale, per servizi e logistica”;</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al comma 8, dopo la lettera c-</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è aggiunta la seguente: “c-</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xml:space="preserve">) esclusivamente per gli impianti </w:t>
      </w:r>
      <w:r w:rsidRPr="000C0983">
        <w:rPr>
          <w:rFonts w:asciiTheme="minorHAnsi" w:eastAsia="Times New Roman" w:hAnsiTheme="minorHAnsi" w:cstheme="minorHAnsi"/>
          <w:b/>
          <w:bCs/>
          <w:color w:val="000000" w:themeColor="text1"/>
          <w:sz w:val="24"/>
          <w:szCs w:val="24"/>
        </w:rPr>
        <w:lastRenderedPageBreak/>
        <w:t>fotovoltaici, le aree adiacenti alla rete autostradale entro una distanza non superiore a centocinquanta</w:t>
      </w:r>
      <w:r w:rsidR="008461B3">
        <w:rPr>
          <w:rFonts w:asciiTheme="minorHAnsi" w:eastAsia="Times New Roman" w:hAnsiTheme="minorHAnsi" w:cstheme="minorHAnsi"/>
          <w:b/>
          <w:bCs/>
          <w:color w:val="000000" w:themeColor="text1"/>
          <w:sz w:val="24"/>
          <w:szCs w:val="24"/>
        </w:rPr>
        <w:t xml:space="preserve"> </w:t>
      </w:r>
      <w:r w:rsidR="008461B3" w:rsidRPr="000C0983">
        <w:rPr>
          <w:rFonts w:asciiTheme="minorHAnsi" w:eastAsia="Times New Roman" w:hAnsiTheme="minorHAnsi" w:cstheme="minorHAnsi"/>
          <w:b/>
          <w:bCs/>
          <w:color w:val="000000" w:themeColor="text1"/>
          <w:sz w:val="24"/>
          <w:szCs w:val="24"/>
        </w:rPr>
        <w:t>metri”.</w:t>
      </w:r>
      <w:r w:rsidR="008461B3">
        <w:rPr>
          <w:rStyle w:val="Rimandonotaapidipagina"/>
          <w:rFonts w:asciiTheme="minorHAnsi" w:eastAsia="Times New Roman" w:hAnsiTheme="minorHAnsi" w:cstheme="minorHAnsi"/>
          <w:b/>
          <w:bCs/>
          <w:color w:val="000000" w:themeColor="text1"/>
          <w:sz w:val="24"/>
          <w:szCs w:val="24"/>
        </w:rPr>
        <w:footnoteReference w:id="27"/>
      </w:r>
    </w:p>
    <w:p w14:paraId="0C8485D1" w14:textId="77777777" w:rsidR="001C5FAC" w:rsidRDefault="001C5FAC" w:rsidP="001C5FAC">
      <w:pPr>
        <w:spacing w:after="0" w:line="240" w:lineRule="auto"/>
        <w:jc w:val="both"/>
        <w:rPr>
          <w:rFonts w:asciiTheme="minorHAnsi" w:hAnsiTheme="minorHAnsi" w:cstheme="minorHAnsi"/>
          <w:color w:val="000000" w:themeColor="text1"/>
          <w:sz w:val="24"/>
          <w:szCs w:val="24"/>
        </w:rPr>
      </w:pPr>
    </w:p>
    <w:p w14:paraId="338DF509" w14:textId="77777777" w:rsidR="005971D8" w:rsidRPr="001C5FAC" w:rsidRDefault="005971D8" w:rsidP="001C5FAC">
      <w:pPr>
        <w:spacing w:after="0" w:line="240" w:lineRule="auto"/>
        <w:jc w:val="both"/>
        <w:rPr>
          <w:rFonts w:asciiTheme="minorHAnsi" w:hAnsiTheme="minorHAnsi" w:cstheme="minorHAnsi"/>
          <w:color w:val="000000" w:themeColor="text1"/>
          <w:sz w:val="24"/>
          <w:szCs w:val="24"/>
        </w:rPr>
      </w:pPr>
    </w:p>
    <w:p w14:paraId="33F0B220" w14:textId="77777777" w:rsidR="005971D8" w:rsidRPr="000C0983" w:rsidRDefault="005971D8" w:rsidP="005971D8">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11-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 xml:space="preserve">(Riconversione e incremento dell'efficienza energetica degli impianti </w:t>
      </w:r>
      <w:proofErr w:type="spellStart"/>
      <w:r w:rsidRPr="000C0983">
        <w:rPr>
          <w:rFonts w:asciiTheme="minorHAnsi" w:eastAsia="Times New Roman" w:hAnsiTheme="minorHAnsi" w:cstheme="minorHAnsi"/>
          <w:b/>
          <w:bCs/>
          <w:i/>
          <w:iCs/>
          <w:color w:val="000000" w:themeColor="text1"/>
          <w:sz w:val="24"/>
          <w:szCs w:val="24"/>
        </w:rPr>
        <w:t>serricoli</w:t>
      </w:r>
      <w:proofErr w:type="spellEnd"/>
      <w:r w:rsidRPr="000C0983">
        <w:rPr>
          <w:rFonts w:asciiTheme="minorHAnsi" w:eastAsia="Times New Roman" w:hAnsiTheme="minorHAnsi" w:cstheme="minorHAnsi"/>
          <w:b/>
          <w:bCs/>
          <w:i/>
          <w:iCs/>
          <w:color w:val="000000" w:themeColor="text1"/>
          <w:sz w:val="24"/>
          <w:szCs w:val="24"/>
        </w:rPr>
        <w:t>)</w:t>
      </w:r>
    </w:p>
    <w:p w14:paraId="33EE3DA2" w14:textId="77777777" w:rsidR="005971D8" w:rsidRDefault="005971D8" w:rsidP="005971D8">
      <w:pPr>
        <w:shd w:val="clear" w:color="auto" w:fill="FFFFFF"/>
        <w:spacing w:after="0" w:line="240" w:lineRule="auto"/>
        <w:jc w:val="both"/>
        <w:rPr>
          <w:rFonts w:eastAsia="Times New Roman" w:cstheme="minorHAnsi"/>
          <w:b/>
          <w:bCs/>
          <w:color w:val="000000" w:themeColor="text1"/>
          <w:sz w:val="24"/>
          <w:szCs w:val="24"/>
        </w:rPr>
      </w:pPr>
    </w:p>
    <w:p w14:paraId="55BF38AE" w14:textId="77777777" w:rsidR="005971D8" w:rsidRDefault="005971D8" w:rsidP="005971D8">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xml:space="preserve">1. Al fine di contrastare il degrado ambientale e paesaggistico derivante dal progressivo deterioramento strutturale del patrimonio </w:t>
      </w:r>
      <w:proofErr w:type="spellStart"/>
      <w:r w:rsidRPr="000C0983">
        <w:rPr>
          <w:rFonts w:asciiTheme="minorHAnsi" w:eastAsia="Times New Roman" w:hAnsiTheme="minorHAnsi" w:cstheme="minorHAnsi"/>
          <w:b/>
          <w:bCs/>
          <w:color w:val="000000" w:themeColor="text1"/>
          <w:sz w:val="24"/>
          <w:szCs w:val="24"/>
        </w:rPr>
        <w:t>serricolo</w:t>
      </w:r>
      <w:proofErr w:type="spellEnd"/>
      <w:r w:rsidRPr="000C0983">
        <w:rPr>
          <w:rFonts w:asciiTheme="minorHAnsi" w:eastAsia="Times New Roman" w:hAnsiTheme="minorHAnsi" w:cstheme="minorHAnsi"/>
          <w:b/>
          <w:bCs/>
          <w:color w:val="000000" w:themeColor="text1"/>
          <w:sz w:val="24"/>
          <w:szCs w:val="24"/>
        </w:rPr>
        <w:t xml:space="preserve"> nazionale e di favorirne la riconversione per un efficiente reimpiego, il Ministro della transizione ecologica, con proprio decreto, di concerto con il Ministro delle politiche agricole alimentari e forestali e con il Ministro dello sviluppo economico, entro sessanta giorni dalla data di entrata in vigore della legge di conversione del presente decreto, predispone un piano nazionale per la riconversione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in siti </w:t>
      </w:r>
      <w:proofErr w:type="spellStart"/>
      <w:r w:rsidRPr="000C0983">
        <w:rPr>
          <w:rFonts w:asciiTheme="minorHAnsi" w:eastAsia="Times New Roman" w:hAnsiTheme="minorHAnsi" w:cstheme="minorHAnsi"/>
          <w:b/>
          <w:bCs/>
          <w:color w:val="000000" w:themeColor="text1"/>
          <w:sz w:val="24"/>
          <w:szCs w:val="24"/>
        </w:rPr>
        <w:t>agroenergetici</w:t>
      </w:r>
      <w:proofErr w:type="spellEnd"/>
      <w:r w:rsidRPr="000C0983">
        <w:rPr>
          <w:rFonts w:asciiTheme="minorHAnsi" w:eastAsia="Times New Roman" w:hAnsiTheme="minorHAnsi" w:cstheme="minorHAnsi"/>
          <w:b/>
          <w:bCs/>
          <w:color w:val="000000" w:themeColor="text1"/>
          <w:sz w:val="24"/>
          <w:szCs w:val="24"/>
        </w:rPr>
        <w:t>.</w:t>
      </w:r>
    </w:p>
    <w:p w14:paraId="23EE5A55" w14:textId="77777777" w:rsidR="005971D8" w:rsidRDefault="005971D8" w:rsidP="005971D8">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0A0C30AB"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Il decreto di cui al comma 1 determina le modalità più idonee al perseguimento delle seguenti finalità:</w:t>
      </w:r>
    </w:p>
    <w:p w14:paraId="10B3D608"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xml:space="preserve"> rinnovare strutturalmente 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ai fini dell'adeguamento alle nuove metodologie di produzione, quali l'agricoltura integrata e la coltivazione fuori suolo, nonché dell'aggiornamento in materia di sicurezza;</w:t>
      </w:r>
    </w:p>
    <w:p w14:paraId="5E26B670"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indirizzare gli investimenti verso apprestamenti protetti progettati per assicurarne la sostenibilità ambientale e l'efficienza agronomica;</w:t>
      </w:r>
    </w:p>
    <w:p w14:paraId="0E31D61C"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favorire l'uso di energie rinnovabili per la gestione colturale e climatica, sostenendo gli investimenti per la riduzione dell'impatto delle attività agricole sull'ambiente;</w:t>
      </w:r>
    </w:p>
    <w:p w14:paraId="28EFA778"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d)</w:t>
      </w:r>
      <w:r w:rsidRPr="000C0983">
        <w:rPr>
          <w:rFonts w:asciiTheme="minorHAnsi" w:eastAsia="Times New Roman" w:hAnsiTheme="minorHAnsi" w:cstheme="minorHAnsi"/>
          <w:b/>
          <w:bCs/>
          <w:color w:val="000000" w:themeColor="text1"/>
          <w:sz w:val="24"/>
          <w:szCs w:val="24"/>
        </w:rPr>
        <w:t xml:space="preserve"> favorire la trasformazione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da strutture di consumo a strutture di produzione e di condivisione dell'energia, rendendo gli impianti medesimi produttori dell'energia necessaria al proprio funzionamento;</w:t>
      </w:r>
    </w:p>
    <w:p w14:paraId="0CF88262"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e)</w:t>
      </w:r>
      <w:r w:rsidRPr="000C0983">
        <w:rPr>
          <w:rFonts w:asciiTheme="minorHAnsi" w:eastAsia="Times New Roman" w:hAnsiTheme="minorHAnsi" w:cstheme="minorHAnsi"/>
          <w:b/>
          <w:bCs/>
          <w:color w:val="000000" w:themeColor="text1"/>
          <w:sz w:val="24"/>
          <w:szCs w:val="24"/>
        </w:rPr>
        <w:t xml:space="preserve"> incrementare la resilienza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ai mutamenti climatici;</w:t>
      </w:r>
    </w:p>
    <w:p w14:paraId="34AEB0A2"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f)</w:t>
      </w:r>
      <w:r w:rsidRPr="000C0983">
        <w:rPr>
          <w:rFonts w:asciiTheme="minorHAnsi" w:eastAsia="Times New Roman" w:hAnsiTheme="minorHAnsi" w:cstheme="minorHAnsi"/>
          <w:b/>
          <w:bCs/>
          <w:color w:val="000000" w:themeColor="text1"/>
          <w:sz w:val="24"/>
          <w:szCs w:val="24"/>
        </w:rPr>
        <w:t xml:space="preserve"> favorire il recupero delle acque piovane dai tetti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w:t>
      </w:r>
    </w:p>
    <w:p w14:paraId="2CBB182F"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g)</w:t>
      </w:r>
      <w:r w:rsidRPr="000C0983">
        <w:rPr>
          <w:rFonts w:asciiTheme="minorHAnsi" w:eastAsia="Times New Roman" w:hAnsiTheme="minorHAnsi" w:cstheme="minorHAnsi"/>
          <w:b/>
          <w:bCs/>
          <w:color w:val="000000" w:themeColor="text1"/>
          <w:sz w:val="24"/>
          <w:szCs w:val="24"/>
        </w:rPr>
        <w:t xml:space="preserve"> favorire gli investimenti nel settore del fotovoltaico semitrasparente da installare sui tetti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a duplice utilizzo sia energetico sia agricolo destinato alle nuove installazioni e al rinnovo e alla manutenzione straordinaria delle installazioni esistenti;</w:t>
      </w:r>
    </w:p>
    <w:p w14:paraId="209B9B0B"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h)</w:t>
      </w:r>
      <w:r w:rsidRPr="000C0983">
        <w:rPr>
          <w:rFonts w:asciiTheme="minorHAnsi" w:eastAsia="Times New Roman" w:hAnsiTheme="minorHAnsi" w:cstheme="minorHAnsi"/>
          <w:b/>
          <w:bCs/>
          <w:color w:val="000000" w:themeColor="text1"/>
          <w:sz w:val="24"/>
          <w:szCs w:val="24"/>
        </w:rPr>
        <w:t> incentivare lo sviluppo di impianti geotermici a bassa entalpia;</w:t>
      </w:r>
    </w:p>
    <w:p w14:paraId="0C97B1EB"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i)</w:t>
      </w:r>
      <w:r w:rsidRPr="000C0983">
        <w:rPr>
          <w:rFonts w:asciiTheme="minorHAnsi" w:eastAsia="Times New Roman" w:hAnsiTheme="minorHAnsi" w:cstheme="minorHAnsi"/>
          <w:b/>
          <w:bCs/>
          <w:color w:val="000000" w:themeColor="text1"/>
          <w:sz w:val="24"/>
          <w:szCs w:val="24"/>
        </w:rPr>
        <w:t> favorire la diffusione di impianti di riscaldamento e di raffrescamento, compreso il teleriscaldamento da trasformazione di biomasse e da centrali a biogas;</w:t>
      </w:r>
    </w:p>
    <w:p w14:paraId="32912B56"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l)</w:t>
      </w:r>
      <w:r w:rsidRPr="000C0983">
        <w:rPr>
          <w:rFonts w:asciiTheme="minorHAnsi" w:eastAsia="Times New Roman" w:hAnsiTheme="minorHAnsi" w:cstheme="minorHAnsi"/>
          <w:b/>
          <w:bCs/>
          <w:color w:val="000000" w:themeColor="text1"/>
          <w:sz w:val="24"/>
          <w:szCs w:val="24"/>
        </w:rPr>
        <w:t xml:space="preserve"> incentivare la rottamazione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con caratteristiche di vetustà e di inefficienza energetica, anche attraverso la concessione di contributi per la demolizione delle strutture, per la bonifica dei terreni sottostanti e per la rinaturalizzazione nonché per il rinnovamento delle </w:t>
      </w:r>
      <w:r w:rsidRPr="000C0983">
        <w:rPr>
          <w:rFonts w:asciiTheme="minorHAnsi" w:eastAsia="Times New Roman" w:hAnsiTheme="minorHAnsi" w:cstheme="minorHAnsi"/>
          <w:b/>
          <w:bCs/>
          <w:color w:val="000000" w:themeColor="text1"/>
          <w:sz w:val="24"/>
          <w:szCs w:val="24"/>
        </w:rPr>
        <w:lastRenderedPageBreak/>
        <w:t>strutture con finalità produttive, prevedendo l'elaborazione di un piano di gestione e di coltivazione di durata almeno quinquennale;</w:t>
      </w:r>
    </w:p>
    <w:p w14:paraId="0638471B"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m)</w:t>
      </w:r>
      <w:r w:rsidRPr="000C0983">
        <w:rPr>
          <w:rFonts w:asciiTheme="minorHAnsi" w:eastAsia="Times New Roman" w:hAnsiTheme="minorHAnsi" w:cstheme="minorHAnsi"/>
          <w:b/>
          <w:bCs/>
          <w:color w:val="000000" w:themeColor="text1"/>
          <w:sz w:val="24"/>
          <w:szCs w:val="24"/>
        </w:rPr>
        <w:t xml:space="preserve"> favorire la manutenzione straordinaria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mediante l'introduzione di reti e di protezioni antigrandine nonché il miglioramento delle caratteristiche strutturali al fine di garantire l'incremento delle prestazioni di resilienza ai mutamenti climatici;</w:t>
      </w:r>
    </w:p>
    <w:p w14:paraId="380C8783"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n)</w:t>
      </w:r>
      <w:r w:rsidRPr="000C0983">
        <w:rPr>
          <w:rFonts w:asciiTheme="minorHAnsi" w:eastAsia="Times New Roman" w:hAnsiTheme="minorHAnsi" w:cstheme="minorHAnsi"/>
          <w:b/>
          <w:bCs/>
          <w:color w:val="000000" w:themeColor="text1"/>
          <w:sz w:val="24"/>
          <w:szCs w:val="24"/>
        </w:rPr>
        <w:t xml:space="preserve"> incentivare il rinnovamento delle coperture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e l'eventuale sostituzione delle coperture in vetro con impianti fotovoltaici semitrasparenti o con altre coperture idonee ad incrementare la coibentazione degli ambienti di coltivazione, quali la riduzione dei ponti termici e l'impiego di teli e di strutture termicamente isolanti;</w:t>
      </w:r>
    </w:p>
    <w:p w14:paraId="53B788FA"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o)</w:t>
      </w:r>
      <w:r w:rsidRPr="000C0983">
        <w:rPr>
          <w:rFonts w:asciiTheme="minorHAnsi" w:eastAsia="Times New Roman" w:hAnsiTheme="minorHAnsi" w:cstheme="minorHAnsi"/>
          <w:b/>
          <w:bCs/>
          <w:color w:val="000000" w:themeColor="text1"/>
          <w:sz w:val="24"/>
          <w:szCs w:val="24"/>
        </w:rPr>
        <w:t xml:space="preserve"> favorire il rinnovamento delle coperture plastiche degli impianti </w:t>
      </w:r>
      <w:proofErr w:type="spellStart"/>
      <w:r w:rsidRPr="000C0983">
        <w:rPr>
          <w:rFonts w:asciiTheme="minorHAnsi" w:eastAsia="Times New Roman" w:hAnsiTheme="minorHAnsi" w:cstheme="minorHAnsi"/>
          <w:b/>
          <w:bCs/>
          <w:color w:val="000000" w:themeColor="text1"/>
          <w:sz w:val="24"/>
          <w:szCs w:val="24"/>
        </w:rPr>
        <w:t>serricoli</w:t>
      </w:r>
      <w:proofErr w:type="spellEnd"/>
      <w:r w:rsidRPr="000C0983">
        <w:rPr>
          <w:rFonts w:asciiTheme="minorHAnsi" w:eastAsia="Times New Roman" w:hAnsiTheme="minorHAnsi" w:cstheme="minorHAnsi"/>
          <w:b/>
          <w:bCs/>
          <w:color w:val="000000" w:themeColor="text1"/>
          <w:sz w:val="24"/>
          <w:szCs w:val="24"/>
        </w:rPr>
        <w:t xml:space="preserve"> con materiali innovativi </w:t>
      </w:r>
      <w:proofErr w:type="spellStart"/>
      <w:r w:rsidRPr="000C0983">
        <w:rPr>
          <w:rFonts w:asciiTheme="minorHAnsi" w:eastAsia="Times New Roman" w:hAnsiTheme="minorHAnsi" w:cstheme="minorHAnsi"/>
          <w:b/>
          <w:bCs/>
          <w:color w:val="000000" w:themeColor="text1"/>
          <w:sz w:val="24"/>
          <w:szCs w:val="24"/>
        </w:rPr>
        <w:t>fotoselettivi</w:t>
      </w:r>
      <w:proofErr w:type="spellEnd"/>
      <w:r w:rsidRPr="000C0983">
        <w:rPr>
          <w:rFonts w:asciiTheme="minorHAnsi" w:eastAsia="Times New Roman" w:hAnsiTheme="minorHAnsi" w:cstheme="minorHAnsi"/>
          <w:b/>
          <w:bCs/>
          <w:color w:val="000000" w:themeColor="text1"/>
          <w:sz w:val="24"/>
          <w:szCs w:val="24"/>
        </w:rPr>
        <w:t xml:space="preserve"> e di lunga durata, con caratteristiche di efficienza termica o con specifiche capacità di trattamento e di modifica della luce in entrata, ai fini della migliore gestione ed efficienza produttiva delle colture;</w:t>
      </w:r>
    </w:p>
    <w:p w14:paraId="430EB73C"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p)</w:t>
      </w:r>
      <w:r w:rsidRPr="000C0983">
        <w:rPr>
          <w:rFonts w:asciiTheme="minorHAnsi" w:eastAsia="Times New Roman" w:hAnsiTheme="minorHAnsi" w:cstheme="minorHAnsi"/>
          <w:b/>
          <w:bCs/>
          <w:color w:val="000000" w:themeColor="text1"/>
          <w:sz w:val="24"/>
          <w:szCs w:val="24"/>
        </w:rPr>
        <w:t> favorire il rinnovamento degli impianti di controllo ambientale, quali gli impianti di raffrescamento, di riscaldamento e di illuminazione, attraverso l'impiego di sistemi interattivi con l'operatore e con gli impianti di controllo;</w:t>
      </w:r>
    </w:p>
    <w:p w14:paraId="26985F87"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q)</w:t>
      </w:r>
      <w:r w:rsidRPr="000C0983">
        <w:rPr>
          <w:rFonts w:asciiTheme="minorHAnsi" w:eastAsia="Times New Roman" w:hAnsiTheme="minorHAnsi" w:cstheme="minorHAnsi"/>
          <w:b/>
          <w:bCs/>
          <w:color w:val="000000" w:themeColor="text1"/>
          <w:sz w:val="24"/>
          <w:szCs w:val="24"/>
        </w:rPr>
        <w:t> incentivare il rinnovamento degli impianti di coltivazione mediante l'introduzione di sistemi di coltivazione fuori suolo in ambiente protetto anche con il ricorso all'uso di energia da fonti rinnovabili;</w:t>
      </w:r>
    </w:p>
    <w:p w14:paraId="3E9572A5" w14:textId="77777777" w:rsidR="005971D8" w:rsidRPr="000C0983" w:rsidRDefault="005971D8" w:rsidP="005971D8">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r)</w:t>
      </w:r>
      <w:r w:rsidRPr="000C0983">
        <w:rPr>
          <w:rFonts w:asciiTheme="minorHAnsi" w:eastAsia="Times New Roman" w:hAnsiTheme="minorHAnsi" w:cstheme="minorHAnsi"/>
          <w:b/>
          <w:bCs/>
          <w:color w:val="000000" w:themeColor="text1"/>
          <w:sz w:val="24"/>
          <w:szCs w:val="24"/>
        </w:rPr>
        <w:t> favorire l'introduzione di sistemi di raccolta dell'acqua piovana e gli investimenti in sistemi e impianti di raccolta e di riutilizzo delle acque meteoriche, quali gli invasi di raccolta superficiali o sotto-superficiali, per un'ottimale integrazione delle riserve idriche del suolo.</w:t>
      </w:r>
    </w:p>
    <w:p w14:paraId="065BEB0D" w14:textId="77777777" w:rsidR="005971D8" w:rsidRDefault="005971D8" w:rsidP="005971D8">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0F5513AA" w14:textId="77777777" w:rsidR="005971D8" w:rsidRDefault="005971D8" w:rsidP="005971D8">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 Il decreto di cui al comma 1 individua le forme e le modalità per il raccordo tra le finalità di cui al presente articolo e gli obiettivi del Piano nazionale di ripresa e resilienza per il comparto agricolo, anche mediante il ricorso agli strumenti finanziari per l'agricoltura sostenibile e le agroenergie nonché ai contratti di filiera come strumento di programmazione complementare.</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4DE00E3D" w14:textId="2FA5F1D1" w:rsidR="005971D8" w:rsidRDefault="005971D8" w:rsidP="005971D8">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4. All'attuazione del piano di cui al comma 1 si provvede con le risorse umane, finanziarie e strumentali disponibili a legislazione vigente, senza nuovi o maggiori oneri a carico della finanza pubblica.</w:t>
      </w:r>
      <w:r w:rsidR="001C2164">
        <w:rPr>
          <w:rStyle w:val="Rimandonotaapidipagina"/>
          <w:rFonts w:asciiTheme="minorHAnsi" w:eastAsia="Times New Roman" w:hAnsiTheme="minorHAnsi" w:cstheme="minorHAnsi"/>
          <w:b/>
          <w:bCs/>
          <w:color w:val="000000" w:themeColor="text1"/>
          <w:sz w:val="24"/>
          <w:szCs w:val="24"/>
        </w:rPr>
        <w:footnoteReference w:id="28"/>
      </w:r>
    </w:p>
    <w:p w14:paraId="246EF519" w14:textId="77777777" w:rsidR="005971D8" w:rsidRDefault="005971D8" w:rsidP="001C5FAC">
      <w:pPr>
        <w:spacing w:after="0" w:line="240" w:lineRule="auto"/>
        <w:jc w:val="center"/>
        <w:rPr>
          <w:rFonts w:asciiTheme="minorHAnsi" w:hAnsiTheme="minorHAnsi" w:cstheme="minorHAnsi"/>
          <w:color w:val="000000" w:themeColor="text1"/>
          <w:sz w:val="24"/>
          <w:szCs w:val="24"/>
        </w:rPr>
      </w:pPr>
    </w:p>
    <w:p w14:paraId="530E5068" w14:textId="5AAFC6EA"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12.</w:t>
      </w:r>
    </w:p>
    <w:p w14:paraId="672F896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(Semplificazione per impianti rinnovabili in aree idonee)</w:t>
      </w:r>
    </w:p>
    <w:p w14:paraId="25B8577E" w14:textId="77777777" w:rsidR="001C5FAC" w:rsidRPr="001C5FAC" w:rsidRDefault="001C5FAC" w:rsidP="00221755">
      <w:pPr>
        <w:spacing w:after="0" w:line="240" w:lineRule="auto"/>
        <w:jc w:val="both"/>
        <w:rPr>
          <w:rFonts w:asciiTheme="minorHAnsi" w:hAnsiTheme="minorHAnsi" w:cstheme="minorHAnsi"/>
          <w:color w:val="000000" w:themeColor="text1"/>
          <w:sz w:val="24"/>
          <w:szCs w:val="24"/>
        </w:rPr>
      </w:pPr>
    </w:p>
    <w:p w14:paraId="1B00DB51" w14:textId="77777777" w:rsidR="00221755" w:rsidRDefault="004B5916" w:rsidP="0022175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01. All'articolo 20, comma 3, del decreto legislativo 8 novembre 2021, n. 199, dopo la parola: «parcheggi» sono inserite le seguenti: «, comprese le aree a destinazione industriale, artigianale, per servizi e logistica»</w:t>
      </w:r>
      <w:r>
        <w:rPr>
          <w:rStyle w:val="Rimandonotaapidipagina"/>
          <w:rFonts w:asciiTheme="minorHAnsi" w:eastAsia="Times New Roman" w:hAnsiTheme="minorHAnsi" w:cstheme="minorHAnsi"/>
          <w:b/>
          <w:bCs/>
          <w:color w:val="000000" w:themeColor="text1"/>
          <w:sz w:val="24"/>
          <w:szCs w:val="24"/>
        </w:rPr>
        <w:footnoteReference w:id="29"/>
      </w:r>
    </w:p>
    <w:p w14:paraId="0813FF6B" w14:textId="7AA7ACF5" w:rsidR="00221755" w:rsidRPr="000C0983" w:rsidRDefault="004B5916" w:rsidP="00221755">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br/>
      </w:r>
      <w:r w:rsidR="00221755" w:rsidRPr="000C0983">
        <w:rPr>
          <w:rFonts w:asciiTheme="minorHAnsi" w:eastAsia="Times New Roman" w:hAnsiTheme="minorHAnsi" w:cstheme="minorHAnsi"/>
          <w:b/>
          <w:bCs/>
          <w:color w:val="000000" w:themeColor="text1"/>
          <w:sz w:val="24"/>
          <w:szCs w:val="24"/>
        </w:rPr>
        <w:t xml:space="preserve">01. All'articolo 18, comma 3, del decreto legislativo 8 novembre 2021, n. 199, dopo le parole: «ai sensi </w:t>
      </w:r>
      <w:r w:rsidR="00221755" w:rsidRPr="000C0983">
        <w:rPr>
          <w:rFonts w:asciiTheme="minorHAnsi" w:eastAsia="Times New Roman" w:hAnsiTheme="minorHAnsi" w:cstheme="minorHAnsi"/>
          <w:b/>
          <w:bCs/>
          <w:color w:val="000000" w:themeColor="text1"/>
          <w:sz w:val="24"/>
          <w:szCs w:val="24"/>
        </w:rPr>
        <w:lastRenderedPageBreak/>
        <w:t>dell'articolo 20,» sono inserite le seguenti: «con decreto del Ministero della transizione ecologica, di concerto con il Ministero della cultura, previa intesa in sede di Conferenza unificata di cui all'articolo 8 del decreto legislativo 28 agosto 1997, n. 281,»</w:t>
      </w:r>
      <w:r w:rsidR="00221755">
        <w:rPr>
          <w:rStyle w:val="Rimandonotaapidipagina"/>
          <w:rFonts w:asciiTheme="minorHAnsi" w:eastAsia="Times New Roman" w:hAnsiTheme="minorHAnsi" w:cstheme="minorHAnsi"/>
          <w:b/>
          <w:bCs/>
          <w:color w:val="000000" w:themeColor="text1"/>
          <w:sz w:val="24"/>
          <w:szCs w:val="24"/>
        </w:rPr>
        <w:footnoteReference w:id="30"/>
      </w:r>
      <w:r w:rsidR="00221755" w:rsidRPr="000C0983">
        <w:rPr>
          <w:rFonts w:asciiTheme="minorHAnsi" w:eastAsia="Times New Roman" w:hAnsiTheme="minorHAnsi" w:cstheme="minorHAnsi"/>
          <w:color w:val="000000" w:themeColor="text1"/>
          <w:sz w:val="24"/>
          <w:szCs w:val="24"/>
        </w:rPr>
        <w:br/>
      </w:r>
    </w:p>
    <w:p w14:paraId="2C015364" w14:textId="5C4D8629"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22, comma 1, lettera a), del decreto legislativo 8 novembre 2021, n. 199, dopo le parole: «nei procedimenti di autorizzazione di impianti di produzione di energia elettrica alimentati da fonti rinnovabili su aree idonee,» sono inserite le seguenti: «ivi inclusi quelli per l'adozione del provvedimento di valutazione di impatto ambientale,».</w:t>
      </w:r>
    </w:p>
    <w:p w14:paraId="02A05E4B" w14:textId="77777777" w:rsidR="00BB7EF0" w:rsidRDefault="00BB7EF0" w:rsidP="001C5FAC">
      <w:pPr>
        <w:spacing w:after="0" w:line="240" w:lineRule="auto"/>
        <w:jc w:val="both"/>
        <w:rPr>
          <w:rFonts w:asciiTheme="minorHAnsi" w:hAnsiTheme="minorHAnsi" w:cstheme="minorHAnsi"/>
          <w:color w:val="000000" w:themeColor="text1"/>
          <w:sz w:val="24"/>
          <w:szCs w:val="24"/>
        </w:rPr>
      </w:pPr>
    </w:p>
    <w:p w14:paraId="562330C0"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All'articolo 20, comma 8, del decreto legislativo 8 novembre 2021, n. 199, sono apportate le seguenti modificazioni:</w:t>
      </w:r>
    </w:p>
    <w:p w14:paraId="1F120EB1"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sono aggiunte, in fine, le seguenti parole: «, nonché, per i soli impianti solari fotovoltaici, i siti in cui, alla data di entrata in vigore della presente disposizione, sono presenti impianti fotovoltaici sui quali, senza variazione dell'area occupata o comunque con variazioni dell'area occupata nei limiti di cui alla lettera </w:t>
      </w:r>
      <w:r w:rsidRPr="000C0983">
        <w:rPr>
          <w:rFonts w:asciiTheme="minorHAnsi" w:eastAsia="Times New Roman" w:hAnsiTheme="minorHAnsi" w:cstheme="minorHAnsi"/>
          <w:b/>
          <w:bCs/>
          <w:i/>
          <w:iCs/>
          <w:color w:val="000000" w:themeColor="text1"/>
          <w:sz w:val="24"/>
          <w:szCs w:val="24"/>
        </w:rPr>
        <w:t>c-ter)</w:t>
      </w:r>
      <w:r w:rsidRPr="000C0983">
        <w:rPr>
          <w:rFonts w:asciiTheme="minorHAnsi" w:eastAsia="Times New Roman" w:hAnsiTheme="minorHAnsi" w:cstheme="minorHAnsi"/>
          <w:b/>
          <w:bCs/>
          <w:color w:val="000000" w:themeColor="text1"/>
          <w:sz w:val="24"/>
          <w:szCs w:val="24"/>
        </w:rPr>
        <w:t>, numero 1), sono eseguiti interventi di modifica sostanziale per rifacimento, potenziamento o integrale ricostruzione, anche con l'aggiunta di sistemi di accumulo di capacità non superiore a 3 MWh per ogni MW di potenza dell'impianto fotovoltaico»;</w:t>
      </w:r>
    </w:p>
    <w:p w14:paraId="12CA6715"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dopo la lettera </w:t>
      </w:r>
      <w:r w:rsidRPr="000C0983">
        <w:rPr>
          <w:rFonts w:asciiTheme="minorHAnsi" w:eastAsia="Times New Roman" w:hAnsiTheme="minorHAnsi" w:cstheme="minorHAnsi"/>
          <w:b/>
          <w:bCs/>
          <w:i/>
          <w:iCs/>
          <w:color w:val="000000" w:themeColor="text1"/>
          <w:sz w:val="24"/>
          <w:szCs w:val="24"/>
        </w:rPr>
        <w:t>c-bis)</w:t>
      </w:r>
      <w:r w:rsidRPr="000C0983">
        <w:rPr>
          <w:rFonts w:asciiTheme="minorHAnsi" w:eastAsia="Times New Roman" w:hAnsiTheme="minorHAnsi" w:cstheme="minorHAnsi"/>
          <w:b/>
          <w:bCs/>
          <w:color w:val="000000" w:themeColor="text1"/>
          <w:sz w:val="24"/>
          <w:szCs w:val="24"/>
        </w:rPr>
        <w:t> è aggiunta la seguente:</w:t>
      </w:r>
    </w:p>
    <w:p w14:paraId="79E14EBE"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c-ter)</w:t>
      </w:r>
      <w:r w:rsidRPr="000C0983">
        <w:rPr>
          <w:rFonts w:asciiTheme="minorHAnsi" w:eastAsia="Times New Roman" w:hAnsiTheme="minorHAnsi" w:cstheme="minorHAnsi"/>
          <w:b/>
          <w:bCs/>
          <w:color w:val="000000" w:themeColor="text1"/>
          <w:sz w:val="24"/>
          <w:szCs w:val="24"/>
        </w:rPr>
        <w:t> esclusivamente per gli impianti fotovoltaici, anche con moduli a terra, in assenza di vincoli ai sensi della parte seconda del codice dei beni culturali e del paesaggio, di cui al decreto legislativo 22 gennaio 2004, n. 42:</w:t>
      </w:r>
    </w:p>
    <w:p w14:paraId="5396BF1E"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le aree classificate agricole, racchiuse in un perimetro i cui punti distino non più di 300 metri da zone a destinazione industriale, artigianale e commerciale, compresi i siti di interesse nazionale, nonché le cave e le miniere;</w:t>
      </w:r>
    </w:p>
    <w:p w14:paraId="592EB18C"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le aree interne agli impianti industriali e agli stabilimenti, questi ultimi come definiti dall'articolo 268, comma 1, lettera </w:t>
      </w:r>
      <w:r w:rsidRPr="000C0983">
        <w:rPr>
          <w:rFonts w:asciiTheme="minorHAnsi" w:eastAsia="Times New Roman" w:hAnsiTheme="minorHAnsi" w:cstheme="minorHAnsi"/>
          <w:b/>
          <w:bCs/>
          <w:i/>
          <w:iCs/>
          <w:color w:val="000000" w:themeColor="text1"/>
          <w:sz w:val="24"/>
          <w:szCs w:val="24"/>
        </w:rPr>
        <w:t>h)</w:t>
      </w:r>
      <w:r w:rsidRPr="000C0983">
        <w:rPr>
          <w:rFonts w:asciiTheme="minorHAnsi" w:eastAsia="Times New Roman" w:hAnsiTheme="minorHAnsi" w:cstheme="minorHAnsi"/>
          <w:b/>
          <w:bCs/>
          <w:color w:val="000000" w:themeColor="text1"/>
          <w:sz w:val="24"/>
          <w:szCs w:val="24"/>
        </w:rPr>
        <w:t>, del decreto legislativo 3 aprile 2006, n. 152, nonché le aree classificate agricole racchiuse in un perimetro i cui punti distino non più di 300 metri dal medesimo impianto o stabilimento»;</w:t>
      </w:r>
    </w:p>
    <w:p w14:paraId="6F5E24EB" w14:textId="77777777" w:rsidR="00BB7EF0" w:rsidRPr="00092CDA" w:rsidRDefault="00BB7EF0" w:rsidP="00BB7EF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09BB3C24"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Dopo il comma 2 dell'articolo 4 del decreto legislativo 3 marzo 2011, n. 28, sono inseriti i seguenti:</w:t>
      </w:r>
    </w:p>
    <w:p w14:paraId="6EFEF2CA"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2-bis</w:t>
      </w:r>
      <w:r w:rsidRPr="000C0983">
        <w:rPr>
          <w:rFonts w:asciiTheme="minorHAnsi" w:eastAsia="Times New Roman" w:hAnsiTheme="minorHAnsi" w:cstheme="minorHAnsi"/>
          <w:b/>
          <w:bCs/>
          <w:color w:val="000000" w:themeColor="text1"/>
          <w:sz w:val="24"/>
          <w:szCs w:val="24"/>
        </w:rPr>
        <w:t>. Fatto salvo quanto disposto dagli articoli 6, comma 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e 7-</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comma 5, nelle aree idonee identificate ai sensi dell'articolo 20 del decreto legislativo 8 novembre 2021, n. 199, comprese le aree di cui al comma 8 dello stesso articolo 20, i regimi di autorizzazione per la costruzione e l'esercizio di impianti fotovoltaici di nuova costruzione e delle opere connesse nonché, senza variazione dell'area interessata, per il potenziamento, il rifacimento e l'integrale ricostruzione degli impianti fotovoltaici esistenti e delle opere connesse sono disciplinati come segue:</w:t>
      </w:r>
    </w:p>
    <w:p w14:paraId="45B514B0"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per impianti di potenza fino a 1 MW: si applica la dichiarazione di inizio lavori asseverata per tutte le opere da realizzare su aree nella disponibilità del proponente;</w:t>
      </w:r>
    </w:p>
    <w:p w14:paraId="4EE76D97"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per impianti di potenza superiore a 1 MW e fino a 10 MW: si applica la procedura abilitativa semplificata;</w:t>
      </w:r>
    </w:p>
    <w:p w14:paraId="1F6428E7"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xml:space="preserve"> per impianti di potenza superiore a </w:t>
      </w:r>
      <w:proofErr w:type="gramStart"/>
      <w:r w:rsidRPr="000C0983">
        <w:rPr>
          <w:rFonts w:asciiTheme="minorHAnsi" w:eastAsia="Times New Roman" w:hAnsiTheme="minorHAnsi" w:cstheme="minorHAnsi"/>
          <w:b/>
          <w:bCs/>
          <w:color w:val="000000" w:themeColor="text1"/>
          <w:sz w:val="24"/>
          <w:szCs w:val="24"/>
        </w:rPr>
        <w:t>10</w:t>
      </w:r>
      <w:proofErr w:type="gramEnd"/>
      <w:r w:rsidRPr="000C0983">
        <w:rPr>
          <w:rFonts w:asciiTheme="minorHAnsi" w:eastAsia="Times New Roman" w:hAnsiTheme="minorHAnsi" w:cstheme="minorHAnsi"/>
          <w:b/>
          <w:bCs/>
          <w:color w:val="000000" w:themeColor="text1"/>
          <w:sz w:val="24"/>
          <w:szCs w:val="24"/>
        </w:rPr>
        <w:t xml:space="preserve"> MW: si applica la procedura di autorizzazione unica.</w:t>
      </w:r>
    </w:p>
    <w:p w14:paraId="6081E0BC" w14:textId="77777777" w:rsidR="00BB7EF0" w:rsidRPr="000C0983" w:rsidRDefault="00BB7EF0" w:rsidP="00BB7EF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2-ter</w:t>
      </w:r>
      <w:r w:rsidRPr="000C0983">
        <w:rPr>
          <w:rFonts w:asciiTheme="minorHAnsi" w:eastAsia="Times New Roman" w:hAnsiTheme="minorHAnsi" w:cstheme="minorHAnsi"/>
          <w:b/>
          <w:bCs/>
          <w:color w:val="000000" w:themeColor="text1"/>
          <w:sz w:val="24"/>
          <w:szCs w:val="24"/>
        </w:rPr>
        <w:t>. Ai fini del comma 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resta fermo quanto stabilito all'articolo 22, comma 1,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del decreto legislativo 8 novembre 2021, n. 199».</w:t>
      </w:r>
    </w:p>
    <w:p w14:paraId="71977CB0" w14:textId="77777777" w:rsidR="00BB7EF0" w:rsidRPr="00092CDA" w:rsidRDefault="00BB7EF0" w:rsidP="00BB7EF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5B975775" w14:textId="2ACADA7D" w:rsidR="00BB7EF0" w:rsidRDefault="00BB7EF0" w:rsidP="00BB7EF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Le disposizioni dei commi 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e 2-</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dell'articolo 4 del decreto legislativo 3 marzo 2011, n. 28, introdotte dal comma 1-</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del presente articolo, si applicano, su richiesta del proponente, anche ai procedimenti in corso alla data di entrata in vigore della legge di conversione del presente decreto.</w:t>
      </w:r>
      <w:r>
        <w:rPr>
          <w:rStyle w:val="Rimandonotaapidipagina"/>
          <w:rFonts w:asciiTheme="minorHAnsi" w:eastAsia="Times New Roman" w:hAnsiTheme="minorHAnsi" w:cstheme="minorHAnsi"/>
          <w:b/>
          <w:bCs/>
          <w:color w:val="000000" w:themeColor="text1"/>
          <w:sz w:val="24"/>
          <w:szCs w:val="24"/>
        </w:rPr>
        <w:footnoteReference w:id="31"/>
      </w:r>
    </w:p>
    <w:p w14:paraId="3DD19A8D" w14:textId="77777777" w:rsidR="00EB6412" w:rsidRDefault="00EB6412" w:rsidP="00BB7EF0">
      <w:pPr>
        <w:shd w:val="clear" w:color="auto" w:fill="FFFFFF"/>
        <w:spacing w:after="0" w:line="240" w:lineRule="auto"/>
        <w:jc w:val="both"/>
        <w:rPr>
          <w:rFonts w:asciiTheme="minorHAnsi" w:eastAsia="Times New Roman" w:hAnsiTheme="minorHAnsi" w:cstheme="minorHAnsi"/>
          <w:color w:val="000000" w:themeColor="text1"/>
          <w:sz w:val="24"/>
          <w:szCs w:val="24"/>
        </w:rPr>
      </w:pPr>
    </w:p>
    <w:p w14:paraId="2D22FB99" w14:textId="6ECE61AB" w:rsidR="00EB6412" w:rsidRDefault="00EB6412" w:rsidP="00EB6412">
      <w:pPr>
        <w:shd w:val="clear" w:color="auto" w:fill="FFFFFF"/>
        <w:spacing w:after="0" w:line="240" w:lineRule="auto"/>
        <w:jc w:val="both"/>
        <w:rPr>
          <w:rFonts w:eastAsia="Times New Roman"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Nelle more dell'individuazione delle aree idonee di cui all'articolo 20 del decreto legislativo 8 novembre 2021, n. 199, si applica la procedura autorizzativa di cui all'articolo 22 del medesimo decreto legislativo agli impianti che alla data di pubblicazione del presente decreto-legge abbiano avviato un iter autorizzativo, esclusivamente qualora si trovino in aree non soggette a vincolo e non rientranti in aree dichiarate non idonee sulla base della normativa regionale.».</w:t>
      </w:r>
      <w:r>
        <w:rPr>
          <w:rStyle w:val="Rimandonotaapidipagina"/>
          <w:rFonts w:asciiTheme="minorHAnsi" w:eastAsia="Times New Roman" w:hAnsiTheme="minorHAnsi" w:cstheme="minorHAnsi"/>
          <w:b/>
          <w:bCs/>
          <w:color w:val="000000" w:themeColor="text1"/>
          <w:sz w:val="24"/>
          <w:szCs w:val="24"/>
        </w:rPr>
        <w:footnoteReference w:id="32"/>
      </w:r>
    </w:p>
    <w:p w14:paraId="5348AA8F" w14:textId="77777777" w:rsidR="00BA73C3" w:rsidRPr="000C0983" w:rsidRDefault="00EB6412" w:rsidP="00BA73C3">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color w:val="000000" w:themeColor="text1"/>
          <w:sz w:val="24"/>
          <w:szCs w:val="24"/>
        </w:rPr>
        <w:br/>
      </w:r>
      <w:r w:rsidR="00BA73C3" w:rsidRPr="000C0983">
        <w:rPr>
          <w:rFonts w:asciiTheme="minorHAnsi" w:eastAsia="Times New Roman" w:hAnsiTheme="minorHAnsi" w:cstheme="minorHAnsi"/>
          <w:b/>
          <w:bCs/>
          <w:color w:val="000000" w:themeColor="text1"/>
          <w:sz w:val="24"/>
          <w:szCs w:val="24"/>
        </w:rPr>
        <w:t>Art. 12-</w:t>
      </w:r>
      <w:r w:rsidR="00BA73C3" w:rsidRPr="000C0983">
        <w:rPr>
          <w:rFonts w:asciiTheme="minorHAnsi" w:eastAsia="Times New Roman" w:hAnsiTheme="minorHAnsi" w:cstheme="minorHAnsi"/>
          <w:b/>
          <w:bCs/>
          <w:i/>
          <w:iCs/>
          <w:color w:val="000000" w:themeColor="text1"/>
          <w:sz w:val="24"/>
          <w:szCs w:val="24"/>
        </w:rPr>
        <w:t>bis</w:t>
      </w:r>
      <w:r w:rsidR="00BA73C3" w:rsidRPr="000C0983">
        <w:rPr>
          <w:rFonts w:asciiTheme="minorHAnsi" w:eastAsia="Times New Roman" w:hAnsiTheme="minorHAnsi" w:cstheme="minorHAnsi"/>
          <w:b/>
          <w:bCs/>
          <w:color w:val="000000" w:themeColor="text1"/>
          <w:sz w:val="24"/>
          <w:szCs w:val="24"/>
        </w:rPr>
        <w:t>.</w:t>
      </w:r>
    </w:p>
    <w:p w14:paraId="25C406F1" w14:textId="77777777" w:rsidR="00BA73C3" w:rsidRPr="00092CDA" w:rsidRDefault="00BA73C3" w:rsidP="00BA73C3">
      <w:pPr>
        <w:shd w:val="clear" w:color="auto" w:fill="FFFFFF"/>
        <w:spacing w:after="0" w:line="240" w:lineRule="auto"/>
        <w:rPr>
          <w:rFonts w:eastAsia="Times New Roman" w:cstheme="minorHAnsi"/>
          <w:b/>
          <w:bCs/>
          <w:color w:val="000000" w:themeColor="text1"/>
          <w:sz w:val="24"/>
          <w:szCs w:val="24"/>
        </w:rPr>
      </w:pPr>
    </w:p>
    <w:p w14:paraId="6C4B20F7" w14:textId="79E78FB5" w:rsidR="00BA73C3" w:rsidRDefault="00BA73C3" w:rsidP="00BA73C3">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fine di semplificare il processo produttivo negli impianti di biogas e di biometano, i sottoprodotti di cui ai punti 2 e 3 della Tabella 1A del decreto ministeriale del 23 giugno 2016, pubblicato sulla </w:t>
      </w:r>
      <w:r w:rsidRPr="000C0983">
        <w:rPr>
          <w:rFonts w:asciiTheme="minorHAnsi" w:eastAsia="Times New Roman" w:hAnsiTheme="minorHAnsi" w:cstheme="minorHAnsi"/>
          <w:b/>
          <w:bCs/>
          <w:i/>
          <w:iCs/>
          <w:color w:val="000000" w:themeColor="text1"/>
          <w:sz w:val="24"/>
          <w:szCs w:val="24"/>
        </w:rPr>
        <w:t>Gazzetta Ufficiale</w:t>
      </w:r>
      <w:r w:rsidRPr="000C0983">
        <w:rPr>
          <w:rFonts w:asciiTheme="minorHAnsi" w:eastAsia="Times New Roman" w:hAnsiTheme="minorHAnsi" w:cstheme="minorHAnsi"/>
          <w:b/>
          <w:bCs/>
          <w:color w:val="000000" w:themeColor="text1"/>
          <w:sz w:val="24"/>
          <w:szCs w:val="24"/>
        </w:rPr>
        <w:t> n. 150 del 29 giugno 2016, possono essere ammessi in ingresso agli impianti di produzione di biogas e di biometano, e si intendono ricompresi nella definizione di cui all'articolo 3, comma 1, lettera </w:t>
      </w:r>
      <w:r w:rsidRPr="000C0983">
        <w:rPr>
          <w:rFonts w:asciiTheme="minorHAnsi" w:eastAsia="Times New Roman" w:hAnsiTheme="minorHAnsi" w:cstheme="minorHAnsi"/>
          <w:b/>
          <w:bCs/>
          <w:i/>
          <w:iCs/>
          <w:color w:val="000000" w:themeColor="text1"/>
          <w:sz w:val="24"/>
          <w:szCs w:val="24"/>
        </w:rPr>
        <w:t>i),</w:t>
      </w:r>
      <w:r w:rsidRPr="000C0983">
        <w:rPr>
          <w:rFonts w:asciiTheme="minorHAnsi" w:eastAsia="Times New Roman" w:hAnsiTheme="minorHAnsi" w:cstheme="minorHAnsi"/>
          <w:b/>
          <w:bCs/>
          <w:color w:val="000000" w:themeColor="text1"/>
          <w:sz w:val="24"/>
          <w:szCs w:val="24"/>
        </w:rPr>
        <w:t> del decreto del Ministro delle politiche agricole alimentari e forestali 25 febbraio 2016, pubblicato nel supplemento ordinario alla </w:t>
      </w:r>
      <w:r w:rsidRPr="000C0983">
        <w:rPr>
          <w:rFonts w:asciiTheme="minorHAnsi" w:eastAsia="Times New Roman" w:hAnsiTheme="minorHAnsi" w:cstheme="minorHAnsi"/>
          <w:b/>
          <w:bCs/>
          <w:i/>
          <w:iCs/>
          <w:color w:val="000000" w:themeColor="text1"/>
          <w:sz w:val="24"/>
          <w:szCs w:val="24"/>
        </w:rPr>
        <w:t>Gazzetta Ufficiale</w:t>
      </w:r>
      <w:r w:rsidRPr="000C0983">
        <w:rPr>
          <w:rFonts w:asciiTheme="minorHAnsi" w:eastAsia="Times New Roman" w:hAnsiTheme="minorHAnsi" w:cstheme="minorHAnsi"/>
          <w:b/>
          <w:bCs/>
          <w:color w:val="000000" w:themeColor="text1"/>
          <w:sz w:val="24"/>
          <w:szCs w:val="24"/>
        </w:rPr>
        <w:t> n. 90 del 18 aprile 2016, se rispettano le condizioni previste dall'articolo 184-</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xml:space="preserve"> del decreto legislativo del 3 aprile 2006, n. 152 e se l'utilizzo agronomico del </w:t>
      </w:r>
      <w:proofErr w:type="spellStart"/>
      <w:r w:rsidRPr="000C0983">
        <w:rPr>
          <w:rFonts w:asciiTheme="minorHAnsi" w:eastAsia="Times New Roman" w:hAnsiTheme="minorHAnsi" w:cstheme="minorHAnsi"/>
          <w:b/>
          <w:bCs/>
          <w:color w:val="000000" w:themeColor="text1"/>
          <w:sz w:val="24"/>
          <w:szCs w:val="24"/>
        </w:rPr>
        <w:t>digestato</w:t>
      </w:r>
      <w:proofErr w:type="spellEnd"/>
      <w:r w:rsidRPr="000C0983">
        <w:rPr>
          <w:rFonts w:asciiTheme="minorHAnsi" w:eastAsia="Times New Roman" w:hAnsiTheme="minorHAnsi" w:cstheme="minorHAnsi"/>
          <w:b/>
          <w:bCs/>
          <w:color w:val="000000" w:themeColor="text1"/>
          <w:sz w:val="24"/>
          <w:szCs w:val="24"/>
        </w:rPr>
        <w:t xml:space="preserve"> prodotto rispetta altresì le disposizioni previste dal Titolo IV del decreto del Ministro delle politiche agricole alimentari e forestali 25 febbraio 2016.</w:t>
      </w:r>
      <w:r>
        <w:rPr>
          <w:rStyle w:val="Rimandonotaapidipagina"/>
          <w:rFonts w:asciiTheme="minorHAnsi" w:eastAsia="Times New Roman" w:hAnsiTheme="minorHAnsi" w:cstheme="minorHAnsi"/>
          <w:b/>
          <w:bCs/>
          <w:color w:val="000000" w:themeColor="text1"/>
          <w:sz w:val="24"/>
          <w:szCs w:val="24"/>
        </w:rPr>
        <w:footnoteReference w:id="33"/>
      </w:r>
    </w:p>
    <w:p w14:paraId="0A22ADD9" w14:textId="28772021" w:rsidR="001C5FAC" w:rsidRPr="001C5FAC" w:rsidRDefault="00BA73C3" w:rsidP="00BA73C3">
      <w:pPr>
        <w:shd w:val="clear" w:color="auto" w:fill="FFFFFF"/>
        <w:spacing w:after="0" w:line="240" w:lineRule="auto"/>
        <w:jc w:val="center"/>
        <w:rPr>
          <w:rFonts w:asciiTheme="minorHAnsi"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br/>
      </w:r>
      <w:r w:rsidR="001C5FAC" w:rsidRPr="001C5FAC">
        <w:rPr>
          <w:rFonts w:asciiTheme="minorHAnsi" w:hAnsiTheme="minorHAnsi" w:cstheme="minorHAnsi"/>
          <w:color w:val="000000" w:themeColor="text1"/>
          <w:sz w:val="24"/>
          <w:szCs w:val="24"/>
        </w:rPr>
        <w:t>Articolo 13.</w:t>
      </w:r>
    </w:p>
    <w:p w14:paraId="6F741BF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(Razionalizzazione e semplificazione delle procedure autorizzative</w:t>
      </w:r>
    </w:p>
    <w:p w14:paraId="5461030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per gli impianti offshore)</w:t>
      </w:r>
    </w:p>
    <w:p w14:paraId="28BD336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D68C6EF" w14:textId="2FB0EFCE"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All'articolo 12, comma 3, </w:t>
      </w:r>
      <w:r w:rsidRPr="00245F8A">
        <w:rPr>
          <w:rFonts w:asciiTheme="minorHAnsi" w:hAnsiTheme="minorHAnsi" w:cstheme="minorHAnsi"/>
          <w:strike/>
          <w:color w:val="000000" w:themeColor="text1"/>
          <w:sz w:val="24"/>
          <w:szCs w:val="24"/>
          <w:highlight w:val="yellow"/>
        </w:rPr>
        <w:t>ultimo periodo,</w:t>
      </w:r>
      <w:r w:rsidR="00245F8A">
        <w:rPr>
          <w:rStyle w:val="Rimandonotaapidipagina"/>
          <w:rFonts w:asciiTheme="minorHAnsi" w:hAnsiTheme="minorHAnsi" w:cstheme="minorHAnsi"/>
          <w:strike/>
          <w:color w:val="000000" w:themeColor="text1"/>
          <w:sz w:val="24"/>
          <w:szCs w:val="24"/>
          <w:highlight w:val="yellow"/>
        </w:rPr>
        <w:footnoteReference w:id="34"/>
      </w:r>
      <w:r w:rsidRPr="001C5FAC">
        <w:rPr>
          <w:rFonts w:asciiTheme="minorHAnsi" w:hAnsiTheme="minorHAnsi" w:cstheme="minorHAnsi"/>
          <w:color w:val="000000" w:themeColor="text1"/>
          <w:sz w:val="24"/>
          <w:szCs w:val="24"/>
        </w:rPr>
        <w:t xml:space="preserve"> del decreto legislativo 29 dicembre 2003, n. 387, </w:t>
      </w:r>
      <w:r w:rsidR="002347A8" w:rsidRPr="000C0983">
        <w:rPr>
          <w:rFonts w:asciiTheme="minorHAnsi" w:eastAsia="Times New Roman" w:hAnsiTheme="minorHAnsi" w:cstheme="minorHAnsi"/>
          <w:b/>
          <w:bCs/>
          <w:color w:val="000000" w:themeColor="text1"/>
          <w:sz w:val="24"/>
          <w:szCs w:val="24"/>
        </w:rPr>
        <w:t>il quarto periodo è soppresso, all'ultimo periodo</w:t>
      </w:r>
      <w:r w:rsidR="002347A8">
        <w:rPr>
          <w:rStyle w:val="Rimandonotaapidipagina"/>
          <w:rFonts w:asciiTheme="minorHAnsi" w:eastAsia="Times New Roman" w:hAnsiTheme="minorHAnsi" w:cstheme="minorHAnsi"/>
          <w:b/>
          <w:bCs/>
          <w:color w:val="000000" w:themeColor="text1"/>
          <w:sz w:val="24"/>
          <w:szCs w:val="24"/>
        </w:rPr>
        <w:footnoteReference w:id="35"/>
      </w:r>
      <w:r w:rsidR="002347A8">
        <w:rPr>
          <w:rFonts w:asciiTheme="minorHAnsi" w:eastAsia="Times New Roman"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dopo le parole: «Per gli impianti off-shore» sono inserite le seguenti: «, incluse le opere per la connessione alla rete,»</w:t>
      </w:r>
      <w:r w:rsidR="002347A8">
        <w:rPr>
          <w:rFonts w:asciiTheme="minorHAnsi" w:hAnsiTheme="minorHAnsi" w:cstheme="minorHAnsi"/>
          <w:color w:val="000000" w:themeColor="text1"/>
          <w:sz w:val="24"/>
          <w:szCs w:val="24"/>
        </w:rPr>
        <w:t xml:space="preserve"> </w:t>
      </w:r>
      <w:r w:rsidR="002347A8" w:rsidRPr="000C0983">
        <w:rPr>
          <w:rFonts w:asciiTheme="minorHAnsi" w:eastAsia="Times New Roman" w:hAnsiTheme="minorHAnsi" w:cstheme="minorHAnsi"/>
          <w:b/>
          <w:bCs/>
          <w:color w:val="000000" w:themeColor="text1"/>
          <w:sz w:val="24"/>
          <w:szCs w:val="24"/>
        </w:rPr>
        <w:t>ed è aggiunto, in fine, il seguente periodo: «Per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w:t>
      </w:r>
      <w:r w:rsidR="002347A8">
        <w:rPr>
          <w:rStyle w:val="Rimandonotaapidipagina"/>
          <w:rFonts w:asciiTheme="minorHAnsi" w:eastAsia="Times New Roman" w:hAnsiTheme="minorHAnsi" w:cstheme="minorHAnsi"/>
          <w:b/>
          <w:bCs/>
          <w:color w:val="000000" w:themeColor="text1"/>
          <w:sz w:val="24"/>
          <w:szCs w:val="24"/>
        </w:rPr>
        <w:footnoteReference w:id="36"/>
      </w:r>
      <w:r w:rsidRPr="001C5FAC">
        <w:rPr>
          <w:rFonts w:asciiTheme="minorHAnsi" w:hAnsiTheme="minorHAnsi" w:cstheme="minorHAnsi"/>
          <w:color w:val="000000" w:themeColor="text1"/>
          <w:sz w:val="24"/>
          <w:szCs w:val="24"/>
        </w:rPr>
        <w:t>.</w:t>
      </w:r>
    </w:p>
    <w:p w14:paraId="75E3F920" w14:textId="77777777" w:rsidR="00245F8A" w:rsidRPr="001C5FAC" w:rsidRDefault="00245F8A" w:rsidP="001C5FAC">
      <w:pPr>
        <w:spacing w:after="0" w:line="240" w:lineRule="auto"/>
        <w:jc w:val="both"/>
        <w:rPr>
          <w:rFonts w:cstheme="minorHAnsi"/>
          <w:color w:val="000000" w:themeColor="text1"/>
          <w:sz w:val="24"/>
          <w:szCs w:val="24"/>
        </w:rPr>
      </w:pPr>
    </w:p>
    <w:p w14:paraId="43F11BE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Al fine di garantire il rispetto delle aree sottoposte a vincoli ambientali nelle more dell'individuazione delle aree idonee, all'articolo 23 del decreto legislativo 8 novembre 2021, n. 199, sono apportate le seguenti modificazioni:</w:t>
      </w:r>
    </w:p>
    <w:p w14:paraId="13C95EC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 comma 4, alinea, dopo le parole: «commi 2 e 3» sono inserite le seguenti: «, nonché nelle aree non sottoposte a vincoli incompatibili con l'insediamento di impianti off-shore»;</w:t>
      </w:r>
    </w:p>
    <w:p w14:paraId="2F454ED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al comma 5, dopo la parola: «moratorie» sono inserite le seguenti: «, anche con riferimento alla realizzazione di impianti di produzione di energia elettrica alimentati da fonti rinnovabili localizzati in aree non sottoposte a vincoli incompatibili con l'insediamento di impianti off-shore,»;</w:t>
      </w:r>
    </w:p>
    <w:p w14:paraId="10EF169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al comma 6, le parole: «con i Ministeri della cultura e delle infrastrutture e delle mobilità sostenibili» sono sostituite dalle seguenti: «con il Ministero delle infrastrutture e della mobilità sostenibili, sentiti, per gli aspetti di competenza, il Ministero della cultura e il Ministero delle politiche agricole alimentari e forestali».</w:t>
      </w:r>
    </w:p>
    <w:p w14:paraId="3F42F32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D1BBC4D" w14:textId="77777777" w:rsidR="002D2005" w:rsidRPr="000C0983" w:rsidRDefault="002D2005" w:rsidP="002D2005">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13-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(Semplificazioni in materia di infrastrutture elettriche)</w:t>
      </w:r>
    </w:p>
    <w:p w14:paraId="3C13BD43" w14:textId="77777777" w:rsidR="002D2005" w:rsidRDefault="002D2005" w:rsidP="002D2005">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5C50890E"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testo unico delle disposizioni legislative e regolamentari in materia di espropriazione per pubblica utilità, di cui al decreto del Presidente della Repubblica 8 giugno 2001, n. 327, sono apportate le seguenti modificazioni:</w:t>
      </w:r>
    </w:p>
    <w:p w14:paraId="18A6D680"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all'articolo 4, dopo il comma 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sono inseriti i seguenti:</w:t>
      </w:r>
    </w:p>
    <w:p w14:paraId="537F9C01" w14:textId="77777777" w:rsidR="002D2005" w:rsidRDefault="002D2005" w:rsidP="002D2005">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1-ter.</w:t>
      </w:r>
      <w:r w:rsidRPr="000C0983">
        <w:rPr>
          <w:rFonts w:asciiTheme="minorHAnsi" w:eastAsia="Times New Roman" w:hAnsiTheme="minorHAnsi" w:cstheme="minorHAnsi"/>
          <w:b/>
          <w:bCs/>
          <w:color w:val="000000" w:themeColor="text1"/>
          <w:sz w:val="24"/>
          <w:szCs w:val="24"/>
        </w:rPr>
        <w:t> Fermo restando il rispetto della normativa paesaggistica, si intendono di norma compatibili con l'esercizio dell'uso civico gli elettrodotti di cui all'articolo 52-</w:t>
      </w:r>
      <w:r w:rsidRPr="000C0983">
        <w:rPr>
          <w:rFonts w:asciiTheme="minorHAnsi" w:eastAsia="Times New Roman" w:hAnsiTheme="minorHAnsi" w:cstheme="minorHAnsi"/>
          <w:b/>
          <w:bCs/>
          <w:i/>
          <w:iCs/>
          <w:color w:val="000000" w:themeColor="text1"/>
          <w:sz w:val="24"/>
          <w:szCs w:val="24"/>
        </w:rPr>
        <w:t>quinquies</w:t>
      </w:r>
      <w:r w:rsidRPr="000C0983">
        <w:rPr>
          <w:rFonts w:asciiTheme="minorHAnsi" w:eastAsia="Times New Roman" w:hAnsiTheme="minorHAnsi" w:cstheme="minorHAnsi"/>
          <w:b/>
          <w:bCs/>
          <w:color w:val="000000" w:themeColor="text1"/>
          <w:sz w:val="24"/>
          <w:szCs w:val="24"/>
        </w:rPr>
        <w:t>, comma 1, fatta salva la possibilità che la regione, o un comune da essa delegato, possa esprimere caso per caso una diversa valutazione, con congrua motivazione, nell'ambito del procedimento autorizzativo per l'adozione del provvedimento che dichiara la pubblica utilità dell'infrastruttura.</w:t>
      </w:r>
    </w:p>
    <w:p w14:paraId="6190B258"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1-quater</w:t>
      </w:r>
      <w:r w:rsidRPr="000C0983">
        <w:rPr>
          <w:rFonts w:asciiTheme="minorHAnsi" w:eastAsia="Times New Roman" w:hAnsiTheme="minorHAnsi" w:cstheme="minorHAnsi"/>
          <w:b/>
          <w:bCs/>
          <w:color w:val="000000" w:themeColor="text1"/>
          <w:sz w:val="24"/>
          <w:szCs w:val="24"/>
        </w:rPr>
        <w:t>. Fermo restando il rispetto della normativa paesaggistica, si intendono sempre compatibili con l'esercizio dell'uso civico le ricostruzioni di elettrodotti aeree o interrate, già esistenti, di cui all'articolo 52-</w:t>
      </w:r>
      <w:r w:rsidRPr="000C0983">
        <w:rPr>
          <w:rFonts w:asciiTheme="minorHAnsi" w:eastAsia="Times New Roman" w:hAnsiTheme="minorHAnsi" w:cstheme="minorHAnsi"/>
          <w:b/>
          <w:bCs/>
          <w:i/>
          <w:iCs/>
          <w:color w:val="000000" w:themeColor="text1"/>
          <w:sz w:val="24"/>
          <w:szCs w:val="24"/>
        </w:rPr>
        <w:t>quinquies</w:t>
      </w:r>
      <w:r w:rsidRPr="000C0983">
        <w:rPr>
          <w:rFonts w:asciiTheme="minorHAnsi" w:eastAsia="Times New Roman" w:hAnsiTheme="minorHAnsi" w:cstheme="minorHAnsi"/>
          <w:b/>
          <w:bCs/>
          <w:color w:val="000000" w:themeColor="text1"/>
          <w:sz w:val="24"/>
          <w:szCs w:val="24"/>
        </w:rPr>
        <w:t>, comma, 1, che si rendano necessarie per ragioni di obsolescenza, purché siano realizzate con le migliori tecnologie esistenti e siano effettuate sul medesimo tracciato della linea già esistente o nelle sue immediate adiacenze»;</w:t>
      </w:r>
    </w:p>
    <w:p w14:paraId="0716CDF6"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all'articolo 13, il comma 5 è sostituito dal seguente:</w:t>
      </w:r>
    </w:p>
    <w:p w14:paraId="10E810BD"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5.</w:t>
      </w:r>
      <w:r w:rsidRPr="000C0983">
        <w:rPr>
          <w:rFonts w:asciiTheme="minorHAnsi" w:eastAsia="Times New Roman" w:hAnsiTheme="minorHAnsi" w:cstheme="minorHAnsi"/>
          <w:b/>
          <w:bCs/>
          <w:color w:val="000000" w:themeColor="text1"/>
          <w:sz w:val="24"/>
          <w:szCs w:val="24"/>
        </w:rPr>
        <w:t> L'autorità che ha dichiarato la pubblica utilità dell'opera può disporre proroghe dei termini previsti dai commi 3 e 4 per casi di forza maggiore o per altre giustificate ragioni. Le proroghe possono essere disposte, anche d'ufficio, prima della scadenza del termine e per un periodo di tempo complessivo non superiore a quattro anni».</w:t>
      </w:r>
    </w:p>
    <w:p w14:paraId="31D6E93E" w14:textId="77777777" w:rsidR="002D2005" w:rsidRDefault="002D2005" w:rsidP="002D2005">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1CBECD69"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All'articolo 1-</w:t>
      </w:r>
      <w:r w:rsidRPr="000C0983">
        <w:rPr>
          <w:rFonts w:asciiTheme="minorHAnsi" w:eastAsia="Times New Roman" w:hAnsiTheme="minorHAnsi" w:cstheme="minorHAnsi"/>
          <w:b/>
          <w:bCs/>
          <w:i/>
          <w:iCs/>
          <w:color w:val="000000" w:themeColor="text1"/>
          <w:sz w:val="24"/>
          <w:szCs w:val="24"/>
        </w:rPr>
        <w:t>sexies</w:t>
      </w:r>
      <w:r w:rsidRPr="000C0983">
        <w:rPr>
          <w:rFonts w:asciiTheme="minorHAnsi" w:eastAsia="Times New Roman" w:hAnsiTheme="minorHAnsi" w:cstheme="minorHAnsi"/>
          <w:b/>
          <w:bCs/>
          <w:color w:val="000000" w:themeColor="text1"/>
          <w:sz w:val="24"/>
          <w:szCs w:val="24"/>
        </w:rPr>
        <w:t> del decreto-legge 29 agosto 2003, n. 239, convertito, con modificazioni, dalla legge 27 ottobre 2003, n. 290, sono apportate le seguenti modificazioni:</w:t>
      </w:r>
    </w:p>
    <w:p w14:paraId="5EDAFF79"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comma 3:</w:t>
      </w:r>
    </w:p>
    <w:p w14:paraId="1287A5FE"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al quarto periodo, le parole: «tre anni» sono sostituite dalle seguenti: «cinque anni» e le parole: «, salvo il caso in cui il Ministero dello sviluppo economico ne disponga, per una sola volta, la proroga di un anno per sopravvenute esigenze istruttorie» sono soppresse;</w:t>
      </w:r>
    </w:p>
    <w:p w14:paraId="78F7BD5D"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dopo il quinto periodo sono inseriti i seguenti: «La regione o le regioni interessate esprimono il proprio parere ai fini dell'applicazione dell'articolo 4, comma 1-</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del testo unico delle disposizioni legislative e regolamentari in materia di espropriazione per pubblica utilità, di cui al decreto del Presidente della Repubblica 8 giugno 2001, n. 327, in sede di conferenza di servizi. Nel caso di mancata espressione del parere di cui al periodo precedente, la compatibilità dell'opera con l'esercizio dell'uso civico si intende confermata»;</w:t>
      </w:r>
    </w:p>
    <w:p w14:paraId="53288C8C"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 comma 4-</w:t>
      </w:r>
      <w:r w:rsidRPr="000C0983">
        <w:rPr>
          <w:rFonts w:asciiTheme="minorHAnsi" w:eastAsia="Times New Roman" w:hAnsiTheme="minorHAnsi" w:cstheme="minorHAnsi"/>
          <w:b/>
          <w:bCs/>
          <w:i/>
          <w:iCs/>
          <w:color w:val="000000" w:themeColor="text1"/>
          <w:sz w:val="24"/>
          <w:szCs w:val="24"/>
        </w:rPr>
        <w:t>sexies</w:t>
      </w:r>
      <w:r w:rsidRPr="000C0983">
        <w:rPr>
          <w:rFonts w:asciiTheme="minorHAnsi" w:eastAsia="Times New Roman" w:hAnsiTheme="minorHAnsi" w:cstheme="minorHAnsi"/>
          <w:b/>
          <w:bCs/>
          <w:color w:val="000000" w:themeColor="text1"/>
          <w:sz w:val="24"/>
          <w:szCs w:val="24"/>
        </w:rPr>
        <w:t>, dopo il primo periodo è inserito il seguente: «Nel rispetto dei medesimi limiti dimensionali sono realizzabili mediante denuncia di inizio attività le varianti consistenti nel passaggio da linee aeree a cavo interrato, fermo restando quanto previsto dall'articolo 25 del codice dei contratti pubblici, di cui al decreto legislativo 18 aprile 2016, n. 50»;</w:t>
      </w:r>
    </w:p>
    <w:p w14:paraId="55A4C920"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al comma 4-</w:t>
      </w:r>
      <w:r w:rsidRPr="000C0983">
        <w:rPr>
          <w:rFonts w:asciiTheme="minorHAnsi" w:eastAsia="Times New Roman" w:hAnsiTheme="minorHAnsi" w:cstheme="minorHAnsi"/>
          <w:b/>
          <w:bCs/>
          <w:i/>
          <w:iCs/>
          <w:color w:val="000000" w:themeColor="text1"/>
          <w:sz w:val="24"/>
          <w:szCs w:val="24"/>
        </w:rPr>
        <w:t>quaterdecies</w:t>
      </w:r>
      <w:r w:rsidRPr="000C0983">
        <w:rPr>
          <w:rFonts w:asciiTheme="minorHAnsi" w:eastAsia="Times New Roman" w:hAnsiTheme="minorHAnsi" w:cstheme="minorHAnsi"/>
          <w:b/>
          <w:bCs/>
          <w:color w:val="000000" w:themeColor="text1"/>
          <w:sz w:val="24"/>
          <w:szCs w:val="24"/>
        </w:rPr>
        <w:t>, primo periodo, dopo le parole: «sia in fase di realizzazione delle opere,» sono inserite le seguenti: «compreso l'interramento in cavo, fermo restando quanto previsto dall'articolo 25 del codice dei contratti pubblici, di cui al decreto legislativo 18 aprile 2016, n. 50,»;</w:t>
      </w:r>
    </w:p>
    <w:p w14:paraId="2DC4AA8A"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d)</w:t>
      </w:r>
      <w:r w:rsidRPr="000C0983">
        <w:rPr>
          <w:rFonts w:asciiTheme="minorHAnsi" w:eastAsia="Times New Roman" w:hAnsiTheme="minorHAnsi" w:cstheme="minorHAnsi"/>
          <w:b/>
          <w:bCs/>
          <w:color w:val="000000" w:themeColor="text1"/>
          <w:sz w:val="24"/>
          <w:szCs w:val="24"/>
        </w:rPr>
        <w:t> al comma 4-</w:t>
      </w:r>
      <w:r w:rsidRPr="000C0983">
        <w:rPr>
          <w:rFonts w:asciiTheme="minorHAnsi" w:eastAsia="Times New Roman" w:hAnsiTheme="minorHAnsi" w:cstheme="minorHAnsi"/>
          <w:b/>
          <w:bCs/>
          <w:i/>
          <w:iCs/>
          <w:color w:val="000000" w:themeColor="text1"/>
          <w:sz w:val="24"/>
          <w:szCs w:val="24"/>
        </w:rPr>
        <w:t>quinquiesdecies</w:t>
      </w:r>
      <w:r w:rsidRPr="000C0983">
        <w:rPr>
          <w:rFonts w:asciiTheme="minorHAnsi" w:eastAsia="Times New Roman" w:hAnsiTheme="minorHAnsi" w:cstheme="minorHAnsi"/>
          <w:b/>
          <w:bCs/>
          <w:color w:val="000000" w:themeColor="text1"/>
          <w:sz w:val="24"/>
          <w:szCs w:val="24"/>
        </w:rPr>
        <w:t>, primo periodo, dopo le parole: «realizzate con le migliori tecnologie esistenti» sono inserite le seguenti: «, compreso l'interramento in cavo, nel rispetto di quanto previsto dall'articolo 25 del codice dei contratti pubblici, di cui al decreto legislativo 18 aprile 2016, n. 50,»;</w:t>
      </w:r>
    </w:p>
    <w:p w14:paraId="6CCF48C5"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e)</w:t>
      </w:r>
      <w:r w:rsidRPr="000C0983">
        <w:rPr>
          <w:rFonts w:asciiTheme="minorHAnsi" w:eastAsia="Times New Roman" w:hAnsiTheme="minorHAnsi" w:cstheme="minorHAnsi"/>
          <w:b/>
          <w:bCs/>
          <w:color w:val="000000" w:themeColor="text1"/>
          <w:sz w:val="24"/>
          <w:szCs w:val="24"/>
        </w:rPr>
        <w:t> dopo il comma 4-</w:t>
      </w:r>
      <w:r w:rsidRPr="000C0983">
        <w:rPr>
          <w:rFonts w:asciiTheme="minorHAnsi" w:eastAsia="Times New Roman" w:hAnsiTheme="minorHAnsi" w:cstheme="minorHAnsi"/>
          <w:b/>
          <w:bCs/>
          <w:i/>
          <w:iCs/>
          <w:color w:val="000000" w:themeColor="text1"/>
          <w:sz w:val="24"/>
          <w:szCs w:val="24"/>
        </w:rPr>
        <w:t>quinquiesdecies</w:t>
      </w:r>
      <w:r w:rsidRPr="000C0983">
        <w:rPr>
          <w:rFonts w:asciiTheme="minorHAnsi" w:eastAsia="Times New Roman" w:hAnsiTheme="minorHAnsi" w:cstheme="minorHAnsi"/>
          <w:b/>
          <w:bCs/>
          <w:color w:val="000000" w:themeColor="text1"/>
          <w:sz w:val="24"/>
          <w:szCs w:val="24"/>
        </w:rPr>
        <w:t> è inserito il seguente:</w:t>
      </w:r>
    </w:p>
    <w:p w14:paraId="6727A932"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4-sexiesdecies</w:t>
      </w:r>
      <w:r w:rsidRPr="000C0983">
        <w:rPr>
          <w:rFonts w:asciiTheme="minorHAnsi" w:eastAsia="Times New Roman" w:hAnsiTheme="minorHAnsi" w:cstheme="minorHAnsi"/>
          <w:b/>
          <w:bCs/>
          <w:color w:val="000000" w:themeColor="text1"/>
          <w:sz w:val="24"/>
          <w:szCs w:val="24"/>
        </w:rPr>
        <w:t>. Le ricostruzioni di linee elettriche esistenti, che siano necessarie per ragioni di obsolescenza, realizzate con le migliori tecnologie esistenti e aventi caratteristiche diverse da quelle indicate dal comma 4-</w:t>
      </w:r>
      <w:r w:rsidRPr="000C0983">
        <w:rPr>
          <w:rFonts w:asciiTheme="minorHAnsi" w:eastAsia="Times New Roman" w:hAnsiTheme="minorHAnsi" w:cstheme="minorHAnsi"/>
          <w:b/>
          <w:bCs/>
          <w:i/>
          <w:iCs/>
          <w:color w:val="000000" w:themeColor="text1"/>
          <w:sz w:val="24"/>
          <w:szCs w:val="24"/>
        </w:rPr>
        <w:t>quinquiesdecies</w:t>
      </w:r>
      <w:r w:rsidRPr="000C0983">
        <w:rPr>
          <w:rFonts w:asciiTheme="minorHAnsi" w:eastAsia="Times New Roman" w:hAnsiTheme="minorHAnsi" w:cstheme="minorHAnsi"/>
          <w:b/>
          <w:bCs/>
          <w:color w:val="000000" w:themeColor="text1"/>
          <w:sz w:val="24"/>
          <w:szCs w:val="24"/>
        </w:rPr>
        <w:t>, sono autorizzate ai sensi del comma 1. Tutti gli interventi di ricostruzione possono essere realizzati senza necessità di previo inserimento in piani e programmi»;</w:t>
      </w:r>
    </w:p>
    <w:p w14:paraId="7792D846" w14:textId="77777777" w:rsidR="002D2005" w:rsidRPr="000C0983" w:rsidRDefault="002D2005" w:rsidP="002D200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f)</w:t>
      </w:r>
      <w:r w:rsidRPr="000C0983">
        <w:rPr>
          <w:rFonts w:asciiTheme="minorHAnsi" w:eastAsia="Times New Roman" w:hAnsiTheme="minorHAnsi" w:cstheme="minorHAnsi"/>
          <w:b/>
          <w:bCs/>
          <w:color w:val="000000" w:themeColor="text1"/>
          <w:sz w:val="24"/>
          <w:szCs w:val="24"/>
        </w:rPr>
        <w:t> dopo il comma 9 è aggiunto il seguente:</w:t>
      </w:r>
    </w:p>
    <w:p w14:paraId="577FF1F6" w14:textId="4BE5CA2A" w:rsidR="002D2005" w:rsidRDefault="002D2005" w:rsidP="002D2005">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9-bis</w:t>
      </w:r>
      <w:r w:rsidRPr="000C0983">
        <w:rPr>
          <w:rFonts w:asciiTheme="minorHAnsi" w:eastAsia="Times New Roman" w:hAnsiTheme="minorHAnsi" w:cstheme="minorHAnsi"/>
          <w:b/>
          <w:bCs/>
          <w:color w:val="000000" w:themeColor="text1"/>
          <w:sz w:val="24"/>
          <w:szCs w:val="24"/>
        </w:rPr>
        <w:t>. Per le opere di rete per la connessione alla rete elettrica di trasmissione nazionale, autorizzate ai sensi dell'articolo 12 del decreto legislativo 29 dicembre 2003, n. 387, unitamente agli impianti di produzione di energia elettrica alimentati da fonti rinnovabili ovvero autorizzate dai gestori della rete elettrica di distribuzione, si applicano le norme riguardanti la rete elettrica di trasmissione nazionale quando l'autorizzazione per tali opere di connessione sia stata trasferita mediante voltura in favore del gestore della rete elettrica nazionale».</w:t>
      </w:r>
      <w:r>
        <w:rPr>
          <w:rStyle w:val="Rimandonotaapidipagina"/>
          <w:rFonts w:asciiTheme="minorHAnsi" w:eastAsia="Times New Roman" w:hAnsiTheme="minorHAnsi" w:cstheme="minorHAnsi"/>
          <w:b/>
          <w:bCs/>
          <w:color w:val="000000" w:themeColor="text1"/>
          <w:sz w:val="24"/>
          <w:szCs w:val="24"/>
        </w:rPr>
        <w:footnoteReference w:id="37"/>
      </w:r>
      <w:r w:rsidRPr="000C0983">
        <w:rPr>
          <w:rFonts w:asciiTheme="minorHAnsi" w:eastAsia="Times New Roman" w:hAnsiTheme="minorHAnsi" w:cstheme="minorHAnsi"/>
          <w:color w:val="000000" w:themeColor="text1"/>
          <w:sz w:val="24"/>
          <w:szCs w:val="24"/>
        </w:rPr>
        <w:br/>
      </w:r>
    </w:p>
    <w:p w14:paraId="48A0C296" w14:textId="77777777" w:rsidR="00E93C45" w:rsidRPr="000C0983" w:rsidRDefault="00E93C45" w:rsidP="00E93C45">
      <w:pPr>
        <w:shd w:val="clear" w:color="auto" w:fill="FFFFFF"/>
        <w:spacing w:after="0" w:line="240" w:lineRule="auto"/>
        <w:rPr>
          <w:rFonts w:asciiTheme="minorHAnsi" w:eastAsia="Times New Roman" w:hAnsiTheme="minorHAnsi" w:cstheme="minorHAnsi"/>
          <w:color w:val="000000" w:themeColor="text1"/>
          <w:sz w:val="24"/>
          <w:szCs w:val="24"/>
        </w:rPr>
      </w:pPr>
    </w:p>
    <w:p w14:paraId="5A55E209" w14:textId="77777777" w:rsidR="00E93C45" w:rsidRPr="000C0983" w:rsidRDefault="00E93C45" w:rsidP="00E93C45">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13-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(Disposizioni in materia di procedimenti di autorizzazione per le reti nazionali di trasporto dell'energia e per gli impianti di energia elettrica di potenza superiore a 300 MW termici)</w:t>
      </w:r>
    </w:p>
    <w:p w14:paraId="2BCD628A" w14:textId="77777777" w:rsidR="00E93C45" w:rsidRPr="00842AC3" w:rsidRDefault="00E93C45" w:rsidP="00E93C45">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014A17DC"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1-</w:t>
      </w:r>
      <w:r w:rsidRPr="000C0983">
        <w:rPr>
          <w:rFonts w:asciiTheme="minorHAnsi" w:eastAsia="Times New Roman" w:hAnsiTheme="minorHAnsi" w:cstheme="minorHAnsi"/>
          <w:b/>
          <w:bCs/>
          <w:i/>
          <w:iCs/>
          <w:color w:val="000000" w:themeColor="text1"/>
          <w:sz w:val="24"/>
          <w:szCs w:val="24"/>
        </w:rPr>
        <w:t>sexies</w:t>
      </w:r>
      <w:r w:rsidRPr="000C0983">
        <w:rPr>
          <w:rFonts w:asciiTheme="minorHAnsi" w:eastAsia="Times New Roman" w:hAnsiTheme="minorHAnsi" w:cstheme="minorHAnsi"/>
          <w:b/>
          <w:bCs/>
          <w:color w:val="000000" w:themeColor="text1"/>
          <w:sz w:val="24"/>
          <w:szCs w:val="24"/>
        </w:rPr>
        <w:t> del decreto-legge 29 agosto 2003, n. 239, convertito, con modificazioni, dalla legge 27 ottobre 2003, n. 290, sono apportate le seguenti modificazioni:</w:t>
      </w:r>
    </w:p>
    <w:p w14:paraId="12821097"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comma 4-</w:t>
      </w:r>
      <w:r w:rsidRPr="000C0983">
        <w:rPr>
          <w:rFonts w:asciiTheme="minorHAnsi" w:eastAsia="Times New Roman" w:hAnsiTheme="minorHAnsi" w:cstheme="minorHAnsi"/>
          <w:b/>
          <w:bCs/>
          <w:i/>
          <w:iCs/>
          <w:color w:val="000000" w:themeColor="text1"/>
          <w:sz w:val="24"/>
          <w:szCs w:val="24"/>
        </w:rPr>
        <w:t>sexies</w:t>
      </w:r>
      <w:r w:rsidRPr="000C0983">
        <w:rPr>
          <w:rFonts w:asciiTheme="minorHAnsi" w:eastAsia="Times New Roman" w:hAnsiTheme="minorHAnsi" w:cstheme="minorHAnsi"/>
          <w:b/>
          <w:bCs/>
          <w:color w:val="000000" w:themeColor="text1"/>
          <w:sz w:val="24"/>
          <w:szCs w:val="24"/>
        </w:rPr>
        <w:t>:</w:t>
      </w:r>
    </w:p>
    <w:p w14:paraId="22C33724"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dopo il primo periodo è inserito il seguente: «Nel rispetto dei limiti dimensionali di cui al primo periodo sono realizzabili mediante denuncia di inizio attività le varianti che consistano nel passaggio da linee aeree in cavo interrato, fermo restando quanto previsto all'articolo 25 del codice dei contratti pubblici, di cui al decreto legislativo 18 aprile 2016, n. 50»;</w:t>
      </w:r>
    </w:p>
    <w:p w14:paraId="36272D98"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al secondo periodo, le parole: «strettamente necessari alla» sono sostituite dalle seguenti: «necessari per lo svolgimento di attività o la»;</w:t>
      </w:r>
    </w:p>
    <w:p w14:paraId="180CE352"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 comma 4-</w:t>
      </w:r>
      <w:r w:rsidRPr="000C0983">
        <w:rPr>
          <w:rFonts w:asciiTheme="minorHAnsi" w:eastAsia="Times New Roman" w:hAnsiTheme="minorHAnsi" w:cstheme="minorHAnsi"/>
          <w:b/>
          <w:bCs/>
          <w:i/>
          <w:iCs/>
          <w:color w:val="000000" w:themeColor="text1"/>
          <w:sz w:val="24"/>
          <w:szCs w:val="24"/>
        </w:rPr>
        <w:t>quaterdecies</w:t>
      </w:r>
      <w:r w:rsidRPr="000C0983">
        <w:rPr>
          <w:rFonts w:asciiTheme="minorHAnsi" w:eastAsia="Times New Roman" w:hAnsiTheme="minorHAnsi" w:cstheme="minorHAnsi"/>
          <w:b/>
          <w:bCs/>
          <w:color w:val="000000" w:themeColor="text1"/>
          <w:sz w:val="24"/>
          <w:szCs w:val="24"/>
        </w:rPr>
        <w:t>:</w:t>
      </w:r>
    </w:p>
    <w:p w14:paraId="41797A56"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al primo periodo, dopo le parole: «sia in fase di realizzazione delle opere» sono inserite le seguenti: «, compreso l'interramento in cavo»;</w:t>
      </w:r>
    </w:p>
    <w:p w14:paraId="6C56FBE6" w14:textId="77777777" w:rsidR="00E93C45" w:rsidRPr="000C0983" w:rsidRDefault="00E93C45" w:rsidP="00E93C45">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al secondo periodo, le parole: «di tracciato» sono soppresse;</w:t>
      </w:r>
    </w:p>
    <w:p w14:paraId="600A8B68" w14:textId="78B89592" w:rsidR="00E93C45" w:rsidRPr="000C0983" w:rsidRDefault="00E93C45" w:rsidP="00E93C45">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al comma 4-</w:t>
      </w:r>
      <w:r w:rsidRPr="000C0983">
        <w:rPr>
          <w:rFonts w:asciiTheme="minorHAnsi" w:eastAsia="Times New Roman" w:hAnsiTheme="minorHAnsi" w:cstheme="minorHAnsi"/>
          <w:b/>
          <w:bCs/>
          <w:i/>
          <w:iCs/>
          <w:color w:val="000000" w:themeColor="text1"/>
          <w:sz w:val="24"/>
          <w:szCs w:val="24"/>
        </w:rPr>
        <w:t>quinquiesdecies</w:t>
      </w:r>
      <w:r w:rsidRPr="000C0983">
        <w:rPr>
          <w:rFonts w:asciiTheme="minorHAnsi" w:eastAsia="Times New Roman" w:hAnsiTheme="minorHAnsi" w:cstheme="minorHAnsi"/>
          <w:b/>
          <w:bCs/>
          <w:color w:val="000000" w:themeColor="text1"/>
          <w:sz w:val="24"/>
          <w:szCs w:val="24"/>
        </w:rPr>
        <w:t>, primo periodo, dopo le parole: «realizzate con le migliori tecnologie esistenti» sono inserite le seguenti: «compreso l'interramento in cavo».</w:t>
      </w:r>
      <w:r>
        <w:rPr>
          <w:rStyle w:val="Rimandonotaapidipagina"/>
          <w:rFonts w:asciiTheme="minorHAnsi" w:eastAsia="Times New Roman" w:hAnsiTheme="minorHAnsi" w:cstheme="minorHAnsi"/>
          <w:b/>
          <w:bCs/>
          <w:color w:val="000000" w:themeColor="text1"/>
          <w:sz w:val="24"/>
          <w:szCs w:val="24"/>
        </w:rPr>
        <w:footnoteReference w:id="38"/>
      </w:r>
      <w:r w:rsidRPr="000C0983">
        <w:rPr>
          <w:rFonts w:asciiTheme="minorHAnsi" w:eastAsia="Times New Roman" w:hAnsiTheme="minorHAnsi" w:cstheme="minorHAnsi"/>
          <w:color w:val="000000" w:themeColor="text1"/>
          <w:sz w:val="24"/>
          <w:szCs w:val="24"/>
        </w:rPr>
        <w:br/>
      </w:r>
    </w:p>
    <w:p w14:paraId="2E389E40" w14:textId="77777777" w:rsidR="002D2005" w:rsidRDefault="002D2005" w:rsidP="001C5FAC">
      <w:pPr>
        <w:spacing w:after="0" w:line="240" w:lineRule="auto"/>
        <w:jc w:val="center"/>
        <w:rPr>
          <w:rFonts w:asciiTheme="minorHAnsi" w:hAnsiTheme="minorHAnsi" w:cstheme="minorHAnsi"/>
          <w:color w:val="000000" w:themeColor="text1"/>
          <w:sz w:val="24"/>
          <w:szCs w:val="24"/>
        </w:rPr>
      </w:pPr>
    </w:p>
    <w:p w14:paraId="06760305" w14:textId="14DE4638"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14.</w:t>
      </w:r>
    </w:p>
    <w:p w14:paraId="785E9BF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(Contributo sotto forma di credito d'imposta per l'efficienza energetica nelle regioni del Sud)</w:t>
      </w:r>
    </w:p>
    <w:p w14:paraId="6092926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2071F1B" w14:textId="4A9F1BAF"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xml:space="preserve">1. Alle imprese che effettuano investimenti nelle regioni Abruzzo, Basilicata, Calabria, Campania, Molise, Puglia, Sardegna e Sicilia volti ad ottenere una migliore efficienza energetica ed a promuovere la produzione di energia da fonti rinnovabili, </w:t>
      </w:r>
      <w:r w:rsidR="00A51857" w:rsidRPr="000C0983">
        <w:rPr>
          <w:rFonts w:asciiTheme="minorHAnsi" w:eastAsia="Times New Roman" w:hAnsiTheme="minorHAnsi" w:cstheme="minorHAnsi"/>
          <w:b/>
          <w:bCs/>
          <w:color w:val="000000" w:themeColor="text1"/>
          <w:sz w:val="24"/>
          <w:szCs w:val="24"/>
        </w:rPr>
        <w:t>anche tramite la realizzazione di sistemi di accumulo abbinati agli impianti fotovoltaici</w:t>
      </w:r>
      <w:r w:rsidR="00A51857">
        <w:rPr>
          <w:rFonts w:asciiTheme="minorHAnsi" w:eastAsia="Times New Roman" w:hAnsiTheme="minorHAnsi" w:cstheme="minorHAnsi"/>
          <w:b/>
          <w:bCs/>
          <w:color w:val="000000" w:themeColor="text1"/>
          <w:sz w:val="24"/>
          <w:szCs w:val="24"/>
        </w:rPr>
        <w:t>,</w:t>
      </w:r>
      <w:r w:rsidR="00A51857">
        <w:rPr>
          <w:rStyle w:val="Rimandonotaapidipagina"/>
          <w:rFonts w:asciiTheme="minorHAnsi" w:eastAsia="Times New Roman" w:hAnsiTheme="minorHAnsi" w:cstheme="minorHAnsi"/>
          <w:b/>
          <w:bCs/>
          <w:color w:val="000000" w:themeColor="text1"/>
          <w:sz w:val="24"/>
          <w:szCs w:val="24"/>
        </w:rPr>
        <w:footnoteReference w:id="39"/>
      </w:r>
      <w:r w:rsidR="00A51857" w:rsidRPr="001C5FAC">
        <w:rPr>
          <w:rFonts w:asciiTheme="minorHAnsi" w:hAnsiTheme="minorHAnsi" w:cstheme="minorHAnsi"/>
          <w:color w:val="000000" w:themeColor="text1"/>
          <w:sz w:val="24"/>
          <w:szCs w:val="24"/>
        </w:rPr>
        <w:t xml:space="preserve"> </w:t>
      </w:r>
      <w:r w:rsidRPr="001C5FAC">
        <w:rPr>
          <w:rFonts w:asciiTheme="minorHAnsi" w:hAnsiTheme="minorHAnsi" w:cstheme="minorHAnsi"/>
          <w:color w:val="000000" w:themeColor="text1"/>
          <w:sz w:val="24"/>
          <w:szCs w:val="24"/>
        </w:rPr>
        <w:t>fino al 30 novembre 2023 è attribuito un contributo sotto forma di credito d'imposta, nel limite di 145 milioni di euro per ciascuno degli anni 2022 e 2023, nella misura massima consentita dal regolamento (UE) n. 651/2014 della Commissione, del 17 giugno 2014,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164136A9"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5EDAC1F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I costi ammissibili all'agevolazione di cui al comma 1 corrispondono ai costi degli investimenti supplementari necessari per conseguire un livello più elevato di efficienza energetica e per l'autoproduzione di energia da fonti rinnovabili nell'ambito delle strutture produttive. Con decreto del Ministro per il Sud e la coesione territoriale, di concerto con il Ministro della transizione ecologica, il Ministro dello sviluppo economico e il Ministro dell'economia e delle finanze, da adottare entro sessanta giorni dalla data di entrata in vigore del presente decreto, sono stabiliti i criteri e le modalità di attuazione delle disposizioni di cui al presente articolo, con particolare riguardo ai costi ammissibili all'agevolazione, alla documentazione richiesta, alle procedure di concessione, anche ai fini del rispetto del limite degli oneri annuali di cui al comma 1, nonché alle condizioni di revoca e all'effettuazione dei controlli.</w:t>
      </w:r>
    </w:p>
    <w:p w14:paraId="094F1E8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B52208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L'agevolazione di cui al comma 1 è concessa ai sensi e nel rispetto dei limiti e delle condizioni previsti dal regolamento (UE) n. 651/2014.</w:t>
      </w:r>
    </w:p>
    <w:p w14:paraId="667BA9DD" w14:textId="77777777" w:rsidR="00A271FC" w:rsidRDefault="00A271FC" w:rsidP="001C5FAC">
      <w:pPr>
        <w:spacing w:after="0" w:line="240" w:lineRule="auto"/>
        <w:jc w:val="both"/>
        <w:rPr>
          <w:rFonts w:asciiTheme="minorHAnsi" w:hAnsiTheme="minorHAnsi" w:cstheme="minorHAnsi"/>
          <w:color w:val="000000" w:themeColor="text1"/>
          <w:sz w:val="24"/>
          <w:szCs w:val="24"/>
        </w:rPr>
      </w:pPr>
    </w:p>
    <w:p w14:paraId="1AE3F5B3" w14:textId="057C663A" w:rsidR="00A271FC" w:rsidRDefault="00A271FC" w:rsidP="00A271F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xml:space="preserve">. Al fine di assicurare il progetto di risanamento e riconversione dell'area industriale di Porto Torres ed anche in funzione degli obbiettivi di transizione ecologica ed energetica delineata dal Piano nazionale di ripresa e resilienza, entro 30 giorni dalla data di entrata in vigore della legge di conversione del presente decreto è convocata, presso la Presidenza del Consiglio dei ministri di concerto con la regione Sardegna, la «Cabina di regia» così come previsto dal Protocollo di intesa del 2011 per la Chimica Verde, alla quale partecipano le istituzioni locali, le parti sociali e gli operatori economici per la riscrittura, l'aggiornamento, la ridefinizione degli obiettivi e la trasformazione in «Accordo di </w:t>
      </w:r>
      <w:r w:rsidRPr="000C0983">
        <w:rPr>
          <w:rFonts w:asciiTheme="minorHAnsi" w:eastAsia="Times New Roman" w:hAnsiTheme="minorHAnsi" w:cstheme="minorHAnsi"/>
          <w:b/>
          <w:bCs/>
          <w:color w:val="000000" w:themeColor="text1"/>
          <w:sz w:val="24"/>
          <w:szCs w:val="24"/>
        </w:rPr>
        <w:lastRenderedPageBreak/>
        <w:t>Programma» degli impegni istituzionali ed economici contenuti nel Protocollo d'intesa firmato nel 2011 e non ancora portati a termine.</w:t>
      </w:r>
      <w:r>
        <w:rPr>
          <w:rStyle w:val="Rimandonotaapidipagina"/>
          <w:rFonts w:asciiTheme="minorHAnsi" w:eastAsia="Times New Roman" w:hAnsiTheme="minorHAnsi" w:cstheme="minorHAnsi"/>
          <w:b/>
          <w:bCs/>
          <w:color w:val="000000" w:themeColor="text1"/>
          <w:sz w:val="24"/>
          <w:szCs w:val="24"/>
        </w:rPr>
        <w:footnoteReference w:id="40"/>
      </w:r>
    </w:p>
    <w:p w14:paraId="58B73AA1" w14:textId="09ADAABC"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8510CE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Agli oneri derivanti dal presente articolo, pari a 145 milioni di euro per ciascuno degli anni 2022 e 2023, si provvede mediante corrispondente riduzione del Fondo per lo sviluppo e la coesione di cui all'articolo 1, comma 177, della legge 30 dicembre 2020, n. 178.</w:t>
      </w:r>
    </w:p>
    <w:p w14:paraId="2869C32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C708DF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15.</w:t>
      </w:r>
    </w:p>
    <w:p w14:paraId="05029ADE" w14:textId="60FC66D9"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w:t>
      </w:r>
      <w:r w:rsidRPr="00E87028">
        <w:rPr>
          <w:rFonts w:asciiTheme="minorHAnsi" w:hAnsiTheme="minorHAnsi" w:cstheme="minorHAnsi"/>
          <w:strike/>
          <w:color w:val="000000" w:themeColor="text1"/>
          <w:sz w:val="24"/>
          <w:szCs w:val="24"/>
          <w:highlight w:val="yellow"/>
        </w:rPr>
        <w:t>Semplificazioni per impianti a sonde geotermiche a circuito chiuso</w:t>
      </w:r>
      <w:r w:rsidR="00E87028">
        <w:rPr>
          <w:rFonts w:asciiTheme="minorHAnsi" w:hAnsiTheme="minorHAnsi" w:cstheme="minorHAnsi"/>
          <w:color w:val="000000" w:themeColor="text1"/>
          <w:sz w:val="24"/>
          <w:szCs w:val="24"/>
        </w:rPr>
        <w:t xml:space="preserve"> </w:t>
      </w:r>
      <w:r w:rsidR="00E87028" w:rsidRPr="000C0983">
        <w:rPr>
          <w:rFonts w:asciiTheme="minorHAnsi" w:eastAsia="Times New Roman" w:hAnsiTheme="minorHAnsi" w:cstheme="minorHAnsi"/>
          <w:b/>
          <w:bCs/>
          <w:color w:val="000000" w:themeColor="text1"/>
          <w:sz w:val="24"/>
          <w:szCs w:val="24"/>
        </w:rPr>
        <w:t>Semplificazioni per le piccole utilizzazioni locali di calore geotermico</w:t>
      </w:r>
      <w:r w:rsidR="00E87028">
        <w:rPr>
          <w:rStyle w:val="Rimandonotaapidipagina"/>
          <w:rFonts w:asciiTheme="minorHAnsi" w:eastAsia="Times New Roman" w:hAnsiTheme="minorHAnsi" w:cstheme="minorHAnsi"/>
          <w:b/>
          <w:bCs/>
          <w:color w:val="000000" w:themeColor="text1"/>
          <w:sz w:val="24"/>
          <w:szCs w:val="24"/>
        </w:rPr>
        <w:footnoteReference w:id="41"/>
      </w:r>
      <w:r w:rsidR="00E87028" w:rsidRPr="00E87028">
        <w:rPr>
          <w:rFonts w:asciiTheme="minorHAnsi" w:eastAsia="Times New Roman" w:hAnsiTheme="minorHAnsi" w:cstheme="minorHAnsi"/>
          <w:color w:val="000000" w:themeColor="text1"/>
          <w:sz w:val="24"/>
          <w:szCs w:val="24"/>
        </w:rPr>
        <w:t>)</w:t>
      </w:r>
    </w:p>
    <w:p w14:paraId="4FFBE63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DBC260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25 del decreto legislativo 8 novembre 2021 n. 199, dopo il comma 6 sono inseriti i seguenti:</w:t>
      </w:r>
    </w:p>
    <w:p w14:paraId="060B7DB0" w14:textId="32DD6E05"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   «6-bis. Entro sessanta giorni dalla data di entrata in vigore della presente disposizione, con decreto del Ministro della transizione ecologica sono stabilite le prescrizioni per la posa in opera degli impianti di produzione di calore da risorsa geotermica, </w:t>
      </w:r>
      <w:r w:rsidRPr="00E87028">
        <w:rPr>
          <w:rFonts w:asciiTheme="minorHAnsi" w:hAnsiTheme="minorHAnsi" w:cstheme="minorHAnsi"/>
          <w:strike/>
          <w:color w:val="000000" w:themeColor="text1"/>
          <w:sz w:val="24"/>
          <w:szCs w:val="24"/>
          <w:highlight w:val="yellow"/>
        </w:rPr>
        <w:t>ossia sonde geotermiche,</w:t>
      </w:r>
      <w:r w:rsidR="00E87028">
        <w:rPr>
          <w:rStyle w:val="Rimandonotaapidipagina"/>
          <w:rFonts w:asciiTheme="minorHAnsi" w:hAnsiTheme="minorHAnsi" w:cstheme="minorHAnsi"/>
          <w:strike/>
          <w:color w:val="000000" w:themeColor="text1"/>
          <w:sz w:val="24"/>
          <w:szCs w:val="24"/>
          <w:highlight w:val="yellow"/>
        </w:rPr>
        <w:footnoteReference w:id="42"/>
      </w:r>
      <w:r w:rsidRPr="001C5FAC">
        <w:rPr>
          <w:rFonts w:asciiTheme="minorHAnsi" w:hAnsiTheme="minorHAnsi" w:cstheme="minorHAnsi"/>
          <w:color w:val="000000" w:themeColor="text1"/>
          <w:sz w:val="24"/>
          <w:szCs w:val="24"/>
        </w:rPr>
        <w:t xml:space="preserve"> destinati al riscaldamento e alla climatizzazione di edifici e alla produzione di energia elettrica.</w:t>
      </w:r>
    </w:p>
    <w:p w14:paraId="01E183AF" w14:textId="41ED7A90"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   6-ter. Con il medesimo decreto di cui al comma 6-bis sono inoltre individuati i casi in cui si applica la procedura abilitativa semplificata di cui all'articolo 6 del decreto legislativo 3 marzo 2011, n. 28, nonché i casi in cui l'installazione può essere considerata attività edilizia libera, a condizione che tali impianti abbiano una potenza inferiore a 2 MW e scambino solo energia termica con il terreno, utilizzando un fluido vettore che circola in apposite sonde geotermiche poste a contatto con il terreno, senza effettuare prelievi o immissione di fluidi nel sottosuolo</w:t>
      </w:r>
      <w:r w:rsidR="00E87028">
        <w:rPr>
          <w:rFonts w:asciiTheme="minorHAnsi" w:hAnsiTheme="minorHAnsi" w:cstheme="minorHAnsi"/>
          <w:color w:val="000000" w:themeColor="text1"/>
          <w:sz w:val="24"/>
          <w:szCs w:val="24"/>
        </w:rPr>
        <w:t xml:space="preserve"> </w:t>
      </w:r>
      <w:r w:rsidR="00E87028" w:rsidRPr="000C0983">
        <w:rPr>
          <w:rFonts w:asciiTheme="minorHAnsi" w:eastAsia="Times New Roman" w:hAnsiTheme="minorHAnsi" w:cstheme="minorHAnsi"/>
          <w:b/>
          <w:bCs/>
          <w:color w:val="000000" w:themeColor="text1"/>
          <w:sz w:val="24"/>
          <w:szCs w:val="24"/>
        </w:rPr>
        <w:t>oppure utilizzino fluidi geotermici limitatamente al caso in cui il prelievo e la restituzione delle acque sotterranee restino confinati nell'ambito della falda superficiale</w:t>
      </w:r>
      <w:r w:rsidR="00E87028">
        <w:rPr>
          <w:rStyle w:val="Rimandonotaapidipagina"/>
          <w:rFonts w:asciiTheme="minorHAnsi" w:eastAsia="Times New Roman" w:hAnsiTheme="minorHAnsi" w:cstheme="minorHAnsi"/>
          <w:b/>
          <w:bCs/>
          <w:color w:val="000000" w:themeColor="text1"/>
          <w:sz w:val="24"/>
          <w:szCs w:val="24"/>
        </w:rPr>
        <w:footnoteReference w:id="43"/>
      </w:r>
      <w:r w:rsidRPr="001C5FAC">
        <w:rPr>
          <w:rFonts w:asciiTheme="minorHAnsi" w:hAnsiTheme="minorHAnsi" w:cstheme="minorHAnsi"/>
          <w:color w:val="000000" w:themeColor="text1"/>
          <w:sz w:val="24"/>
          <w:szCs w:val="24"/>
        </w:rPr>
        <w:t>.».</w:t>
      </w:r>
    </w:p>
    <w:p w14:paraId="311758BF" w14:textId="2272C4D2" w:rsidR="007A7C46" w:rsidRPr="001C5FAC" w:rsidRDefault="007A7C46" w:rsidP="001C5FAC">
      <w:pPr>
        <w:spacing w:after="0" w:line="240" w:lineRule="auto"/>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6-quater</w:t>
      </w:r>
      <w:r w:rsidRPr="000C0983">
        <w:rPr>
          <w:rFonts w:asciiTheme="minorHAnsi" w:eastAsia="Times New Roman" w:hAnsiTheme="minorHAnsi" w:cstheme="minorHAnsi"/>
          <w:b/>
          <w:bCs/>
          <w:color w:val="000000" w:themeColor="text1"/>
          <w:sz w:val="24"/>
          <w:szCs w:val="24"/>
        </w:rPr>
        <w:t>. Sono fatte salve le modalità operative individuate dalle regioni che abbiano liberalizzato l'installazione di sonde geotermiche senza prelievo o immissione di fluidi nel sottosuolo».</w:t>
      </w:r>
      <w:r>
        <w:rPr>
          <w:rStyle w:val="Rimandonotaapidipagina"/>
          <w:rFonts w:asciiTheme="minorHAnsi" w:eastAsia="Times New Roman" w:hAnsiTheme="minorHAnsi" w:cstheme="minorHAnsi"/>
          <w:b/>
          <w:bCs/>
          <w:color w:val="000000" w:themeColor="text1"/>
          <w:sz w:val="24"/>
          <w:szCs w:val="24"/>
        </w:rPr>
        <w:footnoteReference w:id="44"/>
      </w:r>
    </w:p>
    <w:p w14:paraId="25D73CBE" w14:textId="77777777" w:rsidR="006F4AEE" w:rsidRDefault="006F4AEE" w:rsidP="006F4AEE">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746D6DD7" w14:textId="679F3950" w:rsidR="00E87028" w:rsidRPr="000C0983" w:rsidRDefault="006F4AEE" w:rsidP="00E87028">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All'articolo 119, del decreto-legge 19 maggio 2020, n. 34, convertito, con modificazioni, dalla legge 17 luglio 2020, n. 77, al comma 5, primo periodo, dopo le parole: «agli edifici,», sono aggiunte le seguenti: «ovvero di sonde geotermiche utilizzate per gli impianti geotermici di cui al comma 1.».</w:t>
      </w:r>
      <w:r>
        <w:rPr>
          <w:rStyle w:val="Rimandonotaapidipagina"/>
          <w:rFonts w:asciiTheme="minorHAnsi" w:eastAsia="Times New Roman" w:hAnsiTheme="minorHAnsi" w:cstheme="minorHAnsi"/>
          <w:b/>
          <w:bCs/>
          <w:color w:val="000000" w:themeColor="text1"/>
          <w:sz w:val="24"/>
          <w:szCs w:val="24"/>
        </w:rPr>
        <w:footnoteReference w:id="45"/>
      </w:r>
      <w:r w:rsidR="00E87028" w:rsidRPr="000C0983">
        <w:rPr>
          <w:rFonts w:asciiTheme="minorHAnsi" w:eastAsia="Times New Roman" w:hAnsiTheme="minorHAnsi" w:cstheme="minorHAnsi"/>
          <w:color w:val="000000" w:themeColor="text1"/>
          <w:sz w:val="24"/>
          <w:szCs w:val="24"/>
        </w:rPr>
        <w:br/>
      </w:r>
    </w:p>
    <w:p w14:paraId="5CCBD299" w14:textId="77777777" w:rsidR="00E87028" w:rsidRPr="001C5FAC" w:rsidRDefault="00E87028" w:rsidP="001C5FAC">
      <w:pPr>
        <w:spacing w:after="0" w:line="240" w:lineRule="auto"/>
        <w:jc w:val="both"/>
        <w:rPr>
          <w:rFonts w:asciiTheme="minorHAnsi" w:hAnsiTheme="minorHAnsi" w:cstheme="minorHAnsi"/>
          <w:color w:val="000000" w:themeColor="text1"/>
          <w:sz w:val="24"/>
          <w:szCs w:val="24"/>
        </w:rPr>
      </w:pPr>
    </w:p>
    <w:p w14:paraId="767D9D7E"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16.</w:t>
      </w:r>
    </w:p>
    <w:p w14:paraId="4C0FF457"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(Misure per fronteggiare l'emergenza caro energia attraverso il rafforzamento della sicurezza di approvvigionamento di gas naturale a prezzi equi)</w:t>
      </w:r>
    </w:p>
    <w:p w14:paraId="1B1D9A5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59B6517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fine di contribuire al rafforzamento della sicurezza degli approvvigionamenti di gas naturale a prezzi ragionevoli ai clienti finali e, contestualmente, alla riduzione delle emissioni di gas climalteranti, entro trenta giorni dalla data di entrata in vigore del presente decreto, il GSE o le società da esso controllate (di seguito «Gruppo GSE») avvia, su direttiva del Ministro della transizione ecologica, procedure per l'approvvigionamento di lungo termine di gas naturale di produzione nazionale dai titolari di concessioni di coltivazione di gas.</w:t>
      </w:r>
    </w:p>
    <w:p w14:paraId="42614BD4"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9A6E3ED" w14:textId="161652A9"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2. Il Gruppo GSE invita i titolari di concessioni di coltivazione di gas naturale, ricadenti nella terraferma, nel mare territoriale e nella piattaforma continentale, a manifestare interesse ad aderire alle procedure di cui al comma 1, comunicando i programmi delle produzioni di gas naturale delle concessioni in essere, per gli anni dal 2022 al 2031, nonché un elenco di possibili sviluppi, incrementi o ripristini delle produzioni di gas naturale per lo stesso periodo nelle concessioni di cui sono titolari, delle tempistiche massime di entrata in erogazione, del profilo atteso di produzione e dei relativi investimenti necessari. La disposizione di cui al primo periodo si applica alle concessioni i cui impianti di coltivazione ricadono in tutto o in parte in aree considerate </w:t>
      </w:r>
      <w:r w:rsidRPr="005F411C">
        <w:rPr>
          <w:rFonts w:asciiTheme="minorHAnsi" w:hAnsiTheme="minorHAnsi" w:cstheme="minorHAnsi"/>
          <w:strike/>
          <w:color w:val="000000" w:themeColor="text1"/>
          <w:sz w:val="24"/>
          <w:szCs w:val="24"/>
          <w:highlight w:val="yellow"/>
        </w:rPr>
        <w:t>idonee</w:t>
      </w:r>
      <w:r w:rsidRPr="001C5FAC">
        <w:rPr>
          <w:rFonts w:asciiTheme="minorHAnsi" w:hAnsiTheme="minorHAnsi" w:cstheme="minorHAnsi"/>
          <w:color w:val="000000" w:themeColor="text1"/>
          <w:sz w:val="24"/>
          <w:szCs w:val="24"/>
        </w:rPr>
        <w:t xml:space="preserve"> </w:t>
      </w:r>
      <w:r w:rsidR="005F411C">
        <w:rPr>
          <w:rFonts w:asciiTheme="minorHAnsi" w:hAnsiTheme="minorHAnsi" w:cstheme="minorHAnsi"/>
          <w:b/>
          <w:bCs/>
          <w:color w:val="000000" w:themeColor="text1"/>
          <w:sz w:val="24"/>
          <w:szCs w:val="24"/>
        </w:rPr>
        <w:t>compatibili</w:t>
      </w:r>
      <w:r w:rsidR="005F411C">
        <w:rPr>
          <w:rStyle w:val="Rimandonotaapidipagina"/>
          <w:rFonts w:asciiTheme="minorHAnsi" w:hAnsiTheme="minorHAnsi" w:cstheme="minorHAnsi"/>
          <w:b/>
          <w:bCs/>
          <w:color w:val="000000" w:themeColor="text1"/>
          <w:sz w:val="24"/>
          <w:szCs w:val="24"/>
        </w:rPr>
        <w:footnoteReference w:id="46"/>
      </w:r>
      <w:r w:rsidR="005F411C">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 xml:space="preserve">nell'ambito del Piano per la transizione energetica sostenibile delle aree idonee, approvato con decreto del Ministro della transizione ecologica 28 dicembre 2021, anche nel caso di concessioni improduttive o in condizione di sospensione volontaria delle attività. La </w:t>
      </w:r>
      <w:proofErr w:type="gramStart"/>
      <w:r w:rsidRPr="001C5FAC">
        <w:rPr>
          <w:rFonts w:asciiTheme="minorHAnsi" w:hAnsiTheme="minorHAnsi" w:cstheme="minorHAnsi"/>
          <w:color w:val="000000" w:themeColor="text1"/>
          <w:sz w:val="24"/>
          <w:szCs w:val="24"/>
        </w:rPr>
        <w:t>predetta</w:t>
      </w:r>
      <w:proofErr w:type="gramEnd"/>
      <w:r w:rsidRPr="001C5FAC">
        <w:rPr>
          <w:rFonts w:asciiTheme="minorHAnsi" w:hAnsiTheme="minorHAnsi" w:cstheme="minorHAnsi"/>
          <w:color w:val="000000" w:themeColor="text1"/>
          <w:sz w:val="24"/>
          <w:szCs w:val="24"/>
        </w:rPr>
        <w:t xml:space="preserve"> comunicazione è effettuata nei confronti del Gruppo GSE, del Ministero della transizione ecologica e dell'ARERA, entro trenta giorni dall'invito alla manifestazione di interesse ai sensi del primo periodo.</w:t>
      </w:r>
    </w:p>
    <w:p w14:paraId="0282C1C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D4FEDF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I procedimenti di valutazione e autorizzazione delle opere necessarie alla realizzazione dei piani di interventi di cui al comma 2 si concludono entro il termine di sei mesi dalla data di avvio dei procedimenti medesimi. Le procedure di valutazione ambientale sono svolte dalla Commissione Tecnica PNRR-PNIEC di cui all'articolo 8, comma 2-bis, del decreto legislativo 3 aprile 2006, n. 152.</w:t>
      </w:r>
    </w:p>
    <w:p w14:paraId="2E69094E"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E96C76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4. Il Gruppo GSE stipula contratti di acquisto di lungo termine, di durata massima pari a dieci anni, con verifica dei termini alla fine del quinto anno, con i concessionari di cui al comma 2 a condizioni e prezzi definiti con decreto del Ministro dell'economia e delle finanze, di concerto con il Ministro della transizione ecologica e sentita l'ARERA. Il sistema dei prezzi garantisce la copertura dei costi totali effettivi delle singole produzioni, inclusi gli oneri fiscali e un'equa remunerazione, ferma restando la condizione </w:t>
      </w:r>
      <w:r w:rsidRPr="001C5FAC">
        <w:rPr>
          <w:rFonts w:asciiTheme="minorHAnsi" w:hAnsiTheme="minorHAnsi" w:cstheme="minorHAnsi"/>
          <w:color w:val="000000" w:themeColor="text1"/>
          <w:sz w:val="24"/>
          <w:szCs w:val="24"/>
        </w:rPr>
        <w:lastRenderedPageBreak/>
        <w:t>di coltivabilità economica del giacimento. Lo schema di contratto tipo di acquisto è predisposto dal Gruppo GSE e approvato dai Ministeri dell'economia e delle finanze e della transizione ecologica.</w:t>
      </w:r>
    </w:p>
    <w:p w14:paraId="496BD078"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48296B94" w14:textId="053388DE"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5. Il Gruppo GSE, con una o più procedure, offre i volumi di gas di cui al comma 2 alle condizioni e ai prezzi di cui al comma 4 a clienti finali industriali </w:t>
      </w:r>
      <w:r w:rsidR="00C704F2" w:rsidRPr="000C0983">
        <w:rPr>
          <w:rFonts w:asciiTheme="minorHAnsi" w:eastAsia="Times New Roman" w:hAnsiTheme="minorHAnsi" w:cstheme="minorHAnsi"/>
          <w:b/>
          <w:bCs/>
          <w:color w:val="000000" w:themeColor="text1"/>
          <w:sz w:val="24"/>
          <w:szCs w:val="24"/>
        </w:rPr>
        <w:t>a forte consumo di gas, come definiti dal decreto del Ministro della transizione ecologica n. 541 del 21 dicembre 2021, anche in forma aggregata, con priorità per le imprese a prevalente consumo termico</w:t>
      </w:r>
      <w:r w:rsidR="00C704F2">
        <w:rPr>
          <w:rStyle w:val="Rimandonotaapidipagina"/>
          <w:rFonts w:asciiTheme="minorHAnsi" w:eastAsia="Times New Roman" w:hAnsiTheme="minorHAnsi" w:cstheme="minorHAnsi"/>
          <w:b/>
          <w:bCs/>
          <w:color w:val="000000" w:themeColor="text1"/>
          <w:sz w:val="24"/>
          <w:szCs w:val="24"/>
        </w:rPr>
        <w:footnoteReference w:id="47"/>
      </w:r>
      <w:r w:rsidR="00C704F2">
        <w:rPr>
          <w:rFonts w:asciiTheme="minorHAnsi" w:eastAsia="Times New Roman"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secondo criteri di assegnazione su base pluralistica definiti con decreto dei Ministri dell'economia e delle finanze e della transizione ecologica, di concerto con il Ministro dello sviluppo economico, con riserva di almeno un terzo alle piccole e medie imprese come definite dalla raccomandazione della Commissione europea n. 2003/361/CE del 6 maggio 2003. Lo schema di contratto tipo di offerta è predisposto dal Gruppo GSE e approvato dai Ministeri dell'economia e delle finanze e della transizione ecologica.</w:t>
      </w:r>
    </w:p>
    <w:p w14:paraId="7810DA63" w14:textId="3749F320" w:rsidR="001C5FAC" w:rsidRPr="001C5FAC" w:rsidRDefault="001C5FAC" w:rsidP="00C704F2">
      <w:pPr>
        <w:shd w:val="clear" w:color="auto" w:fill="FFFFFF"/>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9970F10"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6. Il Gruppo GSE è autorizzato a rilasciare garanzie a beneficio dei concessionari di cui al comma 2 in relazione ai contratti stipulati ai sensi del comma 4. Il Gruppo GSE acquisisce dai clienti finali industriali corrispondente garanzia in relazione ai contratti stipulati ai sensi del comma 5.</w:t>
      </w:r>
    </w:p>
    <w:p w14:paraId="65BCCE5D" w14:textId="77777777" w:rsidR="0006654B" w:rsidRDefault="0006654B" w:rsidP="001C5FAC">
      <w:pPr>
        <w:spacing w:after="0" w:line="240" w:lineRule="auto"/>
        <w:jc w:val="both"/>
        <w:rPr>
          <w:rFonts w:asciiTheme="minorHAnsi" w:hAnsiTheme="minorHAnsi" w:cstheme="minorHAnsi"/>
          <w:color w:val="000000" w:themeColor="text1"/>
          <w:sz w:val="24"/>
          <w:szCs w:val="24"/>
        </w:rPr>
      </w:pPr>
    </w:p>
    <w:p w14:paraId="0327E6AF" w14:textId="77777777" w:rsidR="0006654B" w:rsidRPr="000C0983" w:rsidRDefault="0006654B" w:rsidP="0006654B">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16-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(Integrazione stabile delle fonti rinnovabili nel mercato elettrico con trasferimento delle efficienze risultanti ai clienti finali)</w:t>
      </w:r>
    </w:p>
    <w:p w14:paraId="2CC977C1" w14:textId="77777777" w:rsidR="0006654B" w:rsidRPr="00F66DDE" w:rsidRDefault="0006654B" w:rsidP="0006654B">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4803F916" w14:textId="77777777" w:rsidR="0006654B" w:rsidRPr="00F66DDE" w:rsidRDefault="0006654B" w:rsidP="000665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fine di garantire la piena integrazione e remunerazione di medio termine degli investimenti in fonti rinnovabili nel mercato elettrico, nonché di trasferire ai consumatori partecipanti al mercato elettrico i benefici conseguenti alla predetta integrazione, il Gestore dei servizi energetici – GSE S.p.A. (nel seguito: «GSE») offre un servizio di ritiro e acquisto di energia elettrica da fonte rinnovabile prodotta da impianti stabiliti sul territorio nazionale, mediante la stipula di contratti di lungo termine di durata pari ad almeno 3 anni.</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5B77A6E5" w14:textId="77777777" w:rsidR="0006654B" w:rsidRDefault="0006654B" w:rsidP="000665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Il GSE procede alla vendita dell'energia elettrica da fonti rinnovabili ritirata ai sensi del comma 1 mediante la stipula di contratti di pari durata di quelli di acquisto di cui al medesimo comma 1, attraverso gli strumenti informativi e di negoziazione predisposti dal Gestore dei mercati energetici S.p.A. (nel seguito: «GME») ai sensi dell'articolo 28 del decreto legislativo n. 199/2021.</w:t>
      </w:r>
    </w:p>
    <w:p w14:paraId="184A7A3B" w14:textId="77777777" w:rsidR="0006654B" w:rsidRPr="00F66DDE" w:rsidRDefault="0006654B" w:rsidP="000665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7C3FF781" w14:textId="77777777" w:rsidR="0006654B" w:rsidRPr="000C0983" w:rsidRDefault="0006654B" w:rsidP="000665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xml:space="preserve">3. Con uno o più decreti del Ministro della transizione ecologica, da adottare entro 90 giorni dalla data di entrata in vigore della legge di conversione del presente </w:t>
      </w:r>
      <w:proofErr w:type="gramStart"/>
      <w:r w:rsidRPr="000C0983">
        <w:rPr>
          <w:rFonts w:asciiTheme="minorHAnsi" w:eastAsia="Times New Roman" w:hAnsiTheme="minorHAnsi" w:cstheme="minorHAnsi"/>
          <w:b/>
          <w:bCs/>
          <w:color w:val="000000" w:themeColor="text1"/>
          <w:sz w:val="24"/>
          <w:szCs w:val="24"/>
        </w:rPr>
        <w:t>decreto legge</w:t>
      </w:r>
      <w:proofErr w:type="gramEnd"/>
      <w:r w:rsidRPr="000C0983">
        <w:rPr>
          <w:rFonts w:asciiTheme="minorHAnsi" w:eastAsia="Times New Roman" w:hAnsiTheme="minorHAnsi" w:cstheme="minorHAnsi"/>
          <w:b/>
          <w:bCs/>
          <w:color w:val="000000" w:themeColor="text1"/>
          <w:sz w:val="24"/>
          <w:szCs w:val="24"/>
        </w:rPr>
        <w:t>, sono stabiliti:</w:t>
      </w:r>
    </w:p>
    <w:p w14:paraId="3D071A68" w14:textId="77777777" w:rsidR="0006654B" w:rsidRPr="000C0983" w:rsidRDefault="0006654B" w:rsidP="000665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a) il prezzo di vendita offerto dal GSE ai sensi del comma 2, valorizzando opportunamente i differenti profili di produzione degli impianti a fonti rinnovabili, tenendo conto dei valori di investimento standard delle singole tecnologie e della redditività dell'investimento, nonché in coerenza con i valori di cui all'articolo 15-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comma 3, lettera a), del decreto-legge 27 gennaio 2022, n. 4, convertito, con modificazioni, dalla legge 28 marzo 2022, n. 25;</w:t>
      </w:r>
    </w:p>
    <w:p w14:paraId="548CDC13" w14:textId="77777777" w:rsidR="0006654B" w:rsidRPr="000C0983" w:rsidRDefault="0006654B" w:rsidP="000665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b) le modalità con le quali il GSE può cedere l'energia già in sua disponibilità derivante da impianti a fonti rinnovabili che beneficiano di tariffe onnicomprensive ovvero dal servizio di ritiro e vendita a lungo termine di cui ai commi 1 e 2 nell'ambito dei meccanismi del ritiro dedicato di cui all'articolo 13, commi 3 e 4, del decreto legislativo 29 dicembre 2003, n. 387 o dello scambio sul posto di cui all'articolo 6 del decreto legislativo n. 387/2003 ai quali non si applicano i commi 1, 2, 3, 4 e 5 dell'articolo 15-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xml:space="preserve"> del decreto-legge n. 4/2022 garantendo che la medesima energia sia ceduta prioritariamente ai clienti industriali, alle piccole e medie imprese come definite dalla Raccomandazione della Commissione europea n. 2003/361/CE e ai clienti localizzati nelle isole maggiori e che partecipino al servizio di </w:t>
      </w:r>
      <w:proofErr w:type="spellStart"/>
      <w:r w:rsidRPr="000C0983">
        <w:rPr>
          <w:rFonts w:asciiTheme="minorHAnsi" w:eastAsia="Times New Roman" w:hAnsiTheme="minorHAnsi" w:cstheme="minorHAnsi"/>
          <w:b/>
          <w:bCs/>
          <w:color w:val="000000" w:themeColor="text1"/>
          <w:sz w:val="24"/>
          <w:szCs w:val="24"/>
        </w:rPr>
        <w:t>interrompibilità</w:t>
      </w:r>
      <w:proofErr w:type="spellEnd"/>
      <w:r w:rsidRPr="000C0983">
        <w:rPr>
          <w:rFonts w:asciiTheme="minorHAnsi" w:eastAsia="Times New Roman" w:hAnsiTheme="minorHAnsi" w:cstheme="minorHAnsi"/>
          <w:b/>
          <w:bCs/>
          <w:color w:val="000000" w:themeColor="text1"/>
          <w:sz w:val="24"/>
          <w:szCs w:val="24"/>
        </w:rPr>
        <w:t xml:space="preserve"> e riduzione istantanea insulare secondo la deliberazione dell'Autorità di regolazione per l'energia reti e ambiente del 16 dicembre 2020, n. 558/20/R/EEL.;</w:t>
      </w:r>
    </w:p>
    <w:p w14:paraId="3AE3AC01" w14:textId="77777777" w:rsidR="0006654B" w:rsidRPr="000C0983" w:rsidRDefault="0006654B" w:rsidP="000665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c) le modalità con le quali il GSE cede l'energia di cui al comma 1, garantendo che i prezzi di cui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siano direttamente praticati ai clienti finali con priorità ai clienti finali energivori, con attenzione alle isole Sicilia e Sardegna;</w:t>
      </w:r>
    </w:p>
    <w:p w14:paraId="4B4A79CE" w14:textId="77777777" w:rsidR="0006654B" w:rsidRPr="000C0983" w:rsidRDefault="0006654B" w:rsidP="0006654B">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d) le modalità con le quali il meccanismo di cui al comma 1 è coordinato con le procedure di cui al Capo II, Titolo II, del decreto legislativo 8 novembre 2021, n. 199 gestite dal GSE.</w:t>
      </w:r>
    </w:p>
    <w:p w14:paraId="032FACB4" w14:textId="77777777" w:rsidR="0006654B" w:rsidRPr="00F66DDE" w:rsidRDefault="0006654B" w:rsidP="0006654B">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57013933" w14:textId="677F2C6D" w:rsidR="0006654B" w:rsidRDefault="0006654B" w:rsidP="0006654B">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4. Le disposizioni di cui al presente articolo non comportano nuovi o maggiori oneri a carico della finanza pubblica.</w:t>
      </w:r>
      <w:r>
        <w:rPr>
          <w:rStyle w:val="Rimandonotaapidipagina"/>
          <w:rFonts w:asciiTheme="minorHAnsi" w:eastAsia="Times New Roman" w:hAnsiTheme="minorHAnsi" w:cstheme="minorHAnsi"/>
          <w:b/>
          <w:bCs/>
          <w:color w:val="000000" w:themeColor="text1"/>
          <w:sz w:val="24"/>
          <w:szCs w:val="24"/>
        </w:rPr>
        <w:footnoteReference w:id="48"/>
      </w:r>
    </w:p>
    <w:p w14:paraId="73299F78" w14:textId="6387B031" w:rsidR="001C5FAC" w:rsidRPr="001C5FAC" w:rsidRDefault="0006654B" w:rsidP="0006654B">
      <w:pPr>
        <w:shd w:val="clear" w:color="auto" w:fill="FFFFFF"/>
        <w:spacing w:after="0" w:line="240" w:lineRule="auto"/>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br/>
      </w:r>
    </w:p>
    <w:p w14:paraId="1ED7A37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17.</w:t>
      </w:r>
    </w:p>
    <w:p w14:paraId="51A6392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(Promozione dei biocarburanti da utilizzare in purezza)</w:t>
      </w:r>
    </w:p>
    <w:p w14:paraId="70EABCB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855CF5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39 del decreto legislativo 8 novembre 2021 n. 199, sono apportate le seguenti modificazioni:</w:t>
      </w:r>
    </w:p>
    <w:p w14:paraId="0F00B60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 comma 3, dopo la lettera d) è inserita la seguente:</w:t>
      </w:r>
    </w:p>
    <w:p w14:paraId="295491B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   «d-bis) a partire dal 2023, la quota di biocarburanti sostenibili utilizzati in purezza è pari ad almeno 200 mila tonnellate, che si incrementa di 50 mila tonnellate all'anno nel successivo triennio.»;</w:t>
      </w:r>
    </w:p>
    <w:p w14:paraId="2C66415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dopo il comma 3, sono inseriti i seguenti:</w:t>
      </w:r>
    </w:p>
    <w:p w14:paraId="69E6759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   «3-bis. Al fine di supportare la promozione dei biocarburanti sostenibili utilizzati in purezza di cui al comma 3, lettera d-bis) anche attraverso la riconversione delle raffinerie tradizionali ricadenti all'interno </w:t>
      </w:r>
      <w:r w:rsidRPr="001C5FAC">
        <w:rPr>
          <w:rFonts w:asciiTheme="minorHAnsi" w:hAnsiTheme="minorHAnsi" w:cstheme="minorHAnsi"/>
          <w:color w:val="000000" w:themeColor="text1"/>
          <w:sz w:val="24"/>
          <w:szCs w:val="24"/>
        </w:rPr>
        <w:lastRenderedPageBreak/>
        <w:t>di siti di bonifica di interesse nazionale (SIN) per la produzione di biocarburanti da utilizzare in purezza, è istituito, nello stato di previsione del Ministero della transizione ecologica, il fondo denominato “Fondo per la decarbonizzazione e per la riconversione verde delle raffinerie ricadenti nei SIN”, con una dotazione pari a euro 205 milioni per l'anno 2022, a euro 45 milioni per l'anno 2023 e a euro 10 milioni per l'anno 2024. Con decreto del Ministro della transizione ecologica, di concerto con il Ministro dell'economia e delle finanze, da adottare entro centottanta giorni dalla data di entrata in vigore della presente disposizione, sono stabilite le modalità di riparto delle risorse. Ai relativi oneri si provvede:</w:t>
      </w:r>
    </w:p>
    <w:p w14:paraId="493ABFE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quanto ad euro 150 milioni di euro, per l'anno 2022, mediante utilizzo delle risorse disponibili, in conto residui, sui pertinenti capitoli dello stato di previsione del Ministero della transizione ecologica, iscritte ai sensi dell'articolo 2, comma 1, del decreto-legge 14 ottobre 2019, n. 111, convertito, con modificazioni dalla legge 12 dicembre 2019, n. 141, per 130 milioni di euro, e dell'articolo 2, comma 2, del medesimo decreto-legge n. 111 del 2019, per 20 milioni di euro, che sono versate all'entrata del bilancio dello Stato per restare acquisite all'erario;</w:t>
      </w:r>
    </w:p>
    <w:p w14:paraId="6DE1FAA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quanto ad euro 55 milioni per l'anno 2022, ad euro 45 milioni per l'anno 2023 e ad euro 10 milioni per l'anno 2024 mediante corrispondente riduzione dell'autorizzazione di cui all'articolo 2, comma 1, del decreto-legge n. 111 del 2019, convertito, con modificazioni, dalla legge n. 141 del 2019.</w:t>
      </w:r>
    </w:p>
    <w:p w14:paraId="1158E54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  3-ter. Il Ministro dell'economia e delle finanze è autorizzato ad apportare le occorrenti variazioni di bilancio.».</w:t>
      </w:r>
    </w:p>
    <w:p w14:paraId="1A60B92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BAABC6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18.</w:t>
      </w:r>
    </w:p>
    <w:p w14:paraId="300B2CC3" w14:textId="15EE00D8"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w:t>
      </w:r>
      <w:r w:rsidRPr="00E34DAC">
        <w:rPr>
          <w:rFonts w:asciiTheme="minorHAnsi" w:hAnsiTheme="minorHAnsi" w:cstheme="minorHAnsi"/>
          <w:strike/>
          <w:color w:val="000000" w:themeColor="text1"/>
          <w:sz w:val="24"/>
          <w:szCs w:val="24"/>
          <w:highlight w:val="yellow"/>
        </w:rPr>
        <w:t>Ferrovie dello Stato Italiane</w:t>
      </w:r>
      <w:r w:rsidR="00E34DAC">
        <w:rPr>
          <w:rFonts w:asciiTheme="minorHAnsi" w:hAnsiTheme="minorHAnsi" w:cstheme="minorHAnsi"/>
          <w:strike/>
          <w:color w:val="000000" w:themeColor="text1"/>
          <w:sz w:val="24"/>
          <w:szCs w:val="24"/>
        </w:rPr>
        <w:t xml:space="preserve"> </w:t>
      </w:r>
      <w:r w:rsidR="00E34DAC" w:rsidRPr="000C0983">
        <w:rPr>
          <w:rFonts w:asciiTheme="minorHAnsi" w:eastAsia="Times New Roman" w:hAnsiTheme="minorHAnsi" w:cstheme="minorHAnsi"/>
          <w:b/>
          <w:bCs/>
          <w:color w:val="000000" w:themeColor="text1"/>
          <w:sz w:val="24"/>
          <w:szCs w:val="24"/>
        </w:rPr>
        <w:t>Individuazione di ulteriori aree idonee per l'installazione di impianti alimentati da fonti rinnovabili</w:t>
      </w:r>
      <w:r w:rsidR="00E34DAC">
        <w:rPr>
          <w:rStyle w:val="Rimandonotaapidipagina"/>
          <w:rFonts w:asciiTheme="minorHAnsi" w:eastAsia="Times New Roman" w:hAnsiTheme="minorHAnsi" w:cstheme="minorHAnsi"/>
          <w:b/>
          <w:bCs/>
          <w:color w:val="000000" w:themeColor="text1"/>
          <w:sz w:val="24"/>
          <w:szCs w:val="24"/>
        </w:rPr>
        <w:footnoteReference w:id="49"/>
      </w:r>
      <w:r w:rsidRPr="001C5FAC">
        <w:rPr>
          <w:rFonts w:asciiTheme="minorHAnsi" w:hAnsiTheme="minorHAnsi" w:cstheme="minorHAnsi"/>
          <w:color w:val="000000" w:themeColor="text1"/>
          <w:sz w:val="24"/>
          <w:szCs w:val="24"/>
        </w:rPr>
        <w:t>)</w:t>
      </w:r>
    </w:p>
    <w:p w14:paraId="37C1112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4BBD69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comma 8 dell'articolo 20 del decreto legislativo 8 novembre 2021, n. 199, dopo la lettera c) è aggiunta la seguente:</w:t>
      </w:r>
    </w:p>
    <w:p w14:paraId="35252FE2" w14:textId="507F1BF1" w:rsidR="001C5FAC" w:rsidRDefault="001C5FAC" w:rsidP="001C5FAC">
      <w:pPr>
        <w:spacing w:after="0" w:line="240" w:lineRule="auto"/>
        <w:jc w:val="both"/>
        <w:rPr>
          <w:rFonts w:asciiTheme="minorHAnsi" w:hAnsiTheme="minorHAnsi" w:cstheme="minorHAnsi"/>
          <w:b/>
          <w:bCs/>
          <w:color w:val="000000" w:themeColor="text1"/>
          <w:sz w:val="24"/>
          <w:szCs w:val="24"/>
        </w:rPr>
      </w:pPr>
      <w:r w:rsidRPr="001C5FAC">
        <w:rPr>
          <w:rFonts w:asciiTheme="minorHAnsi" w:hAnsiTheme="minorHAnsi" w:cstheme="minorHAnsi"/>
          <w:color w:val="000000" w:themeColor="text1"/>
          <w:sz w:val="24"/>
          <w:szCs w:val="24"/>
        </w:rPr>
        <w:t xml:space="preserve">   «c-bis) i siti e gli impianti nelle disponibilità delle società del </w:t>
      </w:r>
      <w:r w:rsidRPr="00E34DAC">
        <w:rPr>
          <w:rFonts w:asciiTheme="minorHAnsi" w:hAnsiTheme="minorHAnsi" w:cstheme="minorHAnsi"/>
          <w:strike/>
          <w:color w:val="000000" w:themeColor="text1"/>
          <w:sz w:val="24"/>
          <w:szCs w:val="24"/>
          <w:highlight w:val="yellow"/>
        </w:rPr>
        <w:t>Gruppo Ferrovie dello Stato Italiane</w:t>
      </w:r>
      <w:r w:rsidR="00E34DAC">
        <w:rPr>
          <w:rFonts w:asciiTheme="minorHAnsi" w:hAnsiTheme="minorHAnsi" w:cstheme="minorHAnsi"/>
          <w:color w:val="000000" w:themeColor="text1"/>
          <w:sz w:val="24"/>
          <w:szCs w:val="24"/>
        </w:rPr>
        <w:t xml:space="preserve"> </w:t>
      </w:r>
      <w:r w:rsidR="00E34DAC" w:rsidRPr="000C0983">
        <w:rPr>
          <w:rFonts w:asciiTheme="minorHAnsi" w:eastAsia="Times New Roman" w:hAnsiTheme="minorHAnsi" w:cstheme="minorHAnsi"/>
          <w:b/>
          <w:bCs/>
          <w:color w:val="000000" w:themeColor="text1"/>
          <w:sz w:val="24"/>
          <w:szCs w:val="24"/>
        </w:rPr>
        <w:t>gruppo Ferrovie dello Stato italiane nonché delle società concessionarie autostradali</w:t>
      </w:r>
      <w:r w:rsidR="00E34DAC">
        <w:rPr>
          <w:rStyle w:val="Rimandonotaapidipagina"/>
          <w:rFonts w:asciiTheme="minorHAnsi" w:eastAsia="Times New Roman" w:hAnsiTheme="minorHAnsi" w:cstheme="minorHAnsi"/>
          <w:b/>
          <w:bCs/>
          <w:color w:val="000000" w:themeColor="text1"/>
          <w:sz w:val="24"/>
          <w:szCs w:val="24"/>
        </w:rPr>
        <w:footnoteReference w:id="50"/>
      </w:r>
      <w:r w:rsidR="003E7407">
        <w:rPr>
          <w:rFonts w:asciiTheme="minorHAnsi" w:eastAsia="Times New Roman" w:hAnsiTheme="minorHAnsi" w:cstheme="minorHAnsi"/>
          <w:b/>
          <w:bCs/>
          <w:color w:val="000000" w:themeColor="text1"/>
          <w:sz w:val="24"/>
          <w:szCs w:val="24"/>
        </w:rPr>
        <w:t xml:space="preserve"> </w:t>
      </w:r>
      <w:r w:rsidR="003E7407" w:rsidRPr="000C0983">
        <w:rPr>
          <w:rFonts w:asciiTheme="minorHAnsi" w:eastAsia="Times New Roman" w:hAnsiTheme="minorHAnsi" w:cstheme="minorHAnsi"/>
          <w:b/>
          <w:bCs/>
          <w:color w:val="000000" w:themeColor="text1"/>
          <w:sz w:val="24"/>
          <w:szCs w:val="24"/>
        </w:rPr>
        <w:t>e dei gestori di infrastrutture ferroviarie.</w:t>
      </w:r>
      <w:r w:rsidR="00942D50">
        <w:rPr>
          <w:rStyle w:val="Rimandonotaapidipagina"/>
          <w:rFonts w:asciiTheme="minorHAnsi" w:eastAsia="Times New Roman" w:hAnsiTheme="minorHAnsi" w:cstheme="minorHAnsi"/>
          <w:b/>
          <w:bCs/>
          <w:color w:val="000000" w:themeColor="text1"/>
          <w:sz w:val="24"/>
          <w:szCs w:val="24"/>
        </w:rPr>
        <w:footnoteReference w:id="51"/>
      </w:r>
      <w:r w:rsidRPr="00942D50">
        <w:rPr>
          <w:rFonts w:asciiTheme="minorHAnsi" w:hAnsiTheme="minorHAnsi" w:cstheme="minorHAnsi"/>
          <w:b/>
          <w:bCs/>
          <w:color w:val="000000" w:themeColor="text1"/>
          <w:sz w:val="24"/>
          <w:szCs w:val="24"/>
        </w:rPr>
        <w:t>».</w:t>
      </w:r>
    </w:p>
    <w:p w14:paraId="6EAACBB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46B54B8" w14:textId="22F11F9B" w:rsidR="00E34D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2. Gli interventi realizzati sulle aree di cui all'articolo 20, comma 8, lettera c-bis), del decreto legislativo 8 novembre 2021, n. 199, come modificato dal comma 1 del presente articolo, e le relative opere di connessione alla rete elettrica di trasmissione nazionale </w:t>
      </w:r>
      <w:r w:rsidR="00E34DAC">
        <w:rPr>
          <w:rFonts w:asciiTheme="minorHAnsi" w:hAnsiTheme="minorHAnsi" w:cstheme="minorHAnsi"/>
          <w:b/>
          <w:bCs/>
          <w:color w:val="000000" w:themeColor="text1"/>
          <w:sz w:val="24"/>
          <w:szCs w:val="24"/>
        </w:rPr>
        <w:t>e di distribuzione</w:t>
      </w:r>
      <w:r w:rsidR="00E34DAC">
        <w:rPr>
          <w:rStyle w:val="Rimandonotaapidipagina"/>
          <w:rFonts w:asciiTheme="minorHAnsi" w:hAnsiTheme="minorHAnsi" w:cstheme="minorHAnsi"/>
          <w:b/>
          <w:bCs/>
          <w:color w:val="000000" w:themeColor="text1"/>
          <w:sz w:val="24"/>
          <w:szCs w:val="24"/>
        </w:rPr>
        <w:footnoteReference w:id="52"/>
      </w:r>
      <w:r w:rsidR="00E34DAC">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sono dichiarati di pubblica utilità ed i relativi termini autorizzativi sono regolati dall'articolo 22 del decreto legislativo 8 novembre 2021, n. 199, ferme restando le competenze in materia paesaggistica e archeologica in capo alle amministrazioni competenti.</w:t>
      </w:r>
    </w:p>
    <w:p w14:paraId="0FCEBA70" w14:textId="77777777" w:rsidR="00395F81" w:rsidRPr="000C0983" w:rsidRDefault="00E34DAC" w:rsidP="00395F81">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color w:val="000000" w:themeColor="text1"/>
          <w:sz w:val="24"/>
          <w:szCs w:val="24"/>
        </w:rPr>
        <w:br/>
      </w:r>
      <w:r w:rsidR="00395F81" w:rsidRPr="000C0983">
        <w:rPr>
          <w:rFonts w:asciiTheme="minorHAnsi" w:eastAsia="Times New Roman" w:hAnsiTheme="minorHAnsi" w:cstheme="minorHAnsi"/>
          <w:b/>
          <w:bCs/>
          <w:color w:val="000000" w:themeColor="text1"/>
          <w:sz w:val="24"/>
          <w:szCs w:val="24"/>
        </w:rPr>
        <w:t>2-</w:t>
      </w:r>
      <w:r w:rsidR="00395F81" w:rsidRPr="000C0983">
        <w:rPr>
          <w:rFonts w:asciiTheme="minorHAnsi" w:eastAsia="Times New Roman" w:hAnsiTheme="minorHAnsi" w:cstheme="minorHAnsi"/>
          <w:b/>
          <w:bCs/>
          <w:i/>
          <w:iCs/>
          <w:color w:val="000000" w:themeColor="text1"/>
          <w:sz w:val="24"/>
          <w:szCs w:val="24"/>
        </w:rPr>
        <w:t>bis</w:t>
      </w:r>
      <w:r w:rsidR="00395F81" w:rsidRPr="000C0983">
        <w:rPr>
          <w:rFonts w:asciiTheme="minorHAnsi" w:eastAsia="Times New Roman" w:hAnsiTheme="minorHAnsi" w:cstheme="minorHAnsi"/>
          <w:b/>
          <w:bCs/>
          <w:color w:val="000000" w:themeColor="text1"/>
          <w:sz w:val="24"/>
          <w:szCs w:val="24"/>
        </w:rPr>
        <w:t>. All'articolo 28 del decreto legislativo 8 novembre 2021, n. 199, dopo il comma 5 è aggiunto il seguente:</w:t>
      </w:r>
    </w:p>
    <w:p w14:paraId="08D30194" w14:textId="6B1538E4" w:rsidR="00395F81" w:rsidRPr="000C0983" w:rsidRDefault="00395F81" w:rsidP="00395F81">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I gestori delle infrastrutture ferroviarie possono stipulare accordi di compravendita di energia elettrica da fonti rinnovabili a lungo termine anche tramite gli strumenti definiti nel presente articolo.».</w:t>
      </w:r>
      <w:r>
        <w:rPr>
          <w:rStyle w:val="Rimandonotaapidipagina"/>
          <w:rFonts w:asciiTheme="minorHAnsi" w:eastAsia="Times New Roman" w:hAnsiTheme="minorHAnsi" w:cstheme="minorHAnsi"/>
          <w:b/>
          <w:bCs/>
          <w:color w:val="000000" w:themeColor="text1"/>
          <w:sz w:val="24"/>
          <w:szCs w:val="24"/>
        </w:rPr>
        <w:footnoteReference w:id="53"/>
      </w:r>
      <w:r w:rsidRPr="000C0983">
        <w:rPr>
          <w:rFonts w:asciiTheme="minorHAnsi" w:eastAsia="Times New Roman" w:hAnsiTheme="minorHAnsi" w:cstheme="minorHAnsi"/>
          <w:color w:val="000000" w:themeColor="text1"/>
          <w:sz w:val="24"/>
          <w:szCs w:val="24"/>
        </w:rPr>
        <w:br/>
      </w:r>
    </w:p>
    <w:p w14:paraId="787ECE66" w14:textId="77777777" w:rsidR="00024286" w:rsidRPr="000C0983" w:rsidRDefault="00024286" w:rsidP="00024286">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18-</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(Modifica all'articolo 2 della legge 14 novembre 1995, n. 481, in materia di Autorità per i servizi di pubblica utilità)</w:t>
      </w:r>
    </w:p>
    <w:p w14:paraId="33C12879" w14:textId="77777777" w:rsidR="00024286" w:rsidRPr="001E5507" w:rsidRDefault="00024286" w:rsidP="00024286">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6B130348" w14:textId="030EE737" w:rsidR="00024286" w:rsidRPr="000C0983" w:rsidRDefault="00024286" w:rsidP="00024286">
      <w:pPr>
        <w:shd w:val="clear" w:color="auto" w:fill="FFFFFF"/>
        <w:spacing w:after="0" w:line="240" w:lineRule="auto"/>
        <w:jc w:val="both"/>
        <w:rPr>
          <w:rFonts w:asciiTheme="minorHAnsi" w:eastAsia="Times New Roman" w:hAnsiTheme="minorHAnsi" w:cstheme="minorHAnsi"/>
          <w:color w:val="000000" w:themeColor="text1"/>
        </w:rPr>
      </w:pPr>
      <w:r w:rsidRPr="000C0983">
        <w:rPr>
          <w:rFonts w:asciiTheme="minorHAnsi" w:eastAsia="Times New Roman" w:hAnsiTheme="minorHAnsi" w:cstheme="minorHAnsi"/>
          <w:b/>
          <w:bCs/>
          <w:color w:val="000000" w:themeColor="text1"/>
          <w:sz w:val="24"/>
          <w:szCs w:val="24"/>
        </w:rPr>
        <w:t>1. All'articolo 2, comma 12, lettera </w:t>
      </w:r>
      <w:r w:rsidRPr="000C0983">
        <w:rPr>
          <w:rFonts w:asciiTheme="minorHAnsi" w:eastAsia="Times New Roman" w:hAnsiTheme="minorHAnsi" w:cstheme="minorHAnsi"/>
          <w:b/>
          <w:bCs/>
          <w:i/>
          <w:iCs/>
          <w:color w:val="000000" w:themeColor="text1"/>
          <w:sz w:val="24"/>
          <w:szCs w:val="24"/>
        </w:rPr>
        <w:t>e)</w:t>
      </w:r>
      <w:r w:rsidRPr="000C0983">
        <w:rPr>
          <w:rFonts w:asciiTheme="minorHAnsi" w:eastAsia="Times New Roman" w:hAnsiTheme="minorHAnsi" w:cstheme="minorHAnsi"/>
          <w:b/>
          <w:bCs/>
          <w:color w:val="000000" w:themeColor="text1"/>
          <w:sz w:val="24"/>
          <w:szCs w:val="24"/>
        </w:rPr>
        <w:t>, della legge 14 novembre 1995, n. 481, dopo le parole: «in relazione all'andamento del mercato», sono aggiunte le seguenti: «e del reale costo di approvvigionamento della materia prima».</w:t>
      </w:r>
      <w:r>
        <w:rPr>
          <w:rStyle w:val="Rimandonotaapidipagina"/>
          <w:rFonts w:asciiTheme="minorHAnsi" w:eastAsia="Times New Roman" w:hAnsiTheme="minorHAnsi" w:cstheme="minorHAnsi"/>
          <w:b/>
          <w:bCs/>
          <w:color w:val="000000" w:themeColor="text1"/>
          <w:sz w:val="24"/>
          <w:szCs w:val="24"/>
        </w:rPr>
        <w:footnoteReference w:id="54"/>
      </w:r>
    </w:p>
    <w:p w14:paraId="5371DD29" w14:textId="77777777" w:rsidR="00024286" w:rsidRPr="001C5FAC" w:rsidRDefault="00024286" w:rsidP="00024286">
      <w:pPr>
        <w:shd w:val="clear" w:color="auto" w:fill="FFFFFF"/>
        <w:spacing w:after="0" w:line="240" w:lineRule="auto"/>
        <w:jc w:val="both"/>
        <w:rPr>
          <w:rFonts w:asciiTheme="minorHAnsi" w:hAnsiTheme="minorHAnsi" w:cstheme="minorHAnsi"/>
          <w:color w:val="000000" w:themeColor="text1"/>
          <w:sz w:val="24"/>
          <w:szCs w:val="24"/>
        </w:rPr>
      </w:pPr>
    </w:p>
    <w:p w14:paraId="3F50F401" w14:textId="4E1AC5B4" w:rsidR="001C5FAC" w:rsidRPr="001C5FAC" w:rsidRDefault="001C5FAC" w:rsidP="00E34DAC">
      <w:pPr>
        <w:shd w:val="clear" w:color="auto" w:fill="FFFFFF"/>
        <w:spacing w:after="0" w:line="240" w:lineRule="auto"/>
        <w:jc w:val="both"/>
        <w:rPr>
          <w:rFonts w:asciiTheme="minorHAnsi" w:hAnsiTheme="minorHAnsi" w:cstheme="minorHAnsi"/>
          <w:color w:val="000000" w:themeColor="text1"/>
          <w:sz w:val="24"/>
          <w:szCs w:val="24"/>
        </w:rPr>
      </w:pPr>
    </w:p>
    <w:p w14:paraId="1FAD9C5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19.</w:t>
      </w:r>
    </w:p>
    <w:p w14:paraId="62535E24"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di supporto per il miglioramento della prestazione</w:t>
      </w:r>
    </w:p>
    <w:p w14:paraId="334F6F2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energetica degli immobili della pubblica amministrazione)</w:t>
      </w:r>
    </w:p>
    <w:p w14:paraId="09692B5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2AFF36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5 del decreto legislativo 4 luglio 2014, n. 102, sono apportate le seguenti modificazioni:</w:t>
      </w:r>
    </w:p>
    <w:p w14:paraId="5319B7F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 comma 3, dopo le parole «Provveditorati interregionali opere pubbliche del Ministero delle infrastrutture e trasporti» sono inserite le seguenti: «ovvero dell'Agenzia del demanio, attraverso la Struttura per la progettazione di beni ed edifici pubblici di cui all'articolo 1, comma 162 della legge 30 dicembre 2018, n. 145,»;</w:t>
      </w:r>
    </w:p>
    <w:p w14:paraId="1CB3811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il comma 8 è sostituito dal seguente:</w:t>
      </w:r>
    </w:p>
    <w:p w14:paraId="2D6CC4BF" w14:textId="77777777"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   «8. La realizzazione degli interventi compresi nei programmi definiti ai sensi del comma 2 è gestita, senza nuovi o maggiori oneri per la finanza pubblica, dai Provveditorati interregionali per le opere pubbliche del Ministero delle infrastrutture e della mobilità sostenibili, dalle amministrazioni interessate e dall'Agenzia del demanio, in considerazione della tipologia di intervento e delle eventuali diverse forme di finanziamento che insistono sul medesimo immobile, al fine di promuovere forme di razionalizzazione e di coordinamento tra gli interventi, anche tra più amministrazioni, favorendo economie di scala e contribuendo al contenimento dei costi. I Provveditorati interregionali per le opere pubbliche del Ministero delle infrastrutture e della mobilità sostenibili realizzano gli interventi ricompresi nei programmi predisposti ai sensi del comma 2, secondo le modalità più innovative, efficienti ed economicamente più vantaggiose, nonché utilizzando metodi e strumenti elettronici di modellazione per l'edilizia e le infrastrutture. Su richiesta del Ministero della transizione ecologica, d'intesa con le strutture operative dei Provveditorati interregionali per le opere pubbliche, l'Agenzia del demanio può curare anche l'esecuzione degli interventi già oggetto di convenzionamento con le medesime strutture operative nell'ambito dell'attuazione dei programmi predisposti ai sensi del comma 2. I Provveditorati interregionali per le opere pubbliche, l'Agenzia del demanio e il Ministero della difesa o gli organi del genio del medesimo Ministero, possono fare ricorso agli strumenti di acquisto e negoziazione telematici, ivi inclusi il mercato elettronico della pubblica amministrazione (MEPA) e il sistema dinamico di acquisizione della pubblica amministrazione (SDAPA).».</w:t>
      </w:r>
    </w:p>
    <w:p w14:paraId="5A8EE7E7" w14:textId="77777777" w:rsidR="003C74D6" w:rsidRDefault="003C74D6" w:rsidP="001C5FAC">
      <w:pPr>
        <w:spacing w:after="0" w:line="240" w:lineRule="auto"/>
        <w:jc w:val="both"/>
        <w:rPr>
          <w:rFonts w:asciiTheme="minorHAnsi" w:hAnsiTheme="minorHAnsi" w:cstheme="minorHAnsi"/>
          <w:color w:val="000000" w:themeColor="text1"/>
          <w:sz w:val="24"/>
          <w:szCs w:val="24"/>
        </w:rPr>
      </w:pPr>
    </w:p>
    <w:p w14:paraId="44F894AA" w14:textId="77777777" w:rsidR="003C74D6" w:rsidRPr="000C0983" w:rsidRDefault="003C74D6" w:rsidP="003C74D6">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19-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(Istituzione della Giornata nazionale del risparmio energetico e degli stili di vita sostenibili)</w:t>
      </w:r>
    </w:p>
    <w:p w14:paraId="0F6C2948" w14:textId="77777777" w:rsidR="003C74D6" w:rsidRPr="001E5507"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43787BBC" w14:textId="77777777" w:rsidR="003C74D6" w:rsidRPr="001E5507"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La Repubblica riconosce il 16 febbraio quale Giornata nazionale del risparmio energetico e degli stili di vita sostenibili, al fine di promuovere la cultura del risparmio energetico e del risparmio di risorse mediante la riduzione degli sprechi, la messa in atto di azioni di condivisione e la diffusione di stili di vita sostenibili.</w:t>
      </w:r>
    </w:p>
    <w:p w14:paraId="002FA734" w14:textId="77777777" w:rsidR="003C74D6" w:rsidRPr="001E5507"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r>
    </w:p>
    <w:p w14:paraId="3F2E2971" w14:textId="77777777" w:rsidR="003C74D6" w:rsidRPr="001E5507"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In occasione della Giornata di cui al comma 1, senza nuovi o maggiori oneri a carico della finanza pubblica, le istituzioni pubbliche, negli edifici e negli spazi aperti di loro competenza, adottano iniziative di risparmio energetico e azioni di risparmio nell'uso delle risorse, anche attraverso pratiche di condivisione; promuovono altresì incontri, convegni e interventi concreti dedicati alla promozione del risparmio energetico e degli stili di vita sostenibili.</w:t>
      </w:r>
    </w:p>
    <w:p w14:paraId="68F8ACB1" w14:textId="04656120" w:rsidR="003C74D6" w:rsidRPr="001E5507"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3. Il Ministero della transizione ecologica assicura, con il coinvolgimento di altri Ministeri interessati e dell'Agenzia nazionale per le nuove tecnologie, l'energia e lo sviluppo economico sostenibile e in collaborazione con le regioni e gli enti locali, il coordinamento delle iniziative di cui al comma 2.</w:t>
      </w:r>
      <w:r>
        <w:rPr>
          <w:rStyle w:val="Rimandonotaapidipagina"/>
          <w:rFonts w:asciiTheme="minorHAnsi" w:eastAsia="Times New Roman" w:hAnsiTheme="minorHAnsi" w:cstheme="minorHAnsi"/>
          <w:b/>
          <w:bCs/>
          <w:color w:val="000000" w:themeColor="text1"/>
          <w:sz w:val="24"/>
          <w:szCs w:val="24"/>
        </w:rPr>
        <w:footnoteReference w:id="55"/>
      </w:r>
    </w:p>
    <w:p w14:paraId="2853B1CF" w14:textId="731FF5BA" w:rsidR="003C74D6" w:rsidRDefault="003C74D6" w:rsidP="003C74D6">
      <w:pPr>
        <w:shd w:val="clear" w:color="auto" w:fill="FFFFFF"/>
        <w:spacing w:after="0" w:line="240" w:lineRule="auto"/>
        <w:jc w:val="both"/>
        <w:rPr>
          <w:rFonts w:eastAsia="Times New Roman" w:cstheme="minorHAnsi"/>
          <w:i/>
          <w:iCs/>
          <w:color w:val="000000" w:themeColor="text1"/>
          <w:sz w:val="24"/>
          <w:szCs w:val="24"/>
        </w:rPr>
      </w:pPr>
      <w:r w:rsidRPr="000C0983">
        <w:rPr>
          <w:rFonts w:asciiTheme="minorHAnsi" w:eastAsia="Times New Roman" w:hAnsiTheme="minorHAnsi" w:cstheme="minorHAnsi"/>
          <w:color w:val="000000" w:themeColor="text1"/>
          <w:sz w:val="24"/>
          <w:szCs w:val="24"/>
        </w:rPr>
        <w:lastRenderedPageBreak/>
        <w:br/>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2DD928D1" w14:textId="77777777" w:rsidR="003C74D6" w:rsidRPr="000C0983" w:rsidRDefault="003C74D6" w:rsidP="003C74D6">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19-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(Disposizioni in materia di incremento dell'efficienza energetica degli impianti di illuminazione pubblica)</w:t>
      </w:r>
    </w:p>
    <w:p w14:paraId="7EFFB2DD" w14:textId="77777777" w:rsidR="003C74D6" w:rsidRDefault="003C74D6" w:rsidP="003C74D6">
      <w:pPr>
        <w:shd w:val="clear" w:color="auto" w:fill="FFFFFF"/>
        <w:spacing w:after="0" w:line="240" w:lineRule="auto"/>
        <w:rPr>
          <w:rFonts w:eastAsia="Times New Roman"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327DB96E" w14:textId="77777777" w:rsidR="003C74D6" w:rsidRPr="000C0983" w:rsidRDefault="003C74D6" w:rsidP="003C74D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fine di contenere la spesa per i servizi di illuminazione pubblica degli enti locali e perseguire una strategia di incremento dell'efficienza energetica basata sulla razionalizzazione e sull'ammodernamento delle fonti di illuminazione pubblica, con decreto del Ministro della transizione ecologica, di concerto con il Ministro delle infrastrutture e della mobilità sostenibili e con il Ministro dell'economia e delle finanze, da adottare entro novanta giorni dalla data di entrata in vigore della legge di conversione del presente decreto, sentita la Conferenza unificata di cui all'articolo 8 del decreto legislativo 28 agosto 1997, n. 281, sono stabiliti gli </w:t>
      </w:r>
      <w:r w:rsidRPr="000C0983">
        <w:rPr>
          <w:rFonts w:asciiTheme="minorHAnsi" w:eastAsia="Times New Roman" w:hAnsiTheme="minorHAnsi" w:cstheme="minorHAnsi"/>
          <w:b/>
          <w:bCs/>
          <w:i/>
          <w:iCs/>
          <w:color w:val="000000" w:themeColor="text1"/>
          <w:sz w:val="24"/>
          <w:szCs w:val="24"/>
        </w:rPr>
        <w:t>standard</w:t>
      </w:r>
      <w:r w:rsidRPr="000C0983">
        <w:rPr>
          <w:rFonts w:asciiTheme="minorHAnsi" w:eastAsia="Times New Roman" w:hAnsiTheme="minorHAnsi" w:cstheme="minorHAnsi"/>
          <w:b/>
          <w:bCs/>
          <w:color w:val="000000" w:themeColor="text1"/>
          <w:sz w:val="24"/>
          <w:szCs w:val="24"/>
        </w:rPr>
        <w:t> tecnici e le misure di moderazione dell'utilizzo dei diversi dispositivi di illuminazione pubblica, nel rispetto dei livelli di tutela della sicurezza pubblica e della circolazione negli ambiti stradali, secondo i seguenti criteri:</w:t>
      </w:r>
    </w:p>
    <w:p w14:paraId="1C3F6F3B" w14:textId="77777777" w:rsidR="003C74D6" w:rsidRPr="000C0983" w:rsidRDefault="003C74D6" w:rsidP="003C74D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utilizzo di appositi sensori di movimento dotati di temporizzatore variabile che garantiscano, durante le ore notturne, l'affievolimento dell'intensità luminosa e il ripristino della piena luminosità al rilevamento di pedoni o veicoli;</w:t>
      </w:r>
    </w:p>
    <w:p w14:paraId="489ADBBC" w14:textId="77777777" w:rsidR="003C74D6" w:rsidRPr="000C0983" w:rsidRDefault="003C74D6" w:rsidP="003C74D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individuazione delle modalità di ammodernamento o sostituzione degli impianti o dispositivi di illuminazione esistenti, al fine di garantire che gli impianti o dispositivi siano economicamente e tecnologicamente sostenibili ai fini del perseguimento di una maggiore efficienza energetica;</w:t>
      </w:r>
    </w:p>
    <w:p w14:paraId="77ECA910" w14:textId="671729F7" w:rsidR="003C74D6"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c) individuazione della rete viaria ovvero delle aree, urbane o extraurbane, idonee e non idonee all'applicazione e all'utilizzo delle tecnologie dinamiche e adattive di cui alla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w:t>
      </w:r>
      <w:r>
        <w:rPr>
          <w:rStyle w:val="Rimandonotaapidipagina"/>
          <w:rFonts w:asciiTheme="minorHAnsi" w:eastAsia="Times New Roman" w:hAnsiTheme="minorHAnsi" w:cstheme="minorHAnsi"/>
          <w:b/>
          <w:bCs/>
          <w:color w:val="000000" w:themeColor="text1"/>
          <w:sz w:val="24"/>
          <w:szCs w:val="24"/>
        </w:rPr>
        <w:footnoteReference w:id="56"/>
      </w:r>
      <w:r w:rsidRPr="000C0983">
        <w:rPr>
          <w:rFonts w:asciiTheme="minorHAnsi" w:eastAsia="Times New Roman" w:hAnsiTheme="minorHAnsi" w:cstheme="minorHAnsi"/>
          <w:b/>
          <w:bCs/>
          <w:color w:val="000000" w:themeColor="text1"/>
          <w:sz w:val="24"/>
          <w:szCs w:val="24"/>
        </w:rPr>
        <w:br/>
      </w:r>
    </w:p>
    <w:p w14:paraId="31F78346" w14:textId="77777777" w:rsidR="003C74D6" w:rsidRDefault="003C74D6" w:rsidP="003C74D6">
      <w:pPr>
        <w:shd w:val="clear" w:color="auto" w:fill="FFFFFF"/>
        <w:spacing w:after="0" w:line="240" w:lineRule="auto"/>
        <w:jc w:val="center"/>
        <w:rPr>
          <w:rFonts w:eastAsia="Times New Roman" w:cstheme="minorHAnsi"/>
          <w:color w:val="000000" w:themeColor="text1"/>
          <w:sz w:val="24"/>
          <w:szCs w:val="24"/>
        </w:rPr>
      </w:pPr>
    </w:p>
    <w:p w14:paraId="7F73D337" w14:textId="77777777" w:rsidR="003C74D6" w:rsidRPr="000C0983" w:rsidRDefault="003C74D6" w:rsidP="003C74D6">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19-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(Disposizioni in materia di riduzione dei consumi termici degli edifici)</w:t>
      </w:r>
    </w:p>
    <w:p w14:paraId="197AED6D" w14:textId="77777777" w:rsidR="003C74D6"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1BF33F99" w14:textId="538778E0" w:rsidR="003C74D6" w:rsidRDefault="003C74D6" w:rsidP="003C74D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fine di ridurre i consumi termici degli edifici e di ottenere un risparmio energetico annuo immediato, dal 1° maggio 2022 al 31 marzo 2023 la media ponderata delle temperature dell'aria, misurate nei singoli ambienti di ciascuna unità immobiliare per la climatizzazione invernale ed estiva degli edifici pubblici, a esclusione degli edifici di cui all'articolo 3, comma 4, del regolamento di cui al decreto del Presidente della Repubblica 16 aprile 2013, n. 74, non deve essere superiore, in inverno, a 19 gradi centigradi, più 2 gradi centigradi di tolleranza, né inferiore, in estate, a 27 gradi centigradi, meno 2 gradi centigradi di tolleranza.</w:t>
      </w:r>
      <w:r>
        <w:rPr>
          <w:rStyle w:val="Rimandonotaapidipagina"/>
          <w:rFonts w:asciiTheme="minorHAnsi" w:eastAsia="Times New Roman" w:hAnsiTheme="minorHAnsi" w:cstheme="minorHAnsi"/>
          <w:b/>
          <w:bCs/>
          <w:color w:val="000000" w:themeColor="text1"/>
          <w:sz w:val="24"/>
          <w:szCs w:val="24"/>
        </w:rPr>
        <w:footnoteReference w:id="57"/>
      </w:r>
    </w:p>
    <w:p w14:paraId="5DDB919E" w14:textId="4A199C21" w:rsidR="003C74D6" w:rsidRPr="000C0983" w:rsidRDefault="003C74D6" w:rsidP="003C74D6">
      <w:pPr>
        <w:shd w:val="clear" w:color="auto" w:fill="FFFFFF"/>
        <w:spacing w:after="0" w:line="240" w:lineRule="auto"/>
        <w:jc w:val="both"/>
        <w:rPr>
          <w:rFonts w:asciiTheme="minorHAnsi" w:eastAsia="Times New Roman" w:hAnsiTheme="minorHAnsi" w:cstheme="minorHAnsi"/>
          <w:color w:val="000000" w:themeColor="text1"/>
        </w:rPr>
      </w:pPr>
      <w:r w:rsidRPr="000C0983">
        <w:rPr>
          <w:rFonts w:asciiTheme="minorHAnsi" w:eastAsia="Times New Roman" w:hAnsiTheme="minorHAnsi" w:cstheme="minorHAnsi"/>
          <w:b/>
          <w:bCs/>
          <w:color w:val="000000" w:themeColor="text1"/>
          <w:sz w:val="24"/>
          <w:szCs w:val="24"/>
        </w:rPr>
        <w:br/>
      </w:r>
    </w:p>
    <w:p w14:paraId="537B842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20.</w:t>
      </w:r>
    </w:p>
    <w:p w14:paraId="44897E85"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(Contributo del Ministero della difesa alla resilienza energetica nazionale)</w:t>
      </w:r>
    </w:p>
    <w:p w14:paraId="69C7908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801621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Allo scopo di contribuire alla crescita sostenibile del Paese, alla decarbonizzazione del sistema energetico e per il perseguimento della resilienza energetica nazionale, il Ministero della difesa, anche per il tramite di Difesa Servizi S.p.A., affida in concessione o utilizza direttamente, in tutto o in parte, i beni del demanio militare o a qualunque titolo in uso al medesimo Ministero, per installare impianti di produzione di energia da fonti rinnovabili, anche ricorrendo, per la copertura degli oneri, alle risorse del Piano Nazionale di Ripresa e Resilienza, Missione 2, previo accordo fra il Ministero della difesa e il Ministero della transizione ecologica, qualora ne ricorrano le condizioni in termini di coerenza con gli obiettivi specifici del PNRR e di conformità ai relativi princìpi di attuazione.</w:t>
      </w:r>
    </w:p>
    <w:p w14:paraId="581BEEC8"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42A448D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Le articolazioni del Ministero della difesa e i terzi concessionari dei beni di cui al comma 1 possono provvedere alla fornitura dell'energia prodotta dagli impianti di cui al comma 1 ai clienti finali organizzati in Comunità energetiche rinnovabili ai sensi dell'articolo 31 del decreto legislativo 8 novembre 2021, n. 199. Alle Comunità energetiche rinnovabili possono partecipare gli enti militari territoriali.</w:t>
      </w:r>
    </w:p>
    <w:p w14:paraId="338C612A"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B784D0B" w14:textId="236D4C92"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3. I beni di cui al comma 1 sono di diritto superfici e aree idonee ai sensi dell'articolo 20 del decreto legislativo 8 novembre 2021, n. 199 e sono assoggettati alle procedure autorizzative di cui all'articolo 22 del medesimo decreto legislativo n. 199 del 2021. Competente ad esprimersi in materia </w:t>
      </w:r>
      <w:r w:rsidR="0059772E">
        <w:rPr>
          <w:rFonts w:asciiTheme="minorHAnsi" w:hAnsiTheme="minorHAnsi" w:cstheme="minorHAnsi"/>
          <w:b/>
          <w:bCs/>
          <w:color w:val="000000" w:themeColor="text1"/>
          <w:sz w:val="24"/>
          <w:szCs w:val="24"/>
        </w:rPr>
        <w:t>culturale e</w:t>
      </w:r>
      <w:r w:rsidR="0059772E">
        <w:rPr>
          <w:rStyle w:val="Rimandonotaapidipagina"/>
          <w:rFonts w:asciiTheme="minorHAnsi" w:hAnsiTheme="minorHAnsi" w:cstheme="minorHAnsi"/>
          <w:b/>
          <w:bCs/>
          <w:color w:val="000000" w:themeColor="text1"/>
          <w:sz w:val="24"/>
          <w:szCs w:val="24"/>
        </w:rPr>
        <w:footnoteReference w:id="58"/>
      </w:r>
      <w:r w:rsidR="0059772E">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paesaggistica è l'autorità di cui all'articolo 29 del decreto-legge 31 maggio 2021, n. 77, convertito, con modificazioni, dalla legge 29 luglio 2021, n. 108.</w:t>
      </w:r>
    </w:p>
    <w:p w14:paraId="38BADFE6" w14:textId="77777777" w:rsidR="00187A0C" w:rsidRPr="000C0983" w:rsidRDefault="00FD4C5A"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color w:val="000000" w:themeColor="text1"/>
          <w:sz w:val="24"/>
          <w:szCs w:val="24"/>
        </w:rPr>
        <w:br/>
      </w:r>
      <w:r w:rsidR="00187A0C" w:rsidRPr="000C0983">
        <w:rPr>
          <w:rFonts w:asciiTheme="minorHAnsi" w:eastAsia="Times New Roman" w:hAnsiTheme="minorHAnsi" w:cstheme="minorHAnsi"/>
          <w:b/>
          <w:bCs/>
          <w:color w:val="000000" w:themeColor="text1"/>
          <w:sz w:val="24"/>
          <w:szCs w:val="24"/>
        </w:rPr>
        <w:t>3-</w:t>
      </w:r>
      <w:r w:rsidR="00187A0C" w:rsidRPr="000C0983">
        <w:rPr>
          <w:rFonts w:asciiTheme="minorHAnsi" w:eastAsia="Times New Roman" w:hAnsiTheme="minorHAnsi" w:cstheme="minorHAnsi"/>
          <w:b/>
          <w:bCs/>
          <w:i/>
          <w:iCs/>
          <w:color w:val="000000" w:themeColor="text1"/>
          <w:sz w:val="24"/>
          <w:szCs w:val="24"/>
        </w:rPr>
        <w:t>bis</w:t>
      </w:r>
      <w:r w:rsidR="00187A0C" w:rsidRPr="000C0983">
        <w:rPr>
          <w:rFonts w:asciiTheme="minorHAnsi" w:eastAsia="Times New Roman" w:hAnsiTheme="minorHAnsi" w:cstheme="minorHAnsi"/>
          <w:b/>
          <w:bCs/>
          <w:color w:val="000000" w:themeColor="text1"/>
          <w:sz w:val="24"/>
          <w:szCs w:val="24"/>
        </w:rPr>
        <w:t>. All'articolo 9 della legge 7 agosto 1997, n. 266, è aggiunto, in fine, il seguente comma:</w:t>
      </w:r>
    </w:p>
    <w:p w14:paraId="742C404F" w14:textId="77777777" w:rsidR="00187A0C" w:rsidRPr="000C0983" w:rsidRDefault="00187A0C"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5-sexies.</w:t>
      </w:r>
      <w:r w:rsidRPr="000C0983">
        <w:rPr>
          <w:rFonts w:asciiTheme="minorHAnsi" w:eastAsia="Times New Roman" w:hAnsiTheme="minorHAnsi" w:cstheme="minorHAnsi"/>
          <w:b/>
          <w:bCs/>
          <w:color w:val="000000" w:themeColor="text1"/>
          <w:sz w:val="24"/>
          <w:szCs w:val="24"/>
        </w:rPr>
        <w:t> Per gli interventi di metanizzazione ammessi ai finanziamenti di cui al presente articolo, il termine di presentazione degli atti di collaudo alle amministrazioni competenti è di novanta giorni dalla data di approvazione del collaudo da parte dell'amministrazione comunale».</w:t>
      </w:r>
    </w:p>
    <w:p w14:paraId="60AC1B05" w14:textId="77777777" w:rsidR="00187A0C" w:rsidRPr="000C0983" w:rsidRDefault="00187A0C"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Dopo il comma 319 dell'articolo 1 della legge 27 dicembre 2013, n. 147, è inserito il seguente:</w:t>
      </w:r>
    </w:p>
    <w:p w14:paraId="459586A0" w14:textId="655318E1"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319-bis.</w:t>
      </w:r>
      <w:r w:rsidRPr="000C0983">
        <w:rPr>
          <w:rFonts w:asciiTheme="minorHAnsi" w:eastAsia="Times New Roman" w:hAnsiTheme="minorHAnsi" w:cstheme="minorHAnsi"/>
          <w:b/>
          <w:bCs/>
          <w:color w:val="000000" w:themeColor="text1"/>
          <w:sz w:val="24"/>
          <w:szCs w:val="24"/>
        </w:rPr>
        <w:t> Le risorse finanziarie di cui al sesto periodo del comma 319 non ancora erogate sono assegnate alle regioni nel cui territorio ricadono i comuni o i consorzi di comuni beneficiari di finanziamento per la realizzazione delle reti urbane di distribuzione del gas metano ai sensi della delibera del Comitato interministeriale per la programmazione economica n. 5 del 28 gennaio 2015 e in base alla graduatoria vigente. Le competenze in materia di istruttoria tecnica, di concessione dei finanziamenti e di erogazione delle risorse finanziarie ai comuni sono trasferite alle regioni, che approvano altresì l'aggiornamento dei cronoprogrammi dei progetti in attuazione dell'articolo 23, comma 4-</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xml:space="preserve">, del decreto legislativo 23 maggio 2000, n. 164, in base a un tempo massimo di realizzazione dei progetti di quarantadue mesi dalla data di approvazione del progetto esecutivo, prorogabile una sola volta. Il mancato rispetto dei tempi di realizzazione comporta la perdita del finanziamento per la parte dei lavori non completata nei termini. Le regioni possono utilizzare, per </w:t>
      </w:r>
      <w:r w:rsidRPr="000C0983">
        <w:rPr>
          <w:rFonts w:asciiTheme="minorHAnsi" w:eastAsia="Times New Roman" w:hAnsiTheme="minorHAnsi" w:cstheme="minorHAnsi"/>
          <w:b/>
          <w:bCs/>
          <w:color w:val="000000" w:themeColor="text1"/>
          <w:sz w:val="24"/>
          <w:szCs w:val="24"/>
        </w:rPr>
        <w:lastRenderedPageBreak/>
        <w:t>l'attività di assistenza tecnica, fino all'1 per cento delle risorse finanziarie di cui al primo periodo non ancora erogate. Le regioni inviano semestralmente al Comitato interministeriale per la programmazione economica e lo sviluppo sostenibile e al Ministero della transizione ecologica una relazione sull'esecuzione del programma».</w:t>
      </w:r>
      <w:r>
        <w:rPr>
          <w:rStyle w:val="Rimandonotaapidipagina"/>
          <w:rFonts w:asciiTheme="minorHAnsi" w:eastAsia="Times New Roman" w:hAnsiTheme="minorHAnsi" w:cstheme="minorHAnsi"/>
          <w:b/>
          <w:bCs/>
          <w:color w:val="000000" w:themeColor="text1"/>
          <w:sz w:val="24"/>
          <w:szCs w:val="24"/>
        </w:rPr>
        <w:footnoteReference w:id="59"/>
      </w:r>
    </w:p>
    <w:p w14:paraId="145A92FA" w14:textId="119A3E42" w:rsidR="00187A0C" w:rsidRPr="000C0983" w:rsidRDefault="00187A0C" w:rsidP="00187A0C">
      <w:pPr>
        <w:shd w:val="clear" w:color="auto" w:fill="FFFFFF"/>
        <w:spacing w:after="0" w:line="240" w:lineRule="auto"/>
        <w:jc w:val="both"/>
        <w:rPr>
          <w:rFonts w:asciiTheme="minorHAnsi" w:eastAsia="Times New Roman" w:hAnsiTheme="minorHAnsi" w:cstheme="minorHAnsi"/>
          <w:color w:val="000000" w:themeColor="text1"/>
        </w:rPr>
      </w:pPr>
    </w:p>
    <w:p w14:paraId="41306F18" w14:textId="71C5350B" w:rsidR="001C5FAC" w:rsidRPr="001C5FAC" w:rsidRDefault="001C5FAC" w:rsidP="0059772E">
      <w:pPr>
        <w:shd w:val="clear" w:color="auto" w:fill="FFFFFF"/>
        <w:spacing w:after="0" w:line="240" w:lineRule="auto"/>
        <w:rPr>
          <w:rFonts w:asciiTheme="minorHAnsi" w:hAnsiTheme="minorHAnsi" w:cstheme="minorHAnsi"/>
          <w:color w:val="000000" w:themeColor="text1"/>
          <w:sz w:val="24"/>
          <w:szCs w:val="24"/>
        </w:rPr>
      </w:pPr>
    </w:p>
    <w:p w14:paraId="7A22CC3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21.</w:t>
      </w:r>
    </w:p>
    <w:p w14:paraId="2401A51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per aumentare la sicurezza delle forniture di gas naturale)</w:t>
      </w:r>
    </w:p>
    <w:p w14:paraId="6E280D7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19A915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fine di accrescere la sicurezza delle forniture di gas naturale con particolare riferimento alle esigenze di tutela dei clienti di cui agli articoli 12, comma 7, lettera a) e 22 del decreto legislativo 23 maggio 2000, n. 164, il Ministro della transizione ecologica adotta, entro sessanta giorni dalla data di entrata in vigore del presente decreto, misure ai sensi dell'articolo 1, comma 1, del decreto legislativo 1&amp;#176; giugno 2011, n. 93, nonché misure di salvaguardia di cui all'articolo 4, del medesimo decreto legislativo n. 93 del 2011, finalizzate a:</w:t>
      </w:r>
    </w:p>
    <w:p w14:paraId="71C56B5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ottimizzare il ciclo di iniezione di gas negli stoccaggi nazionali, anche mediante particolari condizioni di esercizio degli stoccaggi, le relative modalità di allocazione dello spazio di stoccaggio di modulazione e i relativi obblighi di iniezione, per portare a un livello di riempimento di almeno il 90 per cento delle capacità di stoccaggio nazionali disponibili, in funzione dei possibili scenari di utilizzo del gas in stoccaggio nel ciclo invernale di erogazione, a partire dall'anno contrattuale di stoccaggio 2022-2023;</w:t>
      </w:r>
    </w:p>
    <w:p w14:paraId="3DB3310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assicurare che il servizio di modulazione di cui all'articolo 18 del decreto legislativo 23 maggio 2000, n. 164, sia assicurato prioritariamente attraverso l'utilizzo dello stoccaggio di gas naturale;</w:t>
      </w:r>
    </w:p>
    <w:p w14:paraId="1E6BFC4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   c) promuovere, nel corso del ciclo di erogazione invernale, il mantenimento dello stato di riempimento degli stoccaggi, anche mediante il ricorso a iniezioni di gas in </w:t>
      </w:r>
      <w:proofErr w:type="spellStart"/>
      <w:r w:rsidRPr="001C5FAC">
        <w:rPr>
          <w:rFonts w:asciiTheme="minorHAnsi" w:hAnsiTheme="minorHAnsi" w:cstheme="minorHAnsi"/>
          <w:color w:val="000000" w:themeColor="text1"/>
          <w:sz w:val="24"/>
          <w:szCs w:val="24"/>
        </w:rPr>
        <w:t>controflusso</w:t>
      </w:r>
      <w:proofErr w:type="spellEnd"/>
      <w:r w:rsidRPr="001C5FAC">
        <w:rPr>
          <w:rFonts w:asciiTheme="minorHAnsi" w:hAnsiTheme="minorHAnsi" w:cstheme="minorHAnsi"/>
          <w:color w:val="000000" w:themeColor="text1"/>
          <w:sz w:val="24"/>
          <w:szCs w:val="24"/>
        </w:rPr>
        <w:t>;</w:t>
      </w:r>
    </w:p>
    <w:p w14:paraId="2FB9445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   d) stabilire meccanismi economici per rendere disponibili volumi aggiuntivi di gas naturale dai punti di interconnessione con gasdotti non interconnessi alla rete europea dei gasdotti e nei terminali di rigassificazione di gas naturale liquefatto, allo scopo di contrastare l'insorgere di situazioni di emergenza.</w:t>
      </w:r>
    </w:p>
    <w:p w14:paraId="717FD20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FA99CF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Per gli anni successivi al 2022, il Ministro della transizione ecologica adotta le misure di cui al comma 1 ove ne ricorra la necessità. Le misure di cui al comma 1, lettere a) e b), sono adottate entro il 31 marzo di ciascun anno e le misure di cui al comma 1, lettera c), sono adottate entro il 30 settembre di ciascun anno.</w:t>
      </w:r>
    </w:p>
    <w:p w14:paraId="38F715E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7A0F3F6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Le misure di cui al comma 1 sono adottate anche mediante specifici indirizzi alle imprese di trasporto e di stoccaggio, nonché ai gestori di impianti di gas naturale liquefatto operanti sul territorio nazionale, sentita l'ARERA. L'ARERA dà attuazione alle misure di cui al primo periodo rientranti nell'ambito delle proprie competenze.</w:t>
      </w:r>
    </w:p>
    <w:p w14:paraId="35FFB35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D8F4275"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TITOLO II</w:t>
      </w:r>
    </w:p>
    <w:p w14:paraId="6BF54B08"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POLITICHE INDUSTRIALI</w:t>
      </w:r>
    </w:p>
    <w:p w14:paraId="3C4C6B84"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5AC5794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22.</w:t>
      </w:r>
    </w:p>
    <w:p w14:paraId="64CB4A5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(Riconversione, ricerca e sviluppo del settore automotive)</w:t>
      </w:r>
    </w:p>
    <w:p w14:paraId="65F02E3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A29034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fine di favorire la transizione verde, la ricerca, gli investimenti nella filiera del settore automotive finalizzati all'insediamento, alla riconversione e riqualificazione verso forme produttive innovative e sostenibili, in linea con gli obiettivi europei di riduzione delle emissioni nocive per l'ambiente e di sviluppo digitale, nonché per il riconoscimento di incentivi all'acquisto di veicoli non inquinanti e per favorire il recupero e il riciclaggio dei materiali, è istituito un fondo nello stato di previsione del Ministero dello sviluppo economico con una dotazione di 700 milioni di euro per l'anno 2022 e 1.000 milioni di euro per ciascuno degli anni dal 2023 al 2030.</w:t>
      </w:r>
    </w:p>
    <w:p w14:paraId="22700088"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DD1224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Con uno o più decreti del Presidente del Consiglio dei ministri, su proposta del Ministro dello sviluppo economico, di concerto con il Ministro dell'economia e delle finanze, il Ministro delle infrastrutture e della mobilità sostenibili e il Ministro della transizione ecologica, da adottare entro trenta giorni dalla data di entrata in vigore del presente decreto, sono definiti gli interventi ammissibili al finanziamento del fondo di cui al comma 1 nel rispetto della normativa europea sugli aiuti di Stato, i criteri e le modalità di attuazione del presente articolo, nonché il riparto delle risorse del fondo di cui al comma 1.</w:t>
      </w:r>
    </w:p>
    <w:p w14:paraId="1B1D7CA0"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5542D6B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Agli oneri derivanti dalla presente disposizione, pari a 700 milioni di euro per l'anno 2022 e 1.000 milioni di euro per ciascuno degli anni dal 2023 al 2030, si provvede ai sensi dell'articolo 42.</w:t>
      </w:r>
    </w:p>
    <w:p w14:paraId="00354850" w14:textId="7F2836F8" w:rsidR="001C5FAC" w:rsidRDefault="001C5FAC" w:rsidP="001C5FAC">
      <w:pPr>
        <w:spacing w:after="0" w:line="240" w:lineRule="auto"/>
        <w:jc w:val="both"/>
        <w:rPr>
          <w:rFonts w:asciiTheme="minorHAnsi" w:hAnsiTheme="minorHAnsi" w:cstheme="minorHAnsi"/>
          <w:color w:val="000000" w:themeColor="text1"/>
          <w:sz w:val="24"/>
          <w:szCs w:val="24"/>
        </w:rPr>
      </w:pPr>
    </w:p>
    <w:p w14:paraId="3C8579CF" w14:textId="77777777" w:rsidR="00187A0C" w:rsidRPr="000C0983" w:rsidRDefault="00187A0C" w:rsidP="00187A0C">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22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(Ricerca e sviluppo del settore aerospaziale)</w:t>
      </w:r>
    </w:p>
    <w:p w14:paraId="679ECC78" w14:textId="7777777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5217025E" w14:textId="7777777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fine di garantire la continuità degli investimenti in ricerca e sviluppo nell'ambito del settore aerospaziale, anche rivolti alla transizione ecologica e digitale, nell'area della sicurezza nazionale già destinatari dei finanziamenti di cui all'articolo 3, comma 1,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xml:space="preserve">, della legge 24 dicembre 1985, n. 808, i diritti di regia derivanti dalla vendita dei prodotti utilizzanti le tecnologie sviluppate nell'ambito dei singoli progetti finanziati sono calcolati sull'incasso conseguito dai soggetti beneficiari quale ricavato delle vendite effettive nel quindicennio successivo alla data di conclusione di ciascun progetto, secondo gli scaglioni di avanzamento degli incassi in base alle aliquote previste nei provvedimenti di ammissione agli interventi. È comunque esclusa l'applicazione dell'articolo 2033 del </w:t>
      </w:r>
      <w:proofErr w:type="gramStart"/>
      <w:r w:rsidRPr="000C0983">
        <w:rPr>
          <w:rFonts w:asciiTheme="minorHAnsi" w:eastAsia="Times New Roman" w:hAnsiTheme="minorHAnsi" w:cstheme="minorHAnsi"/>
          <w:b/>
          <w:bCs/>
          <w:color w:val="000000" w:themeColor="text1"/>
          <w:sz w:val="24"/>
          <w:szCs w:val="24"/>
        </w:rPr>
        <w:t>codice civile</w:t>
      </w:r>
      <w:proofErr w:type="gramEnd"/>
      <w:r w:rsidRPr="000C0983">
        <w:rPr>
          <w:rFonts w:asciiTheme="minorHAnsi" w:eastAsia="Times New Roman" w:hAnsiTheme="minorHAnsi" w:cstheme="minorHAnsi"/>
          <w:b/>
          <w:bCs/>
          <w:color w:val="000000" w:themeColor="text1"/>
          <w:sz w:val="24"/>
          <w:szCs w:val="24"/>
        </w:rPr>
        <w:t xml:space="preserve"> per le somme già versate. Le disposizioni del presente comma si applicano ai soggetti che presentano la dichiarazione di cui al comma 2 nei termini ivi previsti.</w:t>
      </w:r>
    </w:p>
    <w:p w14:paraId="57C2A3C4" w14:textId="7777777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2. Entro sessanta giorni dalla data di entrata in vigore della legge di conversione del presente decreto i soggetti beneficiari dei finanziamenti di cui all'articolo 3, comma 1,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xml:space="preserve">, della legge 24 dicembre </w:t>
      </w:r>
      <w:r w:rsidRPr="000C0983">
        <w:rPr>
          <w:rFonts w:asciiTheme="minorHAnsi" w:eastAsia="Times New Roman" w:hAnsiTheme="minorHAnsi" w:cstheme="minorHAnsi"/>
          <w:b/>
          <w:bCs/>
          <w:color w:val="000000" w:themeColor="text1"/>
          <w:sz w:val="24"/>
          <w:szCs w:val="24"/>
        </w:rPr>
        <w:lastRenderedPageBreak/>
        <w:t>1985, n. 808, presentano al Ministero dello sviluppo economico apposita dichiarazione attestante l'ammontare dei diritti di regia maturati ai sensi del comma 1 nonché delle somme non ancora versate, formulata sulla base dei bilanci regolarmente depositati.</w:t>
      </w:r>
    </w:p>
    <w:p w14:paraId="61118B50" w14:textId="71CB09D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3. Il Ministero dello sviluppo economico effettua idonei controlli, anche a campione, sulla veridicità delle dichiarazioni presentate ai sensi del comma 2.</w:t>
      </w:r>
      <w:r>
        <w:rPr>
          <w:rStyle w:val="Rimandonotaapidipagina"/>
          <w:rFonts w:asciiTheme="minorHAnsi" w:eastAsia="Times New Roman" w:hAnsiTheme="minorHAnsi" w:cstheme="minorHAnsi"/>
          <w:b/>
          <w:bCs/>
          <w:color w:val="000000" w:themeColor="text1"/>
          <w:sz w:val="24"/>
          <w:szCs w:val="24"/>
        </w:rPr>
        <w:footnoteReference w:id="60"/>
      </w:r>
    </w:p>
    <w:p w14:paraId="791A7897" w14:textId="68C89362" w:rsidR="00187A0C" w:rsidRPr="000C0983" w:rsidRDefault="00187A0C" w:rsidP="00187A0C">
      <w:pPr>
        <w:shd w:val="clear" w:color="auto" w:fill="FFFFFF"/>
        <w:spacing w:after="0" w:line="240" w:lineRule="auto"/>
        <w:jc w:val="both"/>
        <w:rPr>
          <w:rFonts w:asciiTheme="minorHAnsi" w:eastAsia="Times New Roman" w:hAnsiTheme="minorHAnsi" w:cstheme="minorHAnsi"/>
          <w:color w:val="000000" w:themeColor="text1"/>
        </w:rPr>
      </w:pPr>
      <w:r w:rsidRPr="000C0983">
        <w:rPr>
          <w:rFonts w:asciiTheme="minorHAnsi" w:eastAsia="Times New Roman" w:hAnsiTheme="minorHAnsi" w:cstheme="minorHAnsi"/>
          <w:b/>
          <w:bCs/>
          <w:color w:val="000000" w:themeColor="text1"/>
          <w:sz w:val="24"/>
          <w:szCs w:val="24"/>
        </w:rPr>
        <w:br/>
      </w:r>
    </w:p>
    <w:p w14:paraId="44D1B7D0" w14:textId="77777777" w:rsidR="00187A0C" w:rsidRPr="001C5FAC" w:rsidRDefault="00187A0C" w:rsidP="001C5FAC">
      <w:pPr>
        <w:spacing w:after="0" w:line="240" w:lineRule="auto"/>
        <w:jc w:val="both"/>
        <w:rPr>
          <w:rFonts w:asciiTheme="minorHAnsi" w:hAnsiTheme="minorHAnsi" w:cstheme="minorHAnsi"/>
          <w:color w:val="000000" w:themeColor="text1"/>
          <w:sz w:val="24"/>
          <w:szCs w:val="24"/>
        </w:rPr>
      </w:pPr>
    </w:p>
    <w:p w14:paraId="1723E04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23.</w:t>
      </w:r>
    </w:p>
    <w:p w14:paraId="565F0A7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(Ricerca e sviluppo di tecnologie innovative)</w:t>
      </w:r>
    </w:p>
    <w:p w14:paraId="17221C56" w14:textId="77777777" w:rsidR="001C5FAC" w:rsidRPr="001C5FAC" w:rsidRDefault="001C5FAC" w:rsidP="001C5FAC">
      <w:pPr>
        <w:spacing w:after="0" w:line="240" w:lineRule="auto"/>
        <w:jc w:val="both"/>
        <w:rPr>
          <w:rFonts w:cstheme="minorHAnsi"/>
          <w:color w:val="000000" w:themeColor="text1"/>
          <w:sz w:val="24"/>
          <w:szCs w:val="24"/>
        </w:rPr>
      </w:pPr>
    </w:p>
    <w:p w14:paraId="12A5BA6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fine di promuovere la ricerca, lo sviluppo della tecnologia dei microprocessori e l'investimento in nuove applicazioni industriali di tecnologie innovative, anche tramite la riconversione di siti industriali esistenti e l'insediamento di nuovi stabilimenti nel territorio nazionale, è istituito un fondo nello stato di previsione del Ministero dello sviluppo economico con una dotazione di 150 milioni di euro per l'anno 2022 e 500 milioni di euro per ciascuno degli anni dal 2023 al 2030.</w:t>
      </w:r>
    </w:p>
    <w:p w14:paraId="7AECCCDE"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97C5D7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Con uno o più decreti del Presidente del Consiglio dei ministri, su proposta del Ministro dello sviluppo economico, di concerto con il Ministro dell'economia e delle finanze, con il Ministro dell'università e della ricerca e con il Ministro per l'innovazione tecnologica e la transizione digitale, da adottare entro trenta giorni dalla data di entrata in vigore del presente decreto, sono definiti gli ambiti di applicazione e di intervento, i criteri e le modalità di riparto delle risorse del fondo di cui al comma 1.</w:t>
      </w:r>
    </w:p>
    <w:p w14:paraId="631B02D6"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1E48ACB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Agli oneri derivanti dalla presente disposizione, pari a 150 milioni di euro per l'anno 2022 e 500 milioni di euro per ciascuno degli anni dal 2023 al 2030, si provvede ai sensi dell'articolo 42.</w:t>
      </w:r>
    </w:p>
    <w:p w14:paraId="65162A8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E69DB7A"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24.</w:t>
      </w:r>
    </w:p>
    <w:p w14:paraId="5E15A2C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in materia di Fondo Nuove Competenze)</w:t>
      </w:r>
    </w:p>
    <w:p w14:paraId="7F125C6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E6F800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11-ter, comma 2, primo periodo, del decreto-legge 21 ottobre 2021, n. 146, convertito, con modificazioni, dalla legge 17 dicembre 2021, n. 301, dopo le parole «transizione ecologica e digitale» sono inserite le seguenti: «nonché a coloro che abbiano sottoscritto accordi di sviluppo per progetti di investimento strategico, ai sensi dell'articolo 43 del decreto-legge 25 giugno 2008, n. 112, convertito, con modificazioni, dalla legge 6 agosto 2008, n. 133, ovvero siano ricorsi al Fondo per il sostegno alla transizione industriale di cui all'articolo 1, comma 478, della legge 30 dicembre 2021, n. 234, e conseguentemente emerga un fabbisogno di adeguamento strutturale delle competenze dei lavoratori».</w:t>
      </w:r>
    </w:p>
    <w:p w14:paraId="1690928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352C945"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25.</w:t>
      </w:r>
    </w:p>
    <w:p w14:paraId="5A002FA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(Incremento del Fondo per l'adeguamento dei prezzi e disposizioni in materia di revisione dei prezzi dei materiali nei contratti pubblici)</w:t>
      </w:r>
    </w:p>
    <w:p w14:paraId="543241B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70ED31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Per fronteggiare, nel primo semestre dell'anno 2022, gli aumenti eccezionali dei prezzi di alcuni materiali da costruzione, la dotazione del Fondo di cui all'articolo 1-septies, comma 8, del decreto-legge 25 maggio 2021, n. 73, convertito, con modificazioni, dalla legge 23 luglio 2021, n. 106, è incrementata di 150 milioni per l'anno 2022.</w:t>
      </w:r>
    </w:p>
    <w:p w14:paraId="7EC5884C"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7B0AD57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Per le finalità di cui al comma 1, in relazione ai contratti in corso di esecuzione alla data di entrata in vigore del presente decreto, entro il 30 settembre 2022, il Ministero delle infrastrutture e della mobilità sostenibili procede alla determinazione con proprio decreto, sulla base delle elaborazioni effettuate dall'Istituto nazionale di statistica in attuazione della metodologia definita dal medesimo Istituto ai sensi dell'articolo 29, comma 2, del decreto-legge 27 gennaio 2022, n. 4, delle variazioni percentuali, in aumento o in diminuzione, superiori all'8 per cento, verificatesi nel primo semestre dell'anno 2022, dei singoli prezzi dei materiali da costruzione più significativi.</w:t>
      </w:r>
    </w:p>
    <w:p w14:paraId="69AC8B8D"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1B727F2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Per i materiali da costruzione di cui al comma 2 si procede a compensazioni, in aumento o in diminuzione, nei limiti di cui ai commi 4, 5, 6 e 7 del presente articolo, anche in deroga a quanto previsto dall'articolo 133, commi 4, 5, 6 e 6-bis, del codice dei contratti pubblici relativi a lavori, servizi e forniture di cui al decreto legislativo 12 aprile 2006, n. 163, e, per i contratti regolati dal codice dei contratti pubblici, di cui al decreto legislativo 18 aprile 2016, n. 50, in deroga alle disposizioni dell'articolo 106, comma 1, lettera a), del medesimo codice, determinate al netto delle compensazioni eventualmente già riconosciute o liquidate in relazione al primo semestre dell'anno 2022, ai sensi del medesimo articolo 106, comma, 1, lettera a).</w:t>
      </w:r>
    </w:p>
    <w:p w14:paraId="128500B1"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1378540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La compensazione è determinata applicando alle quantità dei singoli materiali impiegati nelle lavorazioni eseguite e contabilizzate dal direttore dei lavori, ovvero annotate sotto la responsabilità del direttore dei lavori nel libretto delle misure, dal 1° gennaio 2022 fino al 30 giugno 2022, le variazioni in aumento o in diminuzione dei relativi prezzi rilevate dal decreto di cui al comma 2 con riferimento alla data dell'offerta, eccedenti l'8 per cento se riferite esclusivamente all'anno 2022 ed eccedenti il 10 per cento complessivo se riferite a più anni.</w:t>
      </w:r>
    </w:p>
    <w:p w14:paraId="0A3B6BB4"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49F9AD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5. Per le variazioni in aumento, a pena di decadenza, l'appaltatore presenta alla stazione appaltante l'istanza di compensazione entro quindici giorni dalla data di pubblicazione nella Gazzetta Ufficiale della Repubblica italiana del decreto di cui al comma 2. Per le variazioni in diminuzione, la procedura è avviata d'ufficio dalla stazione appaltante, entro quindici giorni dalla </w:t>
      </w:r>
      <w:proofErr w:type="gramStart"/>
      <w:r w:rsidRPr="001C5FAC">
        <w:rPr>
          <w:rFonts w:asciiTheme="minorHAnsi" w:hAnsiTheme="minorHAnsi" w:cstheme="minorHAnsi"/>
          <w:color w:val="000000" w:themeColor="text1"/>
          <w:sz w:val="24"/>
          <w:szCs w:val="24"/>
        </w:rPr>
        <w:t>predetta</w:t>
      </w:r>
      <w:proofErr w:type="gramEnd"/>
      <w:r w:rsidRPr="001C5FAC">
        <w:rPr>
          <w:rFonts w:asciiTheme="minorHAnsi" w:hAnsiTheme="minorHAnsi" w:cstheme="minorHAnsi"/>
          <w:color w:val="000000" w:themeColor="text1"/>
          <w:sz w:val="24"/>
          <w:szCs w:val="24"/>
        </w:rPr>
        <w:t xml:space="preserve"> data; il responsabile del procedimento accerta con proprio provvedimento il credito della stazione appaltante e procede a eventuali recuperi.</w:t>
      </w:r>
    </w:p>
    <w:p w14:paraId="1A047B75"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lastRenderedPageBreak/>
        <w:t>  </w:t>
      </w:r>
    </w:p>
    <w:p w14:paraId="3900FE5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6. Per le lavorazioni eseguite e contabilizzate negli anni precedenti all'anno 2022, restano ferme le variazioni rilevate dai decreti adottati ai sensi dell'articolo 133, comma 6, del codice di cui al decreto legislativo n. 163 del 2006, dell'articolo 216, comma 27-ter, del codice di cui al decreto legislativo n. 50 del 2016 e dell'articolo 1-septies, comma 1, del decreto-legge n. 73 del 2021, convertito, con modificazioni, dalla legge n. 106 del 2021.</w:t>
      </w:r>
    </w:p>
    <w:p w14:paraId="76290F7D"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04412B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7. Ciascuna stazione appaltante provvede alle compensazioni nei limiti del 50 per cento delle risorse appositamente accantonate per imprevisti nel quadro economico di ogni intervento, fatte salve le somme relative agli impegni contrattuali già assunti, nonché le eventuali ulteriori somme a disposizione della stazione appaltante per lo stesso intervento e stanziate annualmente.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 presente decreto.</w:t>
      </w:r>
    </w:p>
    <w:p w14:paraId="6E8FBEE3"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1B9B0FB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8. Per i soggetti tenuti all'applicazione del codice di cui al decreto legislativo n. 163 del 2006, ad esclusione dei soggetti di cui all'articolo 142, comma 4, del medesimo codice, ovvero all'applicazione del codice di cui al decreto legislativo n. 50 del 2016, ad esclusione dei soggetti di cui all'articolo 164, comma 5, del medesimo codice, per i lavori realizzati ovvero affidati dagli stessi, in caso di insufficienza delle risorse di cui al comma 7 del presente articolo, alla copertura degli oneri si provvede, fino alla concorrenza dell'importo di 150 milioni di euro, che costituisce limite massimo di spesa, con le risorse del Fondo di cui al comma 1 e secondo le modalità previste dall'articolo 1-septies, comma 8, secondo e terzo periodo, del decreto-legge n. 73 del 2021, convertito, con modificazioni, dalla legge n. 106 del 2021.</w:t>
      </w:r>
    </w:p>
    <w:p w14:paraId="26B5AB48"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278A28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9. Agli oneri derivanti dal comma 1, quantificati in euro 150 milioni per l'anno 2022, si provvede ai sensi dell'articolo 42.</w:t>
      </w:r>
    </w:p>
    <w:p w14:paraId="0900DA4F" w14:textId="58BFD6E6" w:rsidR="001C5FAC" w:rsidRDefault="001C5FAC" w:rsidP="001C5FAC">
      <w:pPr>
        <w:spacing w:after="0" w:line="240" w:lineRule="auto"/>
        <w:jc w:val="both"/>
        <w:rPr>
          <w:rFonts w:asciiTheme="minorHAnsi" w:hAnsiTheme="minorHAnsi" w:cstheme="minorHAnsi"/>
          <w:color w:val="000000" w:themeColor="text1"/>
          <w:sz w:val="24"/>
          <w:szCs w:val="24"/>
        </w:rPr>
      </w:pPr>
    </w:p>
    <w:p w14:paraId="7AA4AAB9" w14:textId="77777777" w:rsidR="00187A0C" w:rsidRPr="000C0983" w:rsidRDefault="00187A0C" w:rsidP="00187A0C">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25-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(Riassegnazione di risorse in favore dell'emittenza locale)</w:t>
      </w:r>
    </w:p>
    <w:p w14:paraId="1A367305" w14:textId="77777777" w:rsidR="00187A0C" w:rsidRDefault="00187A0C" w:rsidP="00187A0C">
      <w:pPr>
        <w:shd w:val="clear" w:color="auto" w:fill="FFFFFF"/>
        <w:spacing w:after="0" w:line="240" w:lineRule="auto"/>
        <w:rPr>
          <w:rFonts w:eastAsia="Times New Roman"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35E74B60" w14:textId="77777777" w:rsidR="00187A0C" w:rsidRPr="000C0983" w:rsidRDefault="00187A0C"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57-</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 decreto-legge 24 aprile 2017, n. 50, convertito, con modificazioni, dalla legge 21 giugno 2017, n. 96, sono apportate le seguenti modificazioni:</w:t>
      </w:r>
    </w:p>
    <w:p w14:paraId="0543836F" w14:textId="77777777" w:rsidR="00187A0C" w:rsidRPr="000C0983" w:rsidRDefault="00187A0C"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comma 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le parole: «A decorrere dall'anno 2019» sono sostituite dalle seguenti: «Per l'anno 2019»;</w:t>
      </w:r>
    </w:p>
    <w:p w14:paraId="0A15FFD6" w14:textId="77777777" w:rsidR="00187A0C" w:rsidRPr="000C0983" w:rsidRDefault="00187A0C"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dopo il comma 1-</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è inserito il seguente:</w:t>
      </w:r>
    </w:p>
    <w:p w14:paraId="0904654D" w14:textId="77777777" w:rsidR="00187A0C" w:rsidRPr="000C0983" w:rsidRDefault="00187A0C" w:rsidP="00187A0C">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1-quinquies</w:t>
      </w:r>
      <w:r w:rsidRPr="000C0983">
        <w:rPr>
          <w:rFonts w:asciiTheme="minorHAnsi" w:eastAsia="Times New Roman" w:hAnsiTheme="minorHAnsi" w:cstheme="minorHAnsi"/>
          <w:b/>
          <w:bCs/>
          <w:color w:val="000000" w:themeColor="text1"/>
          <w:sz w:val="24"/>
          <w:szCs w:val="24"/>
        </w:rPr>
        <w:t xml:space="preserve">. A decorrere dall'anno 2023, il credito d'imposta di cui al comma 1 è concesso, alle stesse condizioni e ai medesimi soggetti ivi contemplati, nella misura unica del 75 per cento del valore incrementale degli investimenti effettuati in campagne pubblicitarie esclusivamente sulla stampa </w:t>
      </w:r>
      <w:r w:rsidRPr="000C0983">
        <w:rPr>
          <w:rFonts w:asciiTheme="minorHAnsi" w:eastAsia="Times New Roman" w:hAnsiTheme="minorHAnsi" w:cstheme="minorHAnsi"/>
          <w:b/>
          <w:bCs/>
          <w:color w:val="000000" w:themeColor="text1"/>
          <w:sz w:val="24"/>
          <w:szCs w:val="24"/>
        </w:rPr>
        <w:lastRenderedPageBreak/>
        <w:t>quotidiana e periodica anche </w:t>
      </w:r>
      <w:r w:rsidRPr="000C0983">
        <w:rPr>
          <w:rFonts w:asciiTheme="minorHAnsi" w:eastAsia="Times New Roman" w:hAnsiTheme="minorHAnsi" w:cstheme="minorHAnsi"/>
          <w:b/>
          <w:bCs/>
          <w:i/>
          <w:iCs/>
          <w:color w:val="000000" w:themeColor="text1"/>
          <w:sz w:val="24"/>
          <w:szCs w:val="24"/>
        </w:rPr>
        <w:t>on line</w:t>
      </w:r>
      <w:r w:rsidRPr="000C0983">
        <w:rPr>
          <w:rFonts w:asciiTheme="minorHAnsi" w:eastAsia="Times New Roman" w:hAnsiTheme="minorHAnsi" w:cstheme="minorHAnsi"/>
          <w:b/>
          <w:bCs/>
          <w:color w:val="000000" w:themeColor="text1"/>
          <w:sz w:val="24"/>
          <w:szCs w:val="24"/>
        </w:rPr>
        <w:t>, nel limite massimo di spesa di 30 milioni di euro in ragione d'anno, che costituisce tetto di spesa, e in ogni caso nei limiti dei regolamenti dell'Unione europea richiamati al comma 1. Ai fini della concessione del credito d'imposta si applica il regolamento di cui al decreto del Presidente del Consiglio dei ministri 16 maggio 2018, n. 90».</w:t>
      </w:r>
    </w:p>
    <w:p w14:paraId="08AEE310" w14:textId="7777777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3849971C" w14:textId="7777777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 Il comma 13 dell'articolo 67 del decreto-legge 25 maggio 2021, n. 73, convertito, con modificazioni, dalla legge 23 luglio 2021, n. 106, è abrogato.</w:t>
      </w:r>
    </w:p>
    <w:p w14:paraId="7A36CCC8" w14:textId="77777777"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3. A decorrere dall'anno 2023, il Fondo per il pluralismo e l'innovazione dell'informazione, di cui all'articolo 1 della legge 26 ottobre 2016, n. 198, è incrementato di 15 milioni di euro annui da destinare alla quota spettante al Ministero dello sviluppo economico</w:t>
      </w:r>
      <w:r>
        <w:rPr>
          <w:rFonts w:eastAsia="Times New Roman" w:cstheme="minorHAnsi"/>
          <w:b/>
          <w:bCs/>
          <w:color w:val="000000" w:themeColor="text1"/>
          <w:sz w:val="24"/>
          <w:szCs w:val="24"/>
        </w:rPr>
        <w:t>.</w:t>
      </w:r>
    </w:p>
    <w:p w14:paraId="235B1D07" w14:textId="1A5568EC" w:rsidR="00187A0C" w:rsidRDefault="00187A0C" w:rsidP="00187A0C">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4. Agli oneri derivanti dal comma 1 e dal comma 3, pari a 45 milioni di euro annui a decorrere dall'anno 2023, si provvede mediante utilizzo delle risorse rivenienti dall'abrogazione delle disposizioni di cui al comma 2.</w:t>
      </w:r>
      <w:r>
        <w:rPr>
          <w:rStyle w:val="Rimandonotaapidipagina"/>
          <w:rFonts w:asciiTheme="minorHAnsi" w:eastAsia="Times New Roman" w:hAnsiTheme="minorHAnsi" w:cstheme="minorHAnsi"/>
          <w:b/>
          <w:bCs/>
          <w:color w:val="000000" w:themeColor="text1"/>
          <w:sz w:val="24"/>
          <w:szCs w:val="24"/>
        </w:rPr>
        <w:footnoteReference w:id="61"/>
      </w:r>
    </w:p>
    <w:p w14:paraId="52A40D72" w14:textId="77777777" w:rsidR="00187A0C" w:rsidRPr="001C5FAC" w:rsidRDefault="00187A0C" w:rsidP="001C5FAC">
      <w:pPr>
        <w:spacing w:after="0" w:line="240" w:lineRule="auto"/>
        <w:jc w:val="both"/>
        <w:rPr>
          <w:rFonts w:asciiTheme="minorHAnsi" w:hAnsiTheme="minorHAnsi" w:cstheme="minorHAnsi"/>
          <w:color w:val="000000" w:themeColor="text1"/>
          <w:sz w:val="24"/>
          <w:szCs w:val="24"/>
        </w:rPr>
      </w:pPr>
    </w:p>
    <w:p w14:paraId="00C3CF7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TITOLO III</w:t>
      </w:r>
    </w:p>
    <w:p w14:paraId="72F99AC8"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REGIONI ED ENTI TERRITORIALI</w:t>
      </w:r>
    </w:p>
    <w:p w14:paraId="6CB3D31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49B6A02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26.</w:t>
      </w:r>
    </w:p>
    <w:p w14:paraId="7E29EC6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(Contributo statale alle spese straordinarie sostenute dalle regioni e</w:t>
      </w:r>
    </w:p>
    <w:p w14:paraId="295FF4A8" w14:textId="56D5D4BE"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dalle province autonome</w:t>
      </w:r>
      <w:r w:rsidR="00111EE0">
        <w:rPr>
          <w:rFonts w:asciiTheme="minorHAnsi" w:hAnsiTheme="minorHAnsi" w:cstheme="minorHAnsi"/>
          <w:b/>
          <w:bCs/>
          <w:color w:val="000000" w:themeColor="text1"/>
          <w:sz w:val="24"/>
          <w:szCs w:val="24"/>
        </w:rPr>
        <w:t>.</w:t>
      </w:r>
      <w:r w:rsidR="00111EE0" w:rsidRPr="00111EE0">
        <w:rPr>
          <w:rFonts w:asciiTheme="minorHAnsi" w:eastAsia="Times New Roman" w:hAnsiTheme="minorHAnsi" w:cstheme="minorHAnsi"/>
          <w:b/>
          <w:bCs/>
          <w:color w:val="000000" w:themeColor="text1"/>
          <w:sz w:val="24"/>
          <w:szCs w:val="24"/>
        </w:rPr>
        <w:t xml:space="preserve"> </w:t>
      </w:r>
      <w:r w:rsidR="00111EE0" w:rsidRPr="000C0983">
        <w:rPr>
          <w:rFonts w:asciiTheme="minorHAnsi" w:eastAsia="Times New Roman" w:hAnsiTheme="minorHAnsi" w:cstheme="minorHAnsi"/>
          <w:b/>
          <w:bCs/>
          <w:color w:val="000000" w:themeColor="text1"/>
          <w:sz w:val="24"/>
          <w:szCs w:val="24"/>
        </w:rPr>
        <w:t>Differimento di termini in materia di finanza regionale.</w:t>
      </w:r>
      <w:r w:rsidR="00111EE0">
        <w:rPr>
          <w:rStyle w:val="Rimandonotaapidipagina"/>
          <w:rFonts w:asciiTheme="minorHAnsi" w:eastAsia="Times New Roman" w:hAnsiTheme="minorHAnsi" w:cstheme="minorHAnsi"/>
          <w:b/>
          <w:bCs/>
          <w:color w:val="000000" w:themeColor="text1"/>
          <w:sz w:val="24"/>
          <w:szCs w:val="24"/>
        </w:rPr>
        <w:footnoteReference w:id="62"/>
      </w:r>
      <w:r w:rsidRPr="001C5FAC">
        <w:rPr>
          <w:rFonts w:asciiTheme="minorHAnsi" w:hAnsiTheme="minorHAnsi" w:cstheme="minorHAnsi"/>
          <w:color w:val="000000" w:themeColor="text1"/>
          <w:sz w:val="24"/>
          <w:szCs w:val="24"/>
        </w:rPr>
        <w:t>)</w:t>
      </w:r>
    </w:p>
    <w:p w14:paraId="6139899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760B81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La dotazione del Fondo di cui all'articolo 16, comma 8-septies, del decreto-legge 21 ottobre 2021, n. 146, convertito, con modificazioni, dalla legge 17 dicembre 2021, n. 215, è incrementata di ulteriori 400 milioni di euro per l'anno 2022.</w:t>
      </w:r>
    </w:p>
    <w:p w14:paraId="5483B18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5B3DB000" w14:textId="2F556E65"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derivanti dal comma 1 si provvede ai sensi dell'articolo 42.</w:t>
      </w:r>
    </w:p>
    <w:p w14:paraId="7B78F620" w14:textId="6A8716DE" w:rsidR="00111EE0" w:rsidRDefault="00111EE0" w:rsidP="001C5FAC">
      <w:pPr>
        <w:spacing w:after="0" w:line="240" w:lineRule="auto"/>
        <w:jc w:val="both"/>
        <w:rPr>
          <w:rFonts w:asciiTheme="minorHAnsi" w:hAnsiTheme="minorHAnsi" w:cstheme="minorHAnsi"/>
          <w:color w:val="000000" w:themeColor="text1"/>
          <w:sz w:val="24"/>
          <w:szCs w:val="24"/>
        </w:rPr>
      </w:pPr>
    </w:p>
    <w:p w14:paraId="5B0078A3" w14:textId="77777777" w:rsidR="00111EE0" w:rsidRDefault="00111EE0" w:rsidP="00111EE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Per l'anno 2022, i termini del 30 aprile e del 31 maggio di cui all'articolo 1, comma 174, della legge 30 dicembre 2004, n. 311, sono differiti rispettivamente al 15 giugno e al 15 luglio.</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217101BC" w14:textId="60DB600B" w:rsidR="00111EE0" w:rsidRPr="000C0983" w:rsidRDefault="00111EE0" w:rsidP="00111EE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Per le regioni e le province autonome di Trento e di Bolzano, i termini previsti dall'articolo 18, comma 1, lettere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e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del decreto legislativo 23 giugno 2011, n. 118, sono così differiti, per l'anno 2022:</w:t>
      </w:r>
    </w:p>
    <w:p w14:paraId="075C3D3A" w14:textId="77777777" w:rsidR="00111EE0" w:rsidRPr="000C0983" w:rsidRDefault="00111EE0" w:rsidP="00111EE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il rendiconto relativo all'anno 2021 è approvato da parte del Consiglio entro il 30 settembre 2022, con preventiva approvazione da parte della Giunta entro il 30 giugno 2022;</w:t>
      </w:r>
    </w:p>
    <w:p w14:paraId="78A588D3" w14:textId="77777777" w:rsidR="00111EE0" w:rsidRPr="000C0983" w:rsidRDefault="00111EE0" w:rsidP="00111EE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il bilancio consolidato relativo all'anno 2021 è approvato entro il 30 novembre 2022.</w:t>
      </w:r>
    </w:p>
    <w:p w14:paraId="5395B3B5" w14:textId="77777777" w:rsidR="00111EE0" w:rsidRDefault="00111EE0" w:rsidP="00111EE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p>
    <w:p w14:paraId="017EEDAF" w14:textId="19E81D8D" w:rsidR="00111EE0" w:rsidRPr="000C0983" w:rsidRDefault="00111EE0" w:rsidP="00111EE0">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2-</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All'articolo 1, comma 286, secondo periodo, della legge 30 dicembre 2021, n. 234, dopo le parole: «alla data di entrata in vigore» sono inserite le seguenti: «della legge di conversione».</w:t>
      </w:r>
      <w:r>
        <w:rPr>
          <w:rStyle w:val="Rimandonotaapidipagina"/>
          <w:rFonts w:asciiTheme="minorHAnsi" w:eastAsia="Times New Roman" w:hAnsiTheme="minorHAnsi" w:cstheme="minorHAnsi"/>
          <w:b/>
          <w:bCs/>
          <w:color w:val="000000" w:themeColor="text1"/>
          <w:sz w:val="24"/>
          <w:szCs w:val="24"/>
        </w:rPr>
        <w:footnoteReference w:id="63"/>
      </w:r>
    </w:p>
    <w:p w14:paraId="5B853C8E" w14:textId="44CECA95" w:rsidR="00111EE0" w:rsidRPr="001C5FAC" w:rsidRDefault="00111EE0" w:rsidP="00111EE0">
      <w:pPr>
        <w:shd w:val="clear" w:color="auto" w:fill="FFFFFF"/>
        <w:spacing w:after="0" w:line="240" w:lineRule="auto"/>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6895DFC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58B748E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27.</w:t>
      </w:r>
    </w:p>
    <w:p w14:paraId="0A73F3A6" w14:textId="77777777" w:rsidR="001C5FAC" w:rsidRPr="001C5FAC" w:rsidRDefault="001C5FAC" w:rsidP="001C5FAC">
      <w:pPr>
        <w:spacing w:after="0" w:line="240" w:lineRule="auto"/>
        <w:jc w:val="center"/>
        <w:rPr>
          <w:rFonts w:cstheme="minorHAnsi"/>
          <w:color w:val="000000" w:themeColor="text1"/>
          <w:sz w:val="24"/>
          <w:szCs w:val="24"/>
        </w:rPr>
      </w:pPr>
      <w:r w:rsidRPr="001C5FAC">
        <w:rPr>
          <w:rFonts w:asciiTheme="minorHAnsi" w:hAnsiTheme="minorHAnsi" w:cstheme="minorHAnsi"/>
          <w:color w:val="000000" w:themeColor="text1"/>
          <w:sz w:val="24"/>
          <w:szCs w:val="24"/>
        </w:rPr>
        <w:t xml:space="preserve">(Contributi straordinari </w:t>
      </w:r>
    </w:p>
    <w:p w14:paraId="1D56F03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agli enti locali)</w:t>
      </w:r>
    </w:p>
    <w:p w14:paraId="2B4A175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546E48A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Il fondo di cui all'articolo 25, comma 1, del decreto-legge 22 marzo 2021, n. 41, convertito, con modificazioni, dalla legge 21 maggio 2021, n. 69, istituito nello stato di previsione del Ministero dell'interno, per i mancati incassi relativi al secondo trimestre del 2022, è incrementato di 50 milioni di euro per l'anno 2022. Alla ripartizione del Fondo tra gli enti interessati si provvede con uno o più decreti del Ministro dell'interno di concerto con il Ministro dell'economia e delle finanze, previa intesa in sede di Conferenza Stato-città ed autonomie locali, da adottare entro il 31 luglio 2022.</w:t>
      </w:r>
    </w:p>
    <w:p w14:paraId="25E55B80"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AF3FF82" w14:textId="63563D01"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2. Per garantire la continuità dei servizi erogati è riconosciuto agli enti locali un contributo straordinario. A tal fine, è istituito, nello stato di previsione del Ministero dell'interno, un fondo con una dotazione di 250 milioni di euro per l'anno 2022, da destinare, per 200 milioni di euro in favore dei comuni e per 50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trenta giorni dalla data di entrata in vigore </w:t>
      </w:r>
      <w:r w:rsidR="00111EE0">
        <w:rPr>
          <w:rFonts w:asciiTheme="minorHAnsi" w:hAnsiTheme="minorHAnsi" w:cstheme="minorHAnsi"/>
          <w:b/>
          <w:bCs/>
          <w:color w:val="000000" w:themeColor="text1"/>
          <w:sz w:val="24"/>
          <w:szCs w:val="24"/>
        </w:rPr>
        <w:t>della legge di conversione</w:t>
      </w:r>
      <w:r w:rsidR="00111EE0">
        <w:rPr>
          <w:rStyle w:val="Rimandonotaapidipagina"/>
          <w:rFonts w:asciiTheme="minorHAnsi" w:hAnsiTheme="minorHAnsi" w:cstheme="minorHAnsi"/>
          <w:b/>
          <w:bCs/>
          <w:color w:val="000000" w:themeColor="text1"/>
          <w:sz w:val="24"/>
          <w:szCs w:val="24"/>
        </w:rPr>
        <w:footnoteReference w:id="64"/>
      </w:r>
      <w:r w:rsidR="00111EE0">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del presente decreto, in relazione alla spesa per utenze di energia elettrica e gas, rilevata tenendo anche conto dei dati risultanti dal SIOPE-Sistema informativo sulle operazioni degli enti pubblici.</w:t>
      </w:r>
    </w:p>
    <w:p w14:paraId="2D9E1F68"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262791F4" w14:textId="77777777" w:rsidR="001C5FAC" w:rsidRPr="00111EE0" w:rsidRDefault="001C5FAC" w:rsidP="001C5FAC">
      <w:pPr>
        <w:spacing w:after="0" w:line="240" w:lineRule="auto"/>
        <w:jc w:val="both"/>
        <w:rPr>
          <w:rFonts w:asciiTheme="minorHAnsi" w:hAnsiTheme="minorHAnsi" w:cstheme="minorHAnsi"/>
          <w:strike/>
          <w:color w:val="000000" w:themeColor="text1"/>
          <w:sz w:val="24"/>
          <w:szCs w:val="24"/>
          <w:highlight w:val="yellow"/>
        </w:rPr>
      </w:pPr>
      <w:r w:rsidRPr="00111EE0">
        <w:rPr>
          <w:rFonts w:asciiTheme="minorHAnsi" w:hAnsiTheme="minorHAnsi" w:cstheme="minorHAnsi"/>
          <w:strike/>
          <w:color w:val="000000" w:themeColor="text1"/>
          <w:sz w:val="24"/>
          <w:szCs w:val="24"/>
          <w:highlight w:val="yellow"/>
        </w:rPr>
        <w:t>3. Ai comuni che hanno usufruito delle anticipazioni di liquidità ai sensi dell'articolo 243-ter del decreto legislativo 18 agosto 2000, n. 267, o che sono stati destinatari della anticipazione di cui all'articolo 243-quinquies del medesimo decreto legislativo n. 267 del 2000 e che, per effetto della sentenza della Corte costituzionale n. 18 del 14 febbraio 2019, subiscono un maggiore onere finanziario dovuto alla riduzione dell'arco temporale di restituzione delle predette anticipazioni, è destinato un contributo complessivo per l'anno 2022 di 22,6 milioni di euro.</w:t>
      </w:r>
    </w:p>
    <w:p w14:paraId="571707D2" w14:textId="77777777" w:rsidR="001C5FAC" w:rsidRPr="00111EE0" w:rsidRDefault="001C5FAC" w:rsidP="001C5FAC">
      <w:pPr>
        <w:spacing w:after="0" w:line="240" w:lineRule="auto"/>
        <w:jc w:val="both"/>
        <w:rPr>
          <w:rFonts w:cstheme="minorHAnsi"/>
          <w:strike/>
          <w:color w:val="000000" w:themeColor="text1"/>
          <w:sz w:val="24"/>
          <w:szCs w:val="24"/>
          <w:highlight w:val="yellow"/>
        </w:rPr>
      </w:pPr>
      <w:r w:rsidRPr="00111EE0">
        <w:rPr>
          <w:rFonts w:asciiTheme="minorHAnsi" w:hAnsiTheme="minorHAnsi" w:cstheme="minorHAnsi"/>
          <w:strike/>
          <w:color w:val="000000" w:themeColor="text1"/>
          <w:sz w:val="24"/>
          <w:szCs w:val="24"/>
          <w:highlight w:val="yellow"/>
        </w:rPr>
        <w:t>  </w:t>
      </w:r>
    </w:p>
    <w:p w14:paraId="2993D66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11EE0">
        <w:rPr>
          <w:rFonts w:asciiTheme="minorHAnsi" w:hAnsiTheme="minorHAnsi" w:cstheme="minorHAnsi"/>
          <w:strike/>
          <w:color w:val="000000" w:themeColor="text1"/>
          <w:sz w:val="24"/>
          <w:szCs w:val="24"/>
          <w:highlight w:val="yellow"/>
        </w:rPr>
        <w:t xml:space="preserve">4. Le risorse di cui al comma 3 sono ripartite con decreto del Ministro dell'interno, di concerto con il Ministro dell'economia e delle finanze, d'intesa con la Conferenza Stato-città ed autonomie locali, da </w:t>
      </w:r>
      <w:r w:rsidRPr="00111EE0">
        <w:rPr>
          <w:rFonts w:asciiTheme="minorHAnsi" w:hAnsiTheme="minorHAnsi" w:cstheme="minorHAnsi"/>
          <w:strike/>
          <w:color w:val="000000" w:themeColor="text1"/>
          <w:sz w:val="24"/>
          <w:szCs w:val="24"/>
          <w:highlight w:val="yellow"/>
        </w:rPr>
        <w:lastRenderedPageBreak/>
        <w:t>adottare entro il 31 marzo 2022, tenendo conto del maggior onere finanziario annuale derivante dalla rimodulazione delle rate di restituzione delle anticipazioni di cui al comma 3, con riferimento alle rate scadute nel triennio 2019-2021</w:t>
      </w:r>
      <w:r w:rsidRPr="001C5FAC">
        <w:rPr>
          <w:rFonts w:asciiTheme="minorHAnsi" w:hAnsiTheme="minorHAnsi" w:cstheme="minorHAnsi"/>
          <w:color w:val="000000" w:themeColor="text1"/>
          <w:sz w:val="24"/>
          <w:szCs w:val="24"/>
        </w:rPr>
        <w:t>.</w:t>
      </w:r>
    </w:p>
    <w:p w14:paraId="4EDB8615" w14:textId="77777777" w:rsidR="00111EE0" w:rsidRDefault="00111EE0" w:rsidP="00111EE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 Ai comuni che hanno usufruito delle anticipazioni di liquidità ai sensi dell'articolo 243-</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del testo unico di cui al decreto legislativo 18 agosto 2000, n. 267, o che sono stati destinatari delle anticipazioni disposte con i provvedimenti adottati ai sensi dell'articolo 243-</w:t>
      </w:r>
      <w:r w:rsidRPr="000C0983">
        <w:rPr>
          <w:rFonts w:asciiTheme="minorHAnsi" w:eastAsia="Times New Roman" w:hAnsiTheme="minorHAnsi" w:cstheme="minorHAnsi"/>
          <w:b/>
          <w:bCs/>
          <w:i/>
          <w:iCs/>
          <w:color w:val="000000" w:themeColor="text1"/>
          <w:sz w:val="24"/>
          <w:szCs w:val="24"/>
        </w:rPr>
        <w:t>quinquies</w:t>
      </w:r>
      <w:r w:rsidRPr="000C0983">
        <w:rPr>
          <w:rFonts w:asciiTheme="minorHAnsi" w:eastAsia="Times New Roman" w:hAnsiTheme="minorHAnsi" w:cstheme="minorHAnsi"/>
          <w:b/>
          <w:bCs/>
          <w:color w:val="000000" w:themeColor="text1"/>
          <w:sz w:val="24"/>
          <w:szCs w:val="24"/>
        </w:rPr>
        <w:t> del medesimo testo unico e che, per effetto della sentenza della Corte costituzionale n. 18 del 2019, subiscono un maggiore onere finanziario dovuto alla riduzione dell'arco temporale di restituzione delle predette anticipazioni, è destinato un contributo complessivo di 22,6 milioni di euro per l'anno 2022. I comuni di cui al periodo precedente che sono in dissesto finanziario o che risultano beneficiari di contributi concessi ai sensi dell'articolo 53 del decreto-legge 14 agosto 2020, n. 104, convertito, con modificazioni, dalla legge 13 ottobre 2020, n. 126, e del comma 775 dell'articolo 1 della legge 30 dicembre 2020, n. 178, dell'articolo 52 del decreto-legge 25 maggio 2021, n. 73, convertito, con modificazioni, dalla legge 23 luglio 2021, n. 106, del comma 1-</w:t>
      </w:r>
      <w:r w:rsidRPr="000C0983">
        <w:rPr>
          <w:rFonts w:asciiTheme="minorHAnsi" w:eastAsia="Times New Roman" w:hAnsiTheme="minorHAnsi" w:cstheme="minorHAnsi"/>
          <w:b/>
          <w:bCs/>
          <w:i/>
          <w:iCs/>
          <w:color w:val="000000" w:themeColor="text1"/>
          <w:sz w:val="24"/>
          <w:szCs w:val="24"/>
        </w:rPr>
        <w:t>septies</w:t>
      </w:r>
      <w:r w:rsidRPr="000C0983">
        <w:rPr>
          <w:rFonts w:asciiTheme="minorHAnsi" w:eastAsia="Times New Roman" w:hAnsiTheme="minorHAnsi" w:cstheme="minorHAnsi"/>
          <w:b/>
          <w:bCs/>
          <w:color w:val="000000" w:themeColor="text1"/>
          <w:sz w:val="24"/>
          <w:szCs w:val="24"/>
        </w:rPr>
        <w:t> dell'articolo 38 del decreto-legge 30 aprile 2019, n. 34, convertito, con modificazioni, dalla legge 28 giugno 2019, n. 58, del comma 8-</w:t>
      </w:r>
      <w:r w:rsidRPr="000C0983">
        <w:rPr>
          <w:rFonts w:asciiTheme="minorHAnsi" w:eastAsia="Times New Roman" w:hAnsiTheme="minorHAnsi" w:cstheme="minorHAnsi"/>
          <w:b/>
          <w:bCs/>
          <w:i/>
          <w:iCs/>
          <w:color w:val="000000" w:themeColor="text1"/>
          <w:sz w:val="24"/>
          <w:szCs w:val="24"/>
        </w:rPr>
        <w:t>quinquies</w:t>
      </w:r>
      <w:r w:rsidRPr="000C0983">
        <w:rPr>
          <w:rFonts w:asciiTheme="minorHAnsi" w:eastAsia="Times New Roman" w:hAnsiTheme="minorHAnsi" w:cstheme="minorHAnsi"/>
          <w:b/>
          <w:bCs/>
          <w:color w:val="000000" w:themeColor="text1"/>
          <w:sz w:val="24"/>
          <w:szCs w:val="24"/>
        </w:rPr>
        <w:t> dell'articolo 16 del decreto-legge 21 ottobre 2021, n. 146, convertito, con modificazioni, dalla legge 17 dicembre 2021, n. 215, o dei commi 565 o 567 dell'articolo 1 della legge 30 dicembre 2021, n. 234, sono esclusi dal contributo di cui al presente comma.</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56B3A394" w14:textId="77777777" w:rsidR="00111EE0" w:rsidRDefault="00111EE0" w:rsidP="00111EE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Il contributo di cui al comma 3 è erogato in proporzione all'ammontare del maggior onere di cui al primo periodo del medesimo comma 3. I comuni che si trovano nelle condizioni di cui al comma 3 nonché quelli esclusi dal contributo ai sensi del medesimo comma possono restituire le rate scadute e non pagate nel triennio 2019-2021, al netto del contributo ricevuto ai sensi del comma 3, in quote costanti, in cinque anni decorrenti dal 2022.</w:t>
      </w:r>
    </w:p>
    <w:p w14:paraId="44973756" w14:textId="1D1EFE65" w:rsidR="00111EE0" w:rsidRDefault="00111EE0" w:rsidP="00111EE0">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4. Le risorse di cui al comma 3 sono ripartite con decreto del Ministro dell'interno, di concerto con il Ministro dell'economia e delle finanze, previa intesa in sede di Conferenza Stato-città ed autonomie locali, da adottare entro trenta giorni dalla data di entrata in vigore della legge di conversione del presente decreto, tenendo conto del maggior onere finanziario annuale derivante dalla rimodulazione delle rate di restituzione delle anticipazioni di cui al medesimo comma 3, con riferimento alle rate scadute nel triennio 2019-2021.</w:t>
      </w:r>
      <w:r>
        <w:rPr>
          <w:rStyle w:val="Rimandonotaapidipagina"/>
          <w:rFonts w:asciiTheme="minorHAnsi" w:eastAsia="Times New Roman" w:hAnsiTheme="minorHAnsi" w:cstheme="minorHAnsi"/>
          <w:b/>
          <w:bCs/>
          <w:color w:val="000000" w:themeColor="text1"/>
          <w:sz w:val="24"/>
          <w:szCs w:val="24"/>
        </w:rPr>
        <w:footnoteReference w:id="65"/>
      </w:r>
    </w:p>
    <w:p w14:paraId="1B8A6F14" w14:textId="77777777" w:rsidR="006A6D39" w:rsidRDefault="006A6D39" w:rsidP="001C5FAC">
      <w:pPr>
        <w:spacing w:after="0" w:line="240" w:lineRule="auto"/>
        <w:jc w:val="both"/>
        <w:rPr>
          <w:rFonts w:asciiTheme="minorHAnsi" w:hAnsiTheme="minorHAnsi" w:cstheme="minorHAnsi"/>
          <w:color w:val="000000" w:themeColor="text1"/>
          <w:sz w:val="24"/>
          <w:szCs w:val="24"/>
        </w:rPr>
      </w:pPr>
    </w:p>
    <w:p w14:paraId="2794584D" w14:textId="550E732F" w:rsidR="001C5FAC" w:rsidRPr="001C5FAC" w:rsidRDefault="006A6D39" w:rsidP="001C5FAC">
      <w:pPr>
        <w:spacing w:after="0" w:line="240" w:lineRule="auto"/>
        <w:jc w:val="both"/>
        <w:rPr>
          <w:rFonts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4-</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xml:space="preserve">. Le risorse di cui al presente articolo spettanti ai comuni delle regioni </w:t>
      </w:r>
      <w:proofErr w:type="gramStart"/>
      <w:r w:rsidRPr="000C0983">
        <w:rPr>
          <w:rFonts w:asciiTheme="minorHAnsi" w:eastAsia="Times New Roman" w:hAnsiTheme="minorHAnsi" w:cstheme="minorHAnsi"/>
          <w:b/>
          <w:bCs/>
          <w:color w:val="000000" w:themeColor="text1"/>
          <w:sz w:val="24"/>
          <w:szCs w:val="24"/>
        </w:rPr>
        <w:t>Friuli Venezia Giulia</w:t>
      </w:r>
      <w:proofErr w:type="gramEnd"/>
      <w:r w:rsidRPr="000C0983">
        <w:rPr>
          <w:rFonts w:asciiTheme="minorHAnsi" w:eastAsia="Times New Roman" w:hAnsiTheme="minorHAnsi" w:cstheme="minorHAnsi"/>
          <w:b/>
          <w:bCs/>
          <w:color w:val="000000" w:themeColor="text1"/>
          <w:sz w:val="24"/>
          <w:szCs w:val="24"/>
        </w:rPr>
        <w:t xml:space="preserve"> e Valle d'Aosta e delle province autonome di Trento e di Bolzano sono assegnate alle predette autonomie, che provvedono al successivo riparto in favore dei comuni compresi nel proprio territorio.</w:t>
      </w:r>
      <w:r>
        <w:rPr>
          <w:rStyle w:val="Rimandonotaapidipagina"/>
          <w:rFonts w:asciiTheme="minorHAnsi" w:eastAsia="Times New Roman" w:hAnsiTheme="minorHAnsi" w:cstheme="minorHAnsi"/>
          <w:b/>
          <w:bCs/>
          <w:color w:val="000000" w:themeColor="text1"/>
          <w:sz w:val="24"/>
          <w:szCs w:val="24"/>
        </w:rPr>
        <w:footnoteReference w:id="66"/>
      </w:r>
      <w:r w:rsidR="001C5FAC" w:rsidRPr="001C5FAC">
        <w:rPr>
          <w:rFonts w:asciiTheme="minorHAnsi" w:hAnsiTheme="minorHAnsi" w:cstheme="minorHAnsi"/>
          <w:color w:val="000000" w:themeColor="text1"/>
          <w:sz w:val="24"/>
          <w:szCs w:val="24"/>
        </w:rPr>
        <w:t>  </w:t>
      </w:r>
    </w:p>
    <w:p w14:paraId="5964918C" w14:textId="77777777" w:rsidR="006A6D39" w:rsidRDefault="006A6D39" w:rsidP="001C5FAC">
      <w:pPr>
        <w:spacing w:after="0" w:line="240" w:lineRule="auto"/>
        <w:jc w:val="both"/>
        <w:rPr>
          <w:rFonts w:asciiTheme="minorHAnsi" w:hAnsiTheme="minorHAnsi" w:cstheme="minorHAnsi"/>
          <w:color w:val="000000" w:themeColor="text1"/>
          <w:sz w:val="24"/>
          <w:szCs w:val="24"/>
        </w:rPr>
      </w:pPr>
    </w:p>
    <w:p w14:paraId="010C4EA1" w14:textId="49122D6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5. Agli oneri derivanti dal presente articolo, pari a 322,6 milioni di euro per l'anno 2022, si provvede ai sensi dell'articolo 42.</w:t>
      </w:r>
    </w:p>
    <w:p w14:paraId="503122F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818666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28.</w:t>
      </w:r>
    </w:p>
    <w:p w14:paraId="2B1E6E7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(Rigenerazione urbana)</w:t>
      </w:r>
    </w:p>
    <w:p w14:paraId="497FAEC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260FE4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fine di rafforzare le misure di rigenerazione urbana di cui all'articolo 1, comma 42, della legge 27 dicembre 2019, n. 160, confluite nella Missione 5 «Inclusione e Coesione», Componente 2 «Infrastrutture sociali, famiglie, comunità e terzo settore», Investimento 2.1 «Investimenti in progetti di rigenerazione urbana, volti a ridurre situazioni di emarginazione e degrado sociale» del Piano nazionale di ripresa e resilienza (PNRR) è autorizzato lo scorrimento della graduatoria delle opere ammissibili e non finanziate di cui al decreto del Ministero dell'interno 30 dicembre 2021, della cui adozione è stata data comunicazione nella Gazzetta Ufficiale della Repubblica italiana n. 4 del 7 gennaio 2022. A tal fine è autorizzata la spesa di 40 milioni di euro per l'anno 2022, 150 milioni di euro per ciascuno degli anni 2023 e 2024, 285 milioni di euro per l'anno 2025 e 280 milioni di euro per l'anno 2026.</w:t>
      </w:r>
    </w:p>
    <w:p w14:paraId="1E08D366"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53A2BA7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Il Ministero dell'interno, con decreto da adottare entro il 31 marzo 2022, di concerto con la Presidenza del Consiglio dei Ministri-Dipartimento per gli affari regionali e le autonomie, assegna le risorse sulla base del cronoprogramma dichiarato nella domanda presentata ai sensi del decreto del Ministero dell'interno del 2 aprile 2021, pubblicato nella Gazzetta Ufficiale della Repubblica italiana n. 84 dell'8 aprile 2021.</w:t>
      </w:r>
    </w:p>
    <w:p w14:paraId="24D80282"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DE4ED3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Gli enti locali beneficiari del contributo di cui al comma 2 sono tenuti al rispetto degli obblighi di cui agli articoli da 6 a 9 del decreto del Presidente del Consiglio dei ministri 21 gennaio 2021, pubblicato nella Gazzetta Ufficiale della Repubblica italiana n. 56 del 6 marzo 2021, e di cui agli articoli da 4 a 8 del decreto del Ministero dell'interno 30 dicembre 2021.</w:t>
      </w:r>
    </w:p>
    <w:p w14:paraId="226C8B4E"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928F7A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4. Agli oneri derivanti dal comma 1, si provvede, quanto a 40 milioni di euro per l'anno 2022, mediante corrispondente riduzione dell'autorizzazione di spesa di cui all'articolo 1, comma 51, della legge 27 dicembre 2019, n. 160, quanto a 150 milioni di euro per ciascuno degli anni 2023 e 2024, mediante corrispondente riduzione dell'autorizzazione di spesa di cui all'articolo 1, comma 139, della legge 30 dicembre 2018, n. 145, e quanto a 285 milioni per l'anno 2025 e a 280 milioni per l'anno 2026 mediante corrispondente riduzione dell'autorizzazione di spesa di cui all'articolo 1, comma 44, della legge 27 dicembre 2019, n. 160.</w:t>
      </w:r>
    </w:p>
    <w:p w14:paraId="73B13347"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70092FC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5. Il comma 458 dell'articolo 1 della legge 30 dicembre 2021, n. 234, è abrogato.</w:t>
      </w:r>
    </w:p>
    <w:p w14:paraId="734EF77B" w14:textId="77777777" w:rsidR="006A6D39" w:rsidRDefault="006A6D39" w:rsidP="001C5FAC">
      <w:pPr>
        <w:spacing w:after="0" w:line="240" w:lineRule="auto"/>
        <w:jc w:val="both"/>
        <w:rPr>
          <w:rFonts w:asciiTheme="minorHAnsi" w:hAnsiTheme="minorHAnsi" w:cstheme="minorHAnsi"/>
          <w:color w:val="000000" w:themeColor="text1"/>
          <w:sz w:val="24"/>
          <w:szCs w:val="24"/>
        </w:rPr>
      </w:pPr>
    </w:p>
    <w:p w14:paraId="3B4522EF" w14:textId="5D6005E0" w:rsidR="006A6D39" w:rsidRPr="000C0983" w:rsidRDefault="006A6D39" w:rsidP="006A6D39">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testo unico delle disposizioni legislative e regolamentari in materia edilizia, di cui al decreto del Presidente della Repubblica 6 giugno 2001, n. 380, sono apportate le seguenti modificazioni:</w:t>
      </w:r>
    </w:p>
    <w:p w14:paraId="665A10BA" w14:textId="77777777" w:rsidR="006A6D39" w:rsidRPr="000C0983" w:rsidRDefault="006A6D39" w:rsidP="006A6D39">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all'articolo 3, comma 1, lettera </w:t>
      </w:r>
      <w:r w:rsidRPr="000C0983">
        <w:rPr>
          <w:rFonts w:asciiTheme="minorHAnsi" w:eastAsia="Times New Roman" w:hAnsiTheme="minorHAnsi" w:cstheme="minorHAnsi"/>
          <w:b/>
          <w:bCs/>
          <w:i/>
          <w:iCs/>
          <w:color w:val="000000" w:themeColor="text1"/>
          <w:sz w:val="24"/>
          <w:szCs w:val="24"/>
        </w:rPr>
        <w:t>d)</w:t>
      </w:r>
      <w:r w:rsidRPr="000C0983">
        <w:rPr>
          <w:rFonts w:asciiTheme="minorHAnsi" w:eastAsia="Times New Roman" w:hAnsiTheme="minorHAnsi" w:cstheme="minorHAnsi"/>
          <w:b/>
          <w:bCs/>
          <w:color w:val="000000" w:themeColor="text1"/>
          <w:sz w:val="24"/>
          <w:szCs w:val="24"/>
        </w:rPr>
        <w:t>, sesto periodo, dopo le parole: «decreto legislativo 22 gennaio 2004, n. 42,» sono inserite le seguenti: «ad eccezione degli edifici ricadenti in aree tutelate ai sensi dell'articolo 142 del medesimo decreto legislativo,»;</w:t>
      </w:r>
    </w:p>
    <w:p w14:paraId="28408A9C" w14:textId="47CE39BE" w:rsidR="006A6D39" w:rsidRDefault="006A6D39" w:rsidP="006A6D39">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all'articolo 10, comma 1, lettera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sono aggiunte, in fine, le seguenti parole: «, e, inoltre, gli interventi di ristrutturazione edilizia che comportino la demolizione e ricostruzione di edifici ricadenti in aree tutelate ai sensi dell'articolo 142 del decreto legislativo 22 gennaio 2004, n. 42, o il ripristino di edifici, crollati o demoliti, ricadenti nelle medesime aree, in entrambi i casi ove siano previste modifiche della sagoma o dei prospetti o del sedime o delle caratteristiche planivolumetriche e tipologiche dell'edificio preesistente oppure siano previsti incrementi di volumetria».</w:t>
      </w:r>
      <w:r>
        <w:rPr>
          <w:rStyle w:val="Rimandonotaapidipagina"/>
          <w:rFonts w:asciiTheme="minorHAnsi" w:eastAsia="Times New Roman" w:hAnsiTheme="minorHAnsi" w:cstheme="minorHAnsi"/>
          <w:b/>
          <w:bCs/>
          <w:color w:val="000000" w:themeColor="text1"/>
          <w:sz w:val="24"/>
          <w:szCs w:val="24"/>
        </w:rPr>
        <w:footnoteReference w:id="67"/>
      </w:r>
    </w:p>
    <w:p w14:paraId="32A3EB0A" w14:textId="55F9708F" w:rsidR="001C5FAC" w:rsidRPr="001C5FAC" w:rsidRDefault="006A6D39" w:rsidP="006A6D39">
      <w:pPr>
        <w:shd w:val="clear" w:color="auto" w:fill="FFFFFF"/>
        <w:spacing w:after="0" w:line="240" w:lineRule="auto"/>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br/>
      </w:r>
      <w:r w:rsidR="001C5FAC" w:rsidRPr="001C5FAC">
        <w:rPr>
          <w:rFonts w:asciiTheme="minorHAnsi" w:hAnsiTheme="minorHAnsi" w:cstheme="minorHAnsi"/>
          <w:color w:val="000000" w:themeColor="text1"/>
          <w:sz w:val="24"/>
          <w:szCs w:val="24"/>
        </w:rPr>
        <w:t>6. All'articolo 1 della legge 27 dicembre 2019, n. 160, sono apportate le seguenti modificazioni:</w:t>
      </w:r>
    </w:p>
    <w:p w14:paraId="557CA15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 comma 46 dopo le parole «, sono individuati i criteri di riparto» sono inserite le seguenti: «, assicurando il vincolo di almeno il 40 per cento delle risorse agli enti locali del Mezzogiorno,»;</w:t>
      </w:r>
    </w:p>
    <w:p w14:paraId="2945939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al comma 51 è inserito, in fine, il seguente periodo: «A decorrere dall'anno 2022, in sede di definizione delle procedure di assegnazione dei contributi, almeno il 40 per cento delle risorse allocabili è destinato agli enti locali del Mezzogiorno.».</w:t>
      </w:r>
    </w:p>
    <w:p w14:paraId="6D3BE8A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E598F4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7. Ai fini della verifica del rispetto delle disposizioni relative al vincolo di assicurare almeno il 40 per cento delle risorse allocabili agli enti locali del Mezzogiorno, di cui all'articolo 1, comma 139, ultimo periodo, della legge n. 145 del 2018 e dell'articolo 1, commi 46 e 51, ultimo periodo, della legge n. 160 del 2019, come modificati dal comma 6 del presente articolo, si tiene conto delle risorse assegnate con il decreto di cui al comma 2.</w:t>
      </w:r>
    </w:p>
    <w:p w14:paraId="3CDBA38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511DB6CE"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TITOLO IV</w:t>
      </w:r>
    </w:p>
    <w:p w14:paraId="7BFAD63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ALTRE MISURE URGENTI</w:t>
      </w:r>
    </w:p>
    <w:p w14:paraId="60F93D4B" w14:textId="44C37006" w:rsidR="001C5FAC" w:rsidRDefault="001C5FAC" w:rsidP="001C5FAC">
      <w:pPr>
        <w:spacing w:after="0" w:line="240" w:lineRule="auto"/>
        <w:jc w:val="center"/>
        <w:rPr>
          <w:rFonts w:asciiTheme="minorHAnsi" w:hAnsiTheme="minorHAnsi" w:cstheme="minorHAnsi"/>
          <w:color w:val="000000" w:themeColor="text1"/>
          <w:sz w:val="24"/>
          <w:szCs w:val="24"/>
        </w:rPr>
      </w:pPr>
    </w:p>
    <w:p w14:paraId="52DFC845" w14:textId="77777777" w:rsidR="006A6D39" w:rsidRPr="000C0983" w:rsidRDefault="006A6D39" w:rsidP="006A6D39">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28-</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(Cooperative edilizie di abitazione)</w:t>
      </w:r>
    </w:p>
    <w:p w14:paraId="6E12DA7A" w14:textId="77777777" w:rsidR="006A6D39" w:rsidRDefault="006A6D39" w:rsidP="006A6D39">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64546B3C" w14:textId="77777777" w:rsidR="006A6D39" w:rsidRPr="000C0983" w:rsidRDefault="006A6D39" w:rsidP="006A6D39">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Dopo il comma 1 dell'articolo 13 della legge 31 gennaio 1992, n. 59, è inserito il seguente:</w:t>
      </w:r>
    </w:p>
    <w:p w14:paraId="15A2D2D0" w14:textId="2F86D508" w:rsidR="006A6D39" w:rsidRDefault="006A6D39" w:rsidP="006A6D39">
      <w:pPr>
        <w:shd w:val="clear" w:color="auto" w:fill="FFFFFF"/>
        <w:spacing w:after="0" w:line="240" w:lineRule="auto"/>
        <w:jc w:val="both"/>
        <w:rPr>
          <w:rFonts w:eastAsia="Times New Roman" w:cstheme="minorHAnsi"/>
          <w:color w:val="000000" w:themeColor="text1"/>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1-bis.</w:t>
      </w:r>
      <w:r w:rsidRPr="000C0983">
        <w:rPr>
          <w:rFonts w:asciiTheme="minorHAnsi" w:eastAsia="Times New Roman" w:hAnsiTheme="minorHAnsi" w:cstheme="minorHAnsi"/>
          <w:b/>
          <w:bCs/>
          <w:color w:val="000000" w:themeColor="text1"/>
          <w:sz w:val="24"/>
          <w:szCs w:val="24"/>
        </w:rPr>
        <w:t> Ai fini della presente legge si considerano società cooperative edilizie di abitazione le società cooperative costituite ai sensi dell'articolo 2511 e seguenti del codice civile che hanno come scopo mutualistico e come oggetto sociale principale la realizzazione e l'assegnazione ai soci di alloggi in proprietà, in godimento ovvero in locazione, nonché, in via accessoria o strumentale, attività o servizi anche di interesse collettivo, svolti secondo i princìpi della mutualità cooperativa e senza fini di speculazione privata, a favore dei soci, dei loro familiari nonché di soggetti terzi, connessi direttamente all'oggetto sociale principale e, comunque, sempre riconducibili all'attività caratteristica delle cooperative di abitazione».</w:t>
      </w:r>
      <w:r>
        <w:rPr>
          <w:rStyle w:val="Rimandonotaapidipagina"/>
          <w:rFonts w:asciiTheme="minorHAnsi" w:eastAsia="Times New Roman" w:hAnsiTheme="minorHAnsi" w:cstheme="minorHAnsi"/>
          <w:b/>
          <w:bCs/>
          <w:color w:val="000000" w:themeColor="text1"/>
          <w:sz w:val="24"/>
          <w:szCs w:val="24"/>
        </w:rPr>
        <w:footnoteReference w:id="68"/>
      </w:r>
      <w:r w:rsidRPr="000C0983">
        <w:rPr>
          <w:rFonts w:asciiTheme="minorHAnsi" w:eastAsia="Times New Roman" w:hAnsiTheme="minorHAnsi" w:cstheme="minorHAnsi"/>
          <w:b/>
          <w:bCs/>
          <w:color w:val="000000" w:themeColor="text1"/>
          <w:sz w:val="24"/>
          <w:szCs w:val="24"/>
        </w:rPr>
        <w:br/>
      </w:r>
    </w:p>
    <w:p w14:paraId="18AD7EA2" w14:textId="3EB03862" w:rsidR="006A6D39" w:rsidRPr="001C5FAC" w:rsidRDefault="006A6D39" w:rsidP="001C5FAC">
      <w:pPr>
        <w:spacing w:after="0" w:line="240" w:lineRule="auto"/>
        <w:jc w:val="center"/>
        <w:rPr>
          <w:rFonts w:asciiTheme="minorHAnsi" w:hAnsiTheme="minorHAnsi" w:cstheme="minorHAnsi"/>
          <w:color w:val="000000" w:themeColor="text1"/>
          <w:sz w:val="24"/>
          <w:szCs w:val="24"/>
        </w:rPr>
      </w:pPr>
    </w:p>
    <w:p w14:paraId="54B1585C" w14:textId="1C47CC9D"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29.</w:t>
      </w:r>
    </w:p>
    <w:p w14:paraId="3297B3C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(Riapertura dei termini per la rideterminazione dei valori di acquisto</w:t>
      </w:r>
    </w:p>
    <w:p w14:paraId="00D820BA"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dei terreni e delle partecipazioni)</w:t>
      </w:r>
    </w:p>
    <w:p w14:paraId="7E6C2DB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7230E3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2, comma 2, del decreto-legge 24 dicembre 2002, n. 282, convertito, con modificazioni, dalla legge 21 febbraio 2003, n. 27, sono apportate le seguenti modificazioni:</w:t>
      </w:r>
    </w:p>
    <w:p w14:paraId="36E52AA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 primo periodo, le parole: «1° gennaio 2021» sono sostituite dalle seguenti: «1° gennaio 2022»;</w:t>
      </w:r>
    </w:p>
    <w:p w14:paraId="10A2E865" w14:textId="6342655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   b) al secondo periodo, le parole: «15 novembre 2021» sono sostituite dalle seguenti: «15 </w:t>
      </w:r>
      <w:r w:rsidRPr="00713BDD">
        <w:rPr>
          <w:rFonts w:asciiTheme="minorHAnsi" w:hAnsiTheme="minorHAnsi" w:cstheme="minorHAnsi"/>
          <w:strike/>
          <w:color w:val="000000" w:themeColor="text1"/>
          <w:sz w:val="24"/>
          <w:szCs w:val="24"/>
          <w:highlight w:val="yellow"/>
        </w:rPr>
        <w:t>giugno</w:t>
      </w:r>
      <w:r w:rsidRPr="001C5FAC">
        <w:rPr>
          <w:rFonts w:asciiTheme="minorHAnsi" w:hAnsiTheme="minorHAnsi" w:cstheme="minorHAnsi"/>
          <w:color w:val="000000" w:themeColor="text1"/>
          <w:sz w:val="24"/>
          <w:szCs w:val="24"/>
        </w:rPr>
        <w:t xml:space="preserve"> </w:t>
      </w:r>
      <w:r w:rsidR="00713BDD">
        <w:rPr>
          <w:rFonts w:asciiTheme="minorHAnsi" w:hAnsiTheme="minorHAnsi" w:cstheme="minorHAnsi"/>
          <w:b/>
          <w:bCs/>
          <w:color w:val="000000" w:themeColor="text1"/>
          <w:sz w:val="24"/>
          <w:szCs w:val="24"/>
        </w:rPr>
        <w:t>novembre</w:t>
      </w:r>
      <w:r w:rsidR="00713BDD">
        <w:rPr>
          <w:rStyle w:val="Rimandonotaapidipagina"/>
          <w:rFonts w:asciiTheme="minorHAnsi" w:hAnsiTheme="minorHAnsi" w:cstheme="minorHAnsi"/>
          <w:b/>
          <w:bCs/>
          <w:color w:val="000000" w:themeColor="text1"/>
          <w:sz w:val="24"/>
          <w:szCs w:val="24"/>
        </w:rPr>
        <w:footnoteReference w:id="69"/>
      </w:r>
      <w:r w:rsidR="00713BDD">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2022»;</w:t>
      </w:r>
    </w:p>
    <w:p w14:paraId="54BA3159" w14:textId="558BE384"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   c) al terzo periodo, le parole: «15 novembre 2021» sono sostituite dalle seguenti: «15 </w:t>
      </w:r>
      <w:r w:rsidRPr="00713BDD">
        <w:rPr>
          <w:rFonts w:asciiTheme="minorHAnsi" w:hAnsiTheme="minorHAnsi" w:cstheme="minorHAnsi"/>
          <w:strike/>
          <w:color w:val="000000" w:themeColor="text1"/>
          <w:sz w:val="24"/>
          <w:szCs w:val="24"/>
          <w:highlight w:val="yellow"/>
        </w:rPr>
        <w:t>giugno</w:t>
      </w:r>
      <w:r w:rsidRPr="001C5FAC">
        <w:rPr>
          <w:rFonts w:asciiTheme="minorHAnsi" w:hAnsiTheme="minorHAnsi" w:cstheme="minorHAnsi"/>
          <w:color w:val="000000" w:themeColor="text1"/>
          <w:sz w:val="24"/>
          <w:szCs w:val="24"/>
        </w:rPr>
        <w:t xml:space="preserve"> </w:t>
      </w:r>
      <w:r w:rsidR="00713BDD" w:rsidRPr="00713BDD">
        <w:rPr>
          <w:rFonts w:asciiTheme="minorHAnsi" w:hAnsiTheme="minorHAnsi" w:cstheme="minorHAnsi"/>
          <w:b/>
          <w:bCs/>
          <w:color w:val="000000" w:themeColor="text1"/>
          <w:sz w:val="24"/>
          <w:szCs w:val="24"/>
        </w:rPr>
        <w:t>novembre</w:t>
      </w:r>
      <w:r w:rsidR="00713BDD">
        <w:rPr>
          <w:rStyle w:val="Rimandonotaapidipagina"/>
          <w:rFonts w:asciiTheme="minorHAnsi" w:hAnsiTheme="minorHAnsi" w:cstheme="minorHAnsi"/>
          <w:b/>
          <w:bCs/>
          <w:color w:val="000000" w:themeColor="text1"/>
          <w:sz w:val="24"/>
          <w:szCs w:val="24"/>
        </w:rPr>
        <w:footnoteReference w:id="70"/>
      </w:r>
      <w:r w:rsidR="00713BDD">
        <w:rPr>
          <w:rFonts w:asciiTheme="minorHAnsi" w:hAnsiTheme="minorHAnsi" w:cstheme="minorHAnsi"/>
          <w:color w:val="000000" w:themeColor="text1"/>
          <w:sz w:val="24"/>
          <w:szCs w:val="24"/>
        </w:rPr>
        <w:t xml:space="preserve"> </w:t>
      </w:r>
      <w:r w:rsidRPr="001C5FAC">
        <w:rPr>
          <w:rFonts w:asciiTheme="minorHAnsi" w:hAnsiTheme="minorHAnsi" w:cstheme="minorHAnsi"/>
          <w:color w:val="000000" w:themeColor="text1"/>
          <w:sz w:val="24"/>
          <w:szCs w:val="24"/>
        </w:rPr>
        <w:t>2022».</w:t>
      </w:r>
    </w:p>
    <w:p w14:paraId="06040830" w14:textId="77777777" w:rsidR="001C5FAC" w:rsidRPr="001C5FAC" w:rsidRDefault="001C5FAC" w:rsidP="001C5FAC">
      <w:pPr>
        <w:spacing w:after="0" w:line="240" w:lineRule="auto"/>
        <w:jc w:val="both"/>
        <w:rPr>
          <w:rFonts w:cstheme="minorHAnsi"/>
          <w:color w:val="000000" w:themeColor="text1"/>
          <w:sz w:val="24"/>
          <w:szCs w:val="24"/>
        </w:rPr>
      </w:pPr>
    </w:p>
    <w:p w14:paraId="63BADFA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Sui valori di acquisto delle partecipazioni non negoziate in mercati regolamentati e dei terreni edificabili e con destinazione agricola rideterminati con le modalità e nei termini indicati dal comma 2 dell'articolo 2 del decreto-legge n. 282 del 2002, convertito, con modificazioni, dalla legge n. 27 del 2003, come da ultimo modificato dal comma 1 del presente articolo, le aliquote delle imposte sostitutive di cui all'articolo 5, comma 2, della legge 28 dicembre 2001, n. 448, sono pari entrambe al 14 per cento e l'aliquota di cui all'articolo 7, comma 2, della medesima legge è aumentata al 14 per cento.</w:t>
      </w:r>
    </w:p>
    <w:p w14:paraId="13229E5A"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32219B44" w14:textId="415B8A60"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Alle minori entrate derivanti dal comma 1, valutati in 245,4 milioni di euro per l'anno 2022 e 278,5 milioni di euro per ciascuno degli anni dal 2023 al 2031 e a 33 milioni di euro per l'anno 2032, si provvede ai sensi dell'articolo 42.</w:t>
      </w:r>
    </w:p>
    <w:p w14:paraId="6FD8539F" w14:textId="590CF74B" w:rsidR="006A6D39" w:rsidRDefault="006A6D39" w:rsidP="001C5FAC">
      <w:pPr>
        <w:spacing w:after="0" w:line="240" w:lineRule="auto"/>
        <w:jc w:val="both"/>
        <w:rPr>
          <w:rFonts w:asciiTheme="minorHAnsi" w:hAnsiTheme="minorHAnsi" w:cstheme="minorHAnsi"/>
          <w:color w:val="000000" w:themeColor="text1"/>
          <w:sz w:val="24"/>
          <w:szCs w:val="24"/>
        </w:rPr>
      </w:pPr>
    </w:p>
    <w:p w14:paraId="4C226EE8" w14:textId="77777777" w:rsidR="006A6D39" w:rsidRPr="000C0983" w:rsidRDefault="006A6D39" w:rsidP="006A6D39">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29-</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p>
    <w:p w14:paraId="60059445" w14:textId="77777777" w:rsidR="006A6D39" w:rsidRDefault="006A6D39" w:rsidP="006A6D39">
      <w:pPr>
        <w:shd w:val="clear" w:color="auto" w:fill="FFFFFF"/>
        <w:spacing w:after="0" w:line="240" w:lineRule="auto"/>
        <w:rPr>
          <w:rFonts w:eastAsia="Times New Roman" w:cstheme="minorHAnsi"/>
          <w:color w:val="000000" w:themeColor="text1"/>
          <w:sz w:val="24"/>
          <w:szCs w:val="24"/>
        </w:rPr>
      </w:pPr>
    </w:p>
    <w:p w14:paraId="5115FAAD" w14:textId="77777777" w:rsidR="006A6D39" w:rsidRDefault="006A6D39" w:rsidP="006A6D39">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121, comma 1, lettera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del decreto-legge 19 maggio 2020, n. 34, convertito con modificazioni dalla legge 17 luglio 2020, n. 77, sono aggiunte, in fine, le seguenti parole: «alle banche e agli intermediari finanziari iscritti all'albo previsto dall'articolo 106 del testo unico delle leggi in materia bancaria e creditizia, di cui al decreto legislativo 1° settembre 1993, n. 385, alle società appartenenti a un gruppo bancario iscritto all'albo di cui all'articolo 64 del predetto testo unico delle leggi in materia bancaria e creditizia ovvero alle imprese di assicurazione autorizzate ad operare in Italia ai sensi del codice delle assicurazioni private, di cui al decreto legislativo 7 settembre 2005, n. 209, che hanno esaurito il numero delle possibili cessioni sopra indicate, è consentita una ulteriore cessione a favore di altri soggetti, compresi gli istituti di credito e gli altri intermediari finanziari, senza facoltà di successiva cessione; con riferimento a quest'ultima ulteriore cessione, il cedente è in ogni caso responsabile solidalmente per il recupero dell'importo di cui al comma 5, ferma restando l'eventuale ulteriore responsabilità solidale in capo ad altro soggetto, ai sensi del comma 6;».</w:t>
      </w:r>
    </w:p>
    <w:p w14:paraId="533E8FFF" w14:textId="77777777" w:rsidR="006A6D39" w:rsidRDefault="006A6D39" w:rsidP="006A6D39">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2226F89D" w14:textId="77777777" w:rsidR="006A6D39" w:rsidRDefault="006A6D39" w:rsidP="006A6D39">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2. All'articolo 121, comma 1, lettera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del decreto-legge 19 maggio 2020, n. 34, convertito con modificazioni dalla legge 17 luglio 2020, n. 77, dopo le parole «anche successive alla prima», sono aggiunte le seguenti :«alle banche e agli intermediari finanziari iscritti all'albo previsto dall'articolo 106 del testo unico delle leggi in materia bancaria e creditizia, di cui al decreto legislativo 1° settembre 1993, n. 385, alle società appartenenti a un gruppo bancario iscritto all'albo di cui all'articolo 64 del predetto testo unico delle leggi in materia bancaria e creditizia ovvero alle imprese di assicurazione autorizzate ad operare in Italia ai sensi del codice delle assicurazioni private, di cui al decreto legislativo 7 settembre 2005, n. 209, che hanno esaurito il numero delle possibili cessioni sopra indicate, è consentita una ulteriore cessione a favore di altri soggetti, compresi gli istituti di credito e gli altri intermediari finanziari, senza facoltà di successiva cessione; con riferimento a quest'ultima ulteriore cessione, il cedente è in ogni caso responsabile solidalmente per il recupero dell'importo di cui al comma 5, ferma restando l'eventuale ulteriore responsabilità solidale in capo ad altro soggetto, ai sensi del comma 6».</w:t>
      </w:r>
    </w:p>
    <w:p w14:paraId="4C1C63BE" w14:textId="77777777" w:rsidR="006A6D39" w:rsidRDefault="006A6D39" w:rsidP="006A6D39">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782B5F83" w14:textId="77777777" w:rsidR="006A6D39" w:rsidRPr="000C0983" w:rsidRDefault="006A6D39" w:rsidP="006A6D39">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 Le disposizioni di cui al presente articolo si applicano alle comunicazioni della prima cessione del credito o dello sconto in fattura inviate all'Agenzia delle entrate a partire dal 1° maggio 2022.</w:t>
      </w:r>
    </w:p>
    <w:p w14:paraId="32FC2F95" w14:textId="77777777" w:rsidR="006A6D39" w:rsidRDefault="006A6D39" w:rsidP="006A6D39">
      <w:pPr>
        <w:shd w:val="clear" w:color="auto" w:fill="FFFFFF"/>
        <w:spacing w:after="0" w:line="240" w:lineRule="auto"/>
        <w:jc w:val="center"/>
        <w:rPr>
          <w:rFonts w:eastAsia="Times New Roman" w:cstheme="minorHAnsi"/>
          <w:color w:val="000000" w:themeColor="text1"/>
          <w:sz w:val="24"/>
          <w:szCs w:val="24"/>
        </w:rPr>
      </w:pPr>
    </w:p>
    <w:p w14:paraId="0FBA3EE0" w14:textId="77777777" w:rsidR="006A6D39" w:rsidRPr="000C0983" w:rsidRDefault="006A6D39" w:rsidP="006A6D39">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29-</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(Proroga del termine di comunicazione dell'opzione di cessione del credito o sconto in fattura per i soggetti IRES e partite IVA)</w:t>
      </w:r>
    </w:p>
    <w:p w14:paraId="770ABF62" w14:textId="77777777" w:rsidR="006A6D39" w:rsidRDefault="006A6D39" w:rsidP="006A6D39">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725D12A7" w14:textId="72B70785" w:rsidR="006A6D39" w:rsidRDefault="006A6D39" w:rsidP="006A6D39">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All'articolo 10-</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del decreto-legge 27 gennaio 2022, n. 4, convertito, con modificazioni, dalla legge 28 marzo 2022, n. 25, dopo il comma 2, è inserito il seguente:</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fine consentire l'esercizio delle opzioni di sconto sul corrispettivo o cessione del credito di cui all'articolo 121 del decreto-legge 19 maggio 2020, n. 34, convertito, con modificazioni, dalla legge 17 luglio 2020, n. 77, per l'anno 2022, i soggetti IRES e i titolari di partita IVA, che sono tenuti a presentare la dichiarazione dei redditi entro il 30 novembre 2022, possono trasmettere all'Agenzia delle Entrate la comunicazione per l'esercizio delle opzioni di sconto sul corrispettivo o cessione del credito, anche successivamente al termine di cui al comma 1 ma comunque entro il 15 ottobre 2022.</w:t>
      </w:r>
      <w:r w:rsidR="00713BDD">
        <w:rPr>
          <w:rStyle w:val="Rimandonotaapidipagina"/>
          <w:rFonts w:asciiTheme="minorHAnsi" w:eastAsia="Times New Roman" w:hAnsiTheme="minorHAnsi" w:cstheme="minorHAnsi"/>
          <w:b/>
          <w:bCs/>
          <w:color w:val="000000" w:themeColor="text1"/>
          <w:sz w:val="24"/>
          <w:szCs w:val="24"/>
        </w:rPr>
        <w:footnoteReference w:id="71"/>
      </w:r>
    </w:p>
    <w:p w14:paraId="6177CDE3" w14:textId="77777777" w:rsidR="006A6D39" w:rsidRPr="001C5FAC" w:rsidRDefault="006A6D39" w:rsidP="001C5FAC">
      <w:pPr>
        <w:spacing w:after="0" w:line="240" w:lineRule="auto"/>
        <w:jc w:val="both"/>
        <w:rPr>
          <w:rFonts w:asciiTheme="minorHAnsi" w:hAnsiTheme="minorHAnsi" w:cstheme="minorHAnsi"/>
          <w:color w:val="000000" w:themeColor="text1"/>
          <w:sz w:val="24"/>
          <w:szCs w:val="24"/>
        </w:rPr>
      </w:pPr>
    </w:p>
    <w:p w14:paraId="4E4E5ED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F9A11F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30.</w:t>
      </w:r>
    </w:p>
    <w:p w14:paraId="44B0D83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(Risorse relative all'emergenza COVID-19)</w:t>
      </w:r>
    </w:p>
    <w:p w14:paraId="4F64D1B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9CE116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Per l'anno 2022 è autorizzata la spesa di 200 milioni di euro, per gli interventi di competenza del Commissario straordinario per l'attuazione e il coordinamento delle misure di contenimento e contrasto dell'emergenza epidemiologica COVID-19, di cui all'articolo 122, del decreto-legge 17 marzo 2020, n. 18, </w:t>
      </w:r>
      <w:r w:rsidRPr="001C5FAC">
        <w:rPr>
          <w:rFonts w:asciiTheme="minorHAnsi" w:hAnsiTheme="minorHAnsi" w:cstheme="minorHAnsi"/>
          <w:color w:val="000000" w:themeColor="text1"/>
          <w:sz w:val="24"/>
          <w:szCs w:val="24"/>
        </w:rPr>
        <w:lastRenderedPageBreak/>
        <w:t>convertito, con modificazioni, dalla legge 24 aprile 2020, n. 27, da trasferire sull'apposita contabilità speciale allo stesso intestata, per l'acquisto di farmaci antivirali contro il SARS-CoV-2.</w:t>
      </w:r>
    </w:p>
    <w:p w14:paraId="217D7D0C"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63301C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derivanti dal comma 1, pari a 200 milioni di euro per l'anno 2022, si provvede ai sensi dell'articolo 42.</w:t>
      </w:r>
    </w:p>
    <w:p w14:paraId="4DD86059"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00F5187E" w14:textId="2B4AC7B2"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Per le finalità di cui all'articolo 183, comma 2, secondo periodo, del decreto-legge 19 maggio 2020, n. 34, convertito, con modificazioni, dalla legge 17 luglio 2020, n. 77, sono conservati, come residui di stanziamento, nello stato di previsione della spesa del Ministero della cultura, 25 milioni di euro per l'anno 2022. Alla compensazione del relativo onere in termini di fabbisogno e indebitamento netto si provvede ai sensi dell'articolo 42.</w:t>
      </w:r>
    </w:p>
    <w:p w14:paraId="6EDBB70D" w14:textId="7E0A612F" w:rsidR="00713BDD" w:rsidRDefault="00713BDD" w:rsidP="001C5FAC">
      <w:pPr>
        <w:spacing w:after="0" w:line="240" w:lineRule="auto"/>
        <w:jc w:val="both"/>
        <w:rPr>
          <w:rFonts w:asciiTheme="minorHAnsi" w:hAnsiTheme="minorHAnsi" w:cstheme="minorHAnsi"/>
          <w:color w:val="000000" w:themeColor="text1"/>
          <w:sz w:val="24"/>
          <w:szCs w:val="24"/>
        </w:rPr>
      </w:pPr>
    </w:p>
    <w:p w14:paraId="6940637D" w14:textId="77777777" w:rsidR="00713BDD" w:rsidRPr="000C0983" w:rsidRDefault="00713BDD" w:rsidP="00713BDD">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All'articolo 3 del decreto-legge 10 novembre 2020, n. 150, convertito, con modificazioni, dalla legge 30 dicembre 2020, n. 181, dopo il comma 3, sono aggiunti i seguenti:</w:t>
      </w:r>
    </w:p>
    <w:p w14:paraId="66359098" w14:textId="77777777" w:rsidR="00713BDD" w:rsidRDefault="00713BDD" w:rsidP="00713BDD">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«3-</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Il Commissario ad </w:t>
      </w:r>
      <w:r w:rsidRPr="000C0983">
        <w:rPr>
          <w:rFonts w:asciiTheme="minorHAnsi" w:eastAsia="Times New Roman" w:hAnsiTheme="minorHAnsi" w:cstheme="minorHAnsi"/>
          <w:b/>
          <w:bCs/>
          <w:i/>
          <w:iCs/>
          <w:color w:val="000000" w:themeColor="text1"/>
          <w:sz w:val="24"/>
          <w:szCs w:val="24"/>
        </w:rPr>
        <w:t>acta</w:t>
      </w:r>
      <w:r w:rsidRPr="000C0983">
        <w:rPr>
          <w:rFonts w:asciiTheme="minorHAnsi" w:eastAsia="Times New Roman" w:hAnsiTheme="minorHAnsi" w:cstheme="minorHAnsi"/>
          <w:b/>
          <w:bCs/>
          <w:color w:val="000000" w:themeColor="text1"/>
          <w:sz w:val="24"/>
          <w:szCs w:val="24"/>
        </w:rPr>
        <w:t>, per l'attuazione degli adempimenti di cui al comma 3, può avvalersi delle Aziende del Servizio sanitario della regione Calabria, in qualità di soggetti attuatori, nonché del supporto di strutture regionali e di personale in servizio presso le medesime, con oneri a carico delle amministrazioni o enti di appartenenza, posto in posizione di utilizzo a tempo pieno o parziale.</w:t>
      </w:r>
    </w:p>
    <w:p w14:paraId="2FF8FD6C" w14:textId="798E2B93" w:rsidR="00713BDD" w:rsidRDefault="00713BDD" w:rsidP="00713BDD">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br/>
        <w:t>3-</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Nei limiti dell'utilizzo delle risorse trasferite per la realizzazione dei progetti di cui al comma 3, è autorizzata l'apertura di apposita contabilità speciale intestata al Commissario </w:t>
      </w:r>
      <w:r w:rsidRPr="000C0983">
        <w:rPr>
          <w:rFonts w:asciiTheme="minorHAnsi" w:eastAsia="Times New Roman" w:hAnsiTheme="minorHAnsi" w:cstheme="minorHAnsi"/>
          <w:b/>
          <w:bCs/>
          <w:i/>
          <w:iCs/>
          <w:color w:val="000000" w:themeColor="text1"/>
          <w:sz w:val="24"/>
          <w:szCs w:val="24"/>
        </w:rPr>
        <w:t>ad acta</w:t>
      </w:r>
      <w:r w:rsidRPr="000C0983">
        <w:rPr>
          <w:rFonts w:asciiTheme="minorHAnsi" w:eastAsia="Times New Roman" w:hAnsiTheme="minorHAnsi" w:cstheme="minorHAnsi"/>
          <w:b/>
          <w:bCs/>
          <w:color w:val="000000" w:themeColor="text1"/>
          <w:sz w:val="24"/>
          <w:szCs w:val="24"/>
        </w:rPr>
        <w:t>. Gli attuali soggetti attuatori, su richiesta del Commissario</w:t>
      </w:r>
      <w:r w:rsidRPr="000C0983">
        <w:rPr>
          <w:rFonts w:asciiTheme="minorHAnsi" w:eastAsia="Times New Roman" w:hAnsiTheme="minorHAnsi" w:cstheme="minorHAnsi"/>
          <w:b/>
          <w:bCs/>
          <w:i/>
          <w:iCs/>
          <w:color w:val="000000" w:themeColor="text1"/>
          <w:sz w:val="24"/>
          <w:szCs w:val="24"/>
        </w:rPr>
        <w:t> ad acta</w:t>
      </w:r>
      <w:r w:rsidRPr="000C0983">
        <w:rPr>
          <w:rFonts w:asciiTheme="minorHAnsi" w:eastAsia="Times New Roman" w:hAnsiTheme="minorHAnsi" w:cstheme="minorHAnsi"/>
          <w:b/>
          <w:bCs/>
          <w:color w:val="000000" w:themeColor="text1"/>
          <w:sz w:val="24"/>
          <w:szCs w:val="24"/>
        </w:rPr>
        <w:t xml:space="preserve">, sono autorizzati a trasferire sulla </w:t>
      </w:r>
      <w:proofErr w:type="gramStart"/>
      <w:r w:rsidRPr="000C0983">
        <w:rPr>
          <w:rFonts w:asciiTheme="minorHAnsi" w:eastAsia="Times New Roman" w:hAnsiTheme="minorHAnsi" w:cstheme="minorHAnsi"/>
          <w:b/>
          <w:bCs/>
          <w:color w:val="000000" w:themeColor="text1"/>
          <w:sz w:val="24"/>
          <w:szCs w:val="24"/>
        </w:rPr>
        <w:t>predetta</w:t>
      </w:r>
      <w:proofErr w:type="gramEnd"/>
      <w:r w:rsidRPr="000C0983">
        <w:rPr>
          <w:rFonts w:asciiTheme="minorHAnsi" w:eastAsia="Times New Roman" w:hAnsiTheme="minorHAnsi" w:cstheme="minorHAnsi"/>
          <w:b/>
          <w:bCs/>
          <w:color w:val="000000" w:themeColor="text1"/>
          <w:sz w:val="24"/>
          <w:szCs w:val="24"/>
        </w:rPr>
        <w:t xml:space="preserve"> contabilità speciale, le residue risorse finanziarie disponibili per l'attuazione degli interventi inseriti nel piano.».</w:t>
      </w:r>
      <w:r>
        <w:rPr>
          <w:rStyle w:val="Rimandonotaapidipagina"/>
          <w:rFonts w:asciiTheme="minorHAnsi" w:eastAsia="Times New Roman" w:hAnsiTheme="minorHAnsi" w:cstheme="minorHAnsi"/>
          <w:b/>
          <w:bCs/>
          <w:color w:val="000000" w:themeColor="text1"/>
          <w:sz w:val="24"/>
          <w:szCs w:val="24"/>
        </w:rPr>
        <w:footnoteReference w:id="72"/>
      </w:r>
    </w:p>
    <w:p w14:paraId="6F3F44D4" w14:textId="6BF03780" w:rsidR="00713BDD" w:rsidRPr="001C5FAC" w:rsidRDefault="00713BDD" w:rsidP="00713BDD">
      <w:pPr>
        <w:shd w:val="clear" w:color="auto" w:fill="FFFFFF"/>
        <w:spacing w:after="0" w:line="240" w:lineRule="auto"/>
        <w:jc w:val="both"/>
        <w:rPr>
          <w:rFonts w:asciiTheme="minorHAnsi" w:hAnsiTheme="minorHAnsi" w:cstheme="minorHAnsi"/>
          <w:color w:val="000000" w:themeColor="text1"/>
          <w:sz w:val="24"/>
          <w:szCs w:val="24"/>
        </w:rPr>
      </w:pPr>
    </w:p>
    <w:p w14:paraId="55B94B4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08AA54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31.</w:t>
      </w:r>
    </w:p>
    <w:p w14:paraId="21F3BE6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(Iniziativa di solidarietà in favore dei famigliari degli esercenti le professioni sanitarie, degli esercenti la professione di assistente sociale e operatori </w:t>
      </w:r>
      <w:proofErr w:type="gramStart"/>
      <w:r w:rsidRPr="001C5FAC">
        <w:rPr>
          <w:rFonts w:asciiTheme="minorHAnsi" w:hAnsiTheme="minorHAnsi" w:cstheme="minorHAnsi"/>
          <w:color w:val="000000" w:themeColor="text1"/>
          <w:sz w:val="24"/>
          <w:szCs w:val="24"/>
        </w:rPr>
        <w:t>socio-sanitari</w:t>
      </w:r>
      <w:proofErr w:type="gramEnd"/>
      <w:r w:rsidRPr="001C5FAC">
        <w:rPr>
          <w:rFonts w:asciiTheme="minorHAnsi" w:hAnsiTheme="minorHAnsi" w:cstheme="minorHAnsi"/>
          <w:color w:val="000000" w:themeColor="text1"/>
          <w:sz w:val="24"/>
          <w:szCs w:val="24"/>
        </w:rPr>
        <w:t>)</w:t>
      </w:r>
    </w:p>
    <w:p w14:paraId="1EDD64C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E7089A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22-bis del decreto-legge 17 marzo 2020, n. 18, convertito, con modificazioni, dalla legge 24 aprile 2020, n. 27, sono apportate le seguenti modificazioni:</w:t>
      </w:r>
    </w:p>
    <w:p w14:paraId="2E5C9CB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dopo il comma 1 è inserito il seguente:</w:t>
      </w:r>
    </w:p>
    <w:p w14:paraId="31F4C6F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   «1-bis. Il Fondo di cui al comma 1 è incrementato di 15 milioni di euro per l'anno 2022, per essere destinato alla corresponsione di speciali elargizioni a favore dei coniugi e dei figli o, in mancanza, dei genitori dei soggetti di cui al comma 1. La dotazione del fondo di cui al comma 1 può essere incrementata da parte di soggetti o Enti privati.»;</w:t>
      </w:r>
    </w:p>
    <w:p w14:paraId="1680B05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   b) al comma 2, dopo le parole «Consiglio dei ministri» sono inserite le seguenti: «o dell'Autorità politica delegata alla famiglia, di concerto con il Ministro della salute»;</w:t>
      </w:r>
    </w:p>
    <w:p w14:paraId="61F9DA9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dopo il comma 2 è inserito il seguente:</w:t>
      </w:r>
    </w:p>
    <w:p w14:paraId="4942A1C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   «2-bis. Per le finalità di cui al presente articolo, la Presidenza del Consiglio dei ministri può avvalersi di società in house mediante stipula di apposita convenzione. Gli oneri derivanti dalla </w:t>
      </w:r>
      <w:proofErr w:type="gramStart"/>
      <w:r w:rsidRPr="001C5FAC">
        <w:rPr>
          <w:rFonts w:asciiTheme="minorHAnsi" w:hAnsiTheme="minorHAnsi" w:cstheme="minorHAnsi"/>
          <w:color w:val="000000" w:themeColor="text1"/>
          <w:sz w:val="24"/>
          <w:szCs w:val="24"/>
        </w:rPr>
        <w:t>predetta</w:t>
      </w:r>
      <w:proofErr w:type="gramEnd"/>
      <w:r w:rsidRPr="001C5FAC">
        <w:rPr>
          <w:rFonts w:asciiTheme="minorHAnsi" w:hAnsiTheme="minorHAnsi" w:cstheme="minorHAnsi"/>
          <w:color w:val="000000" w:themeColor="text1"/>
          <w:sz w:val="24"/>
          <w:szCs w:val="24"/>
        </w:rPr>
        <w:t xml:space="preserve"> convenzione sono posti a carico delle risorse assegnate al Fondo di cui al comma 1, nel limite massimo del due per cento delle risorse stesse.».</w:t>
      </w:r>
    </w:p>
    <w:p w14:paraId="1C4606F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587301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pari a 15 milioni di euro per l'anno 2022, si provvede ai sensi dell'articolo 42.</w:t>
      </w:r>
    </w:p>
    <w:p w14:paraId="6E4CB8D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05B41A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32.</w:t>
      </w:r>
    </w:p>
    <w:p w14:paraId="17F29D21"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urgenti volte all'implementazione della capacità di accoglienza delle residenze per l'esecuzione delle misure di sicurezza)</w:t>
      </w:r>
    </w:p>
    <w:p w14:paraId="5182BF5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FF29FCE" w14:textId="210253A6"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Allo scopo di prorogare il pieno funzionamento della residenza per l'esecuzione delle misure di sicurezza (REMS) provvisoria di Genova-Prà e contestualmente consentire l'avvio della REMS </w:t>
      </w:r>
      <w:r w:rsidRPr="00713BDD">
        <w:rPr>
          <w:rFonts w:asciiTheme="minorHAnsi" w:hAnsiTheme="minorHAnsi" w:cstheme="minorHAnsi"/>
          <w:strike/>
          <w:color w:val="000000" w:themeColor="text1"/>
          <w:sz w:val="24"/>
          <w:szCs w:val="24"/>
          <w:highlight w:val="yellow"/>
        </w:rPr>
        <w:t>sperimentale</w:t>
      </w:r>
      <w:r w:rsidRPr="001C5FAC">
        <w:rPr>
          <w:rFonts w:asciiTheme="minorHAnsi" w:hAnsiTheme="minorHAnsi" w:cstheme="minorHAnsi"/>
          <w:color w:val="000000" w:themeColor="text1"/>
          <w:sz w:val="24"/>
          <w:szCs w:val="24"/>
        </w:rPr>
        <w:t xml:space="preserve"> </w:t>
      </w:r>
      <w:r w:rsidR="00713BDD">
        <w:rPr>
          <w:rStyle w:val="Rimandonotaapidipagina"/>
          <w:rFonts w:asciiTheme="minorHAnsi" w:hAnsiTheme="minorHAnsi" w:cstheme="minorHAnsi"/>
          <w:color w:val="000000" w:themeColor="text1"/>
          <w:sz w:val="24"/>
          <w:szCs w:val="24"/>
        </w:rPr>
        <w:footnoteReference w:id="73"/>
      </w:r>
      <w:r w:rsidR="00713BDD">
        <w:rPr>
          <w:rFonts w:asciiTheme="minorHAnsi" w:hAnsiTheme="minorHAnsi" w:cstheme="minorHAnsi"/>
          <w:color w:val="000000" w:themeColor="text1"/>
          <w:sz w:val="24"/>
          <w:szCs w:val="24"/>
        </w:rPr>
        <w:t xml:space="preserve"> </w:t>
      </w:r>
      <w:r w:rsidRPr="001C5FAC">
        <w:rPr>
          <w:rFonts w:asciiTheme="minorHAnsi" w:hAnsiTheme="minorHAnsi" w:cstheme="minorHAnsi"/>
          <w:color w:val="000000" w:themeColor="text1"/>
          <w:sz w:val="24"/>
          <w:szCs w:val="24"/>
        </w:rPr>
        <w:t>di Calice al Cornoviglio (La Spezia), è autorizzata la spesa di 2,6 milioni di euro annui per ciascuno degli anni 2022, 2023 e 2024. A tal fine è vincolato, in favore della Regione Liguria, il corrispondente importo a valere sulle risorse di cui all'articolo 1, commi 34 e 34-bis, della legge 23 dicembre 1996, n. 662.</w:t>
      </w:r>
    </w:p>
    <w:p w14:paraId="39E974B5"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4C2F198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 decorrere dall'anno 2025, il limite di spesa corrente di cui all'articolo 3-ter, comma 7, del decreto-legge 22 dicembre 2011, n. 211, convertito, con modificazioni, dalla legge 17 febbraio 2012, n. 9, e all'articolo 23-quinques, del decreto-legge 28 ottobre 2020, n. 137, convertito, con modificazioni, dalla legge 18 dicembre 2020, n. 176, può essere incrementato in relazione agli eventuali maggiori fabbisogni emergenti, come individuati annualmente in sede di riparto del finanziamento sanitario corrente standard e in coerenza con la dinamica del medesimo finanziamento. Al maggiore onere si provvede a carico delle risorse di cui all'articolo 1, commi 34 e 34-bis, della legge n. 662 del 1996.</w:t>
      </w:r>
    </w:p>
    <w:p w14:paraId="45F3E8E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3939AB1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33.</w:t>
      </w:r>
    </w:p>
    <w:p w14:paraId="7466A49E"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urgenti in materia di tirocinio formativo presso gli uffici giudiziari e di ufficio per il processo)</w:t>
      </w:r>
    </w:p>
    <w:p w14:paraId="20C631D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E73DDD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All'articolo 73, comma 11-bis del decreto-legge 21 giugno 2013, n. 69, convertito con modificazioni dalla legge 9 agosto 2013, n. 98, dopo il primo periodo è inserito il seguente: «I soggetti assunti dall'amministrazione giudiziaria nell'ambito dei concorsi per il reclutamento a tempo determinato di personale con il profilo di addetto all'ufficio per il processo banditi ai sensi dell'articolo 14 del decreto-legge 9 giugno 2021, n. 80, convertito, con modificazioni, dalla legge 6 agosto 2021, n. 113, qualora al </w:t>
      </w:r>
      <w:r w:rsidRPr="001C5FAC">
        <w:rPr>
          <w:rFonts w:asciiTheme="minorHAnsi" w:hAnsiTheme="minorHAnsi" w:cstheme="minorHAnsi"/>
          <w:color w:val="000000" w:themeColor="text1"/>
          <w:sz w:val="24"/>
          <w:szCs w:val="24"/>
        </w:rPr>
        <w:lastRenderedPageBreak/>
        <w:t>momento dell'assunzione stiano ancora espletando lo stage, possono richiedere che, ai fini del riconoscimento del titolo di cui al primo periodo, oltre al periodo di stage svolto sino all'assunzione, sia computato anche il successivo periodo di lavoro a tempo determinato presso l'amministrazione giudiziaria, sino al raggiungimento dei diciotto mesi di durata complessiva richiesta.».</w:t>
      </w:r>
    </w:p>
    <w:p w14:paraId="6E12C39E" w14:textId="77777777" w:rsidR="001C5FAC" w:rsidRPr="001C5FAC" w:rsidRDefault="001C5FAC" w:rsidP="001C5FAC">
      <w:pPr>
        <w:spacing w:after="0" w:line="240" w:lineRule="auto"/>
        <w:jc w:val="both"/>
        <w:rPr>
          <w:rFonts w:cstheme="minorHAnsi"/>
          <w:color w:val="000000" w:themeColor="text1"/>
          <w:sz w:val="24"/>
          <w:szCs w:val="24"/>
        </w:rPr>
      </w:pPr>
      <w:r w:rsidRPr="001C5FAC">
        <w:rPr>
          <w:rFonts w:asciiTheme="minorHAnsi" w:hAnsiTheme="minorHAnsi" w:cstheme="minorHAnsi"/>
          <w:color w:val="000000" w:themeColor="text1"/>
          <w:sz w:val="24"/>
          <w:szCs w:val="24"/>
        </w:rPr>
        <w:t>  </w:t>
      </w:r>
    </w:p>
    <w:p w14:paraId="60E772E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Al decreto-legge 9 giugno 2021, n. 80, convertito, con modificazioni, dalla legge 6 agosto 2021, n. 113, sono apportate le seguenti modificazioni:</w:t>
      </w:r>
    </w:p>
    <w:p w14:paraId="2A30783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all'articolo 11, dopo il comma 2 è inserito il seguente:</w:t>
      </w:r>
    </w:p>
    <w:p w14:paraId="20809D77" w14:textId="0D187553"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   «2-bis. L'assunzione di cui al presente articolo configura causa di incompatibilità con l'esercizio della professione forense e comporta la sospensione dall'esercizio dell'attività professionale per tutta la durata del rapporto di lavoro con l'amministrazione pubblica. L'avvocato e il praticante avvocato devono dare comunicazione dell'assunzione di cui al primo periodo al consiglio dell'ordine presso il quale risultino iscritti. La mancata comunicazione costituisce causa ostativa alla presa di possesso nell'ufficio per il processo.</w:t>
      </w:r>
      <w:r w:rsidR="00713BDD">
        <w:rPr>
          <w:rFonts w:asciiTheme="minorHAnsi" w:hAnsiTheme="minorHAnsi" w:cstheme="minorHAnsi"/>
          <w:color w:val="000000" w:themeColor="text1"/>
          <w:sz w:val="24"/>
          <w:szCs w:val="24"/>
        </w:rPr>
        <w:t xml:space="preserve"> </w:t>
      </w:r>
      <w:r w:rsidR="00713BDD" w:rsidRPr="000C0983">
        <w:rPr>
          <w:rFonts w:asciiTheme="minorHAnsi" w:eastAsia="Times New Roman" w:hAnsiTheme="minorHAnsi" w:cstheme="minorHAnsi"/>
          <w:b/>
          <w:bCs/>
          <w:color w:val="000000" w:themeColor="text1"/>
          <w:sz w:val="24"/>
          <w:szCs w:val="24"/>
        </w:rPr>
        <w:t>Ai soli fini del conseguimento del certificato di compiuta pratica, il praticante avvocato può ricongiungere il periodo già svolto a titolo di pratica forense a quello di svolgimento della funzione di addetto all'ufficio per il processo, anche nel caso in cui l'ufficio o la sede siano diversi rispetto a quella del consiglio dell'ordine presso il quale risulti iscritto.</w:t>
      </w:r>
      <w:r w:rsidR="00713BDD">
        <w:rPr>
          <w:rStyle w:val="Rimandonotaapidipagina"/>
          <w:rFonts w:asciiTheme="minorHAnsi" w:eastAsia="Times New Roman" w:hAnsiTheme="minorHAnsi" w:cstheme="minorHAnsi"/>
          <w:b/>
          <w:bCs/>
          <w:color w:val="000000" w:themeColor="text1"/>
          <w:sz w:val="24"/>
          <w:szCs w:val="24"/>
        </w:rPr>
        <w:footnoteReference w:id="74"/>
      </w:r>
      <w:r w:rsidRPr="001C5FAC">
        <w:rPr>
          <w:rFonts w:asciiTheme="minorHAnsi" w:hAnsiTheme="minorHAnsi" w:cstheme="minorHAnsi"/>
          <w:color w:val="000000" w:themeColor="text1"/>
          <w:sz w:val="24"/>
          <w:szCs w:val="24"/>
        </w:rPr>
        <w:t>»;</w:t>
      </w:r>
    </w:p>
    <w:p w14:paraId="01259CA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all'articolo 14:</w:t>
      </w:r>
    </w:p>
    <w:p w14:paraId="1AF74B8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    1) al comma 11 il secondo periodo è sostituito dal seguente: «Al fine di garantire il raggiungimento degli obiettivi e il rispetto dei tempi previsti dal Piano nazionale per la ripresa e la resilienza, per i concorsi richiesti dal Ministero della giustizia, qualora una graduatoria distrettuale risulti incapiente rispetto ai posti messi a concorso per un profilo, l'amministrazione giudiziaria può coprire i posti ancora vacanti mediante ulteriore scorrimento delle graduatorie degli idonei non vincitori del medesimo profilo di altri distretti. A tali ulteriori procedure di scorrimento, aventi ad oggetto uno o più distretti che presentano residue scoperture nel profilo, possono partecipare, presentando domanda per uno solo dei distretti oggetto della procedura, i candidati risultati idonei, ma non utilmente collocati, nelle altre graduatorie distrettuali ancora capienti, tenendosi conto per ciascuno di essi della votazione complessiva ivi conseguita. Resta fermo quanto disposto dall'articolo 15.»;</w:t>
      </w:r>
    </w:p>
    <w:p w14:paraId="1C19F90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    2) al comma 12-bis, dopo il secondo periodo è inserito il seguente: «La commissione esaminatrice, anche in deroga al bando di concorso, può ammettere a sostenere la prova scritta, un numero di candidati pari ad un multiplo, non superiore a trenta volte, del numero di posti messi a concorso nel distretto, sulla base delle graduatorie risultanti all'esito della valutazione dei titoli ai sensi dei commi 1, 9 e 10.».</w:t>
      </w:r>
    </w:p>
    <w:p w14:paraId="1D369CF8" w14:textId="2950A3B1" w:rsidR="00713BDD" w:rsidRPr="000C0983" w:rsidRDefault="00713BDD" w:rsidP="00713BDD">
      <w:pPr>
        <w:shd w:val="clear" w:color="auto" w:fill="FFFFFF"/>
        <w:spacing w:after="0" w:line="240" w:lineRule="auto"/>
        <w:jc w:val="both"/>
        <w:rPr>
          <w:rFonts w:asciiTheme="minorHAnsi" w:eastAsia="Times New Roman" w:hAnsiTheme="minorHAnsi" w:cstheme="minorHAnsi"/>
          <w:b/>
          <w:bCs/>
          <w:color w:val="000000" w:themeColor="text1"/>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b/>
          <w:bCs/>
          <w:color w:val="000000" w:themeColor="text1"/>
        </w:rPr>
        <w:t xml:space="preserve"> </w:t>
      </w:r>
    </w:p>
    <w:p w14:paraId="0034267E"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34.</w:t>
      </w:r>
    </w:p>
    <w:p w14:paraId="6BB56C2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(Modifiche urgenti alla normativa nazionale concernente la Procura europea «EPPO»)</w:t>
      </w:r>
    </w:p>
    <w:p w14:paraId="2A02009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9DDCCA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decreto legislativo 2 febbraio 2021, n. 9, sono apportate le seguenti modificazioni:</w:t>
      </w:r>
    </w:p>
    <w:p w14:paraId="3D0182D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all'articolo 5:</w:t>
      </w:r>
    </w:p>
    <w:p w14:paraId="7E05D10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    1) al comma 3, la parola «cinquantanovesimo» è sostituita dalla seguente: «sessantaquattresimo» ed è inserito, in fine, il seguente periodo: «Quando l'accordo di cui all'articolo 13, paragrafo 2, del regolamento prevede la designazione di procuratori europei delegati addetti in via esclusiva alla trattazione dei giudizi innanzi alla Corte di cassazione, la dichiarazione di disponibilità a ricoprire tale incarico può essere presentata unicamente da magistrati che svolgono o che hanno svolto funzioni di legittimità.»;</w:t>
      </w:r>
    </w:p>
    <w:p w14:paraId="40306EE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    2) al comma 4, è inserito, in fine, il seguente periodo: «Nel caso di cui al comma 3, secondo periodo, la dichiarazione di disponibilità si intende presentata in relazione alla Procura generale della Repubblica presso la Corte di cassazione.»;</w:t>
      </w:r>
    </w:p>
    <w:p w14:paraId="1D1B75D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    3) al comma 5, le parole «nell'articolo 10» sono sostituite dalle seguenti: «ai sensi del comma 4 dai magistrati interessati», le parole «delle disposizioni cui all'articolo 13, commi 3, 4 e 5 del decreto legislativo 5 aprile 2006, n. 160 e» sono soppresse e, dopo il primo periodo, è inserito il seguente: «Nel caso di tramutamento di funzioni, l'anzianità di servizio è valutata unitamente alle attitudini specifiche desunte dalle valutazioni di professionalità periodiche. Fuori del caso di cui al comma 3, secondo periodo, si osservano, in relazione a ciascuna delle sedi indicate nell'articolo 10, le disposizioni cui all'articolo 13, commi 3 e 4, del decreto legislativo 5 aprile 2006, n. 160.»;</w:t>
      </w:r>
    </w:p>
    <w:p w14:paraId="4184EF2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    4) al comma 6, dopo le parole «articolo 10», sono inserite le seguenti: «e, nel caso di cui al comma 3, secondo periodo, per la Procura generale della Repubblica presso la Corte di cassazione»;</w:t>
      </w:r>
    </w:p>
    <w:p w14:paraId="23D8A063"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all'articolo 6:</w:t>
      </w:r>
    </w:p>
    <w:p w14:paraId="488DC64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   1) al comma 1, è inserito, in fine, il seguente periodo: «Fermo quanto previsto dall'articolo 5, comma 5, allo stesso modo il Consiglio superiore della magistratura provvede per la destinazione alla Procura generale della Repubblica presso la Corte di cassazione dei magistrati nominati procuratori europei delegati addetti in via esclusiva alla trattazione dei giudizi innanzi alla Corte di cassazione.»;</w:t>
      </w:r>
    </w:p>
    <w:p w14:paraId="01FCD3F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    2) al comma 2, secondo periodo, sono inserite, in fine, le seguenti parole: «e, nel caso di cui all'articolo 5, comma 3, secondo periodo, presso la Procura generale della Repubblica presso la Corte di cassazione»;</w:t>
      </w:r>
    </w:p>
    <w:p w14:paraId="5B5B438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    3) il comma 3 è sostituito dal seguente:</w:t>
      </w:r>
    </w:p>
    <w:p w14:paraId="573970E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   «3. Alla cessazione dell'incarico di procuratore europeo delegato, il magistrato ha diritto ad essere riassegnato, a domanda, alla sede di provenienza, con le precedenti funzioni, anche in soprannumero da riassorbire con le successive vacanze, previo nuovo conferimento delle funzioni giudicanti ove necessario. La riassegnazione alla sede di provenienza non comporta, in alcun caso, il conferimento delle funzioni direttive o semidirettive, ove in precedenza svolte. In mancanza di una domanda di riassegnazione alla sede di provenienza o di trasferimento ad altra sede, il magistrato cessato dall'incarico di procuratore europeo delegato resta assegnato alla procura della Repubblica cui è stato trasferito ai sensi del comma 1 o, nel caso di cui all'articolo 5, comma 3, secondo periodo, alla Procura generale della Repubblica presso la Corte di cassazione, anche in soprannumero da riassorbire con le successive vacanze.»;</w:t>
      </w:r>
    </w:p>
    <w:p w14:paraId="51AC170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all'articolo 7, comma 3, dopo le parole: «aliquote vigenti» sono inserite le seguenti: «, ad esclusione dei casi in cui tale quota risulti già computata nel trattamento economico erogato dalla Procura Europea»;</w:t>
      </w:r>
    </w:p>
    <w:p w14:paraId="51FBE5E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   d) all'articolo 9, comma 1, è inserito, in fine, il seguente periodo: «I magistrati nominati procuratori europei delegati addetti in via esclusiva alla trattazione dei giudizi innanzi alla Corte di cassazione esercitano le sole funzioni di cui all'articolo 76, comma 1, lettera a), e comma 2, del regio decreto 30 gennaio 1941, n. 12.»;</w:t>
      </w:r>
    </w:p>
    <w:p w14:paraId="47AF5C2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   e) all'articolo 10, comma 3, è inserito, in fine, il seguente periodo: «Allo stesso modo provvede il Procuratore generale presso la Corte di cassazione nel caso di nomina di procuratori europei delegati addetti in via esclusiva alla trattazione dei giudizi innanzi alla Corte di cassazione.»;</w:t>
      </w:r>
    </w:p>
    <w:p w14:paraId="2D70305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   f) all'articolo 12, il comma 1 è sostituito dal seguente:</w:t>
      </w:r>
    </w:p>
    <w:p w14:paraId="43FA8AF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  «1. Quando nei confronti del magistrato nominato procuratore europeo delegato occorre avviare a un procedimento che possa comportare, per motivi non connessi alle responsabilità derivanti dal regolamento, la cessazione dal servizio, il trasferimento di ufficio o l'adozione, anche in via cautelare, di provvedimenti disciplinari, prima di dare inizio al procedimento è data comunicazione al procuratore capo europeo.»;</w:t>
      </w:r>
    </w:p>
    <w:p w14:paraId="7DB0E82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   g) all'articolo 13, il comma 2 è sostituito dal seguente:</w:t>
      </w:r>
    </w:p>
    <w:p w14:paraId="06C757F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   «2. All'acquisizione del consenso del procuratore capo europeo provvede, in ogni caso, il procuratore generale presso la Corte di cassazione. A tal fine, prima di trasmettere la richiesta di indagini di cui all'articolo 14, comma 2, del decreto legislativo 23 febbraio 2006, n. 109, il Ministro della giustizia comunica al procuratore generale presso la Corte di cassazione che intende promuovere l'azione disciplinare.».</w:t>
      </w:r>
    </w:p>
    <w:p w14:paraId="28868E4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D0DE53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Alla lettera E. della tabella B, allegata alla legge 5 marzo 1991, n. 71, dopo le parole «di legittimità», sono inserite le seguenti: «nonché magistrati destinati all'esercizio delle funzioni di procuratori europei delegati innanzi alla Corte di cassazione».</w:t>
      </w:r>
    </w:p>
    <w:p w14:paraId="291EF5C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3C88142"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35.</w:t>
      </w:r>
    </w:p>
    <w:p w14:paraId="5E1374E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(Anagrafe dei dipendenti della pubblica amministrazione)</w:t>
      </w:r>
    </w:p>
    <w:p w14:paraId="2B78970A"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C471B4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 decreto legislativo 30 marzo 2001, n. 165, dopo l'articolo 34-bis, è inserito il seguente:</w:t>
      </w:r>
    </w:p>
    <w:p w14:paraId="5EEF0315" w14:textId="3D438010"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   «Articolo 34-ter (Anagrafe dei dipendenti della pubblica amministrazione). – 1. Per il completo raggiungimento dei traguardi e degli obiettivi relativi alla missione M1C1: “Digitalizzazione, innovazione e sicurezza nella PA”, del Piano nazionale di ripresa e resilienza, e per il completamento del fascicolo elettronico del dipendente è avviato, presso il Dipartimento della funzione pubblica della Presidenza del Consiglio dei ministri, il censimento anagrafico permanente dei dipendenti pubblici, avvalendosi della base di dati del personale della pubblica amministrazione del Ministero dell'economia e finanze, strumentale all'erogazione dei servizi di cui all'articolo 11, comma 9, del decreto-legge 6 luglio 2011, n. 98, convertito, con modificazioni, dalla legge 15 luglio 2011, n. 111, ed ampliata in attuazione del Piano Triennale per l'informatica nella pubblica amministrazione 2017-2019, nel rispetto delle norme del regolamento (UE) 2016/679 del Parlamento europeo e del Consiglio, del 27 aprile 2016, e del decreto legislativo 30 giugno 2003, n. 196. Con decreto del Ministro per la pubblica amministrazione e del Ministro dell'economia e delle finanze, di concerto con il Ministro per l'innovazione tecnologica e la </w:t>
      </w:r>
      <w:r w:rsidRPr="001C5FAC">
        <w:rPr>
          <w:rFonts w:asciiTheme="minorHAnsi" w:hAnsiTheme="minorHAnsi" w:cstheme="minorHAnsi"/>
          <w:color w:val="000000" w:themeColor="text1"/>
          <w:sz w:val="24"/>
          <w:szCs w:val="24"/>
        </w:rPr>
        <w:lastRenderedPageBreak/>
        <w:t>transizione digitale, da adottare entro trenta giorni dalla data di entrata in vigore della presente disposizione, previa intesa in Conferenza unificata di cui all'articolo 8 del decreto legislativo 28 agosto 1997, n. 281, sono disciplinate le modalità di funzionamento e di comunicazione dei dati da parte delle amministrazioni pubbliche di cui all'articolo 1, comma 2, e degli enti pubblici economici. Alle attività derivanti dal presente articolo il Dipartimento della funzione pubblica provvede con le risorse umane, strumentali e finanziarie disponibili a legislazione vigente.».</w:t>
      </w:r>
    </w:p>
    <w:p w14:paraId="6194C066" w14:textId="22A5FA0C" w:rsidR="007F6303" w:rsidRDefault="007F6303" w:rsidP="001C5FAC">
      <w:pPr>
        <w:spacing w:after="0" w:line="240" w:lineRule="auto"/>
        <w:jc w:val="both"/>
        <w:rPr>
          <w:rFonts w:asciiTheme="minorHAnsi" w:hAnsiTheme="minorHAnsi" w:cstheme="minorHAnsi"/>
          <w:color w:val="000000" w:themeColor="text1"/>
          <w:sz w:val="24"/>
          <w:szCs w:val="24"/>
        </w:rPr>
      </w:pPr>
    </w:p>
    <w:p w14:paraId="5F6F93E3" w14:textId="77777777" w:rsidR="007F6303" w:rsidRPr="000C0983" w:rsidRDefault="007F6303" w:rsidP="007F6303">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Articolo 35-</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(Comunicazioni relative a bandi e avvisi finanziati con risorse previste dal Piano nazionale di ripresa e resilienza)</w:t>
      </w:r>
    </w:p>
    <w:p w14:paraId="568960BA" w14:textId="77777777" w:rsidR="007F6303" w:rsidRDefault="007F6303" w:rsidP="007F6303">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6F50A3AC" w14:textId="77777777" w:rsidR="007F6303" w:rsidRPr="000C0983" w:rsidRDefault="007F6303" w:rsidP="007F6303">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Le amministrazioni statali sono tenute a pubblicare nel proprio sito </w:t>
      </w:r>
      <w:r w:rsidRPr="000C0983">
        <w:rPr>
          <w:rFonts w:asciiTheme="minorHAnsi" w:eastAsia="Times New Roman" w:hAnsiTheme="minorHAnsi" w:cstheme="minorHAnsi"/>
          <w:b/>
          <w:bCs/>
          <w:i/>
          <w:iCs/>
          <w:color w:val="000000" w:themeColor="text1"/>
          <w:sz w:val="24"/>
          <w:szCs w:val="24"/>
        </w:rPr>
        <w:t>internet</w:t>
      </w:r>
      <w:r w:rsidRPr="000C0983">
        <w:rPr>
          <w:rFonts w:asciiTheme="minorHAnsi" w:eastAsia="Times New Roman" w:hAnsiTheme="minorHAnsi" w:cstheme="minorHAnsi"/>
          <w:b/>
          <w:bCs/>
          <w:color w:val="000000" w:themeColor="text1"/>
          <w:sz w:val="24"/>
          <w:szCs w:val="24"/>
        </w:rPr>
        <w:t> istituzionale, entro tenta giorni dalla data di emanazione di bandi e avvisi destinati agli enti territoriali relativi a infrastrutture e opere pubbliche finanziati con risorse previste dal Piano nazionale di ripresa e resilienza, una comunicazione contenente:</w:t>
      </w:r>
    </w:p>
    <w:p w14:paraId="03A3F11A" w14:textId="77777777" w:rsidR="007F6303" w:rsidRPr="000C0983" w:rsidRDefault="007F6303" w:rsidP="007F6303">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la tipologia di intervento;</w:t>
      </w:r>
    </w:p>
    <w:p w14:paraId="43653069" w14:textId="77777777" w:rsidR="007F6303" w:rsidRPr="000C0983" w:rsidRDefault="007F6303" w:rsidP="007F63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la tempistica;</w:t>
      </w:r>
    </w:p>
    <w:p w14:paraId="1BFF0E4E" w14:textId="77777777" w:rsidR="007F6303" w:rsidRPr="000C0983" w:rsidRDefault="007F6303" w:rsidP="007F63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l'individuazione degli enti destinatari del finanziamento;</w:t>
      </w:r>
    </w:p>
    <w:p w14:paraId="22D477DE" w14:textId="77777777" w:rsidR="007F6303" w:rsidRPr="000C0983" w:rsidRDefault="007F6303" w:rsidP="007F6303">
      <w:pPr>
        <w:shd w:val="clear" w:color="auto" w:fill="FFFFFF"/>
        <w:spacing w:after="0" w:line="240" w:lineRule="auto"/>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d)</w:t>
      </w:r>
      <w:r w:rsidRPr="000C0983">
        <w:rPr>
          <w:rFonts w:asciiTheme="minorHAnsi" w:eastAsia="Times New Roman" w:hAnsiTheme="minorHAnsi" w:cstheme="minorHAnsi"/>
          <w:b/>
          <w:bCs/>
          <w:color w:val="000000" w:themeColor="text1"/>
          <w:sz w:val="24"/>
          <w:szCs w:val="24"/>
        </w:rPr>
        <w:t> il livello progettuale richiesto;</w:t>
      </w:r>
    </w:p>
    <w:p w14:paraId="4C073599" w14:textId="0491C8FD" w:rsidR="007F6303" w:rsidRPr="000C0983" w:rsidRDefault="007F6303" w:rsidP="007F6303">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e)</w:t>
      </w:r>
      <w:r w:rsidRPr="000C0983">
        <w:rPr>
          <w:rFonts w:asciiTheme="minorHAnsi" w:eastAsia="Times New Roman" w:hAnsiTheme="minorHAnsi" w:cstheme="minorHAnsi"/>
          <w:b/>
          <w:bCs/>
          <w:color w:val="000000" w:themeColor="text1"/>
          <w:sz w:val="24"/>
          <w:szCs w:val="24"/>
        </w:rPr>
        <w:t> l'importo massimo finanziabile per singolo ente.</w:t>
      </w:r>
      <w:r>
        <w:rPr>
          <w:rStyle w:val="Rimandonotaapidipagina"/>
          <w:rFonts w:asciiTheme="minorHAnsi" w:eastAsia="Times New Roman" w:hAnsiTheme="minorHAnsi" w:cstheme="minorHAnsi"/>
          <w:b/>
          <w:bCs/>
          <w:color w:val="000000" w:themeColor="text1"/>
          <w:sz w:val="24"/>
          <w:szCs w:val="24"/>
        </w:rPr>
        <w:footnoteReference w:id="75"/>
      </w:r>
      <w:r w:rsidRPr="000C0983">
        <w:rPr>
          <w:rFonts w:asciiTheme="minorHAnsi" w:eastAsia="Times New Roman" w:hAnsiTheme="minorHAnsi" w:cstheme="minorHAnsi"/>
          <w:b/>
          <w:bCs/>
          <w:color w:val="000000" w:themeColor="text1"/>
          <w:sz w:val="24"/>
          <w:szCs w:val="24"/>
        </w:rPr>
        <w:br/>
      </w:r>
    </w:p>
    <w:p w14:paraId="1256199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C2185D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36.</w:t>
      </w:r>
    </w:p>
    <w:p w14:paraId="7D18287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(Semplificazioni alla disciplina delle Commissioni tecniche di cui all'articolo 8, commi 1 e 2-bis, del decreto legislativo 3 aprile 2006, n. 152)</w:t>
      </w:r>
    </w:p>
    <w:p w14:paraId="22D6947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D0A4451" w14:textId="50559353"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All'articolo 23, comma 3, del decreto legislativo 3 aprile 2006, n. 152, il secondo periodo è sostituito dal seguente: «Entro il medesimo termine, </w:t>
      </w:r>
      <w:r w:rsidRPr="007F6303">
        <w:rPr>
          <w:rFonts w:asciiTheme="minorHAnsi" w:hAnsiTheme="minorHAnsi" w:cstheme="minorHAnsi"/>
          <w:strike/>
          <w:color w:val="000000" w:themeColor="text1"/>
          <w:sz w:val="24"/>
          <w:szCs w:val="24"/>
          <w:highlight w:val="yellow"/>
        </w:rPr>
        <w:t>la Commissione di cui all'articolo 8, comma 1 ovvero la Commissione di cui all'articolo 8, comma 2-bis,</w:t>
      </w:r>
      <w:r w:rsidRPr="001C5FAC">
        <w:rPr>
          <w:rFonts w:asciiTheme="minorHAnsi" w:hAnsiTheme="minorHAnsi" w:cstheme="minorHAnsi"/>
          <w:color w:val="000000" w:themeColor="text1"/>
          <w:sz w:val="24"/>
          <w:szCs w:val="24"/>
        </w:rPr>
        <w:t xml:space="preserve"> </w:t>
      </w:r>
      <w:r w:rsidR="007F6303">
        <w:rPr>
          <w:rFonts w:asciiTheme="minorHAnsi" w:hAnsiTheme="minorHAnsi" w:cstheme="minorHAnsi"/>
          <w:b/>
          <w:bCs/>
          <w:color w:val="000000" w:themeColor="text1"/>
          <w:sz w:val="24"/>
          <w:szCs w:val="24"/>
        </w:rPr>
        <w:t>l’autorità competente</w:t>
      </w:r>
      <w:r w:rsidR="007F6303">
        <w:rPr>
          <w:rStyle w:val="Rimandonotaapidipagina"/>
          <w:rFonts w:asciiTheme="minorHAnsi" w:hAnsiTheme="minorHAnsi" w:cstheme="minorHAnsi"/>
          <w:b/>
          <w:bCs/>
          <w:color w:val="000000" w:themeColor="text1"/>
          <w:sz w:val="24"/>
          <w:szCs w:val="24"/>
        </w:rPr>
        <w:footnoteReference w:id="76"/>
      </w:r>
      <w:r w:rsidR="007F6303">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avvia la propria attività istruttoria e, qualora la documentazione risulti incompleta, richiede al proponente la documentazione integrativa, assegnando un termine perentorio per la presentazione non superiore a trenta giorni.».</w:t>
      </w:r>
    </w:p>
    <w:p w14:paraId="7E01AE97" w14:textId="4EAA3784" w:rsidR="007F6303" w:rsidRDefault="007F6303" w:rsidP="001C5FAC">
      <w:pPr>
        <w:spacing w:after="0" w:line="240" w:lineRule="auto"/>
        <w:jc w:val="both"/>
        <w:rPr>
          <w:rFonts w:asciiTheme="minorHAnsi" w:hAnsiTheme="minorHAnsi" w:cstheme="minorHAnsi"/>
          <w:color w:val="000000" w:themeColor="text1"/>
          <w:sz w:val="24"/>
          <w:szCs w:val="24"/>
        </w:rPr>
      </w:pPr>
    </w:p>
    <w:p w14:paraId="43547EA1" w14:textId="77777777" w:rsidR="007F6303" w:rsidRDefault="007F6303" w:rsidP="007F6303">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All'articolo 8 del decreto legislativo 3 aprile 2006, n. 152, sono apportate le seguenti modificazioni:</w:t>
      </w:r>
    </w:p>
    <w:p w14:paraId="1B8AB158" w14:textId="77777777" w:rsidR="007F6303" w:rsidRDefault="007F6303" w:rsidP="007F6303">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Pr>
          <w:rFonts w:eastAsia="Times New Roman" w:cstheme="minorHAnsi"/>
          <w:b/>
          <w:bCs/>
          <w:color w:val="000000" w:themeColor="text1"/>
          <w:sz w:val="24"/>
          <w:szCs w:val="24"/>
        </w:rPr>
        <w:t xml:space="preserve">a) </w:t>
      </w:r>
      <w:r w:rsidRPr="000C0983">
        <w:rPr>
          <w:rFonts w:asciiTheme="minorHAnsi" w:eastAsia="Times New Roman" w:hAnsiTheme="minorHAnsi" w:cstheme="minorHAnsi"/>
          <w:b/>
          <w:bCs/>
          <w:color w:val="000000" w:themeColor="text1"/>
          <w:sz w:val="24"/>
          <w:szCs w:val="24"/>
        </w:rPr>
        <w:t xml:space="preserve">al comma 1 è aggiunto, in fine, il seguente periodo: «Con riferimento alle procedure di valutazione ambientale di competenza statale relative ai progetti attuativi del Piano nazionale integrato per l'energia e il clima, individuati nell'allegato I-bis al presente decreto, fra quelli che, ai </w:t>
      </w:r>
      <w:r w:rsidRPr="000C0983">
        <w:rPr>
          <w:rFonts w:asciiTheme="minorHAnsi" w:eastAsia="Times New Roman" w:hAnsiTheme="minorHAnsi" w:cstheme="minorHAnsi"/>
          <w:b/>
          <w:bCs/>
          <w:color w:val="000000" w:themeColor="text1"/>
          <w:sz w:val="24"/>
          <w:szCs w:val="24"/>
        </w:rPr>
        <w:lastRenderedPageBreak/>
        <w:t xml:space="preserve">sensi del periodo precedente, vanno trattati con precedenza, hanno in ogni caso priorità, in ordine decrescente, i progetti dal maggior valore di potenza installata o trasportata prevista. La Commissione può derogare all'ordine di priorità di cui ai due periodi precedenti in caso di deliberazione dello stato di emergenza da parte del </w:t>
      </w:r>
      <w:proofErr w:type="gramStart"/>
      <w:r w:rsidRPr="000C0983">
        <w:rPr>
          <w:rFonts w:asciiTheme="minorHAnsi" w:eastAsia="Times New Roman" w:hAnsiTheme="minorHAnsi" w:cstheme="minorHAnsi"/>
          <w:b/>
          <w:bCs/>
          <w:color w:val="000000" w:themeColor="text1"/>
          <w:sz w:val="24"/>
          <w:szCs w:val="24"/>
        </w:rPr>
        <w:t>Consiglio dei Ministri</w:t>
      </w:r>
      <w:proofErr w:type="gramEnd"/>
      <w:r w:rsidRPr="000C0983">
        <w:rPr>
          <w:rFonts w:asciiTheme="minorHAnsi" w:eastAsia="Times New Roman" w:hAnsiTheme="minorHAnsi" w:cstheme="minorHAnsi"/>
          <w:b/>
          <w:bCs/>
          <w:color w:val="000000" w:themeColor="text1"/>
          <w:sz w:val="24"/>
          <w:szCs w:val="24"/>
        </w:rPr>
        <w:t xml:space="preserve"> ai sensi del decreto legislativo n. 1 del 2018; in tal caso, la Commissione di cui al presente comma ovvero la Commissione di cui al comma 2-bis da precedenza ai progetti connessi alle misure relative allo stato di emergenza.»;</w:t>
      </w:r>
    </w:p>
    <w:p w14:paraId="32C2420E" w14:textId="77777777" w:rsidR="007F6303" w:rsidRDefault="007F6303" w:rsidP="007F6303">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Pr>
          <w:rFonts w:eastAsia="Times New Roman" w:cstheme="minorHAnsi"/>
          <w:b/>
          <w:bCs/>
          <w:color w:val="000000" w:themeColor="text1"/>
          <w:sz w:val="24"/>
          <w:szCs w:val="24"/>
        </w:rPr>
        <w:t xml:space="preserve">b) </w:t>
      </w:r>
      <w:r w:rsidRPr="000C0983">
        <w:rPr>
          <w:rFonts w:asciiTheme="minorHAnsi" w:eastAsia="Times New Roman" w:hAnsiTheme="minorHAnsi" w:cstheme="minorHAnsi"/>
          <w:b/>
          <w:bCs/>
          <w:color w:val="000000" w:themeColor="text1"/>
          <w:sz w:val="24"/>
          <w:szCs w:val="24"/>
        </w:rPr>
        <w:t xml:space="preserve"> al comma 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quarto periodo, dopo le parole: «ad eccezione dei componenti nominati ai sensi del quinto periodo» sono aggiunte le seguenti: «salvo che il tempo pieno non sia previsto nei singoli decreti di cui al periodo successivo», e dopo il quinto periodo è aggiunto il seguente: «Nelle more del perfezionamento del decreto di nomina, il Commissario in esso individuato è autorizzato a partecipare, con diritto di voto, alle riunioni della Commissione Tecnica PNRR-PNIEC.»;</w:t>
      </w:r>
    </w:p>
    <w:p w14:paraId="616CD8B1" w14:textId="77777777" w:rsidR="007F6303" w:rsidRPr="000C0983" w:rsidRDefault="007F6303" w:rsidP="007F6303">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Pr>
          <w:rFonts w:eastAsia="Times New Roman" w:cstheme="minorHAnsi"/>
          <w:b/>
          <w:bCs/>
          <w:color w:val="000000" w:themeColor="text1"/>
          <w:sz w:val="24"/>
          <w:szCs w:val="24"/>
        </w:rPr>
        <w:t>c)</w:t>
      </w:r>
      <w:r w:rsidRPr="000C0983">
        <w:rPr>
          <w:rFonts w:asciiTheme="minorHAnsi" w:eastAsia="Times New Roman" w:hAnsiTheme="minorHAnsi" w:cstheme="minorHAnsi"/>
          <w:b/>
          <w:bCs/>
          <w:color w:val="000000" w:themeColor="text1"/>
          <w:sz w:val="24"/>
          <w:szCs w:val="24"/>
        </w:rPr>
        <w:t xml:space="preserve"> il comma 2-</w:t>
      </w:r>
      <w:r w:rsidRPr="000C0983">
        <w:rPr>
          <w:rFonts w:asciiTheme="minorHAnsi" w:eastAsia="Times New Roman" w:hAnsiTheme="minorHAnsi" w:cstheme="minorHAnsi"/>
          <w:b/>
          <w:bCs/>
          <w:i/>
          <w:iCs/>
          <w:color w:val="000000" w:themeColor="text1"/>
          <w:sz w:val="24"/>
          <w:szCs w:val="24"/>
        </w:rPr>
        <w:t>octies</w:t>
      </w:r>
      <w:r w:rsidRPr="000C0983">
        <w:rPr>
          <w:rFonts w:asciiTheme="minorHAnsi" w:eastAsia="Times New Roman" w:hAnsiTheme="minorHAnsi" w:cstheme="minorHAnsi"/>
          <w:b/>
          <w:bCs/>
          <w:color w:val="000000" w:themeColor="text1"/>
          <w:sz w:val="24"/>
          <w:szCs w:val="24"/>
        </w:rPr>
        <w:t> è sostituito dal seguente:</w:t>
      </w:r>
    </w:p>
    <w:p w14:paraId="27C1F4B0" w14:textId="77777777" w:rsidR="007F6303" w:rsidRPr="000C0983" w:rsidRDefault="007F6303" w:rsidP="007F6303">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w:t>
      </w:r>
      <w:r w:rsidRPr="000C0983">
        <w:rPr>
          <w:rFonts w:asciiTheme="minorHAnsi" w:eastAsia="Times New Roman" w:hAnsiTheme="minorHAnsi" w:cstheme="minorHAnsi"/>
          <w:b/>
          <w:bCs/>
          <w:i/>
          <w:iCs/>
          <w:color w:val="000000" w:themeColor="text1"/>
          <w:sz w:val="24"/>
          <w:szCs w:val="24"/>
        </w:rPr>
        <w:t>octies</w:t>
      </w:r>
      <w:r w:rsidRPr="000C0983">
        <w:rPr>
          <w:rFonts w:asciiTheme="minorHAnsi" w:eastAsia="Times New Roman" w:hAnsiTheme="minorHAnsi" w:cstheme="minorHAnsi"/>
          <w:b/>
          <w:bCs/>
          <w:color w:val="000000" w:themeColor="text1"/>
          <w:sz w:val="24"/>
          <w:szCs w:val="24"/>
        </w:rPr>
        <w:t>. Il Presidente della Commissione tecnica di verifica dell'impatto ambientale VIA e VAS di cui al comma 1 si avvale altresì di una struttura di supporto composta da 4 unità di personale dell'Arma dei carabinieri, appartenenti all'organizzazione per la tutela forestale, ambientale e agroalimentare di cui all'articolo 174-</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 decreto legislativo 15 marzo 2010, n. 66, o comunque con comprovata esperienza nel settore della tutela ambientale o nel coordinamento di unità complesse o nella gestione di fondi. I componenti della struttura di supporto sono individuati dal Comando generale dell'Arma dei carabinieri, di cui all'articolo 170 del decreto legislativo 15 marzo 2010, n. 66, e inviati in posizione di comando, con oneri rientranti nei costi di funzionamento di cui all'articolo 8, comma 5, del decreto legislativo 3 aprile 2006, n. 152. La struttura di supporto cessa al rinnovo della Commissione.».</w:t>
      </w:r>
    </w:p>
    <w:p w14:paraId="56D4DD7A" w14:textId="77777777" w:rsidR="007F6303" w:rsidRDefault="007F6303" w:rsidP="007F6303">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3F416D7C" w14:textId="77777777" w:rsidR="007F6303" w:rsidRDefault="007F6303" w:rsidP="007F6303">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All'articolo 24, comma 4, primo e secondo periodo, del decreto legislativo 3 aprile 2006, n. 152, le parole: «l'autorità competente», ovunque presenti, sono sostituite dalle parole: «la Commissione di cui all'articolo 8, comma 1, ovvero la Commissione di cui all'articolo 8, comma 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p>
    <w:p w14:paraId="4C11F18F" w14:textId="749E9C1C" w:rsidR="007F6303" w:rsidRDefault="007F6303" w:rsidP="007F6303">
      <w:pPr>
        <w:shd w:val="clear" w:color="auto" w:fill="FFFFFF"/>
        <w:spacing w:after="0" w:line="240" w:lineRule="auto"/>
        <w:jc w:val="both"/>
        <w:rPr>
          <w:rFonts w:eastAsia="Times New Roman" w:cstheme="minorHAnsi"/>
          <w:b/>
          <w:bCs/>
          <w:color w:val="000000" w:themeColor="text1"/>
          <w:sz w:val="24"/>
          <w:szCs w:val="24"/>
        </w:rPr>
      </w:pPr>
    </w:p>
    <w:p w14:paraId="676CC7AC" w14:textId="77777777" w:rsidR="007F6303" w:rsidRPr="000C0983" w:rsidRDefault="007F6303" w:rsidP="007F6303">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A decorrere dall'entra in vigore della presente disposizione, il comma 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dell'articolo 4 del decreto legislativo 3 marzo 2011, n. 28, è sostituito dal seguente:</w:t>
      </w:r>
    </w:p>
    <w:p w14:paraId="35F45E9C" w14:textId="48E0C5A7" w:rsidR="007F6303" w:rsidRPr="000C0983" w:rsidRDefault="007F6303" w:rsidP="007F6303">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«6-</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fine dell'accelerazione della transizione energetica, nel caso di progetti di modifica di impianti di produzione di energia da fonti rinnovabili afferenti a integrali ricostruzioni, rifacimenti, riattivazioni e potenziamenti, finalizzati a migliorare il rendimento e le prestazioni ambientali, il proponente può ricorrere prioritariamente alla verifica preliminare ai sensi dell'articolo 6, comma 9, del decreto legislativo 3 aprile 2006, n. 152, nella sussistenza dei presupposti per l'applicazione di quest'ultima norma; ove, all'esito di tale procedura, risultino applicabili le procedure di assoggettabilità a valutazione di impatto ambientale o a valutazione di impatto ambientale, ovvero ove il proponente vi sottoponga direttamente il progetto, queste procedure hanno in ogni caso ad oggetto solo l'esame delle variazioni dell'impatto sull'ambiente indotte dal progetto proposto.».</w:t>
      </w:r>
      <w:r>
        <w:rPr>
          <w:rStyle w:val="Rimandonotaapidipagina"/>
          <w:rFonts w:asciiTheme="minorHAnsi" w:eastAsia="Times New Roman" w:hAnsiTheme="minorHAnsi" w:cstheme="minorHAnsi"/>
          <w:b/>
          <w:bCs/>
          <w:color w:val="000000" w:themeColor="text1"/>
          <w:sz w:val="24"/>
          <w:szCs w:val="24"/>
        </w:rPr>
        <w:footnoteReference w:id="77"/>
      </w:r>
    </w:p>
    <w:p w14:paraId="73209080" w14:textId="77777777" w:rsidR="007F6303" w:rsidRPr="001C5FAC" w:rsidRDefault="007F6303" w:rsidP="001C5FAC">
      <w:pPr>
        <w:spacing w:after="0" w:line="240" w:lineRule="auto"/>
        <w:jc w:val="both"/>
        <w:rPr>
          <w:rFonts w:asciiTheme="minorHAnsi" w:hAnsiTheme="minorHAnsi" w:cstheme="minorHAnsi"/>
          <w:color w:val="000000" w:themeColor="text1"/>
          <w:sz w:val="24"/>
          <w:szCs w:val="24"/>
        </w:rPr>
      </w:pPr>
    </w:p>
    <w:p w14:paraId="2DEB9BE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42C9143C"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37.</w:t>
      </w:r>
    </w:p>
    <w:p w14:paraId="371A0C6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urgenti per la partecipazione italiana</w:t>
      </w:r>
    </w:p>
    <w:p w14:paraId="7D5B882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alle esposizioni universali)</w:t>
      </w:r>
    </w:p>
    <w:p w14:paraId="3B829F0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D1C84C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1, comma 447, della legge 30 dicembre 2021, n. 234, sono apportate le seguenti modificazioni:</w:t>
      </w:r>
    </w:p>
    <w:p w14:paraId="6A1E6B9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le parole da «istituito» a «stanziamento di» sono sostituite dalle seguenti: «autorizzata l'erogazione di un contributo statale a favore di Roma Capitale pari a»;</w:t>
      </w:r>
    </w:p>
    <w:p w14:paraId="2C1304A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sono inseriti, in fine, i seguenti periodi: «Per l'attuazione del presente comma, Roma Capitale e le società in house dalla stessa controllate operano, in qualità di stazioni appaltanti, con i poteri e con le modalità di cui all'articolo 4, commi 2 e 3, del decreto-legge 18 aprile 2019, n. 32, convertito, con modificazioni, dalla legge 14 giugno 2019, n. 55. La Presidenza del Consiglio dei ministri e il Ministero degli affari esteri e della cooperazione internazionale sono autorizzati a partecipare alla costituzione di un comitato promotore per l'indirizzo e il coordinamento delle attività di promozione della candidatura della città di Roma ad ospitare l'Esposizione universale del 2030. Gli oneri derivanti dalla costituzione e dal funzionamento del comitato sono posti in capo a Roma Capitale. Ai componenti del Comitato promotore non spettano compensi, gettoni di presenza, rimborsi spese o altri emolumenti comunque denominati. Nei limiti delle risorse di cui al primo periodo e in deroga ai limiti previsti a legislazione vigente, Roma Capitale e le società in house dalla stessa controllate sono autorizzate a conferire fino a 30 incarichi di consulenza e di collaborazione per l'importo massimo di 100.000 euro lordi annui per singolo incarico e a reclutare un contingente di personale fino a 30 unità con forme contrattuali flessibili, con scadenza non oltre il 31 dicembre 2023.».</w:t>
      </w:r>
    </w:p>
    <w:p w14:paraId="70A76C36" w14:textId="77777777" w:rsidR="001C5FAC" w:rsidRPr="001C5FAC" w:rsidRDefault="001C5FAC" w:rsidP="001C5FAC">
      <w:pPr>
        <w:spacing w:after="0" w:line="240" w:lineRule="auto"/>
        <w:jc w:val="both"/>
        <w:rPr>
          <w:rFonts w:cstheme="minorHAnsi"/>
          <w:color w:val="000000" w:themeColor="text1"/>
          <w:sz w:val="24"/>
          <w:szCs w:val="24"/>
        </w:rPr>
      </w:pPr>
    </w:p>
    <w:p w14:paraId="61EF4E2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All'articolo 1, comma 382, della legge 30 dicembre 2021, n. 234, sono apportate le seguenti modificazioni:</w:t>
      </w:r>
    </w:p>
    <w:p w14:paraId="3494FAD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al primo periodo, le parole «per l'anno 2023» sono sostituite dalle seguenti «annui per ciascuno degli anni 2022 e 2023»;</w:t>
      </w:r>
    </w:p>
    <w:p w14:paraId="5268D6F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al secondo periodo, le parole «e terzo» sono sostituite dalle seguenti: «, terzo e quinto»;</w:t>
      </w:r>
    </w:p>
    <w:p w14:paraId="1B0A892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sono inseriti, in fine, i seguenti periodi: «Al Commissario generale di sezione è attribuito un compenso in misura non superiore al limite di cui all'articolo 13, comma 1, del decreto-legge 24 aprile 2014, n. 66, convertito, con modificazioni, dalla legge 23 giugno 2014, n. 89, come rideterminato ai sensi dell'articolo 1, comma 68, della legge 30 dicembre 2021, n. 234. Ai contratti di fornitura, servizi e lavori da stipulare in attuazione del presente comma si applicano le disposizioni in materia di contratti pubblici applicabili nello svolgimento dei progetti inclusi nel Piano nazionale di ripresa e resilienza.».</w:t>
      </w:r>
    </w:p>
    <w:p w14:paraId="7E3D9B4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C7BC0E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3. Agli oneri derivanti dal comma 2, lettera a), pari a 2 milioni di euro per l'anno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w:t>
      </w:r>
      <w:r w:rsidRPr="001C5FAC">
        <w:rPr>
          <w:rFonts w:asciiTheme="minorHAnsi" w:hAnsiTheme="minorHAnsi" w:cstheme="minorHAnsi"/>
          <w:color w:val="000000" w:themeColor="text1"/>
          <w:sz w:val="24"/>
          <w:szCs w:val="24"/>
        </w:rPr>
        <w:lastRenderedPageBreak/>
        <w:t>l'anno 2022, allo scopo parzialmente utilizzando l'accantonamento relativo al Ministero degli affari esteri e della cooperazione internazionale. Il Ministro dell'economia e delle finanze è autorizzato ad apportare, con propri decreti, le occorrenti variazioni di bilancio. All'attuazione delle disposizioni di cui al comma 2, lettere b) e c) si provvede mediante le risorse finanziarie, strumentali e umane disponibili a legislazione vigente.</w:t>
      </w:r>
    </w:p>
    <w:p w14:paraId="52A40EF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7AE02580"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38.</w:t>
      </w:r>
    </w:p>
    <w:p w14:paraId="040B89A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urgenti per situazioni di crisi internazionale)</w:t>
      </w:r>
    </w:p>
    <w:p w14:paraId="49AD742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E4E193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Le quote restituite dalle competenti organizzazioni internazionali dei contributi per il sostegno alle forze armate e di sicurezza afghane, già erogati alle predette organizzazioni in applicazione dei provvedimenti di autorizzazione delle missioni internazionali adottati fino all'anno 2020, sono versate all'entrata del bilancio dello Stato nell'anno 2022 e riassegnate, nel medesimo anno, allo stato di previsione del Ministero degli affari esteri e della cooperazione internazionale per l'incremento delle dotazioni finanziarie delle rappresentanze diplomatiche e degli uffici consolari di prima categoria nonché per il finanziamento di interventi di aiuto e di assistenza, anche umanitaria, in aree di crisi.</w:t>
      </w:r>
    </w:p>
    <w:p w14:paraId="352A4865" w14:textId="6C17B2AB" w:rsidR="001C5FAC" w:rsidRDefault="001C5FAC" w:rsidP="001C5FAC">
      <w:pPr>
        <w:spacing w:after="0" w:line="240" w:lineRule="auto"/>
        <w:jc w:val="both"/>
        <w:rPr>
          <w:rFonts w:asciiTheme="minorHAnsi" w:hAnsiTheme="minorHAnsi" w:cstheme="minorHAnsi"/>
          <w:color w:val="000000" w:themeColor="text1"/>
          <w:sz w:val="24"/>
          <w:szCs w:val="24"/>
        </w:rPr>
      </w:pPr>
    </w:p>
    <w:p w14:paraId="5E452B24" w14:textId="27D4A01F" w:rsidR="00DF6D11" w:rsidRPr="000C0983" w:rsidRDefault="00DF6D11" w:rsidP="00DF6D11">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Fino al 31 dicembre 2022, gli atti per la registrazione dei contratti di comodato d'uso gratuito con finalità umanitarie a favore di cittadini di nazionalità Ucraina e di altri soggetti provenienti comunque dall'Ucraina sono esenti dall'imposta di registro di cui all'articolo 5, comma 4, della parte prima della tariffa annessa al testo unico delle disposizioni concernenti l'imposta di registro di cui al decreto del Presidente della Repubblica 26 aprile 1986, n. 131, e dall'imposta di bollo di cui al decreto del Presidente della Repubblica 26 ottobre 1972, n. 642.</w:t>
      </w:r>
      <w:r>
        <w:rPr>
          <w:rStyle w:val="Rimandonotaapidipagina"/>
          <w:rFonts w:asciiTheme="minorHAnsi" w:eastAsia="Times New Roman" w:hAnsiTheme="minorHAnsi" w:cstheme="minorHAnsi"/>
          <w:b/>
          <w:bCs/>
          <w:color w:val="000000" w:themeColor="text1"/>
          <w:sz w:val="24"/>
          <w:szCs w:val="24"/>
        </w:rPr>
        <w:footnoteReference w:id="78"/>
      </w:r>
      <w:r w:rsidRPr="000C0983">
        <w:rPr>
          <w:rFonts w:asciiTheme="minorHAnsi" w:eastAsia="Times New Roman" w:hAnsiTheme="minorHAnsi" w:cstheme="minorHAnsi"/>
          <w:color w:val="000000" w:themeColor="text1"/>
          <w:sz w:val="24"/>
          <w:szCs w:val="24"/>
        </w:rPr>
        <w:br/>
      </w:r>
    </w:p>
    <w:p w14:paraId="642E4620" w14:textId="77777777" w:rsidR="00DF6D11" w:rsidRPr="001C5FAC" w:rsidRDefault="00DF6D11" w:rsidP="001C5FAC">
      <w:pPr>
        <w:spacing w:after="0" w:line="240" w:lineRule="auto"/>
        <w:jc w:val="both"/>
        <w:rPr>
          <w:rFonts w:asciiTheme="minorHAnsi" w:hAnsiTheme="minorHAnsi" w:cstheme="minorHAnsi"/>
          <w:color w:val="000000" w:themeColor="text1"/>
          <w:sz w:val="24"/>
          <w:szCs w:val="24"/>
        </w:rPr>
      </w:pPr>
    </w:p>
    <w:p w14:paraId="3228165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39.</w:t>
      </w:r>
    </w:p>
    <w:p w14:paraId="46EEFF85"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(Misure urgenti per il potenziamento del fondo di venture capital)</w:t>
      </w:r>
    </w:p>
    <w:p w14:paraId="59CD765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3A40FBE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La dotazione del fondo rotativo per operazioni di venture capital di cui all'articolo 1, comma 932, della legge 27 dicembre 2006, n. 296, è incrementata di 200 milioni di euro per l'anno 2022. Ai relativi oneri si provvede mediante corrispondente riduzione dell'autorizzazione di spesa di cui all'articolo 1, comma 49, lettera a), della legge 30 dicembre 2021, n. 234.</w:t>
      </w:r>
    </w:p>
    <w:p w14:paraId="6A0DD8FD" w14:textId="703318F5" w:rsidR="001C5FAC" w:rsidRDefault="001C5FAC" w:rsidP="001C5FAC">
      <w:pPr>
        <w:spacing w:after="0" w:line="240" w:lineRule="auto"/>
        <w:jc w:val="both"/>
        <w:rPr>
          <w:rFonts w:asciiTheme="minorHAnsi" w:hAnsiTheme="minorHAnsi" w:cstheme="minorHAnsi"/>
          <w:color w:val="000000" w:themeColor="text1"/>
          <w:sz w:val="24"/>
          <w:szCs w:val="24"/>
        </w:rPr>
      </w:pPr>
    </w:p>
    <w:p w14:paraId="15272162" w14:textId="44F11ADF" w:rsidR="00DF6D11" w:rsidRPr="000C0983" w:rsidRDefault="00DF6D11" w:rsidP="00DF6D11">
      <w:pPr>
        <w:shd w:val="clear" w:color="auto" w:fill="FFFFFF"/>
        <w:spacing w:after="0" w:line="240" w:lineRule="auto"/>
        <w:jc w:val="both"/>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 fine di garantire la piena operatività dei fondi per il </w:t>
      </w:r>
      <w:r w:rsidRPr="000C0983">
        <w:rPr>
          <w:rFonts w:asciiTheme="minorHAnsi" w:eastAsia="Times New Roman" w:hAnsiTheme="minorHAnsi" w:cstheme="minorHAnsi"/>
          <w:b/>
          <w:bCs/>
          <w:i/>
          <w:iCs/>
          <w:color w:val="000000" w:themeColor="text1"/>
          <w:sz w:val="24"/>
          <w:szCs w:val="24"/>
        </w:rPr>
        <w:t>venture capital</w:t>
      </w:r>
      <w:r w:rsidRPr="000C0983">
        <w:rPr>
          <w:rFonts w:asciiTheme="minorHAnsi" w:eastAsia="Times New Roman" w:hAnsiTheme="minorHAnsi" w:cstheme="minorHAnsi"/>
          <w:b/>
          <w:bCs/>
          <w:color w:val="000000" w:themeColor="text1"/>
          <w:sz w:val="24"/>
          <w:szCs w:val="24"/>
        </w:rPr>
        <w:t> sottoscritti dal Ministero dello sviluppo economico, al comma 7-</w:t>
      </w:r>
      <w:r w:rsidRPr="000C0983">
        <w:rPr>
          <w:rFonts w:asciiTheme="minorHAnsi" w:eastAsia="Times New Roman" w:hAnsiTheme="minorHAnsi" w:cstheme="minorHAnsi"/>
          <w:b/>
          <w:bCs/>
          <w:i/>
          <w:iCs/>
          <w:color w:val="000000" w:themeColor="text1"/>
          <w:sz w:val="24"/>
          <w:szCs w:val="24"/>
        </w:rPr>
        <w:t>sexies</w:t>
      </w:r>
      <w:r w:rsidRPr="000C0983">
        <w:rPr>
          <w:rFonts w:asciiTheme="minorHAnsi" w:eastAsia="Times New Roman" w:hAnsiTheme="minorHAnsi" w:cstheme="minorHAnsi"/>
          <w:b/>
          <w:bCs/>
          <w:color w:val="000000" w:themeColor="text1"/>
          <w:sz w:val="24"/>
          <w:szCs w:val="24"/>
        </w:rPr>
        <w:t xml:space="preserve"> dell'articolo 10 del decreto-legge 10 settembre 2021, n. 121, convertito, con modificazioni, dalla legge 9 novembre 2021, n. 156, sono aggiunti, in fine, i seguenti periodi: «Per la gestione degli interventi di cui al presente comma è autorizzata l'apertura di un apposito conto corrente presso la Tesoreria centrale dello Stato intestato al Ministero dello sviluppo </w:t>
      </w:r>
      <w:r w:rsidRPr="000C0983">
        <w:rPr>
          <w:rFonts w:asciiTheme="minorHAnsi" w:eastAsia="Times New Roman" w:hAnsiTheme="minorHAnsi" w:cstheme="minorHAnsi"/>
          <w:b/>
          <w:bCs/>
          <w:color w:val="000000" w:themeColor="text1"/>
          <w:sz w:val="24"/>
          <w:szCs w:val="24"/>
        </w:rPr>
        <w:lastRenderedPageBreak/>
        <w:t>economico cui affluiscono le risorse ad esso assegnate e sul quale la società Cassa depositi e prestiti Spa è autorizzata a effettuare operazioni di versamento e di prelevamento per le medesime finalità. Il Ministero dello sviluppo economico stipula con la società Cassa depositi e prestiti Spa un'apposita convenzione per la disciplina delle modalità operative di gestione delle risorse assegnate al citato conto corrente».</w:t>
      </w:r>
      <w:r>
        <w:rPr>
          <w:rStyle w:val="Rimandonotaapidipagina"/>
          <w:rFonts w:asciiTheme="minorHAnsi" w:eastAsia="Times New Roman" w:hAnsiTheme="minorHAnsi" w:cstheme="minorHAnsi"/>
          <w:b/>
          <w:bCs/>
          <w:color w:val="000000" w:themeColor="text1"/>
          <w:sz w:val="24"/>
          <w:szCs w:val="24"/>
        </w:rPr>
        <w:footnoteReference w:id="79"/>
      </w:r>
      <w:r w:rsidRPr="000C0983">
        <w:rPr>
          <w:rFonts w:asciiTheme="minorHAnsi" w:eastAsia="Times New Roman" w:hAnsiTheme="minorHAnsi" w:cstheme="minorHAnsi"/>
          <w:color w:val="000000" w:themeColor="text1"/>
          <w:sz w:val="24"/>
          <w:szCs w:val="24"/>
        </w:rPr>
        <w:br/>
      </w:r>
    </w:p>
    <w:p w14:paraId="7351689C" w14:textId="77777777" w:rsidR="00DF6D11" w:rsidRPr="001C5FAC" w:rsidRDefault="00DF6D11" w:rsidP="001C5FAC">
      <w:pPr>
        <w:spacing w:after="0" w:line="240" w:lineRule="auto"/>
        <w:jc w:val="both"/>
        <w:rPr>
          <w:rFonts w:asciiTheme="minorHAnsi" w:hAnsiTheme="minorHAnsi" w:cstheme="minorHAnsi"/>
          <w:color w:val="000000" w:themeColor="text1"/>
          <w:sz w:val="24"/>
          <w:szCs w:val="24"/>
        </w:rPr>
      </w:pPr>
    </w:p>
    <w:p w14:paraId="304A4198"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40.</w:t>
      </w:r>
    </w:p>
    <w:p w14:paraId="2BC33C56"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(Sorveglianza radiometrica)</w:t>
      </w:r>
    </w:p>
    <w:p w14:paraId="7BEE7A1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6CED62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72 del decreto legislativo 31 luglio 2020, n. 101, sono apportate le seguenti modificazioni:</w:t>
      </w:r>
    </w:p>
    <w:p w14:paraId="47FAF56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il comma 1 è sostituito dal seguente:</w:t>
      </w:r>
    </w:p>
    <w:p w14:paraId="01A4683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   «1. I soggetti che a scopo industriale o commerciale esercitano attività di importazione, raccolta, deposito o che esercitano operazioni di fusione di rottami o altri materiali metallici di risulta, hanno l'obbligo di effettuare, secondo quanto previsto dal comma 3, la sorveglianza radiometrica sui predetti materiali, al fine di rilevare la presenza di livelli anomali di radioattività o di eventuali sorgenti dismesse, per garantire la protezione sanitaria dei lavoratori e della popolazione da eventi che possono comportare esposizioni alle radiazioni ionizzanti ed evitare la contaminazione dell'ambiente. Lo stesso obbligo si applica, secondo quanto previsto dal comma 3, ai soggetti che, in grandi centri di importazione di metallo o presso i principali nodi di transito, esercitano attività a scopo industriale o commerciale di importazione di prodotti semilavorati metallici o di prodotti finiti in metallo. La disposizione non si applica ai soggetti che svolgono attività che comportano esclusivamente il trasporto e non effettuano operazioni doganali.»;</w:t>
      </w:r>
    </w:p>
    <w:p w14:paraId="1B3E3DD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il comma 3 è sostituito dai seguenti:</w:t>
      </w:r>
    </w:p>
    <w:p w14:paraId="3DD6A49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   «3. La sorveglianza radiometrica di cui al presente articolo è effettuata secondo quanto prescritto dall'allegato XIX al presente decreto, che disciplina:</w:t>
      </w:r>
    </w:p>
    <w:p w14:paraId="6E7416A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le modalità esecutive della sorveglianza radiometrica, individuate secondo norme di buona tecnica e i contenuti della relativa attestazione;</w:t>
      </w:r>
    </w:p>
    <w:p w14:paraId="76959081"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   b) con riferimento ai soggetti di cui al comma 1, secondo periodo, l'elenco dei prodotti semilavorati metallici e dei prodotti finiti in metallo oggetto della sorveglianza e le relative modalità, ivi incluse le condizioni per l'applicazione della sorveglianza radiometrica ai prodotti finiti in metallo, nonché l'elenco dei grandi centri di importazione di metallo e dei nodi di transito; per l'aggiornamento degli elenchi di cui alla presente lettera si procede ai sensi del comma 4;</w:t>
      </w:r>
    </w:p>
    <w:p w14:paraId="62D599A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i contenuti della formazione da impartire al personale dipendente per il riconoscimento delle più comuni tipologie di sorgenti radioattive ed al personale addetto alla sorveglianza radiometrica, per l'ottimale svolgimento delle specifiche mansioni;</w:t>
      </w:r>
    </w:p>
    <w:p w14:paraId="3775629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   d) le condizioni di riconoscimento delle certificazioni dei controlli radiometrici rilasciati dai Paesi terzi per i quali esistono equivalenti livelli di protezione, ai fini dell'espletamento delle formalità doganali.</w:t>
      </w:r>
    </w:p>
    <w:p w14:paraId="2D53B4B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   3-bis. Le disposizioni dell'allegato XIX, si applicano, nel rispetto della disciplina europea, decorsi centoventi giorni dalla data di entrata in vigore della presente disposizione, ad eccezione dell'articolo 10 del medesimo allegato che, nelle more, trova applicazione congiuntamente all'articolo 2 del decreto legislativo 1&amp;#176; giugno 2011, n. 100, i cui rinvii alle disposizioni del decreto legislativo 17 marzo 1995, n. 230, s'intendono riferiti alle corrispondenti disposizioni del presente decreto.»;</w:t>
      </w:r>
    </w:p>
    <w:p w14:paraId="7F488800"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il comma 4 è sostituito dal seguente:</w:t>
      </w:r>
    </w:p>
    <w:p w14:paraId="1C9658B2"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   «4. Nel rispetto della disciplina europea, con decreto dei Ministeri della transizione ecologica e dello sviluppo economico, di concerto con i Ministeri degli affari esteri e della cooperazione internazionale, della salute, del lavoro e delle politiche sociali, sentita l'Agenzia delle dogane e dei monopoli e l'ISIN, possono essere apportate modifiche all'allegato XIX con riferimento alle modalità esecutive della sorveglianza radiometrica, in ragione delle mutate condizioni di rischio e diffusione o dell'opportunità di adottare, per le medesime ragioni, forme semplificate delle procedure di controllo, ai contenuti della formazione per la sorveglianza, nonché alle condizioni di riconoscimento delle certificazioni dei controlli radiometrici rilasciati da Paesi terzi ai fini dell'espletamento delle formalità doganali. Le relative modifiche entrano in vigore nel termine ivi previsto. L'aggiornamento dell'elenco dei prodotti semilavorati in metallo e dei prodotti finiti in metallo oggetto della sorveglianza radiometrica può essere effettuato, anche sulla base delle variazioni della nomenclatura combinata, come stabilite dai regolamenti dell'Unione europea per i medesimi prodotti, con decreto dei Ministeri della transizione ecologica e dello sviluppo economico adottato su proposta dell'Agenzia delle dogane e dei monopoli. L'elenco dei grandi centri di importazione di metallo e dei principali nodi di transito è definito sulla base dei dati statistici disponibili per l'ultimo triennio per le operazioni di importazione dei prodotti semilavorati in metallo e dei prodotti finiti in metallo oggetto della sorveglianza radiometrica e viene aggiornato, con scadenza biennale, con determinazione del Direttore generale dell'Agenzia delle dogane e dei monopoli, salva la possibilità di modifica prima di tale scadenza, su impulso delle Autorità competenti o della stessa Agenzia delle dogane e dei monopoli.».</w:t>
      </w:r>
    </w:p>
    <w:p w14:paraId="4ED55F5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AB7225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L'allegato XIX al decreto legislativo n. 101 del 2020 è sostituito dall'allegato A annesso al presente decreto.</w:t>
      </w:r>
    </w:p>
    <w:p w14:paraId="0EAD0AA5"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1F7E27C5"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41.</w:t>
      </w:r>
    </w:p>
    <w:p w14:paraId="45C8838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(Sospensione del pagamento dei mutui concessi agli enti locali</w:t>
      </w:r>
    </w:p>
    <w:p w14:paraId="386A155A"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dei territori colpiti dal sisma 2016)</w:t>
      </w:r>
    </w:p>
    <w:p w14:paraId="58C1F296"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3845CFB"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All'articolo 44, comma 1, del decreto-legge 17 ottobre 2016, n. 189, convertito, con modificazioni, dalla legge 15 dicembre 2016, n. 229, il terzo periodo è sostituito dal seguente: «Relativamente ai mutui di cui al primo periodo del presente comma, il pagamento delle rate in scadenza negli esercizi 2018, 2019, 2020, 2021 e 2022 è altresì differito, senza applicazione di sanzioni e interessi, rispettivamente al primo, al secondo, al terzo, al quarto e al quinto anno immediatamente successivi alla data di scadenza del periodo di ammortamento, sulla base della periodicità di pagamento prevista nei provvedimenti e nei contratti regolanti i mutui stessi.».</w:t>
      </w:r>
    </w:p>
    <w:p w14:paraId="27EFBFA9" w14:textId="77777777" w:rsidR="001C5FAC" w:rsidRPr="001C5FAC" w:rsidRDefault="001C5FAC" w:rsidP="001C5FAC">
      <w:pPr>
        <w:spacing w:after="0" w:line="240" w:lineRule="auto"/>
        <w:jc w:val="both"/>
        <w:rPr>
          <w:rFonts w:cstheme="minorHAnsi"/>
          <w:color w:val="000000" w:themeColor="text1"/>
          <w:sz w:val="24"/>
          <w:szCs w:val="24"/>
        </w:rPr>
      </w:pPr>
    </w:p>
    <w:p w14:paraId="33986BE5" w14:textId="5A99E50D" w:rsid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derivanti dall'applicazione del comma 1, pari a 2,9 milioni di euro per ciascuno degli anni 2022 e 2023, si provvede ai sensi dell'articolo 42.</w:t>
      </w:r>
    </w:p>
    <w:p w14:paraId="5CF50FD8" w14:textId="406DAF6E" w:rsidR="00DF6D11" w:rsidRDefault="00DF6D11" w:rsidP="001C5FAC">
      <w:pPr>
        <w:spacing w:after="0" w:line="240" w:lineRule="auto"/>
        <w:jc w:val="both"/>
        <w:rPr>
          <w:rFonts w:asciiTheme="minorHAnsi" w:hAnsiTheme="minorHAnsi" w:cstheme="minorHAnsi"/>
          <w:color w:val="000000" w:themeColor="text1"/>
          <w:sz w:val="24"/>
          <w:szCs w:val="24"/>
        </w:rPr>
      </w:pPr>
    </w:p>
    <w:p w14:paraId="6F7B20E3" w14:textId="77777777" w:rsidR="00DF6D11" w:rsidRPr="000C0983" w:rsidRDefault="00DF6D11" w:rsidP="00DF6D11">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41-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(Commissari straordinari per la ricostruzione nei territori della regione Molise e dell'area etnea colpiti dagli eventi sismici del 2018)</w:t>
      </w:r>
    </w:p>
    <w:p w14:paraId="61A9874B" w14:textId="77777777" w:rsidR="00DF6D11" w:rsidRDefault="00DF6D11" w:rsidP="00DF6D1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3FB83890" w14:textId="77777777" w:rsidR="00DF6D11" w:rsidRPr="000C0983" w:rsidRDefault="00DF6D11" w:rsidP="00DF6D11">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Dopo il comma 4-</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dell'articolo 18 del decreto-legge 18 aprile 2019, n. 32, convertito, con modificazioni, dalla legge 14 giugno 2019, n. 55, sono aggiunti i seguenti:</w:t>
      </w:r>
    </w:p>
    <w:p w14:paraId="195ED0DE" w14:textId="77777777" w:rsidR="00DF6D11" w:rsidRDefault="00DF6D11" w:rsidP="00DF6D1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4</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In alternativa a quanto previsto al comma 2, nei limiti delle risorse disponibili sulle contabilità speciali di cui all'articolo 8, ciascun Commissario può avvalersi di un'apposita struttura, costituita all'interno dell'amministrazione regionale, composta da personale appartenente alla medesima amministrazione o ad enti strumentali di quest'ultima, nonché della collaborazione delle strutture e degli uffici regionali, provinciali, comunali e delle amministrazioni centrali e periferiche dello Stato.</w:t>
      </w:r>
    </w:p>
    <w:p w14:paraId="657FA558" w14:textId="440ECE3D" w:rsidR="00DF6D11" w:rsidRDefault="00DF6D11" w:rsidP="00DF6D11">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4</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i/>
          <w:iCs/>
          <w:color w:val="000000" w:themeColor="text1"/>
          <w:sz w:val="24"/>
          <w:szCs w:val="24"/>
        </w:rPr>
        <w:t>quater</w:t>
      </w:r>
      <w:r w:rsidRPr="000C0983">
        <w:rPr>
          <w:rFonts w:asciiTheme="minorHAnsi" w:eastAsia="Times New Roman" w:hAnsiTheme="minorHAnsi" w:cstheme="minorHAnsi"/>
          <w:b/>
          <w:bCs/>
          <w:color w:val="000000" w:themeColor="text1"/>
          <w:sz w:val="24"/>
          <w:szCs w:val="24"/>
        </w:rPr>
        <w:t>. Può essere autorizzata la corresponsione, nel limite massimo complessivo di trenta ore mensili </w:t>
      </w:r>
      <w:r w:rsidRPr="000C0983">
        <w:rPr>
          <w:rFonts w:asciiTheme="minorHAnsi" w:eastAsia="Times New Roman" w:hAnsiTheme="minorHAnsi" w:cstheme="minorHAnsi"/>
          <w:b/>
          <w:bCs/>
          <w:i/>
          <w:iCs/>
          <w:color w:val="000000" w:themeColor="text1"/>
          <w:sz w:val="24"/>
          <w:szCs w:val="24"/>
        </w:rPr>
        <w:t>pro capite</w:t>
      </w:r>
      <w:r w:rsidRPr="000C0983">
        <w:rPr>
          <w:rFonts w:asciiTheme="minorHAnsi" w:eastAsia="Times New Roman" w:hAnsiTheme="minorHAnsi" w:cstheme="minorHAnsi"/>
          <w:b/>
          <w:bCs/>
          <w:color w:val="000000" w:themeColor="text1"/>
          <w:sz w:val="24"/>
          <w:szCs w:val="24"/>
        </w:rPr>
        <w:t>, di compensi al personale non dirigenziale della struttura di cui al comma 4-</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nel numero massimo di quattro unità, per prestazioni di lavoro straordinario effettivamente rese, in deroga ai limiti previsti dalla normativa vigente. Ai titolari di incarichi dirigenziali e di posizione organizzativa della medesima struttura, anche in deroga alle disposizioni di cui agli articoli 24 e 45 del decreto legislativo 30 marzo 2001, n. 165, è attribuita, nei limiti delle risorse finanziarie disponibili, un'indennità mensile pari al 30 per cento della retribuzione mensile di posizione o di rischio prevista dall'ordinamento dell'amministrazione di appartenenza, commisurata ai giorni di effettivo impiego».</w:t>
      </w:r>
      <w:r>
        <w:rPr>
          <w:rStyle w:val="Rimandonotaapidipagina"/>
          <w:rFonts w:asciiTheme="minorHAnsi" w:eastAsia="Times New Roman" w:hAnsiTheme="minorHAnsi" w:cstheme="minorHAnsi"/>
          <w:b/>
          <w:bCs/>
          <w:color w:val="000000" w:themeColor="text1"/>
          <w:sz w:val="24"/>
          <w:szCs w:val="24"/>
        </w:rPr>
        <w:footnoteReference w:id="80"/>
      </w:r>
    </w:p>
    <w:p w14:paraId="796FFE30" w14:textId="148EC456" w:rsidR="001C5FAC" w:rsidRPr="001C5FAC" w:rsidRDefault="00DF6D11" w:rsidP="00DF6D11">
      <w:pPr>
        <w:shd w:val="clear" w:color="auto" w:fill="FFFFFF"/>
        <w:spacing w:after="0" w:line="240" w:lineRule="auto"/>
        <w:jc w:val="both"/>
        <w:rPr>
          <w:rFonts w:asciiTheme="minorHAnsi"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br/>
      </w:r>
    </w:p>
    <w:p w14:paraId="58777B03"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TITOLO V</w:t>
      </w:r>
    </w:p>
    <w:p w14:paraId="7AB6FA6D"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FINALI E FINANZIARIE</w:t>
      </w:r>
    </w:p>
    <w:p w14:paraId="58B22DB8"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p>
    <w:p w14:paraId="4690CB14"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42.</w:t>
      </w:r>
    </w:p>
    <w:p w14:paraId="3BCB92EF"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(Disposizioni finanziarie)</w:t>
      </w:r>
    </w:p>
    <w:p w14:paraId="0BD0BE68"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62255E9E" w14:textId="10942B1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1. La deduzione della quota del 12 per cento dell'ammontare dei componenti negativi prevista, ai fini dell'imposta sul reddito delle società e dell'imposta regionale sulle attività produttive, rispettivamente dai commi 4 e 9 dell'articolo 16 del decreto-legge 27 giugno 2015, n. 83, convertito, con modificazioni, dalla legge 6 agosto 2015, n. 132, per il periodo d'imposta in corso al </w:t>
      </w:r>
      <w:r w:rsidRPr="00DF6D11">
        <w:rPr>
          <w:rFonts w:asciiTheme="minorHAnsi" w:hAnsiTheme="minorHAnsi" w:cstheme="minorHAnsi"/>
          <w:strike/>
          <w:color w:val="000000" w:themeColor="text1"/>
          <w:sz w:val="24"/>
          <w:szCs w:val="24"/>
          <w:highlight w:val="yellow"/>
        </w:rPr>
        <w:t>31 dicembre 2021</w:t>
      </w:r>
      <w:r w:rsidR="00DF6D11">
        <w:rPr>
          <w:rFonts w:asciiTheme="minorHAnsi" w:hAnsiTheme="minorHAnsi" w:cstheme="minorHAnsi"/>
          <w:color w:val="000000" w:themeColor="text1"/>
          <w:sz w:val="24"/>
          <w:szCs w:val="24"/>
        </w:rPr>
        <w:t xml:space="preserve"> </w:t>
      </w:r>
      <w:r w:rsidR="00DF6D11" w:rsidRPr="000C0983">
        <w:rPr>
          <w:rFonts w:asciiTheme="minorHAnsi" w:eastAsia="Times New Roman" w:hAnsiTheme="minorHAnsi" w:cstheme="minorHAnsi"/>
          <w:b/>
          <w:bCs/>
          <w:color w:val="000000" w:themeColor="text1"/>
          <w:sz w:val="24"/>
          <w:szCs w:val="24"/>
        </w:rPr>
        <w:t xml:space="preserve">31 dicembre </w:t>
      </w:r>
      <w:r w:rsidR="00DF6D11" w:rsidRPr="000C0983">
        <w:rPr>
          <w:rFonts w:asciiTheme="minorHAnsi" w:eastAsia="Times New Roman" w:hAnsiTheme="minorHAnsi" w:cstheme="minorHAnsi"/>
          <w:b/>
          <w:bCs/>
          <w:color w:val="000000" w:themeColor="text1"/>
          <w:sz w:val="24"/>
          <w:szCs w:val="24"/>
        </w:rPr>
        <w:lastRenderedPageBreak/>
        <w:t>2022</w:t>
      </w:r>
      <w:r w:rsidR="00DF6D11">
        <w:rPr>
          <w:rFonts w:asciiTheme="minorHAnsi" w:eastAsia="Times New Roman" w:hAnsiTheme="minorHAnsi" w:cstheme="minorHAnsi"/>
          <w:b/>
          <w:bCs/>
          <w:color w:val="000000" w:themeColor="text1"/>
          <w:sz w:val="24"/>
          <w:szCs w:val="24"/>
        </w:rPr>
        <w:t>,</w:t>
      </w:r>
      <w:r w:rsidR="00DF6D11">
        <w:rPr>
          <w:rStyle w:val="Rimandonotaapidipagina"/>
          <w:rFonts w:asciiTheme="minorHAnsi" w:eastAsia="Times New Roman" w:hAnsiTheme="minorHAnsi" w:cstheme="minorHAnsi"/>
          <w:b/>
          <w:bCs/>
          <w:color w:val="000000" w:themeColor="text1"/>
          <w:sz w:val="24"/>
          <w:szCs w:val="24"/>
        </w:rPr>
        <w:footnoteReference w:id="81"/>
      </w:r>
      <w:r w:rsidRPr="001C5FAC">
        <w:rPr>
          <w:rFonts w:asciiTheme="minorHAnsi" w:hAnsiTheme="minorHAnsi" w:cstheme="minorHAnsi"/>
          <w:color w:val="000000" w:themeColor="text1"/>
          <w:sz w:val="24"/>
          <w:szCs w:val="24"/>
        </w:rPr>
        <w:t xml:space="preserve"> è differita, in quote costanti, al periodo d'imposta in corso al </w:t>
      </w:r>
      <w:r w:rsidRPr="00DF6D11">
        <w:rPr>
          <w:rFonts w:asciiTheme="minorHAnsi" w:hAnsiTheme="minorHAnsi" w:cstheme="minorHAnsi"/>
          <w:strike/>
          <w:color w:val="000000" w:themeColor="text1"/>
          <w:sz w:val="24"/>
          <w:szCs w:val="24"/>
          <w:highlight w:val="yellow"/>
        </w:rPr>
        <w:t>31 dicembre 2022</w:t>
      </w:r>
      <w:r w:rsidRPr="001C5FAC">
        <w:rPr>
          <w:rFonts w:asciiTheme="minorHAnsi" w:hAnsiTheme="minorHAnsi" w:cstheme="minorHAnsi"/>
          <w:color w:val="000000" w:themeColor="text1"/>
          <w:sz w:val="24"/>
          <w:szCs w:val="24"/>
        </w:rPr>
        <w:t xml:space="preserve"> </w:t>
      </w:r>
      <w:r w:rsidR="00DF6D11">
        <w:rPr>
          <w:rFonts w:asciiTheme="minorHAnsi" w:hAnsiTheme="minorHAnsi" w:cstheme="minorHAnsi"/>
          <w:b/>
          <w:bCs/>
          <w:color w:val="000000" w:themeColor="text1"/>
          <w:sz w:val="24"/>
          <w:szCs w:val="24"/>
        </w:rPr>
        <w:t>31 dicembre 2023</w:t>
      </w:r>
      <w:r w:rsidR="00DF6D11">
        <w:rPr>
          <w:rStyle w:val="Rimandonotaapidipagina"/>
          <w:rFonts w:asciiTheme="minorHAnsi" w:hAnsiTheme="minorHAnsi" w:cstheme="minorHAnsi"/>
          <w:b/>
          <w:bCs/>
          <w:color w:val="000000" w:themeColor="text1"/>
          <w:sz w:val="24"/>
          <w:szCs w:val="24"/>
        </w:rPr>
        <w:footnoteReference w:id="82"/>
      </w:r>
      <w:r w:rsidR="00DF6D11">
        <w:rPr>
          <w:rFonts w:asciiTheme="minorHAnsi" w:hAnsiTheme="minorHAnsi" w:cstheme="minorHAnsi"/>
          <w:b/>
          <w:bCs/>
          <w:color w:val="000000" w:themeColor="text1"/>
          <w:sz w:val="24"/>
          <w:szCs w:val="24"/>
        </w:rPr>
        <w:t xml:space="preserve"> </w:t>
      </w:r>
      <w:r w:rsidRPr="001C5FAC">
        <w:rPr>
          <w:rFonts w:asciiTheme="minorHAnsi" w:hAnsiTheme="minorHAnsi" w:cstheme="minorHAnsi"/>
          <w:color w:val="000000" w:themeColor="text1"/>
          <w:sz w:val="24"/>
          <w:szCs w:val="24"/>
        </w:rPr>
        <w:t>e ai tre successivi.</w:t>
      </w:r>
    </w:p>
    <w:p w14:paraId="71B6F6A9" w14:textId="77777777" w:rsidR="007E5286" w:rsidRDefault="007E5286" w:rsidP="001C5FAC">
      <w:pPr>
        <w:spacing w:after="0" w:line="240" w:lineRule="auto"/>
        <w:jc w:val="both"/>
        <w:rPr>
          <w:rFonts w:asciiTheme="minorHAnsi" w:hAnsiTheme="minorHAnsi" w:cstheme="minorHAnsi"/>
          <w:color w:val="000000" w:themeColor="text1"/>
          <w:sz w:val="24"/>
          <w:szCs w:val="24"/>
        </w:rPr>
      </w:pPr>
    </w:p>
    <w:p w14:paraId="1321AB3B" w14:textId="77777777" w:rsidR="007E5286" w:rsidRDefault="007E5286" w:rsidP="007E528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 All'articolo 1, comma 1056, della legge 30 dicembre 2018, n. 145, le parole: «31 dicembre 2026» sono sostituite dalle seguenti: «31dicembre 2022 per il 53 per cento del suo ammontare e al 31 dicembre 2026 per la restante parte, pari al 47 per cento».</w:t>
      </w:r>
    </w:p>
    <w:p w14:paraId="0DB2B766" w14:textId="77777777" w:rsidR="007E5286" w:rsidRPr="001A31E0" w:rsidRDefault="007E5286" w:rsidP="007E528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p>
    <w:p w14:paraId="1C328A0A"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w:t>
      </w:r>
      <w:r w:rsidRPr="000C0983">
        <w:rPr>
          <w:rFonts w:asciiTheme="minorHAnsi" w:eastAsia="Times New Roman" w:hAnsiTheme="minorHAnsi" w:cstheme="minorHAnsi"/>
          <w:b/>
          <w:bCs/>
          <w:i/>
          <w:iCs/>
          <w:color w:val="000000" w:themeColor="text1"/>
          <w:sz w:val="24"/>
          <w:szCs w:val="24"/>
        </w:rPr>
        <w:t>ter</w:t>
      </w:r>
      <w:r w:rsidRPr="000C0983">
        <w:rPr>
          <w:rFonts w:asciiTheme="minorHAnsi" w:eastAsia="Times New Roman" w:hAnsiTheme="minorHAnsi" w:cstheme="minorHAnsi"/>
          <w:b/>
          <w:bCs/>
          <w:color w:val="000000" w:themeColor="text1"/>
          <w:sz w:val="24"/>
          <w:szCs w:val="24"/>
        </w:rPr>
        <w:t>. Nella determinazione degli acconti dovuti per il periodo d'imposta in corso:</w:t>
      </w:r>
    </w:p>
    <w:p w14:paraId="59E66E22"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a)</w:t>
      </w:r>
      <w:r w:rsidRPr="000C0983">
        <w:rPr>
          <w:rFonts w:asciiTheme="minorHAnsi" w:eastAsia="Times New Roman" w:hAnsiTheme="minorHAnsi" w:cstheme="minorHAnsi"/>
          <w:b/>
          <w:bCs/>
          <w:color w:val="000000" w:themeColor="text1"/>
          <w:sz w:val="24"/>
          <w:szCs w:val="24"/>
        </w:rPr>
        <w:t> al 31 dicembre 2022:</w:t>
      </w:r>
    </w:p>
    <w:p w14:paraId="781BF9A5"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si assume, quale imposta del periodo precedente, quella che si sarebbe determinata non applicando l'articolo 16, commi 4 e 9, del decreto-legge 27 giugno 2015, n. 83, convertito, con modificazioni, dalla legge 6 agosto 2015, n. 132;</w:t>
      </w:r>
    </w:p>
    <w:p w14:paraId="64453356"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non si tiene conto delle disposizioni di cui al comma 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p>
    <w:p w14:paraId="4DCF68F2"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b)</w:t>
      </w:r>
      <w:r w:rsidRPr="000C0983">
        <w:rPr>
          <w:rFonts w:asciiTheme="minorHAnsi" w:eastAsia="Times New Roman" w:hAnsiTheme="minorHAnsi" w:cstheme="minorHAnsi"/>
          <w:b/>
          <w:bCs/>
          <w:color w:val="000000" w:themeColor="text1"/>
          <w:sz w:val="24"/>
          <w:szCs w:val="24"/>
        </w:rPr>
        <w:t> al 31 dicembre 2023:</w:t>
      </w:r>
    </w:p>
    <w:p w14:paraId="28F9EBAD"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si assume, quale imposta del periodo precedente, quella che si sarebbe determinata non applicando le disposizioni di cui al comma 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p>
    <w:p w14:paraId="16D30492"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non si tiene conto delle disposizioni del comma 1;</w:t>
      </w:r>
    </w:p>
    <w:p w14:paraId="38631BC6"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c)</w:t>
      </w:r>
      <w:r w:rsidRPr="000C0983">
        <w:rPr>
          <w:rFonts w:asciiTheme="minorHAnsi" w:eastAsia="Times New Roman" w:hAnsiTheme="minorHAnsi" w:cstheme="minorHAnsi"/>
          <w:b/>
          <w:bCs/>
          <w:color w:val="000000" w:themeColor="text1"/>
          <w:sz w:val="24"/>
          <w:szCs w:val="24"/>
        </w:rPr>
        <w:t> al 31 dicembre 2024 e per i due successivi:</w:t>
      </w:r>
    </w:p>
    <w:p w14:paraId="4D2D4063"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1) si assume, quale imposta del periodo precedente, quella che si sarebbe determinata non applicando il comma 1;</w:t>
      </w:r>
    </w:p>
    <w:p w14:paraId="5C0BFE6A" w14:textId="77777777" w:rsidR="007E5286" w:rsidRPr="000C0983" w:rsidRDefault="007E5286" w:rsidP="007E5286">
      <w:pPr>
        <w:shd w:val="clear" w:color="auto" w:fill="FFFFFF"/>
        <w:spacing w:after="0" w:line="240" w:lineRule="auto"/>
        <w:jc w:val="both"/>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2) non si tiene conto delle disposizioni del comma 1;</w:t>
      </w:r>
    </w:p>
    <w:p w14:paraId="4EABAE23" w14:textId="15C1CF0C" w:rsidR="001C5FAC" w:rsidRPr="001C5FAC" w:rsidRDefault="007E5286" w:rsidP="007E5286">
      <w:pPr>
        <w:spacing w:after="0" w:line="240" w:lineRule="auto"/>
        <w:jc w:val="both"/>
        <w:rPr>
          <w:rFonts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i/>
          <w:iCs/>
          <w:color w:val="000000" w:themeColor="text1"/>
          <w:sz w:val="24"/>
          <w:szCs w:val="24"/>
        </w:rPr>
        <w:t>d)</w:t>
      </w:r>
      <w:r w:rsidRPr="000C0983">
        <w:rPr>
          <w:rFonts w:asciiTheme="minorHAnsi" w:eastAsia="Times New Roman" w:hAnsiTheme="minorHAnsi" w:cstheme="minorHAnsi"/>
          <w:b/>
          <w:bCs/>
          <w:color w:val="000000" w:themeColor="text1"/>
          <w:sz w:val="24"/>
          <w:szCs w:val="24"/>
        </w:rPr>
        <w:t> al 31 dicembre 2027 si assume, quale imposta del periodo precedente, quella che si sarebbe determinata non applicando le disposizioni di cui ai commi 1 e 1-</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Pr>
          <w:rStyle w:val="Rimandonotaapidipagina"/>
          <w:rFonts w:asciiTheme="minorHAnsi" w:eastAsia="Times New Roman" w:hAnsiTheme="minorHAnsi" w:cstheme="minorHAnsi"/>
          <w:b/>
          <w:bCs/>
          <w:color w:val="000000" w:themeColor="text1"/>
          <w:sz w:val="24"/>
          <w:szCs w:val="24"/>
        </w:rPr>
        <w:footnoteReference w:id="83"/>
      </w:r>
      <w:r w:rsidR="001C5FAC" w:rsidRPr="001C5FAC">
        <w:rPr>
          <w:rFonts w:asciiTheme="minorHAnsi" w:hAnsiTheme="minorHAnsi" w:cstheme="minorHAnsi"/>
          <w:color w:val="000000" w:themeColor="text1"/>
          <w:sz w:val="24"/>
          <w:szCs w:val="24"/>
        </w:rPr>
        <w:t>  </w:t>
      </w:r>
    </w:p>
    <w:p w14:paraId="79E65E6F" w14:textId="77777777" w:rsidR="007E5286" w:rsidRDefault="007E5286" w:rsidP="001C5FAC">
      <w:pPr>
        <w:spacing w:after="0" w:line="240" w:lineRule="auto"/>
        <w:jc w:val="both"/>
        <w:rPr>
          <w:rFonts w:asciiTheme="minorHAnsi" w:hAnsiTheme="minorHAnsi" w:cstheme="minorHAnsi"/>
          <w:color w:val="000000" w:themeColor="text1"/>
          <w:sz w:val="24"/>
          <w:szCs w:val="24"/>
        </w:rPr>
      </w:pPr>
    </w:p>
    <w:p w14:paraId="2B444D48" w14:textId="1F397265"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2. Agli oneri derivanti dagli articoli 1, 2, 3, 4, 5, 6, 7, 22, 23, 25, 26, 27, 29, 30, 31, 41 e dal comma 1 del presente articolo, determinati in 7.769,53 milioni di euro per l'anno 2022, 2.240,6 milioni di euro per l'anno 2023, 2.038,6 milioni di euro per ciascuno degli anni dal 2024 al 2026, 1.778,5 milioni di euro per ciascuno degli anni dal 2027 al 2030, 278,5 milioni di euro per l'anno 2031 e 33 milioni di euro per l'anno 2032, che aumentano, in termini di indebitamento netto e fabbisogno, a 7.794,53 milioni di euro per l'anno 2022, si provvede:</w:t>
      </w:r>
    </w:p>
    <w:p w14:paraId="76559174"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   a) quanto a 4.516 milioni di euro per l'anno 2022, 1.730 milioni di euro per l'anno 2023, 1.530 milioni di euro per l'anno 2024, 2.040 milioni di euro per l'anno 2025, 2.040 milioni di euro per l'anno 2026, 1.580 milioni di euro per l'anno 2027, 1.780 milioni di euro per ciascuno degli anni dal 2028 al 2030, 280 milioni di euro per l'anno 2031 e 33 milioni di euro per l'anno 2032, mediante corrispondente riduzione degli stanziamenti, di competenza e di cassa, delle Missioni e dei Programmi per gli importi indicati nell'allegato B al presente decreto;</w:t>
      </w:r>
    </w:p>
    <w:p w14:paraId="4BBA0839"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lastRenderedPageBreak/>
        <w:t>   b) quanto a 250 milioni di euro per l'anno 2022, mediante corrispondente utilizzo delle risorse di cui all'articolo 1, commi da 16 a 27, del decreto-legge 25 maggio 2021, n.73, convertito, con modificazioni, dalla legge 23 luglio 2021, n.106, già nella disponibilità della contabilità speciale 1778 intestata all'Agenzia delle entrate che, a tal fine, provvede ad effettuare il corrispondente versamento all'entrata del bilancio dello Stato;</w:t>
      </w:r>
    </w:p>
    <w:p w14:paraId="3ADA60E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   c) quanto a 1.968,5 milioni di euro per l'anno 2022 e 515,5 milioni di euro per ciascuno degli anni 2023 e 2024, mediante utilizzo delle maggiori entrate derivanti dall'articolo 29;</w:t>
      </w:r>
    </w:p>
    <w:p w14:paraId="66C5455A" w14:textId="5ACCCD73"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xml:space="preserve">   d) quanto a 1.040,2 milioni di euro per l'anno 2022 e 199,1 milioni di euro per l'anno 2027, mediante utilizzo delle maggiori entrate </w:t>
      </w:r>
      <w:r w:rsidR="007E5286" w:rsidRPr="000C0983">
        <w:rPr>
          <w:rFonts w:asciiTheme="minorHAnsi" w:eastAsia="Times New Roman" w:hAnsiTheme="minorHAnsi" w:cstheme="minorHAnsi"/>
          <w:b/>
          <w:bCs/>
          <w:color w:val="000000" w:themeColor="text1"/>
          <w:sz w:val="24"/>
          <w:szCs w:val="24"/>
        </w:rPr>
        <w:t>e delle minori spese</w:t>
      </w:r>
      <w:r w:rsidR="007E5286">
        <w:rPr>
          <w:rStyle w:val="Rimandonotaapidipagina"/>
          <w:rFonts w:asciiTheme="minorHAnsi" w:eastAsia="Times New Roman" w:hAnsiTheme="minorHAnsi" w:cstheme="minorHAnsi"/>
          <w:b/>
          <w:bCs/>
          <w:color w:val="000000" w:themeColor="text1"/>
          <w:sz w:val="24"/>
          <w:szCs w:val="24"/>
        </w:rPr>
        <w:footnoteReference w:id="84"/>
      </w:r>
      <w:r w:rsidR="007E5286" w:rsidRPr="001C5FAC">
        <w:rPr>
          <w:rFonts w:asciiTheme="minorHAnsi" w:hAnsiTheme="minorHAnsi" w:cstheme="minorHAnsi"/>
          <w:color w:val="000000" w:themeColor="text1"/>
          <w:sz w:val="24"/>
          <w:szCs w:val="24"/>
        </w:rPr>
        <w:t xml:space="preserve"> </w:t>
      </w:r>
      <w:r w:rsidRPr="001C5FAC">
        <w:rPr>
          <w:rFonts w:asciiTheme="minorHAnsi" w:hAnsiTheme="minorHAnsi" w:cstheme="minorHAnsi"/>
          <w:color w:val="000000" w:themeColor="text1"/>
          <w:sz w:val="24"/>
          <w:szCs w:val="24"/>
        </w:rPr>
        <w:t>derivanti dal comma 1 del presente articolo;</w:t>
      </w:r>
    </w:p>
    <w:p w14:paraId="3902850F"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   e) quanto a 20 milioni di euro per l'anno 2022, mediante corrispondente riduzione del Fondo di cui all'articolo 1, comma 200, della legge 23 dicembre 2014, n. 190.</w:t>
      </w:r>
    </w:p>
    <w:p w14:paraId="30B7517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3BDF55E"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3.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297AB92B" w14:textId="0A39D925" w:rsidR="001C5FAC" w:rsidRDefault="001C5FAC" w:rsidP="001C5FAC">
      <w:pPr>
        <w:spacing w:after="0" w:line="240" w:lineRule="auto"/>
        <w:jc w:val="both"/>
        <w:rPr>
          <w:rFonts w:asciiTheme="minorHAnsi" w:hAnsiTheme="minorHAnsi" w:cstheme="minorHAnsi"/>
          <w:color w:val="000000" w:themeColor="text1"/>
          <w:sz w:val="24"/>
          <w:szCs w:val="24"/>
        </w:rPr>
      </w:pPr>
    </w:p>
    <w:p w14:paraId="4B73BB39" w14:textId="77777777" w:rsidR="007E5286" w:rsidRPr="000C0983" w:rsidRDefault="007E5286" w:rsidP="007E5286">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42-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(Disposizioni finali)</w:t>
      </w:r>
    </w:p>
    <w:p w14:paraId="31E247C9" w14:textId="77777777" w:rsidR="007E5286" w:rsidRDefault="007E5286" w:rsidP="007E5286">
      <w:pPr>
        <w:shd w:val="clear" w:color="auto" w:fill="FFFFFF"/>
        <w:spacing w:after="0" w:line="240" w:lineRule="auto"/>
        <w:rPr>
          <w:rFonts w:eastAsia="Times New Roman"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p>
    <w:p w14:paraId="50E8A7D6" w14:textId="664326C3" w:rsidR="007E5286" w:rsidRDefault="007E5286" w:rsidP="007E528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1. Al fine di tutelare la concorrenza e di assicurare la massima trasparenza delle voci di costo sostenute dai consumatori, nelle fatture per i consumi di energia elettrica e di gas, emesse nei mesi successivi alla data di entrata in vigore della legge di conversione del presente decreto, cui si applicano le disposizioni concernenti la riduzione delle aliquote relative agli oneri generali di sistema nel settore del gas e il </w:t>
      </w:r>
      <w:r w:rsidRPr="000C0983">
        <w:rPr>
          <w:rFonts w:asciiTheme="minorHAnsi" w:eastAsia="Times New Roman" w:hAnsiTheme="minorHAnsi" w:cstheme="minorHAnsi"/>
          <w:b/>
          <w:bCs/>
          <w:i/>
          <w:iCs/>
          <w:color w:val="000000" w:themeColor="text1"/>
          <w:sz w:val="24"/>
          <w:szCs w:val="24"/>
        </w:rPr>
        <w:t>bonus</w:t>
      </w:r>
      <w:r w:rsidRPr="000C0983">
        <w:rPr>
          <w:rFonts w:asciiTheme="minorHAnsi" w:eastAsia="Times New Roman" w:hAnsiTheme="minorHAnsi" w:cstheme="minorHAnsi"/>
          <w:b/>
          <w:bCs/>
          <w:color w:val="000000" w:themeColor="text1"/>
          <w:sz w:val="24"/>
          <w:szCs w:val="24"/>
        </w:rPr>
        <w:t> sociale elettrico e gas previste dal presente decreto, dal decreto-legge 27 settembre 2021, n. 130, convertito, con modificazioni, dalla legge 25 novembre 2021, n. 171, e dalla legge 30 dicembre 2021, n. 234, sono riportate, rispettivamente, le seguenti diciture: «Importi rideterminati a seguito di intervento del Governo e del Parlamento» e «</w:t>
      </w:r>
      <w:r w:rsidRPr="000C0983">
        <w:rPr>
          <w:rFonts w:asciiTheme="minorHAnsi" w:eastAsia="Times New Roman" w:hAnsiTheme="minorHAnsi" w:cstheme="minorHAnsi"/>
          <w:b/>
          <w:bCs/>
          <w:i/>
          <w:iCs/>
          <w:color w:val="000000" w:themeColor="text1"/>
          <w:sz w:val="24"/>
          <w:szCs w:val="24"/>
        </w:rPr>
        <w:t>Bonus</w:t>
      </w:r>
      <w:r w:rsidRPr="000C0983">
        <w:rPr>
          <w:rFonts w:asciiTheme="minorHAnsi" w:eastAsia="Times New Roman" w:hAnsiTheme="minorHAnsi" w:cstheme="minorHAnsi"/>
          <w:b/>
          <w:bCs/>
          <w:color w:val="000000" w:themeColor="text1"/>
          <w:sz w:val="24"/>
          <w:szCs w:val="24"/>
        </w:rPr>
        <w:t> sociale».</w:t>
      </w:r>
      <w:r>
        <w:rPr>
          <w:rStyle w:val="Rimandonotaapidipagina"/>
          <w:rFonts w:asciiTheme="minorHAnsi" w:eastAsia="Times New Roman" w:hAnsiTheme="minorHAnsi" w:cstheme="minorHAnsi"/>
          <w:b/>
          <w:bCs/>
          <w:color w:val="000000" w:themeColor="text1"/>
          <w:sz w:val="24"/>
          <w:szCs w:val="24"/>
        </w:rPr>
        <w:footnoteReference w:id="85"/>
      </w:r>
    </w:p>
    <w:p w14:paraId="087B90F7" w14:textId="1D80838B" w:rsidR="007E5286" w:rsidRPr="000C0983" w:rsidRDefault="007E5286" w:rsidP="007E5286">
      <w:pPr>
        <w:shd w:val="clear" w:color="auto" w:fill="FFFFFF"/>
        <w:spacing w:after="0" w:line="240" w:lineRule="auto"/>
        <w:jc w:val="both"/>
        <w:rPr>
          <w:rFonts w:asciiTheme="minorHAnsi" w:eastAsia="Times New Roman" w:hAnsiTheme="minorHAnsi" w:cstheme="minorHAnsi"/>
          <w:color w:val="000000" w:themeColor="text1"/>
        </w:rPr>
      </w:pPr>
      <w:r w:rsidRPr="000C0983">
        <w:rPr>
          <w:rFonts w:asciiTheme="minorHAnsi" w:eastAsia="Times New Roman" w:hAnsiTheme="minorHAnsi" w:cstheme="minorHAnsi"/>
          <w:color w:val="000000" w:themeColor="text1"/>
          <w:sz w:val="24"/>
          <w:szCs w:val="24"/>
        </w:rPr>
        <w:br/>
      </w:r>
    </w:p>
    <w:p w14:paraId="07750D81" w14:textId="77777777" w:rsidR="007E5286" w:rsidRDefault="007E5286" w:rsidP="007E5286">
      <w:pPr>
        <w:shd w:val="clear" w:color="auto" w:fill="FFFFFF"/>
        <w:spacing w:after="0" w:line="240" w:lineRule="auto"/>
        <w:jc w:val="center"/>
        <w:rPr>
          <w:rFonts w:eastAsia="Times New Roman" w:cstheme="minorHAnsi"/>
          <w:color w:val="000000" w:themeColor="text1"/>
          <w:sz w:val="24"/>
          <w:szCs w:val="24"/>
        </w:rPr>
      </w:pPr>
    </w:p>
    <w:p w14:paraId="3093C310" w14:textId="77777777" w:rsidR="007E5286" w:rsidRPr="000C0983" w:rsidRDefault="007E5286" w:rsidP="007E5286">
      <w:pPr>
        <w:shd w:val="clear" w:color="auto" w:fill="FFFFFF"/>
        <w:spacing w:after="0" w:line="240" w:lineRule="auto"/>
        <w:jc w:val="center"/>
        <w:rPr>
          <w:rFonts w:asciiTheme="minorHAnsi" w:eastAsia="Times New Roman" w:hAnsiTheme="minorHAnsi"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Art. 42-</w:t>
      </w:r>
      <w:r w:rsidRPr="000C0983">
        <w:rPr>
          <w:rFonts w:asciiTheme="minorHAnsi" w:eastAsia="Times New Roman" w:hAnsiTheme="minorHAnsi" w:cstheme="minorHAnsi"/>
          <w:b/>
          <w:bCs/>
          <w:i/>
          <w:iCs/>
          <w:color w:val="000000" w:themeColor="text1"/>
          <w:sz w:val="24"/>
          <w:szCs w:val="24"/>
        </w:rPr>
        <w:t>bis</w:t>
      </w:r>
      <w:r w:rsidRPr="000C0983">
        <w:rPr>
          <w:rFonts w:asciiTheme="minorHAnsi" w:eastAsia="Times New Roman" w:hAnsiTheme="minorHAnsi" w:cstheme="minorHAnsi"/>
          <w:b/>
          <w:bCs/>
          <w:color w:val="000000" w:themeColor="text1"/>
          <w:sz w:val="24"/>
          <w:szCs w:val="24"/>
        </w:rPr>
        <w:t>.</w:t>
      </w:r>
      <w:r w:rsidRPr="000C0983">
        <w:rPr>
          <w:rFonts w:asciiTheme="minorHAnsi" w:eastAsia="Times New Roman" w:hAnsiTheme="minorHAnsi" w:cstheme="minorHAnsi"/>
          <w:b/>
          <w:bCs/>
          <w:color w:val="000000" w:themeColor="text1"/>
          <w:sz w:val="24"/>
          <w:szCs w:val="24"/>
        </w:rPr>
        <w:br/>
      </w:r>
      <w:r w:rsidRPr="000C0983">
        <w:rPr>
          <w:rFonts w:asciiTheme="minorHAnsi" w:eastAsia="Times New Roman" w:hAnsiTheme="minorHAnsi" w:cstheme="minorHAnsi"/>
          <w:b/>
          <w:bCs/>
          <w:i/>
          <w:iCs/>
          <w:color w:val="000000" w:themeColor="text1"/>
          <w:sz w:val="24"/>
          <w:szCs w:val="24"/>
        </w:rPr>
        <w:t>(Clausola di salvaguardia)</w:t>
      </w:r>
    </w:p>
    <w:p w14:paraId="2FAF154E" w14:textId="77777777" w:rsidR="007E5286" w:rsidRDefault="007E5286" w:rsidP="007E5286">
      <w:pPr>
        <w:shd w:val="clear" w:color="auto" w:fill="FFFFFF"/>
        <w:spacing w:after="0" w:line="240" w:lineRule="auto"/>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t> </w:t>
      </w:r>
      <w:r w:rsidRPr="000C0983">
        <w:rPr>
          <w:rFonts w:asciiTheme="minorHAnsi" w:eastAsia="Times New Roman" w:hAnsiTheme="minorHAnsi" w:cstheme="minorHAnsi"/>
          <w:b/>
          <w:bCs/>
          <w:color w:val="000000" w:themeColor="text1"/>
          <w:sz w:val="24"/>
          <w:szCs w:val="24"/>
        </w:rPr>
        <w:t> </w:t>
      </w:r>
    </w:p>
    <w:p w14:paraId="6AD118AA" w14:textId="31B1B1FF" w:rsidR="007E5286" w:rsidRDefault="007E5286" w:rsidP="007E5286">
      <w:pPr>
        <w:shd w:val="clear" w:color="auto" w:fill="FFFFFF"/>
        <w:spacing w:after="0" w:line="240" w:lineRule="auto"/>
        <w:jc w:val="both"/>
        <w:rPr>
          <w:rFonts w:eastAsia="Times New Roman" w:cstheme="minorHAnsi"/>
          <w:b/>
          <w:bCs/>
          <w:color w:val="000000" w:themeColor="text1"/>
          <w:sz w:val="24"/>
          <w:szCs w:val="24"/>
        </w:rPr>
      </w:pPr>
      <w:r w:rsidRPr="000C0983">
        <w:rPr>
          <w:rFonts w:asciiTheme="minorHAnsi" w:eastAsia="Times New Roman" w:hAnsiTheme="minorHAnsi" w:cstheme="minorHAnsi"/>
          <w:b/>
          <w:bCs/>
          <w:color w:val="000000" w:themeColor="text1"/>
          <w:sz w:val="24"/>
          <w:szCs w:val="24"/>
        </w:rPr>
        <w:lastRenderedPageBreak/>
        <w:t>1. Le disposizioni del presente decreto sono applicabili nelle regioni a statuto speciale e nelle province autonome di Trento e di Bolzano compatibilmente con i rispettivi statuti e le relative norme di attuazione.</w:t>
      </w:r>
      <w:r>
        <w:rPr>
          <w:rStyle w:val="Rimandonotaapidipagina"/>
          <w:rFonts w:asciiTheme="minorHAnsi" w:eastAsia="Times New Roman" w:hAnsiTheme="minorHAnsi" w:cstheme="minorHAnsi"/>
          <w:b/>
          <w:bCs/>
          <w:color w:val="000000" w:themeColor="text1"/>
          <w:sz w:val="24"/>
          <w:szCs w:val="24"/>
        </w:rPr>
        <w:footnoteReference w:id="86"/>
      </w:r>
    </w:p>
    <w:p w14:paraId="72AC2EF6" w14:textId="4FDECED5" w:rsidR="007E5286" w:rsidRPr="000C0983" w:rsidRDefault="007E5286" w:rsidP="007E5286">
      <w:pPr>
        <w:shd w:val="clear" w:color="auto" w:fill="FFFFFF"/>
        <w:spacing w:after="0" w:line="240" w:lineRule="auto"/>
        <w:jc w:val="both"/>
        <w:rPr>
          <w:rFonts w:asciiTheme="minorHAnsi" w:eastAsia="Times New Roman" w:hAnsiTheme="minorHAnsi" w:cstheme="minorHAnsi"/>
          <w:color w:val="000000" w:themeColor="text1"/>
        </w:rPr>
      </w:pPr>
      <w:r w:rsidRPr="000C0983">
        <w:rPr>
          <w:rFonts w:asciiTheme="minorHAnsi" w:eastAsia="Times New Roman" w:hAnsiTheme="minorHAnsi" w:cstheme="minorHAnsi"/>
          <w:b/>
          <w:bCs/>
          <w:color w:val="000000" w:themeColor="text1"/>
          <w:sz w:val="24"/>
          <w:szCs w:val="24"/>
        </w:rPr>
        <w:br/>
      </w:r>
    </w:p>
    <w:p w14:paraId="684C1FFA" w14:textId="77777777" w:rsidR="007E5286" w:rsidRPr="001C5FAC" w:rsidRDefault="007E5286" w:rsidP="001C5FAC">
      <w:pPr>
        <w:spacing w:after="0" w:line="240" w:lineRule="auto"/>
        <w:jc w:val="both"/>
        <w:rPr>
          <w:rFonts w:asciiTheme="minorHAnsi" w:hAnsiTheme="minorHAnsi" w:cstheme="minorHAnsi"/>
          <w:color w:val="000000" w:themeColor="text1"/>
          <w:sz w:val="24"/>
          <w:szCs w:val="24"/>
        </w:rPr>
      </w:pPr>
    </w:p>
    <w:p w14:paraId="641E6BEE"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Articolo 43.</w:t>
      </w:r>
    </w:p>
    <w:p w14:paraId="7E1F63F9"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(Entrata in vigore)</w:t>
      </w:r>
    </w:p>
    <w:p w14:paraId="154B317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00B6166D"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48705CC"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p>
    <w:p w14:paraId="2AF657C7" w14:textId="77777777" w:rsidR="001C5FAC" w:rsidRPr="001C5FAC" w:rsidRDefault="001C5FAC" w:rsidP="001C5FAC">
      <w:pPr>
        <w:spacing w:after="0" w:line="240" w:lineRule="auto"/>
        <w:jc w:val="both"/>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4792251D" w14:textId="709579FD" w:rsidR="001C5FAC" w:rsidRDefault="001C5FAC" w:rsidP="001C5FAC">
      <w:pPr>
        <w:spacing w:after="0" w:line="240" w:lineRule="auto"/>
        <w:jc w:val="both"/>
        <w:rPr>
          <w:rFonts w:cstheme="minorHAnsi"/>
          <w:sz w:val="24"/>
          <w:szCs w:val="24"/>
        </w:rPr>
      </w:pPr>
    </w:p>
    <w:p w14:paraId="0E9ED415" w14:textId="77777777" w:rsidR="0048061D" w:rsidRPr="000C0983" w:rsidRDefault="0048061D" w:rsidP="0048061D">
      <w:pPr>
        <w:shd w:val="clear" w:color="auto" w:fill="FFFFFF"/>
        <w:spacing w:after="0" w:line="240" w:lineRule="auto"/>
        <w:jc w:val="center"/>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b/>
          <w:bCs/>
          <w:color w:val="000000" w:themeColor="text1"/>
          <w:sz w:val="24"/>
          <w:szCs w:val="24"/>
        </w:rPr>
        <w:t>CORREZIONI DI FORMA APPROVATE</w:t>
      </w:r>
    </w:p>
    <w:p w14:paraId="7E3AEC5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1:</w:t>
      </w:r>
    </w:p>
    <w:p w14:paraId="3588AC3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«dalla presente disposizione»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«dai commi 1 e 2 del presente articolo».</w:t>
      </w:r>
    </w:p>
    <w:p w14:paraId="57440DF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4:</w:t>
      </w:r>
    </w:p>
    <w:p w14:paraId="68D81E2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«del costo per KWh»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 costo per kWh».</w:t>
      </w:r>
    </w:p>
    <w:p w14:paraId="4609E08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6:</w:t>
      </w:r>
    </w:p>
    <w:p w14:paraId="03F7D93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la parola:</w:t>
      </w:r>
      <w:r w:rsidRPr="000C0983">
        <w:rPr>
          <w:rFonts w:asciiTheme="minorHAnsi" w:eastAsia="Times New Roman" w:hAnsiTheme="minorHAnsi" w:cstheme="minorHAnsi"/>
          <w:color w:val="000000" w:themeColor="text1"/>
          <w:sz w:val="24"/>
          <w:szCs w:val="24"/>
        </w:rPr>
        <w:t> «forfettaria»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«forfetaria»;</w:t>
      </w:r>
    </w:p>
    <w:p w14:paraId="5654C69B"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primo periodo, le parole:</w:t>
      </w:r>
      <w:r w:rsidRPr="000C0983">
        <w:rPr>
          <w:rFonts w:asciiTheme="minorHAnsi" w:eastAsia="Times New Roman" w:hAnsiTheme="minorHAnsi" w:cstheme="minorHAnsi"/>
          <w:color w:val="000000" w:themeColor="text1"/>
          <w:sz w:val="24"/>
          <w:szCs w:val="24"/>
        </w:rPr>
        <w:t> «ed esercenti» </w:t>
      </w:r>
      <w:r w:rsidRPr="000C0983">
        <w:rPr>
          <w:rFonts w:asciiTheme="minorHAnsi" w:eastAsia="Times New Roman" w:hAnsiTheme="minorHAnsi" w:cstheme="minorHAnsi"/>
          <w:i/>
          <w:iCs/>
          <w:color w:val="000000" w:themeColor="text1"/>
          <w:sz w:val="24"/>
          <w:szCs w:val="24"/>
        </w:rPr>
        <w:t>sono sostituite dalla seguente:</w:t>
      </w:r>
      <w:r w:rsidRPr="000C0983">
        <w:rPr>
          <w:rFonts w:asciiTheme="minorHAnsi" w:eastAsia="Times New Roman" w:hAnsiTheme="minorHAnsi" w:cstheme="minorHAnsi"/>
          <w:color w:val="000000" w:themeColor="text1"/>
          <w:sz w:val="24"/>
          <w:szCs w:val="24"/>
        </w:rPr>
        <w:t> «esercenti»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«al netto dell'imposta sul valore aggiunto»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 al netto dell'imposta sul valore aggiunto,»;</w:t>
      </w:r>
    </w:p>
    <w:p w14:paraId="0D5407EC"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4, terzo periodo, le parole:</w:t>
      </w:r>
      <w:r w:rsidRPr="000C0983">
        <w:rPr>
          <w:rFonts w:asciiTheme="minorHAnsi" w:eastAsia="Times New Roman" w:hAnsiTheme="minorHAnsi" w:cstheme="minorHAnsi"/>
          <w:color w:val="000000" w:themeColor="text1"/>
          <w:sz w:val="24"/>
          <w:szCs w:val="24"/>
        </w:rPr>
        <w:t> «dall'entrata in vigore»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«dalla data di entrata in vigore»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«di concessione»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«del credito d'imposta»;</w:t>
      </w:r>
    </w:p>
    <w:p w14:paraId="6BC0938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5, primo periodo, le parole:</w:t>
      </w:r>
      <w:r w:rsidRPr="000C0983">
        <w:rPr>
          <w:rFonts w:asciiTheme="minorHAnsi" w:eastAsia="Times New Roman" w:hAnsiTheme="minorHAnsi" w:cstheme="minorHAnsi"/>
          <w:color w:val="000000" w:themeColor="text1"/>
          <w:sz w:val="24"/>
          <w:szCs w:val="24"/>
        </w:rPr>
        <w:t> «efficientamento energetico»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«incremento dell'efficienza energetica»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«ed esercenti» </w:t>
      </w:r>
      <w:r w:rsidRPr="000C0983">
        <w:rPr>
          <w:rFonts w:asciiTheme="minorHAnsi" w:eastAsia="Times New Roman" w:hAnsiTheme="minorHAnsi" w:cstheme="minorHAnsi"/>
          <w:i/>
          <w:iCs/>
          <w:color w:val="000000" w:themeColor="text1"/>
          <w:sz w:val="24"/>
          <w:szCs w:val="24"/>
        </w:rPr>
        <w:t>sono sostituite dalla seguente:</w:t>
      </w:r>
      <w:r w:rsidRPr="000C0983">
        <w:rPr>
          <w:rFonts w:asciiTheme="minorHAnsi" w:eastAsia="Times New Roman" w:hAnsiTheme="minorHAnsi" w:cstheme="minorHAnsi"/>
          <w:color w:val="000000" w:themeColor="text1"/>
          <w:sz w:val="24"/>
          <w:szCs w:val="24"/>
        </w:rPr>
        <w:t> «esercenti»;</w:t>
      </w:r>
    </w:p>
    <w:p w14:paraId="55E8244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6, terzo periodo, le parole:</w:t>
      </w:r>
      <w:r w:rsidRPr="000C0983">
        <w:rPr>
          <w:rFonts w:asciiTheme="minorHAnsi" w:eastAsia="Times New Roman" w:hAnsiTheme="minorHAnsi" w:cstheme="minorHAnsi"/>
          <w:color w:val="000000" w:themeColor="text1"/>
          <w:sz w:val="24"/>
          <w:szCs w:val="24"/>
        </w:rPr>
        <w:t> «dall'entrata in vigore»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«dalla data di entrata in vigore»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«di concessione»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«del credito d'imposta»;</w:t>
      </w:r>
    </w:p>
    <w:p w14:paraId="45C5161B"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7, le parole:</w:t>
      </w:r>
      <w:r w:rsidRPr="000C0983">
        <w:rPr>
          <w:rFonts w:asciiTheme="minorHAnsi" w:eastAsia="Times New Roman" w:hAnsiTheme="minorHAnsi" w:cstheme="minorHAnsi"/>
          <w:color w:val="000000" w:themeColor="text1"/>
          <w:sz w:val="24"/>
          <w:szCs w:val="24"/>
        </w:rPr>
        <w:t> «dalla presente disposizione»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 presente articolo».</w:t>
      </w:r>
    </w:p>
    <w:p w14:paraId="34EDE0E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7:</w:t>
      </w:r>
    </w:p>
    <w:p w14:paraId="24D8CDC3"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la parola:</w:t>
      </w:r>
      <w:r w:rsidRPr="000C0983">
        <w:rPr>
          <w:rFonts w:asciiTheme="minorHAnsi" w:eastAsia="Times New Roman" w:hAnsiTheme="minorHAnsi" w:cstheme="minorHAnsi"/>
          <w:color w:val="000000" w:themeColor="text1"/>
          <w:sz w:val="24"/>
          <w:szCs w:val="24"/>
        </w:rPr>
        <w:t> «determinatasi»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«determinata»;</w:t>
      </w:r>
    </w:p>
    <w:p w14:paraId="2C5A8A4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lastRenderedPageBreak/>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la parola:</w:t>
      </w:r>
      <w:r w:rsidRPr="000C0983">
        <w:rPr>
          <w:rFonts w:asciiTheme="minorHAnsi" w:eastAsia="Times New Roman" w:hAnsiTheme="minorHAnsi" w:cstheme="minorHAnsi"/>
          <w:color w:val="000000" w:themeColor="text1"/>
          <w:sz w:val="24"/>
          <w:szCs w:val="24"/>
        </w:rPr>
        <w:t> «individuate»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«stabiliti»;</w:t>
      </w:r>
    </w:p>
    <w:p w14:paraId="2876C65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 è incrementato»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«è incrementato».</w:t>
      </w:r>
    </w:p>
    <w:p w14:paraId="6FA3D29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9:</w:t>
      </w:r>
    </w:p>
    <w:p w14:paraId="7AD1F225"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capoverso 5, le parole:</w:t>
      </w:r>
      <w:r w:rsidRPr="000C0983">
        <w:rPr>
          <w:rFonts w:asciiTheme="minorHAnsi" w:eastAsia="Times New Roman" w:hAnsiTheme="minorHAnsi" w:cstheme="minorHAnsi"/>
          <w:color w:val="000000" w:themeColor="text1"/>
          <w:sz w:val="24"/>
          <w:szCs w:val="24"/>
        </w:rPr>
        <w:t> «ivi inclusi quelli previsti dal»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«ivi compresi quelli previsti dal codice dei beni culturali e del paesaggio, di cui al», </w:t>
      </w:r>
      <w:r w:rsidRPr="000C0983">
        <w:rPr>
          <w:rFonts w:asciiTheme="minorHAnsi" w:eastAsia="Times New Roman" w:hAnsiTheme="minorHAnsi" w:cstheme="minorHAnsi"/>
          <w:i/>
          <w:iCs/>
          <w:color w:val="000000" w:themeColor="text1"/>
          <w:sz w:val="24"/>
          <w:szCs w:val="24"/>
        </w:rPr>
        <w:t>le parole:</w:t>
      </w:r>
      <w:r w:rsidRPr="000C0983">
        <w:rPr>
          <w:rFonts w:asciiTheme="minorHAnsi" w:eastAsia="Times New Roman" w:hAnsiTheme="minorHAnsi" w:cstheme="minorHAnsi"/>
          <w:color w:val="000000" w:themeColor="text1"/>
          <w:sz w:val="24"/>
          <w:szCs w:val="24"/>
        </w:rPr>
        <w:t> «che ricadono» </w:t>
      </w:r>
      <w:r w:rsidRPr="000C0983">
        <w:rPr>
          <w:rFonts w:asciiTheme="minorHAnsi" w:eastAsia="Times New Roman" w:hAnsiTheme="minorHAnsi" w:cstheme="minorHAnsi"/>
          <w:i/>
          <w:iCs/>
          <w:color w:val="000000" w:themeColor="text1"/>
          <w:sz w:val="24"/>
          <w:szCs w:val="24"/>
        </w:rPr>
        <w:t>sono sostituite dalla seguente:</w:t>
      </w:r>
      <w:r w:rsidRPr="000C0983">
        <w:rPr>
          <w:rFonts w:asciiTheme="minorHAnsi" w:eastAsia="Times New Roman" w:hAnsiTheme="minorHAnsi" w:cstheme="minorHAnsi"/>
          <w:color w:val="000000" w:themeColor="text1"/>
          <w:sz w:val="24"/>
          <w:szCs w:val="24"/>
        </w:rPr>
        <w:t> «installati»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«del codice dei beni culturali e del paesaggio»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 citato codice dei beni culturali e del paesaggio,».</w:t>
      </w:r>
    </w:p>
    <w:p w14:paraId="63435DD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16:</w:t>
      </w:r>
    </w:p>
    <w:p w14:paraId="2A72F5D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«ai clienti»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«per i clienti»</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«il GSE»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«il Gestore dei servizi energetici (GSE)» </w:t>
      </w:r>
      <w:r w:rsidRPr="000C0983">
        <w:rPr>
          <w:rFonts w:asciiTheme="minorHAnsi" w:eastAsia="Times New Roman" w:hAnsiTheme="minorHAnsi" w:cstheme="minorHAnsi"/>
          <w:i/>
          <w:iCs/>
          <w:color w:val="000000" w:themeColor="text1"/>
          <w:sz w:val="24"/>
          <w:szCs w:val="24"/>
        </w:rPr>
        <w:t>e la parola:</w:t>
      </w:r>
      <w:r w:rsidRPr="000C0983">
        <w:rPr>
          <w:rFonts w:asciiTheme="minorHAnsi" w:eastAsia="Times New Roman" w:hAnsiTheme="minorHAnsi" w:cstheme="minorHAnsi"/>
          <w:color w:val="000000" w:themeColor="text1"/>
          <w:sz w:val="24"/>
          <w:szCs w:val="24"/>
        </w:rPr>
        <w:t> «avvia»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«avviano»;</w:t>
      </w:r>
    </w:p>
    <w:p w14:paraId="174D131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w:t>
      </w:r>
    </w:p>
    <w:p w14:paraId="02E1393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primo periodo, la parola:</w:t>
      </w:r>
      <w:r w:rsidRPr="000C0983">
        <w:rPr>
          <w:rFonts w:asciiTheme="minorHAnsi" w:eastAsia="Times New Roman" w:hAnsiTheme="minorHAnsi" w:cstheme="minorHAnsi"/>
          <w:color w:val="000000" w:themeColor="text1"/>
          <w:sz w:val="24"/>
          <w:szCs w:val="24"/>
        </w:rPr>
        <w:t> «ricadenti»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«situate»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«delle tempistiche massime»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«dei tempi massimi»;</w:t>
      </w:r>
    </w:p>
    <w:p w14:paraId="155D8645"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secondo periodo, la parola:</w:t>
      </w:r>
      <w:r w:rsidRPr="000C0983">
        <w:rPr>
          <w:rFonts w:asciiTheme="minorHAnsi" w:eastAsia="Times New Roman" w:hAnsiTheme="minorHAnsi" w:cstheme="minorHAnsi"/>
          <w:color w:val="000000" w:themeColor="text1"/>
          <w:sz w:val="24"/>
          <w:szCs w:val="24"/>
        </w:rPr>
        <w:t> «ricadono» </w:t>
      </w:r>
      <w:r w:rsidRPr="000C0983">
        <w:rPr>
          <w:rFonts w:asciiTheme="minorHAnsi" w:eastAsia="Times New Roman" w:hAnsiTheme="minorHAnsi" w:cstheme="minorHAnsi"/>
          <w:i/>
          <w:iCs/>
          <w:color w:val="000000" w:themeColor="text1"/>
          <w:sz w:val="24"/>
          <w:szCs w:val="24"/>
        </w:rPr>
        <w:t>è sostituita dalle seguenti:</w:t>
      </w:r>
      <w:r w:rsidRPr="000C0983">
        <w:rPr>
          <w:rFonts w:asciiTheme="minorHAnsi" w:eastAsia="Times New Roman" w:hAnsiTheme="minorHAnsi" w:cstheme="minorHAnsi"/>
          <w:color w:val="000000" w:themeColor="text1"/>
          <w:sz w:val="24"/>
          <w:szCs w:val="24"/>
        </w:rPr>
        <w:t> «sono situati»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«28 dicembre 2021»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 di cui al comunicato pubblicato nella </w:t>
      </w:r>
      <w:r w:rsidRPr="000C0983">
        <w:rPr>
          <w:rFonts w:asciiTheme="minorHAnsi" w:eastAsia="Times New Roman" w:hAnsiTheme="minorHAnsi" w:cstheme="minorHAnsi"/>
          <w:i/>
          <w:iCs/>
          <w:color w:val="000000" w:themeColor="text1"/>
          <w:sz w:val="24"/>
          <w:szCs w:val="24"/>
        </w:rPr>
        <w:t>Gazzetta Ufficiale</w:t>
      </w:r>
      <w:r w:rsidRPr="000C0983">
        <w:rPr>
          <w:rFonts w:asciiTheme="minorHAnsi" w:eastAsia="Times New Roman" w:hAnsiTheme="minorHAnsi" w:cstheme="minorHAnsi"/>
          <w:color w:val="000000" w:themeColor="text1"/>
          <w:sz w:val="24"/>
          <w:szCs w:val="24"/>
        </w:rPr>
        <w:t> n. 35 dell'11 febbraio 2022»;</w:t>
      </w:r>
    </w:p>
    <w:p w14:paraId="3FF4C5E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4, secondo periodo, dopo le parole:</w:t>
      </w:r>
      <w:r w:rsidRPr="000C0983">
        <w:rPr>
          <w:rFonts w:asciiTheme="minorHAnsi" w:eastAsia="Times New Roman" w:hAnsiTheme="minorHAnsi" w:cstheme="minorHAnsi"/>
          <w:color w:val="000000" w:themeColor="text1"/>
          <w:sz w:val="24"/>
          <w:szCs w:val="24"/>
        </w:rPr>
        <w:t> «oneri fiscali»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2C583E2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rubrica, le parole:</w:t>
      </w:r>
      <w:r w:rsidRPr="000C0983">
        <w:rPr>
          <w:rFonts w:asciiTheme="minorHAnsi" w:eastAsia="Times New Roman" w:hAnsiTheme="minorHAnsi" w:cstheme="minorHAnsi"/>
          <w:color w:val="000000" w:themeColor="text1"/>
          <w:sz w:val="24"/>
          <w:szCs w:val="24"/>
        </w:rPr>
        <w:t> «l'emergenza caro energia»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«l'emergenza derivante dal rincaro dei prezzi dei prodotti energetici».</w:t>
      </w:r>
    </w:p>
    <w:p w14:paraId="505529D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17:</w:t>
      </w:r>
    </w:p>
    <w:p w14:paraId="6E332ED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lettera</w:t>
      </w:r>
      <w:r w:rsidRPr="000C0983">
        <w:rPr>
          <w:rFonts w:asciiTheme="minorHAnsi" w:eastAsia="Times New Roman" w:hAnsiTheme="minorHAnsi" w:cstheme="minorHAnsi"/>
          <w:color w:val="000000" w:themeColor="text1"/>
          <w:sz w:val="24"/>
          <w:szCs w:val="24"/>
        </w:rPr>
        <w:t> b)</w:t>
      </w:r>
      <w:r w:rsidRPr="000C0983">
        <w:rPr>
          <w:rFonts w:asciiTheme="minorHAnsi" w:eastAsia="Times New Roman" w:hAnsiTheme="minorHAnsi" w:cstheme="minorHAnsi"/>
          <w:i/>
          <w:iCs/>
          <w:color w:val="000000" w:themeColor="text1"/>
          <w:sz w:val="24"/>
          <w:szCs w:val="24"/>
        </w:rPr>
        <w:t>, capoverso 3-</w:t>
      </w:r>
      <w:r w:rsidRPr="000C0983">
        <w:rPr>
          <w:rFonts w:asciiTheme="minorHAnsi" w:eastAsia="Times New Roman" w:hAnsiTheme="minorHAnsi" w:cstheme="minorHAnsi"/>
          <w:color w:val="000000" w:themeColor="text1"/>
          <w:sz w:val="24"/>
          <w:szCs w:val="24"/>
        </w:rPr>
        <w:t>bis:</w:t>
      </w:r>
    </w:p>
    <w:p w14:paraId="3C98D31C"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all'alinea, primo periodo, la parola:</w:t>
      </w:r>
      <w:r w:rsidRPr="000C0983">
        <w:rPr>
          <w:rFonts w:asciiTheme="minorHAnsi" w:eastAsia="Times New Roman" w:hAnsiTheme="minorHAnsi" w:cstheme="minorHAnsi"/>
          <w:color w:val="000000" w:themeColor="text1"/>
          <w:sz w:val="24"/>
          <w:szCs w:val="24"/>
        </w:rPr>
        <w:t> «ricadenti»</w:t>
      </w:r>
      <w:r w:rsidRPr="000C0983">
        <w:rPr>
          <w:rFonts w:asciiTheme="minorHAnsi" w:eastAsia="Times New Roman" w:hAnsiTheme="minorHAnsi" w:cstheme="minorHAnsi"/>
          <w:i/>
          <w:iCs/>
          <w:color w:val="000000" w:themeColor="text1"/>
          <w:sz w:val="24"/>
          <w:szCs w:val="24"/>
        </w:rPr>
        <w:t>, ovunque ricorre, è sostituita dalla seguente:</w:t>
      </w:r>
      <w:r w:rsidRPr="000C0983">
        <w:rPr>
          <w:rFonts w:asciiTheme="minorHAnsi" w:eastAsia="Times New Roman" w:hAnsiTheme="minorHAnsi" w:cstheme="minorHAnsi"/>
          <w:color w:val="000000" w:themeColor="text1"/>
          <w:sz w:val="24"/>
          <w:szCs w:val="24"/>
        </w:rPr>
        <w:t> «esistenti»;</w:t>
      </w:r>
    </w:p>
    <w:p w14:paraId="4DE7AD5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«di euro, per» </w:t>
      </w:r>
      <w:r w:rsidRPr="000C0983">
        <w:rPr>
          <w:rFonts w:asciiTheme="minorHAnsi" w:eastAsia="Times New Roman" w:hAnsiTheme="minorHAnsi" w:cstheme="minorHAnsi"/>
          <w:i/>
          <w:iCs/>
          <w:color w:val="000000" w:themeColor="text1"/>
          <w:sz w:val="24"/>
          <w:szCs w:val="24"/>
        </w:rPr>
        <w:t>sono sostituite dalla seguente:</w:t>
      </w:r>
      <w:r w:rsidRPr="000C0983">
        <w:rPr>
          <w:rFonts w:asciiTheme="minorHAnsi" w:eastAsia="Times New Roman" w:hAnsiTheme="minorHAnsi" w:cstheme="minorHAnsi"/>
          <w:color w:val="000000" w:themeColor="text1"/>
          <w:sz w:val="24"/>
          <w:szCs w:val="24"/>
        </w:rPr>
        <w:t> «per»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«con modificazioni»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4BF0D59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b)</w:t>
      </w:r>
      <w:r w:rsidRPr="000C0983">
        <w:rPr>
          <w:rFonts w:asciiTheme="minorHAnsi" w:eastAsia="Times New Roman" w:hAnsiTheme="minorHAnsi" w:cstheme="minorHAnsi"/>
          <w:i/>
          <w:iCs/>
          <w:color w:val="000000" w:themeColor="text1"/>
          <w:sz w:val="24"/>
          <w:szCs w:val="24"/>
        </w:rPr>
        <w:t>, dopo le parole:</w:t>
      </w:r>
      <w:r w:rsidRPr="000C0983">
        <w:rPr>
          <w:rFonts w:asciiTheme="minorHAnsi" w:eastAsia="Times New Roman" w:hAnsiTheme="minorHAnsi" w:cstheme="minorHAnsi"/>
          <w:color w:val="000000" w:themeColor="text1"/>
          <w:sz w:val="24"/>
          <w:szCs w:val="24"/>
        </w:rPr>
        <w:t> «per l'anno 2024»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713EE18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19:</w:t>
      </w:r>
    </w:p>
    <w:p w14:paraId="145F434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w:t>
      </w:r>
    </w:p>
    <w:p w14:paraId="25A3B91B"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dopo le parole:</w:t>
      </w:r>
      <w:r w:rsidRPr="000C0983">
        <w:rPr>
          <w:rFonts w:asciiTheme="minorHAnsi" w:eastAsia="Times New Roman" w:hAnsiTheme="minorHAnsi" w:cstheme="minorHAnsi"/>
          <w:color w:val="000000" w:themeColor="text1"/>
          <w:sz w:val="24"/>
          <w:szCs w:val="24"/>
        </w:rPr>
        <w:t> «comma 162»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 e le parole:</w:t>
      </w:r>
      <w:r w:rsidRPr="000C0983">
        <w:rPr>
          <w:rFonts w:asciiTheme="minorHAnsi" w:eastAsia="Times New Roman" w:hAnsiTheme="minorHAnsi" w:cstheme="minorHAnsi"/>
          <w:color w:val="000000" w:themeColor="text1"/>
          <w:sz w:val="24"/>
          <w:szCs w:val="24"/>
        </w:rPr>
        <w:t> «n. 145,»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«n. 145»;</w:t>
      </w:r>
    </w:p>
    <w:p w14:paraId="150105E5"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b)</w:t>
      </w:r>
      <w:r w:rsidRPr="000C0983">
        <w:rPr>
          <w:rFonts w:asciiTheme="minorHAnsi" w:eastAsia="Times New Roman" w:hAnsiTheme="minorHAnsi" w:cstheme="minorHAnsi"/>
          <w:i/>
          <w:iCs/>
          <w:color w:val="000000" w:themeColor="text1"/>
          <w:sz w:val="24"/>
          <w:szCs w:val="24"/>
        </w:rPr>
        <w:t>, capoverso 8:</w:t>
      </w:r>
    </w:p>
    <w:p w14:paraId="634BE7CC"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primo periodo, le parole:</w:t>
      </w:r>
      <w:r w:rsidRPr="000C0983">
        <w:rPr>
          <w:rFonts w:asciiTheme="minorHAnsi" w:eastAsia="Times New Roman" w:hAnsiTheme="minorHAnsi" w:cstheme="minorHAnsi"/>
          <w:color w:val="000000" w:themeColor="text1"/>
          <w:sz w:val="24"/>
          <w:szCs w:val="24"/>
        </w:rPr>
        <w:t> «che insistono sul medesimo immobile»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«adottate per il medesimo immobile»;</w:t>
      </w:r>
    </w:p>
    <w:p w14:paraId="7208737E"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quarto periodo, le parole:</w:t>
      </w:r>
      <w:r w:rsidRPr="000C0983">
        <w:rPr>
          <w:rFonts w:asciiTheme="minorHAnsi" w:eastAsia="Times New Roman" w:hAnsiTheme="minorHAnsi" w:cstheme="minorHAnsi"/>
          <w:color w:val="000000" w:themeColor="text1"/>
          <w:sz w:val="24"/>
          <w:szCs w:val="24"/>
        </w:rPr>
        <w:t> «del medesimo Ministero,»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 medesimo Ministero».</w:t>
      </w:r>
    </w:p>
    <w:p w14:paraId="4943A8A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20:</w:t>
      </w:r>
    </w:p>
    <w:p w14:paraId="43AAD116"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lastRenderedPageBreak/>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«di Difesa Servizi S.p.A.»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«della società Difesa Servizi S.p.A.».</w:t>
      </w:r>
    </w:p>
    <w:p w14:paraId="0B24037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21:</w:t>
      </w:r>
    </w:p>
    <w:p w14:paraId="7FA6018F"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«all'articolo 4, del medesimo»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«all'articolo 4 del medesimo».</w:t>
      </w:r>
    </w:p>
    <w:p w14:paraId="1E96CB8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22:</w:t>
      </w:r>
    </w:p>
    <w:p w14:paraId="1A0AC83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«e riqualificazione»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«e alla riqualificazione»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«il riconoscimento di incentivi»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«la concessione di incentivi»;</w:t>
      </w:r>
    </w:p>
    <w:p w14:paraId="2AAEEAF3"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«dalla presente disposizione»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 comma 1 del presente articolo».</w:t>
      </w:r>
    </w:p>
    <w:p w14:paraId="13783C6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23:</w:t>
      </w:r>
    </w:p>
    <w:p w14:paraId="06B10F63"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«dalla presente disposizione»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 comma 1 del presente articolo».</w:t>
      </w:r>
    </w:p>
    <w:p w14:paraId="51A7FAA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24:</w:t>
      </w:r>
    </w:p>
    <w:p w14:paraId="34474FD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«legge 17 dicembre 2021, n. 301»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«legge 17 dicembre 2021, n. 215»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«e conseguentemente emerga»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«in relazione ai quali conseguentemente risulti».</w:t>
      </w:r>
    </w:p>
    <w:p w14:paraId="2ECE413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25:</w:t>
      </w:r>
    </w:p>
    <w:p w14:paraId="39A8ECF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dopo le parole:</w:t>
      </w:r>
      <w:r w:rsidRPr="000C0983">
        <w:rPr>
          <w:rFonts w:asciiTheme="minorHAnsi" w:eastAsia="Times New Roman" w:hAnsiTheme="minorHAnsi" w:cstheme="minorHAnsi"/>
          <w:color w:val="000000" w:themeColor="text1"/>
          <w:sz w:val="24"/>
          <w:szCs w:val="24"/>
        </w:rPr>
        <w:t> «di 150 milioni»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«di euro»;</w:t>
      </w:r>
    </w:p>
    <w:p w14:paraId="2096AD1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dopo le parole:</w:t>
      </w:r>
      <w:r w:rsidRPr="000C0983">
        <w:rPr>
          <w:rFonts w:asciiTheme="minorHAnsi" w:eastAsia="Times New Roman" w:hAnsiTheme="minorHAnsi" w:cstheme="minorHAnsi"/>
          <w:color w:val="000000" w:themeColor="text1"/>
          <w:sz w:val="24"/>
          <w:szCs w:val="24"/>
        </w:rPr>
        <w:t> «alla determinazione»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 e dopo le parole:</w:t>
      </w:r>
      <w:r w:rsidRPr="000C0983">
        <w:rPr>
          <w:rFonts w:asciiTheme="minorHAnsi" w:eastAsia="Times New Roman" w:hAnsiTheme="minorHAnsi" w:cstheme="minorHAnsi"/>
          <w:color w:val="000000" w:themeColor="text1"/>
          <w:sz w:val="24"/>
          <w:szCs w:val="24"/>
        </w:rPr>
        <w:t> «decreto-legge 27 gennaio 2022, n. 4,»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«convertito, con modificazioni, dalla legge 28 marzo 2022, n. 25,»;</w:t>
      </w:r>
    </w:p>
    <w:p w14:paraId="4F7B5FD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«comma, 1»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«comma 1»;</w:t>
      </w:r>
    </w:p>
    <w:p w14:paraId="4B197B93"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7, primo periodo, le parole:</w:t>
      </w:r>
      <w:r w:rsidRPr="000C0983">
        <w:rPr>
          <w:rFonts w:asciiTheme="minorHAnsi" w:eastAsia="Times New Roman" w:hAnsiTheme="minorHAnsi" w:cstheme="minorHAnsi"/>
          <w:color w:val="000000" w:themeColor="text1"/>
          <w:sz w:val="24"/>
          <w:szCs w:val="24"/>
        </w:rPr>
        <w:t> «nei limiti»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«nel limite»;</w:t>
      </w:r>
    </w:p>
    <w:p w14:paraId="2BA68B86"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8, dopo le parole:</w:t>
      </w:r>
      <w:r w:rsidRPr="000C0983">
        <w:rPr>
          <w:rFonts w:asciiTheme="minorHAnsi" w:eastAsia="Times New Roman" w:hAnsiTheme="minorHAnsi" w:cstheme="minorHAnsi"/>
          <w:color w:val="000000" w:themeColor="text1"/>
          <w:sz w:val="24"/>
          <w:szCs w:val="24"/>
        </w:rPr>
        <w:t> «di cui al comma 1»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«del presente articolo»;</w:t>
      </w:r>
    </w:p>
    <w:p w14:paraId="2F43545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9, le parole:</w:t>
      </w:r>
      <w:r w:rsidRPr="000C0983">
        <w:rPr>
          <w:rFonts w:asciiTheme="minorHAnsi" w:eastAsia="Times New Roman" w:hAnsiTheme="minorHAnsi" w:cstheme="minorHAnsi"/>
          <w:color w:val="000000" w:themeColor="text1"/>
          <w:sz w:val="24"/>
          <w:szCs w:val="24"/>
        </w:rPr>
        <w:t> «quantificati in»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«pari a».</w:t>
      </w:r>
    </w:p>
    <w:p w14:paraId="4507847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27:</w:t>
      </w:r>
    </w:p>
    <w:p w14:paraId="4C70C00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w:t>
      </w:r>
    </w:p>
    <w:p w14:paraId="1C84031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secondo periodo, le parole:</w:t>
      </w:r>
      <w:r w:rsidRPr="000C0983">
        <w:rPr>
          <w:rFonts w:asciiTheme="minorHAnsi" w:eastAsia="Times New Roman" w:hAnsiTheme="minorHAnsi" w:cstheme="minorHAnsi"/>
          <w:color w:val="000000" w:themeColor="text1"/>
          <w:sz w:val="24"/>
          <w:szCs w:val="24"/>
        </w:rPr>
        <w:t> «da destinare,»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 destinare»;</w:t>
      </w:r>
    </w:p>
    <w:p w14:paraId="0F768F4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terzo periodo, le parole:</w:t>
      </w:r>
      <w:r w:rsidRPr="000C0983">
        <w:rPr>
          <w:rFonts w:asciiTheme="minorHAnsi" w:eastAsia="Times New Roman" w:hAnsiTheme="minorHAnsi" w:cstheme="minorHAnsi"/>
          <w:color w:val="000000" w:themeColor="text1"/>
          <w:sz w:val="24"/>
          <w:szCs w:val="24"/>
        </w:rPr>
        <w:t> «sulle operazioni»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«delle operazioni»;</w:t>
      </w:r>
    </w:p>
    <w:p w14:paraId="5264349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«del decreto legislativo»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 testo unico di cui al decreto legislativo»;</w:t>
      </w:r>
    </w:p>
    <w:p w14:paraId="69419656"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4, le parole:</w:t>
      </w:r>
      <w:r w:rsidRPr="000C0983">
        <w:rPr>
          <w:rFonts w:asciiTheme="minorHAnsi" w:eastAsia="Times New Roman" w:hAnsiTheme="minorHAnsi" w:cstheme="minorHAnsi"/>
          <w:color w:val="000000" w:themeColor="text1"/>
          <w:sz w:val="24"/>
          <w:szCs w:val="24"/>
        </w:rPr>
        <w:t> «d'intesa con la Conferenza»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«previa intesa in sede di Conferenza».</w:t>
      </w:r>
    </w:p>
    <w:p w14:paraId="14313E2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28:</w:t>
      </w:r>
    </w:p>
    <w:p w14:paraId="402A410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4, le parole:</w:t>
      </w:r>
      <w:r w:rsidRPr="000C0983">
        <w:rPr>
          <w:rFonts w:asciiTheme="minorHAnsi" w:eastAsia="Times New Roman" w:hAnsiTheme="minorHAnsi" w:cstheme="minorHAnsi"/>
          <w:color w:val="000000" w:themeColor="text1"/>
          <w:sz w:val="24"/>
          <w:szCs w:val="24"/>
        </w:rPr>
        <w:t> «dal comma 1, si provvede»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 comma 1 si provvede»</w:t>
      </w:r>
      <w:r w:rsidRPr="000C0983">
        <w:rPr>
          <w:rFonts w:asciiTheme="minorHAnsi" w:eastAsia="Times New Roman" w:hAnsiTheme="minorHAnsi" w:cstheme="minorHAnsi"/>
          <w:i/>
          <w:iCs/>
          <w:color w:val="000000" w:themeColor="text1"/>
          <w:sz w:val="24"/>
          <w:szCs w:val="24"/>
        </w:rPr>
        <w:t>, dopo le parole:</w:t>
      </w:r>
      <w:r w:rsidRPr="000C0983">
        <w:rPr>
          <w:rFonts w:asciiTheme="minorHAnsi" w:eastAsia="Times New Roman" w:hAnsiTheme="minorHAnsi" w:cstheme="minorHAnsi"/>
          <w:color w:val="000000" w:themeColor="text1"/>
          <w:sz w:val="24"/>
          <w:szCs w:val="24"/>
        </w:rPr>
        <w:t> «a 285 milioni»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«di euro»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«a 280 milioni»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«di euro».</w:t>
      </w:r>
    </w:p>
    <w:p w14:paraId="300C66E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29:</w:t>
      </w:r>
    </w:p>
    <w:p w14:paraId="66D3A35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lastRenderedPageBreak/>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la parola:</w:t>
      </w:r>
      <w:r w:rsidRPr="000C0983">
        <w:rPr>
          <w:rFonts w:asciiTheme="minorHAnsi" w:eastAsia="Times New Roman" w:hAnsiTheme="minorHAnsi" w:cstheme="minorHAnsi"/>
          <w:color w:val="000000" w:themeColor="text1"/>
          <w:sz w:val="24"/>
          <w:szCs w:val="24"/>
        </w:rPr>
        <w:t> «valutati»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«valutate»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«per l'anno 2022 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«per l'anno 2022, a».</w:t>
      </w:r>
    </w:p>
    <w:p w14:paraId="602D7BF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30:</w:t>
      </w:r>
    </w:p>
    <w:p w14:paraId="4BF9CA9C"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le parole:</w:t>
      </w:r>
      <w:r w:rsidRPr="000C0983">
        <w:rPr>
          <w:rFonts w:asciiTheme="minorHAnsi" w:eastAsia="Times New Roman" w:hAnsiTheme="minorHAnsi" w:cstheme="minorHAnsi"/>
          <w:color w:val="000000" w:themeColor="text1"/>
          <w:sz w:val="24"/>
          <w:szCs w:val="24"/>
        </w:rPr>
        <w:t> «all'articolo 122, del»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«all'articolo 122 del».</w:t>
      </w:r>
    </w:p>
    <w:p w14:paraId="48DEA3A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31:</w:t>
      </w:r>
    </w:p>
    <w:p w14:paraId="203832F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w:t>
      </w:r>
    </w:p>
    <w:p w14:paraId="2708725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capoverso 1-</w:t>
      </w:r>
      <w:r w:rsidRPr="000C0983">
        <w:rPr>
          <w:rFonts w:asciiTheme="minorHAnsi" w:eastAsia="Times New Roman" w:hAnsiTheme="minorHAnsi" w:cstheme="minorHAnsi"/>
          <w:color w:val="000000" w:themeColor="text1"/>
          <w:sz w:val="24"/>
          <w:szCs w:val="24"/>
        </w:rPr>
        <w:t>bis</w:t>
      </w:r>
      <w:r w:rsidRPr="000C0983">
        <w:rPr>
          <w:rFonts w:asciiTheme="minorHAnsi" w:eastAsia="Times New Roman" w:hAnsiTheme="minorHAnsi" w:cstheme="minorHAnsi"/>
          <w:i/>
          <w:iCs/>
          <w:color w:val="000000" w:themeColor="text1"/>
          <w:sz w:val="24"/>
          <w:szCs w:val="24"/>
        </w:rPr>
        <w:t>, dopo le parole:</w:t>
      </w:r>
      <w:r w:rsidRPr="000C0983">
        <w:rPr>
          <w:rFonts w:asciiTheme="minorHAnsi" w:eastAsia="Times New Roman" w:hAnsiTheme="minorHAnsi" w:cstheme="minorHAnsi"/>
          <w:color w:val="000000" w:themeColor="text1"/>
          <w:sz w:val="24"/>
          <w:szCs w:val="24"/>
        </w:rPr>
        <w:t> «può essere incrementata»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«mediante erogazioni»;</w:t>
      </w:r>
    </w:p>
    <w:p w14:paraId="0A17656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b)</w:t>
      </w:r>
      <w:r w:rsidRPr="000C0983">
        <w:rPr>
          <w:rFonts w:asciiTheme="minorHAnsi" w:eastAsia="Times New Roman" w:hAnsiTheme="minorHAnsi" w:cstheme="minorHAnsi"/>
          <w:i/>
          <w:iCs/>
          <w:color w:val="000000" w:themeColor="text1"/>
          <w:sz w:val="24"/>
          <w:szCs w:val="24"/>
        </w:rPr>
        <w:t>, dopo le parole:</w:t>
      </w:r>
      <w:r w:rsidRPr="000C0983">
        <w:rPr>
          <w:rFonts w:asciiTheme="minorHAnsi" w:eastAsia="Times New Roman" w:hAnsiTheme="minorHAnsi" w:cstheme="minorHAnsi"/>
          <w:color w:val="000000" w:themeColor="text1"/>
          <w:sz w:val="24"/>
          <w:szCs w:val="24"/>
        </w:rPr>
        <w:t> «della salute»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3E9AB6B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dopo le parole:</w:t>
      </w:r>
      <w:r w:rsidRPr="000C0983">
        <w:rPr>
          <w:rFonts w:asciiTheme="minorHAnsi" w:eastAsia="Times New Roman" w:hAnsiTheme="minorHAnsi" w:cstheme="minorHAnsi"/>
          <w:color w:val="000000" w:themeColor="text1"/>
          <w:sz w:val="24"/>
          <w:szCs w:val="24"/>
        </w:rPr>
        <w:t> «Agli oneri»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«derivanti dal comma 1,»;</w:t>
      </w:r>
    </w:p>
    <w:p w14:paraId="505FE265"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rubrica, le parole:</w:t>
      </w:r>
      <w:r w:rsidRPr="000C0983">
        <w:rPr>
          <w:rFonts w:asciiTheme="minorHAnsi" w:eastAsia="Times New Roman" w:hAnsiTheme="minorHAnsi" w:cstheme="minorHAnsi"/>
          <w:color w:val="000000" w:themeColor="text1"/>
          <w:sz w:val="24"/>
          <w:szCs w:val="24"/>
        </w:rPr>
        <w:t> «e operatori»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«e degli operatori».</w:t>
      </w:r>
    </w:p>
    <w:p w14:paraId="097D0FB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32:</w:t>
      </w:r>
    </w:p>
    <w:p w14:paraId="1DD09CD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primo periodo, la parola:</w:t>
      </w:r>
      <w:r w:rsidRPr="000C0983">
        <w:rPr>
          <w:rFonts w:asciiTheme="minorHAnsi" w:eastAsia="Times New Roman" w:hAnsiTheme="minorHAnsi" w:cstheme="minorHAnsi"/>
          <w:color w:val="000000" w:themeColor="text1"/>
          <w:sz w:val="24"/>
          <w:szCs w:val="24"/>
        </w:rPr>
        <w:t> «23-</w:t>
      </w:r>
      <w:r w:rsidRPr="000C0983">
        <w:rPr>
          <w:rFonts w:asciiTheme="minorHAnsi" w:eastAsia="Times New Roman" w:hAnsiTheme="minorHAnsi" w:cstheme="minorHAnsi"/>
          <w:i/>
          <w:iCs/>
          <w:color w:val="000000" w:themeColor="text1"/>
          <w:sz w:val="24"/>
          <w:szCs w:val="24"/>
        </w:rPr>
        <w:t>quinques</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«23-</w:t>
      </w:r>
      <w:r w:rsidRPr="000C0983">
        <w:rPr>
          <w:rFonts w:asciiTheme="minorHAnsi" w:eastAsia="Times New Roman" w:hAnsiTheme="minorHAnsi" w:cstheme="minorHAnsi"/>
          <w:i/>
          <w:iCs/>
          <w:color w:val="000000" w:themeColor="text1"/>
          <w:sz w:val="24"/>
          <w:szCs w:val="24"/>
        </w:rPr>
        <w:t>quinquies</w:t>
      </w:r>
      <w:r w:rsidRPr="000C0983">
        <w:rPr>
          <w:rFonts w:asciiTheme="minorHAnsi" w:eastAsia="Times New Roman" w:hAnsiTheme="minorHAnsi" w:cstheme="minorHAnsi"/>
          <w:color w:val="000000" w:themeColor="text1"/>
          <w:sz w:val="24"/>
          <w:szCs w:val="24"/>
        </w:rPr>
        <w:t>»;</w:t>
      </w:r>
    </w:p>
    <w:p w14:paraId="671E019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rubrica, le parole:</w:t>
      </w:r>
      <w:r w:rsidRPr="000C0983">
        <w:rPr>
          <w:rFonts w:asciiTheme="minorHAnsi" w:eastAsia="Times New Roman" w:hAnsiTheme="minorHAnsi" w:cstheme="minorHAnsi"/>
          <w:color w:val="000000" w:themeColor="text1"/>
          <w:sz w:val="24"/>
          <w:szCs w:val="24"/>
        </w:rPr>
        <w:t> «all'implementazione»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«all'incremento».</w:t>
      </w:r>
    </w:p>
    <w:p w14:paraId="053069CF"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33:</w:t>
      </w:r>
    </w:p>
    <w:p w14:paraId="2D57DD2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la parola:</w:t>
      </w:r>
      <w:r w:rsidRPr="000C0983">
        <w:rPr>
          <w:rFonts w:asciiTheme="minorHAnsi" w:eastAsia="Times New Roman" w:hAnsiTheme="minorHAnsi" w:cstheme="minorHAnsi"/>
          <w:color w:val="000000" w:themeColor="text1"/>
          <w:sz w:val="24"/>
          <w:szCs w:val="24"/>
        </w:rPr>
        <w:t> «richiesta»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«richiesti»;</w:t>
      </w:r>
    </w:p>
    <w:p w14:paraId="1ECBE86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lettera</w:t>
      </w:r>
      <w:r w:rsidRPr="000C0983">
        <w:rPr>
          <w:rFonts w:asciiTheme="minorHAnsi" w:eastAsia="Times New Roman" w:hAnsiTheme="minorHAnsi" w:cstheme="minorHAnsi"/>
          <w:color w:val="000000" w:themeColor="text1"/>
          <w:sz w:val="24"/>
          <w:szCs w:val="24"/>
        </w:rPr>
        <w:t> b):</w:t>
      </w:r>
    </w:p>
    <w:p w14:paraId="0FA06D7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numero 1), le parole:</w:t>
      </w:r>
      <w:r w:rsidRPr="000C0983">
        <w:rPr>
          <w:rFonts w:asciiTheme="minorHAnsi" w:eastAsia="Times New Roman" w:hAnsiTheme="minorHAnsi" w:cstheme="minorHAnsi"/>
          <w:color w:val="000000" w:themeColor="text1"/>
          <w:sz w:val="24"/>
          <w:szCs w:val="24"/>
        </w:rPr>
        <w:t> «per la ripresa e la resilienza»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«di ripresa e resilienza»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«del medesimo profilo»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«per il medesimo profilo»;</w:t>
      </w:r>
    </w:p>
    <w:p w14:paraId="1894869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numero 2), le parole:</w:t>
      </w:r>
      <w:r w:rsidRPr="000C0983">
        <w:rPr>
          <w:rFonts w:asciiTheme="minorHAnsi" w:eastAsia="Times New Roman" w:hAnsiTheme="minorHAnsi" w:cstheme="minorHAnsi"/>
          <w:color w:val="000000" w:themeColor="text1"/>
          <w:sz w:val="24"/>
          <w:szCs w:val="24"/>
        </w:rPr>
        <w:t> «la prova scritta, un numero»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«la prova scritta un numero»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«di posti»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«dei posti».</w:t>
      </w:r>
    </w:p>
    <w:p w14:paraId="14FB005B"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34:</w:t>
      </w:r>
    </w:p>
    <w:p w14:paraId="7C4965D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w:t>
      </w:r>
    </w:p>
    <w:p w14:paraId="26D3FD1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numero 3), le parole:</w:t>
      </w:r>
      <w:r w:rsidRPr="000C0983">
        <w:rPr>
          <w:rFonts w:asciiTheme="minorHAnsi" w:eastAsia="Times New Roman" w:hAnsiTheme="minorHAnsi" w:cstheme="minorHAnsi"/>
          <w:color w:val="000000" w:themeColor="text1"/>
          <w:sz w:val="24"/>
          <w:szCs w:val="24"/>
        </w:rPr>
        <w:t> «del decreto legislativo 5 aprile 2006, n. 160»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 del decreto legislativo 5 aprile 2006, n. 160,»</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«è inserito il seguente»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«sono inseriti i seguenti»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«le disposizioni cui»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«le disposizioni di cui»;</w:t>
      </w:r>
    </w:p>
    <w:p w14:paraId="2DA0054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b)</w:t>
      </w:r>
      <w:r w:rsidRPr="000C0983">
        <w:rPr>
          <w:rFonts w:asciiTheme="minorHAnsi" w:eastAsia="Times New Roman" w:hAnsiTheme="minorHAnsi" w:cstheme="minorHAnsi"/>
          <w:i/>
          <w:iCs/>
          <w:color w:val="000000" w:themeColor="text1"/>
          <w:sz w:val="24"/>
          <w:szCs w:val="24"/>
        </w:rPr>
        <w:t>, numero 3), capoverso 3), primo periodo, le parole:</w:t>
      </w:r>
      <w:r w:rsidRPr="000C0983">
        <w:rPr>
          <w:rFonts w:asciiTheme="minorHAnsi" w:eastAsia="Times New Roman" w:hAnsiTheme="minorHAnsi" w:cstheme="minorHAnsi"/>
          <w:color w:val="000000" w:themeColor="text1"/>
          <w:sz w:val="24"/>
          <w:szCs w:val="24"/>
        </w:rPr>
        <w:t> «dell'incarico»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«dall'incarico»;</w:t>
      </w:r>
    </w:p>
    <w:p w14:paraId="6EF79D6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f)</w:t>
      </w:r>
      <w:r w:rsidRPr="000C0983">
        <w:rPr>
          <w:rFonts w:asciiTheme="minorHAnsi" w:eastAsia="Times New Roman" w:hAnsiTheme="minorHAnsi" w:cstheme="minorHAnsi"/>
          <w:i/>
          <w:iCs/>
          <w:color w:val="000000" w:themeColor="text1"/>
          <w:sz w:val="24"/>
          <w:szCs w:val="24"/>
        </w:rPr>
        <w:t>, capoverso 1, le parole:</w:t>
      </w:r>
      <w:r w:rsidRPr="000C0983">
        <w:rPr>
          <w:rFonts w:asciiTheme="minorHAnsi" w:eastAsia="Times New Roman" w:hAnsiTheme="minorHAnsi" w:cstheme="minorHAnsi"/>
          <w:color w:val="000000" w:themeColor="text1"/>
          <w:sz w:val="24"/>
          <w:szCs w:val="24"/>
        </w:rPr>
        <w:t> «avviare a un procedimento»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«avviare un procedimento».</w:t>
      </w:r>
    </w:p>
    <w:p w14:paraId="2C5D869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35:</w:t>
      </w:r>
    </w:p>
    <w:p w14:paraId="1B019F3C"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capoverso Articolo 34-</w:t>
      </w:r>
      <w:r w:rsidRPr="000C0983">
        <w:rPr>
          <w:rFonts w:asciiTheme="minorHAnsi" w:eastAsia="Times New Roman" w:hAnsiTheme="minorHAnsi" w:cstheme="minorHAnsi"/>
          <w:color w:val="000000" w:themeColor="text1"/>
          <w:sz w:val="24"/>
          <w:szCs w:val="24"/>
        </w:rPr>
        <w:t>ter</w:t>
      </w:r>
      <w:r w:rsidRPr="000C0983">
        <w:rPr>
          <w:rFonts w:asciiTheme="minorHAnsi" w:eastAsia="Times New Roman" w:hAnsiTheme="minorHAnsi" w:cstheme="minorHAnsi"/>
          <w:i/>
          <w:iCs/>
          <w:color w:val="000000" w:themeColor="text1"/>
          <w:sz w:val="24"/>
          <w:szCs w:val="24"/>
        </w:rPr>
        <w:t>, comma 1:</w:t>
      </w:r>
    </w:p>
    <w:p w14:paraId="284679BF"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primo periodo, le parole:</w:t>
      </w:r>
      <w:r w:rsidRPr="000C0983">
        <w:rPr>
          <w:rFonts w:asciiTheme="minorHAnsi" w:eastAsia="Times New Roman" w:hAnsiTheme="minorHAnsi" w:cstheme="minorHAnsi"/>
          <w:color w:val="000000" w:themeColor="text1"/>
          <w:sz w:val="24"/>
          <w:szCs w:val="24"/>
        </w:rPr>
        <w:t> «Ministero dell'economia e finanze»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«Ministero dell'economia e delle finanze»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«e del decreto legislativo»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«e del codice di cui al decreto legislativo»;</w:t>
      </w:r>
    </w:p>
    <w:p w14:paraId="32B949A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secondo periodo, le parole:</w:t>
      </w:r>
      <w:r w:rsidRPr="000C0983">
        <w:rPr>
          <w:rFonts w:asciiTheme="minorHAnsi" w:eastAsia="Times New Roman" w:hAnsiTheme="minorHAnsi" w:cstheme="minorHAnsi"/>
          <w:color w:val="000000" w:themeColor="text1"/>
          <w:sz w:val="24"/>
          <w:szCs w:val="24"/>
        </w:rPr>
        <w:t> «in Conferenza unificata»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«in sede di Conferenza unificata»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«di cui all'articolo 1, comma 2,» </w:t>
      </w:r>
      <w:r w:rsidRPr="000C0983">
        <w:rPr>
          <w:rFonts w:asciiTheme="minorHAnsi" w:eastAsia="Times New Roman" w:hAnsiTheme="minorHAnsi" w:cstheme="minorHAnsi"/>
          <w:i/>
          <w:iCs/>
          <w:color w:val="000000" w:themeColor="text1"/>
          <w:sz w:val="24"/>
          <w:szCs w:val="24"/>
        </w:rPr>
        <w:t>sono inserite le seguenti:</w:t>
      </w:r>
      <w:r w:rsidRPr="000C0983">
        <w:rPr>
          <w:rFonts w:asciiTheme="minorHAnsi" w:eastAsia="Times New Roman" w:hAnsiTheme="minorHAnsi" w:cstheme="minorHAnsi"/>
          <w:color w:val="000000" w:themeColor="text1"/>
          <w:sz w:val="24"/>
          <w:szCs w:val="24"/>
        </w:rPr>
        <w:t> «del presente decreto».</w:t>
      </w:r>
    </w:p>
    <w:p w14:paraId="094BB7DB"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36:</w:t>
      </w:r>
    </w:p>
    <w:p w14:paraId="38D90FC5"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lastRenderedPageBreak/>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dopo le parole:</w:t>
      </w:r>
      <w:r w:rsidRPr="000C0983">
        <w:rPr>
          <w:rFonts w:asciiTheme="minorHAnsi" w:eastAsia="Times New Roman" w:hAnsiTheme="minorHAnsi" w:cstheme="minorHAnsi"/>
          <w:color w:val="000000" w:themeColor="text1"/>
          <w:sz w:val="24"/>
          <w:szCs w:val="24"/>
        </w:rPr>
        <w:t> «all'articolo 8, comma 1»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7A3ECFC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37:</w:t>
      </w:r>
    </w:p>
    <w:p w14:paraId="56B615F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w:t>
      </w:r>
    </w:p>
    <w:p w14:paraId="22760E6F"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sono aggiunte, in fine, le seguenti parole:</w:t>
      </w:r>
      <w:r w:rsidRPr="000C0983">
        <w:rPr>
          <w:rFonts w:asciiTheme="minorHAnsi" w:eastAsia="Times New Roman" w:hAnsiTheme="minorHAnsi" w:cstheme="minorHAnsi"/>
          <w:color w:val="000000" w:themeColor="text1"/>
          <w:sz w:val="24"/>
          <w:szCs w:val="24"/>
        </w:rPr>
        <w:t> «e le parole: “e di” sono sostituite dalle seguenti: “e a”»;</w:t>
      </w:r>
    </w:p>
    <w:p w14:paraId="2614806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b)</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«rimborsi spese»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«rimborsi di spese».</w:t>
      </w:r>
    </w:p>
    <w:p w14:paraId="7B8EE59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40:</w:t>
      </w:r>
    </w:p>
    <w:p w14:paraId="340A49C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w:t>
      </w:r>
    </w:p>
    <w:p w14:paraId="09BCA65E"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capoverso 1, al primo periodo, le parole:</w:t>
      </w:r>
      <w:r w:rsidRPr="000C0983">
        <w:rPr>
          <w:rFonts w:asciiTheme="minorHAnsi" w:eastAsia="Times New Roman" w:hAnsiTheme="minorHAnsi" w:cstheme="minorHAnsi"/>
          <w:color w:val="000000" w:themeColor="text1"/>
          <w:sz w:val="24"/>
          <w:szCs w:val="24"/>
        </w:rPr>
        <w:t> «di risulta,»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«di risulta» </w:t>
      </w:r>
      <w:r w:rsidRPr="000C0983">
        <w:rPr>
          <w:rFonts w:asciiTheme="minorHAnsi" w:eastAsia="Times New Roman" w:hAnsiTheme="minorHAnsi" w:cstheme="minorHAnsi"/>
          <w:i/>
          <w:iCs/>
          <w:color w:val="000000" w:themeColor="text1"/>
          <w:sz w:val="24"/>
          <w:szCs w:val="24"/>
        </w:rPr>
        <w:t>e le parole:</w:t>
      </w:r>
      <w:r w:rsidRPr="000C0983">
        <w:rPr>
          <w:rFonts w:asciiTheme="minorHAnsi" w:eastAsia="Times New Roman" w:hAnsiTheme="minorHAnsi" w:cstheme="minorHAnsi"/>
          <w:color w:val="000000" w:themeColor="text1"/>
          <w:sz w:val="24"/>
          <w:szCs w:val="24"/>
        </w:rPr>
        <w:t> «ed evitare»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«e per evitare» </w:t>
      </w:r>
      <w:r w:rsidRPr="000C0983">
        <w:rPr>
          <w:rFonts w:asciiTheme="minorHAnsi" w:eastAsia="Times New Roman" w:hAnsiTheme="minorHAnsi" w:cstheme="minorHAnsi"/>
          <w:i/>
          <w:iCs/>
          <w:color w:val="000000" w:themeColor="text1"/>
          <w:sz w:val="24"/>
          <w:szCs w:val="24"/>
        </w:rPr>
        <w:t>e, al secondo periodo, le parole:</w:t>
      </w:r>
      <w:r w:rsidRPr="000C0983">
        <w:rPr>
          <w:rFonts w:asciiTheme="minorHAnsi" w:eastAsia="Times New Roman" w:hAnsiTheme="minorHAnsi" w:cstheme="minorHAnsi"/>
          <w:color w:val="000000" w:themeColor="text1"/>
          <w:sz w:val="24"/>
          <w:szCs w:val="24"/>
        </w:rPr>
        <w:t> «attività a scopo industriale o commerciale di importazione»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 scopo industriale o commerciale attività di importazione»;</w:t>
      </w:r>
    </w:p>
    <w:p w14:paraId="25472689"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b):</w:t>
      </w:r>
    </w:p>
    <w:p w14:paraId="359E2D1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capoverso 3:</w:t>
      </w:r>
    </w:p>
    <w:p w14:paraId="103389BE"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a)</w:t>
      </w:r>
      <w:r w:rsidRPr="000C0983">
        <w:rPr>
          <w:rFonts w:asciiTheme="minorHAnsi" w:eastAsia="Times New Roman" w:hAnsiTheme="minorHAnsi" w:cstheme="minorHAnsi"/>
          <w:i/>
          <w:iCs/>
          <w:color w:val="000000" w:themeColor="text1"/>
          <w:sz w:val="24"/>
          <w:szCs w:val="24"/>
        </w:rPr>
        <w:t>, dopo le parole:</w:t>
      </w:r>
      <w:r w:rsidRPr="000C0983">
        <w:rPr>
          <w:rFonts w:asciiTheme="minorHAnsi" w:eastAsia="Times New Roman" w:hAnsiTheme="minorHAnsi" w:cstheme="minorHAnsi"/>
          <w:color w:val="000000" w:themeColor="text1"/>
          <w:sz w:val="24"/>
          <w:szCs w:val="24"/>
        </w:rPr>
        <w:t> «di buona tecnica»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24380A1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d)</w:t>
      </w:r>
      <w:r w:rsidRPr="000C0983">
        <w:rPr>
          <w:rFonts w:asciiTheme="minorHAnsi" w:eastAsia="Times New Roman" w:hAnsiTheme="minorHAnsi" w:cstheme="minorHAnsi"/>
          <w:i/>
          <w:iCs/>
          <w:color w:val="000000" w:themeColor="text1"/>
          <w:sz w:val="24"/>
          <w:szCs w:val="24"/>
        </w:rPr>
        <w:t>, la parola:</w:t>
      </w:r>
      <w:r w:rsidRPr="000C0983">
        <w:rPr>
          <w:rFonts w:asciiTheme="minorHAnsi" w:eastAsia="Times New Roman" w:hAnsiTheme="minorHAnsi" w:cstheme="minorHAnsi"/>
          <w:color w:val="000000" w:themeColor="text1"/>
          <w:sz w:val="24"/>
          <w:szCs w:val="24"/>
        </w:rPr>
        <w:t> «rilasciati»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«rilasciate»;</w:t>
      </w:r>
    </w:p>
    <w:p w14:paraId="14E762C2"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capoverso 3-</w:t>
      </w:r>
      <w:r w:rsidRPr="000C0983">
        <w:rPr>
          <w:rFonts w:asciiTheme="minorHAnsi" w:eastAsia="Times New Roman" w:hAnsiTheme="minorHAnsi" w:cstheme="minorHAnsi"/>
          <w:color w:val="000000" w:themeColor="text1"/>
          <w:sz w:val="24"/>
          <w:szCs w:val="24"/>
        </w:rPr>
        <w:t>bis</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«dell'allegato XIX,»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«dell'allegato XIX»;</w:t>
      </w:r>
    </w:p>
    <w:p w14:paraId="0BC4568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c)</w:t>
      </w:r>
      <w:r w:rsidRPr="000C0983">
        <w:rPr>
          <w:rFonts w:asciiTheme="minorHAnsi" w:eastAsia="Times New Roman" w:hAnsiTheme="minorHAnsi" w:cstheme="minorHAnsi"/>
          <w:i/>
          <w:iCs/>
          <w:color w:val="000000" w:themeColor="text1"/>
          <w:sz w:val="24"/>
          <w:szCs w:val="24"/>
        </w:rPr>
        <w:t>, capoverso 4, al primo periodo, la parola:</w:t>
      </w:r>
      <w:r w:rsidRPr="000C0983">
        <w:rPr>
          <w:rFonts w:asciiTheme="minorHAnsi" w:eastAsia="Times New Roman" w:hAnsiTheme="minorHAnsi" w:cstheme="minorHAnsi"/>
          <w:color w:val="000000" w:themeColor="text1"/>
          <w:sz w:val="24"/>
          <w:szCs w:val="24"/>
        </w:rPr>
        <w:t> «rilasciati»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«rilasciate»</w:t>
      </w:r>
      <w:r w:rsidRPr="000C0983">
        <w:rPr>
          <w:rFonts w:asciiTheme="minorHAnsi" w:eastAsia="Times New Roman" w:hAnsiTheme="minorHAnsi" w:cstheme="minorHAnsi"/>
          <w:i/>
          <w:iCs/>
          <w:color w:val="000000" w:themeColor="text1"/>
          <w:sz w:val="24"/>
          <w:szCs w:val="24"/>
        </w:rPr>
        <w:t> e, al terzo periodo, dopo le parole:</w:t>
      </w:r>
      <w:r w:rsidRPr="000C0983">
        <w:rPr>
          <w:rFonts w:asciiTheme="minorHAnsi" w:eastAsia="Times New Roman" w:hAnsiTheme="minorHAnsi" w:cstheme="minorHAnsi"/>
          <w:color w:val="000000" w:themeColor="text1"/>
          <w:sz w:val="24"/>
          <w:szCs w:val="24"/>
        </w:rPr>
        <w:t> «e dello sviluppo economico»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0637B59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All'allegato A:</w:t>
      </w:r>
    </w:p>
    <w:p w14:paraId="223EE93B"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nell'allegato XIX:</w:t>
      </w:r>
    </w:p>
    <w:p w14:paraId="628641D1"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1, comma 1:</w:t>
      </w:r>
    </w:p>
    <w:p w14:paraId="5397D06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all'alinea, le parole:</w:t>
      </w:r>
      <w:r w:rsidRPr="000C0983">
        <w:rPr>
          <w:rFonts w:asciiTheme="minorHAnsi" w:eastAsia="Times New Roman" w:hAnsiTheme="minorHAnsi" w:cstheme="minorHAnsi"/>
          <w:color w:val="000000" w:themeColor="text1"/>
          <w:sz w:val="24"/>
          <w:szCs w:val="24"/>
        </w:rPr>
        <w:t> «nel decreto legislativo 31 luglio 2020, n. 101»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«nel presente decreto»;</w:t>
      </w:r>
    </w:p>
    <w:p w14:paraId="02230BB0"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c)</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«31 luglio 2020, n. 101» </w:t>
      </w:r>
      <w:r w:rsidRPr="000C0983">
        <w:rPr>
          <w:rFonts w:asciiTheme="minorHAnsi" w:eastAsia="Times New Roman" w:hAnsiTheme="minorHAnsi" w:cstheme="minorHAnsi"/>
          <w:i/>
          <w:iCs/>
          <w:color w:val="000000" w:themeColor="text1"/>
          <w:sz w:val="24"/>
          <w:szCs w:val="24"/>
        </w:rPr>
        <w:t>sono soppresse e le parole</w:t>
      </w:r>
      <w:r w:rsidRPr="000C0983">
        <w:rPr>
          <w:rFonts w:asciiTheme="minorHAnsi" w:eastAsia="Times New Roman" w:hAnsiTheme="minorHAnsi" w:cstheme="minorHAnsi"/>
          <w:color w:val="000000" w:themeColor="text1"/>
          <w:sz w:val="24"/>
          <w:szCs w:val="24"/>
        </w:rPr>
        <w:t>: «rispetto una»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«rispetto a una»;</w:t>
      </w:r>
    </w:p>
    <w:p w14:paraId="1584139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d)</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«del 9 ottobre 2013»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 del 9 ottobre 2013,»;</w:t>
      </w:r>
    </w:p>
    <w:p w14:paraId="06F13C1E"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lettera</w:t>
      </w:r>
      <w:r w:rsidRPr="000C0983">
        <w:rPr>
          <w:rFonts w:asciiTheme="minorHAnsi" w:eastAsia="Times New Roman" w:hAnsiTheme="minorHAnsi" w:cstheme="minorHAnsi"/>
          <w:color w:val="000000" w:themeColor="text1"/>
          <w:sz w:val="24"/>
          <w:szCs w:val="24"/>
        </w:rPr>
        <w:t> g)</w:t>
      </w:r>
      <w:r w:rsidRPr="000C0983">
        <w:rPr>
          <w:rFonts w:asciiTheme="minorHAnsi" w:eastAsia="Times New Roman" w:hAnsiTheme="minorHAnsi" w:cstheme="minorHAnsi"/>
          <w:i/>
          <w:iCs/>
          <w:color w:val="000000" w:themeColor="text1"/>
          <w:sz w:val="24"/>
          <w:szCs w:val="24"/>
        </w:rPr>
        <w:t>, le parole:</w:t>
      </w:r>
      <w:r w:rsidRPr="000C0983">
        <w:rPr>
          <w:rFonts w:asciiTheme="minorHAnsi" w:eastAsia="Times New Roman" w:hAnsiTheme="minorHAnsi" w:cstheme="minorHAnsi"/>
          <w:color w:val="000000" w:themeColor="text1"/>
          <w:sz w:val="24"/>
          <w:szCs w:val="24"/>
        </w:rPr>
        <w:t> «l'attività a scopo industriale o commerciale di importazione»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«a scopo industriale o commerciale l'attività di importazione» </w:t>
      </w:r>
      <w:r w:rsidRPr="000C0983">
        <w:rPr>
          <w:rFonts w:asciiTheme="minorHAnsi" w:eastAsia="Times New Roman" w:hAnsiTheme="minorHAnsi" w:cstheme="minorHAnsi"/>
          <w:i/>
          <w:iCs/>
          <w:color w:val="000000" w:themeColor="text1"/>
          <w:sz w:val="24"/>
          <w:szCs w:val="24"/>
        </w:rPr>
        <w:t>e dopo le parole:</w:t>
      </w:r>
      <w:r w:rsidRPr="000C0983">
        <w:rPr>
          <w:rFonts w:asciiTheme="minorHAnsi" w:eastAsia="Times New Roman" w:hAnsiTheme="minorHAnsi" w:cstheme="minorHAnsi"/>
          <w:color w:val="000000" w:themeColor="text1"/>
          <w:sz w:val="24"/>
          <w:szCs w:val="24"/>
        </w:rPr>
        <w:t> «di cui all'allegato 2»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6F9BF95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4:</w:t>
      </w:r>
    </w:p>
    <w:p w14:paraId="4DB9E336"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2, le parole:</w:t>
      </w:r>
      <w:r w:rsidRPr="000C0983">
        <w:rPr>
          <w:rFonts w:asciiTheme="minorHAnsi" w:eastAsia="Times New Roman" w:hAnsiTheme="minorHAnsi" w:cstheme="minorHAnsi"/>
          <w:color w:val="000000" w:themeColor="text1"/>
          <w:sz w:val="24"/>
          <w:szCs w:val="24"/>
        </w:rPr>
        <w:t> «del Ministero»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«dei Ministeri»;</w:t>
      </w:r>
    </w:p>
    <w:p w14:paraId="6F4E6FA6"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«e i principali»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«e dei principali»;</w:t>
      </w:r>
    </w:p>
    <w:p w14:paraId="2F1E15C3"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5:</w:t>
      </w:r>
    </w:p>
    <w:p w14:paraId="3035A764"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3, le parole:</w:t>
      </w:r>
      <w:r w:rsidRPr="000C0983">
        <w:rPr>
          <w:rFonts w:asciiTheme="minorHAnsi" w:eastAsia="Times New Roman" w:hAnsiTheme="minorHAnsi" w:cstheme="minorHAnsi"/>
          <w:color w:val="000000" w:themeColor="text1"/>
          <w:sz w:val="24"/>
          <w:szCs w:val="24"/>
        </w:rPr>
        <w:t> «di riferimento, sono»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«di riferimento sono»;</w:t>
      </w:r>
    </w:p>
    <w:p w14:paraId="15638118"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5, le parole:</w:t>
      </w:r>
      <w:r w:rsidRPr="000C0983">
        <w:rPr>
          <w:rFonts w:asciiTheme="minorHAnsi" w:eastAsia="Times New Roman" w:hAnsiTheme="minorHAnsi" w:cstheme="minorHAnsi"/>
          <w:color w:val="000000" w:themeColor="text1"/>
          <w:sz w:val="24"/>
          <w:szCs w:val="24"/>
        </w:rPr>
        <w:t> «consegna a destino»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«consegna a destinazione»;</w:t>
      </w:r>
    </w:p>
    <w:p w14:paraId="255C406D"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lastRenderedPageBreak/>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6:</w:t>
      </w:r>
    </w:p>
    <w:p w14:paraId="5F204CBE"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4, le parole:</w:t>
      </w:r>
      <w:r w:rsidRPr="000C0983">
        <w:rPr>
          <w:rFonts w:asciiTheme="minorHAnsi" w:eastAsia="Times New Roman" w:hAnsiTheme="minorHAnsi" w:cstheme="minorHAnsi"/>
          <w:color w:val="000000" w:themeColor="text1"/>
          <w:sz w:val="24"/>
          <w:szCs w:val="24"/>
        </w:rPr>
        <w:t> «lettera </w:t>
      </w:r>
      <w:r w:rsidRPr="000C0983">
        <w:rPr>
          <w:rFonts w:asciiTheme="minorHAnsi" w:eastAsia="Times New Roman" w:hAnsiTheme="minorHAnsi" w:cstheme="minorHAnsi"/>
          <w:i/>
          <w:iCs/>
          <w:color w:val="000000" w:themeColor="text1"/>
          <w:sz w:val="24"/>
          <w:szCs w:val="24"/>
        </w:rPr>
        <w:t>a)</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sono sostituite dalle seguenti:</w:t>
      </w:r>
      <w:r w:rsidRPr="000C0983">
        <w:rPr>
          <w:rFonts w:asciiTheme="minorHAnsi" w:eastAsia="Times New Roman" w:hAnsiTheme="minorHAnsi" w:cstheme="minorHAnsi"/>
          <w:color w:val="000000" w:themeColor="text1"/>
          <w:sz w:val="24"/>
          <w:szCs w:val="24"/>
        </w:rPr>
        <w:t> «, lettera </w:t>
      </w:r>
      <w:r w:rsidRPr="000C0983">
        <w:rPr>
          <w:rFonts w:asciiTheme="minorHAnsi" w:eastAsia="Times New Roman" w:hAnsiTheme="minorHAnsi" w:cstheme="minorHAnsi"/>
          <w:i/>
          <w:iCs/>
          <w:color w:val="000000" w:themeColor="text1"/>
          <w:sz w:val="24"/>
          <w:szCs w:val="24"/>
        </w:rPr>
        <w:t>a)</w:t>
      </w:r>
      <w:r w:rsidRPr="000C0983">
        <w:rPr>
          <w:rFonts w:asciiTheme="minorHAnsi" w:eastAsia="Times New Roman" w:hAnsiTheme="minorHAnsi" w:cstheme="minorHAnsi"/>
          <w:color w:val="000000" w:themeColor="text1"/>
          <w:sz w:val="24"/>
          <w:szCs w:val="24"/>
        </w:rPr>
        <w:t>,»;</w:t>
      </w:r>
    </w:p>
    <w:p w14:paraId="752D093C"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6, dopo le parole:</w:t>
      </w:r>
      <w:r w:rsidRPr="000C0983">
        <w:rPr>
          <w:rFonts w:asciiTheme="minorHAnsi" w:eastAsia="Times New Roman" w:hAnsiTheme="minorHAnsi" w:cstheme="minorHAnsi"/>
          <w:color w:val="000000" w:themeColor="text1"/>
          <w:sz w:val="24"/>
          <w:szCs w:val="24"/>
        </w:rPr>
        <w:t> «comma 2, lettera </w:t>
      </w:r>
      <w:r w:rsidRPr="000C0983">
        <w:rPr>
          <w:rFonts w:asciiTheme="minorHAnsi" w:eastAsia="Times New Roman" w:hAnsiTheme="minorHAnsi" w:cstheme="minorHAnsi"/>
          <w:i/>
          <w:iCs/>
          <w:color w:val="000000" w:themeColor="text1"/>
          <w:sz w:val="24"/>
          <w:szCs w:val="24"/>
        </w:rPr>
        <w:t>a)</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5BC8386F"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all'articolo 7:</w:t>
      </w:r>
    </w:p>
    <w:p w14:paraId="2B29DB0F"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 comma 1, alinea, dopo le parole:</w:t>
      </w:r>
      <w:r w:rsidRPr="000C0983">
        <w:rPr>
          <w:rFonts w:asciiTheme="minorHAnsi" w:eastAsia="Times New Roman" w:hAnsiTheme="minorHAnsi" w:cstheme="minorHAnsi"/>
          <w:color w:val="000000" w:themeColor="text1"/>
          <w:sz w:val="24"/>
          <w:szCs w:val="24"/>
        </w:rPr>
        <w:t> «di II grado» </w:t>
      </w:r>
      <w:r w:rsidRPr="000C0983">
        <w:rPr>
          <w:rFonts w:asciiTheme="minorHAnsi" w:eastAsia="Times New Roman" w:hAnsiTheme="minorHAnsi" w:cstheme="minorHAnsi"/>
          <w:i/>
          <w:iCs/>
          <w:color w:val="000000" w:themeColor="text1"/>
          <w:sz w:val="24"/>
          <w:szCs w:val="24"/>
        </w:rPr>
        <w:t>è inserito il seguente segno d'interpunzione:</w:t>
      </w:r>
      <w:r w:rsidRPr="000C0983">
        <w:rPr>
          <w:rFonts w:asciiTheme="minorHAnsi" w:eastAsia="Times New Roman" w:hAnsiTheme="minorHAnsi" w:cstheme="minorHAnsi"/>
          <w:color w:val="000000" w:themeColor="text1"/>
          <w:sz w:val="24"/>
          <w:szCs w:val="24"/>
        </w:rPr>
        <w:t> «,»;</w:t>
      </w:r>
    </w:p>
    <w:p w14:paraId="7FC59507"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all'allegato 2:</w:t>
      </w:r>
    </w:p>
    <w:p w14:paraId="59F331CA" w14:textId="77777777" w:rsidR="0048061D" w:rsidRPr="000C0983" w:rsidRDefault="0048061D" w:rsidP="0048061D">
      <w:pPr>
        <w:shd w:val="clear" w:color="auto" w:fill="FFFFFF"/>
        <w:spacing w:after="0" w:line="240" w:lineRule="auto"/>
        <w:rPr>
          <w:rFonts w:asciiTheme="minorHAnsi" w:eastAsia="Times New Roman" w:hAnsiTheme="minorHAnsi" w:cstheme="minorHAnsi"/>
          <w:color w:val="000000" w:themeColor="text1"/>
          <w:sz w:val="24"/>
          <w:szCs w:val="24"/>
        </w:rPr>
      </w:pP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color w:val="000000" w:themeColor="text1"/>
          <w:sz w:val="24"/>
          <w:szCs w:val="24"/>
        </w:rPr>
        <w:t> </w:t>
      </w:r>
      <w:r w:rsidRPr="000C0983">
        <w:rPr>
          <w:rFonts w:asciiTheme="minorHAnsi" w:eastAsia="Times New Roman" w:hAnsiTheme="minorHAnsi" w:cstheme="minorHAnsi"/>
          <w:i/>
          <w:iCs/>
          <w:color w:val="000000" w:themeColor="text1"/>
          <w:sz w:val="24"/>
          <w:szCs w:val="24"/>
        </w:rPr>
        <w:t>alla sezione «Prodotti semilavorati», voce «</w:t>
      </w:r>
      <w:proofErr w:type="spellStart"/>
      <w:r w:rsidRPr="000C0983">
        <w:rPr>
          <w:rFonts w:asciiTheme="minorHAnsi" w:eastAsia="Times New Roman" w:hAnsiTheme="minorHAnsi" w:cstheme="minorHAnsi"/>
          <w:i/>
          <w:iCs/>
          <w:color w:val="000000" w:themeColor="text1"/>
          <w:sz w:val="24"/>
          <w:szCs w:val="24"/>
        </w:rPr>
        <w:t>Lanierini</w:t>
      </w:r>
      <w:proofErr w:type="spellEnd"/>
      <w:r w:rsidRPr="000C0983">
        <w:rPr>
          <w:rFonts w:asciiTheme="minorHAnsi" w:eastAsia="Times New Roman" w:hAnsiTheme="minorHAnsi" w:cstheme="minorHAnsi"/>
          <w:i/>
          <w:iCs/>
          <w:color w:val="000000" w:themeColor="text1"/>
          <w:sz w:val="24"/>
          <w:szCs w:val="24"/>
        </w:rPr>
        <w:t>/Nastri magnetici», la parola:</w:t>
      </w:r>
      <w:r w:rsidRPr="000C0983">
        <w:rPr>
          <w:rFonts w:asciiTheme="minorHAnsi" w:eastAsia="Times New Roman" w:hAnsiTheme="minorHAnsi" w:cstheme="minorHAnsi"/>
          <w:color w:val="000000" w:themeColor="text1"/>
          <w:sz w:val="24"/>
          <w:szCs w:val="24"/>
        </w:rPr>
        <w:t> «LANIERINI» </w:t>
      </w:r>
      <w:r w:rsidRPr="000C0983">
        <w:rPr>
          <w:rFonts w:asciiTheme="minorHAnsi" w:eastAsia="Times New Roman" w:hAnsiTheme="minorHAnsi" w:cstheme="minorHAnsi"/>
          <w:i/>
          <w:iCs/>
          <w:color w:val="000000" w:themeColor="text1"/>
          <w:sz w:val="24"/>
          <w:szCs w:val="24"/>
        </w:rPr>
        <w:t>è sostituita dalla seguente:</w:t>
      </w:r>
      <w:r w:rsidRPr="000C0983">
        <w:rPr>
          <w:rFonts w:asciiTheme="minorHAnsi" w:eastAsia="Times New Roman" w:hAnsiTheme="minorHAnsi" w:cstheme="minorHAnsi"/>
          <w:color w:val="000000" w:themeColor="text1"/>
          <w:sz w:val="24"/>
          <w:szCs w:val="24"/>
        </w:rPr>
        <w:t> «LAMIERINI».</w:t>
      </w:r>
    </w:p>
    <w:p w14:paraId="3175C8A3" w14:textId="77777777" w:rsidR="0048061D" w:rsidRPr="007A0702" w:rsidRDefault="0048061D" w:rsidP="001C5FAC">
      <w:pPr>
        <w:spacing w:after="0" w:line="240" w:lineRule="auto"/>
        <w:jc w:val="both"/>
        <w:rPr>
          <w:rFonts w:cstheme="minorHAnsi"/>
          <w:sz w:val="24"/>
          <w:szCs w:val="24"/>
        </w:rPr>
      </w:pPr>
    </w:p>
    <w:p w14:paraId="7BCF9CA6" w14:textId="66B981F1" w:rsidR="00AB0BA5" w:rsidRDefault="00AB0BA5" w:rsidP="00AB0BA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BAE984" w14:textId="77777777" w:rsidR="00AB0BA5" w:rsidRDefault="00AB0BA5" w:rsidP="00AB0BA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AB0BA5"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0DEF" w14:textId="77777777" w:rsidR="002404DA" w:rsidRDefault="002404DA">
      <w:pPr>
        <w:spacing w:after="0" w:line="240" w:lineRule="auto"/>
      </w:pPr>
      <w:r>
        <w:separator/>
      </w:r>
    </w:p>
  </w:endnote>
  <w:endnote w:type="continuationSeparator" w:id="0">
    <w:p w14:paraId="71CC479A" w14:textId="77777777" w:rsidR="002404DA" w:rsidRDefault="0024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16B3F396" w:rsidR="00D03ABC" w:rsidRPr="004D0F93" w:rsidRDefault="00D03ABC"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D03ABC" w:rsidRDefault="00D03A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E06F559" w:rsidR="00D03ABC" w:rsidRDefault="00D03ABC" w:rsidP="004532C6">
    <w:pPr>
      <w:pStyle w:val="Pidipagina"/>
      <w:tabs>
        <w:tab w:val="clear" w:pos="9638"/>
        <w:tab w:val="right" w:pos="10034"/>
      </w:tabs>
      <w:rPr>
        <w:rFonts w:asciiTheme="majorHAnsi" w:hAnsiTheme="majorHAnsi"/>
        <w:sz w:val="18"/>
        <w:szCs w:val="18"/>
      </w:rPr>
    </w:pPr>
  </w:p>
  <w:p w14:paraId="3B296C9C" w14:textId="77777777" w:rsidR="00D03ABC" w:rsidRPr="005F27F8" w:rsidRDefault="00D03ABC"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D03ABC" w:rsidRPr="005F27F8" w:rsidRDefault="00D03ABC"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D03ABC" w:rsidRPr="002739D4" w:rsidRDefault="00D03ABC"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92379"/>
      <w:docPartObj>
        <w:docPartGallery w:val="Page Numbers (Bottom of Page)"/>
        <w:docPartUnique/>
      </w:docPartObj>
    </w:sdtPr>
    <w:sdtContent>
      <w:p w14:paraId="240A7C67" w14:textId="6700C51C" w:rsidR="00427C7D" w:rsidRDefault="00427C7D">
        <w:pPr>
          <w:pStyle w:val="Pidipagina"/>
          <w:jc w:val="center"/>
        </w:pPr>
        <w:r>
          <w:fldChar w:fldCharType="begin"/>
        </w:r>
        <w:r>
          <w:instrText>PAGE   \* MERGEFORMAT</w:instrText>
        </w:r>
        <w:r>
          <w:fldChar w:fldCharType="separate"/>
        </w:r>
        <w:r>
          <w:t>2</w:t>
        </w:r>
        <w:r>
          <w:fldChar w:fldCharType="end"/>
        </w:r>
      </w:p>
    </w:sdtContent>
  </w:sdt>
  <w:p w14:paraId="13EF4817" w14:textId="77777777" w:rsidR="00D03ABC" w:rsidRPr="002739D4" w:rsidRDefault="00D03ABC"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06FA" w14:textId="77777777" w:rsidR="002404DA" w:rsidRDefault="002404DA">
      <w:pPr>
        <w:spacing w:after="0" w:line="240" w:lineRule="auto"/>
      </w:pPr>
      <w:r>
        <w:separator/>
      </w:r>
    </w:p>
  </w:footnote>
  <w:footnote w:type="continuationSeparator" w:id="0">
    <w:p w14:paraId="29946034" w14:textId="77777777" w:rsidR="002404DA" w:rsidRDefault="002404DA">
      <w:pPr>
        <w:spacing w:after="0" w:line="240" w:lineRule="auto"/>
      </w:pPr>
      <w:r>
        <w:continuationSeparator/>
      </w:r>
    </w:p>
  </w:footnote>
  <w:footnote w:id="1">
    <w:p w14:paraId="37D076B2" w14:textId="1211AA6C" w:rsidR="00482F03" w:rsidRPr="00CA00A8" w:rsidRDefault="00482F03">
      <w:pPr>
        <w:pStyle w:val="Testonotaapidipagina"/>
        <w:rPr>
          <w:color w:val="000000" w:themeColor="text1"/>
        </w:rPr>
      </w:pPr>
      <w:r w:rsidRPr="00CA00A8">
        <w:rPr>
          <w:rStyle w:val="Rimandonotaapidipagina"/>
          <w:color w:val="000000" w:themeColor="text1"/>
        </w:rPr>
        <w:footnoteRef/>
      </w:r>
      <w:r w:rsidRPr="00CA00A8">
        <w:rPr>
          <w:color w:val="000000" w:themeColor="text1"/>
        </w:rPr>
        <w:t xml:space="preserve"> </w:t>
      </w:r>
      <w:r w:rsidR="00B05226" w:rsidRPr="00CA00A8">
        <w:rPr>
          <w:color w:val="000000" w:themeColor="text1"/>
        </w:rPr>
        <w:t>2.0100 I Relatori</w:t>
      </w:r>
    </w:p>
  </w:footnote>
  <w:footnote w:id="2">
    <w:p w14:paraId="3238CEA7" w14:textId="7C2BEAC6" w:rsidR="00CA00A8" w:rsidRDefault="00CA00A8">
      <w:pPr>
        <w:pStyle w:val="Testonotaapidipagina"/>
      </w:pPr>
      <w:r w:rsidRPr="00CA00A8">
        <w:rPr>
          <w:rStyle w:val="Rimandonotaapidipagina"/>
          <w:color w:val="000000" w:themeColor="text1"/>
        </w:rPr>
        <w:footnoteRef/>
      </w:r>
      <w:r w:rsidRPr="00CA00A8">
        <w:rPr>
          <w:color w:val="000000" w:themeColor="text1"/>
        </w:rPr>
        <w:t xml:space="preserve"> 3.07. (Nuova formulazione) Masi, Sut, Deiana, Davide Crippa, Zanichelli.</w:t>
      </w:r>
    </w:p>
  </w:footnote>
  <w:footnote w:id="3">
    <w:p w14:paraId="71C49A54" w14:textId="00AE3BCB" w:rsidR="00EA6860" w:rsidRDefault="00EA6860" w:rsidP="00EA6860">
      <w:pPr>
        <w:pStyle w:val="Testonotaapidipagina"/>
        <w:jc w:val="both"/>
      </w:pPr>
      <w:r w:rsidRPr="00EA6860">
        <w:rPr>
          <w:rStyle w:val="Rimandonotaapidipagina"/>
          <w:color w:val="000000" w:themeColor="text1"/>
        </w:rPr>
        <w:footnoteRef/>
      </w:r>
      <w:r w:rsidRPr="00EA6860">
        <w:rPr>
          <w:color w:val="000000" w:themeColor="text1"/>
        </w:rPr>
        <w:t xml:space="preserve"> *4.9. (Nuova formulazione) Mollicone; *4.59. (Nuova formulazione) </w:t>
      </w:r>
      <w:proofErr w:type="spellStart"/>
      <w:r w:rsidRPr="00EA6860">
        <w:rPr>
          <w:color w:val="000000" w:themeColor="text1"/>
        </w:rPr>
        <w:t>Furgiuele</w:t>
      </w:r>
      <w:proofErr w:type="spellEnd"/>
      <w:r w:rsidRPr="00EA6860">
        <w:rPr>
          <w:color w:val="000000" w:themeColor="text1"/>
        </w:rPr>
        <w:t xml:space="preserve">; *4.72. (Nuova formulazione) Mazzetti, Cortelazzo, Porchietto, </w:t>
      </w:r>
      <w:proofErr w:type="spellStart"/>
      <w:r w:rsidRPr="00EA6860">
        <w:rPr>
          <w:color w:val="000000" w:themeColor="text1"/>
        </w:rPr>
        <w:t>Torromino</w:t>
      </w:r>
      <w:proofErr w:type="spellEnd"/>
      <w:r w:rsidRPr="00EA6860">
        <w:rPr>
          <w:color w:val="000000" w:themeColor="text1"/>
        </w:rPr>
        <w:t>, Sessa, Polidori, Casino, Labriola, Ferraioli, Valentini</w:t>
      </w:r>
    </w:p>
  </w:footnote>
  <w:footnote w:id="4">
    <w:p w14:paraId="51500A8C" w14:textId="77777777" w:rsidR="00153EBA" w:rsidRPr="00675715" w:rsidRDefault="00153EBA" w:rsidP="00675715">
      <w:pPr>
        <w:pStyle w:val="Testonotaapidipagina"/>
        <w:jc w:val="both"/>
        <w:rPr>
          <w:color w:val="000000" w:themeColor="text1"/>
        </w:rPr>
      </w:pPr>
      <w:r w:rsidRPr="00675715">
        <w:rPr>
          <w:rStyle w:val="Rimandonotaapidipagina"/>
          <w:color w:val="000000" w:themeColor="text1"/>
        </w:rPr>
        <w:footnoteRef/>
      </w:r>
      <w:r w:rsidRPr="00675715">
        <w:rPr>
          <w:color w:val="000000" w:themeColor="text1"/>
        </w:rPr>
        <w:t xml:space="preserve"> *6.24. (Nuova formulazione) Tombolato, </w:t>
      </w:r>
      <w:proofErr w:type="spellStart"/>
      <w:r w:rsidRPr="00675715">
        <w:rPr>
          <w:color w:val="000000" w:themeColor="text1"/>
        </w:rPr>
        <w:t>Rixi</w:t>
      </w:r>
      <w:proofErr w:type="spellEnd"/>
      <w:r w:rsidRPr="00675715">
        <w:rPr>
          <w:color w:val="000000" w:themeColor="text1"/>
        </w:rPr>
        <w:t xml:space="preserve">, Maccanti, Donina, Capitanio, Fogliani, </w:t>
      </w:r>
      <w:proofErr w:type="spellStart"/>
      <w:r w:rsidRPr="00675715">
        <w:rPr>
          <w:color w:val="000000" w:themeColor="text1"/>
        </w:rPr>
        <w:t>Furgiuele</w:t>
      </w:r>
      <w:proofErr w:type="spellEnd"/>
      <w:r w:rsidRPr="00675715">
        <w:rPr>
          <w:color w:val="000000" w:themeColor="text1"/>
        </w:rPr>
        <w:t xml:space="preserve">, Giacometti, Zanella, Zordan, </w:t>
      </w:r>
      <w:proofErr w:type="spellStart"/>
      <w:r w:rsidRPr="00675715">
        <w:rPr>
          <w:color w:val="000000" w:themeColor="text1"/>
        </w:rPr>
        <w:t>Andreuzza</w:t>
      </w:r>
      <w:proofErr w:type="spellEnd"/>
      <w:r w:rsidRPr="00675715">
        <w:rPr>
          <w:color w:val="000000" w:themeColor="text1"/>
        </w:rPr>
        <w:t xml:space="preserve">, Binelli, Carrara, Colla, Fiorini, Galli, Micheli, </w:t>
      </w:r>
      <w:proofErr w:type="spellStart"/>
      <w:r w:rsidRPr="00675715">
        <w:rPr>
          <w:color w:val="000000" w:themeColor="text1"/>
        </w:rPr>
        <w:t>Pettazzi</w:t>
      </w:r>
      <w:proofErr w:type="spellEnd"/>
      <w:r w:rsidRPr="00675715">
        <w:rPr>
          <w:color w:val="000000" w:themeColor="text1"/>
        </w:rPr>
        <w:t xml:space="preserve">, Piastra, Saltamartini, </w:t>
      </w:r>
      <w:proofErr w:type="spellStart"/>
      <w:r w:rsidRPr="00675715">
        <w:rPr>
          <w:color w:val="000000" w:themeColor="text1"/>
        </w:rPr>
        <w:t>Badole</w:t>
      </w:r>
      <w:proofErr w:type="spellEnd"/>
      <w:r w:rsidRPr="00675715">
        <w:rPr>
          <w:color w:val="000000" w:themeColor="text1"/>
        </w:rPr>
        <w:t xml:space="preserve">, Benvenuto, Dara, D'Eramo, Eva Lorenzoni, Lucchini, </w:t>
      </w:r>
      <w:proofErr w:type="spellStart"/>
      <w:r w:rsidRPr="00675715">
        <w:rPr>
          <w:color w:val="000000" w:themeColor="text1"/>
        </w:rPr>
        <w:t>Patassini</w:t>
      </w:r>
      <w:proofErr w:type="spellEnd"/>
      <w:r w:rsidRPr="00675715">
        <w:rPr>
          <w:color w:val="000000" w:themeColor="text1"/>
        </w:rPr>
        <w:t xml:space="preserve">, Raffaelli, Valbusa, </w:t>
      </w:r>
      <w:proofErr w:type="spellStart"/>
      <w:r w:rsidRPr="00675715">
        <w:rPr>
          <w:color w:val="000000" w:themeColor="text1"/>
        </w:rPr>
        <w:t>Vallotto</w:t>
      </w:r>
      <w:proofErr w:type="spellEnd"/>
      <w:r w:rsidRPr="00675715">
        <w:rPr>
          <w:color w:val="000000" w:themeColor="text1"/>
        </w:rPr>
        <w:t>; *6.45. (Nuova formulazione) Pentangelo, Porchietto.</w:t>
      </w:r>
    </w:p>
    <w:p w14:paraId="55D45780" w14:textId="06B176A1" w:rsidR="00153EBA" w:rsidRPr="00675715" w:rsidRDefault="00153EBA" w:rsidP="00675715">
      <w:pPr>
        <w:pStyle w:val="Testonotaapidipagina"/>
        <w:jc w:val="both"/>
        <w:rPr>
          <w:color w:val="000000" w:themeColor="text1"/>
        </w:rPr>
      </w:pPr>
      <w:r w:rsidRPr="00675715">
        <w:rPr>
          <w:color w:val="000000" w:themeColor="text1"/>
        </w:rPr>
        <w:t xml:space="preserve">*6.2. (Nuova formulazione) De Micheli, Gariglio, Casu, Pizzetti, Andrea Romano, Bruno Bossio, Cantini, Del Basso De Caro; *6.5. (Nuova formulazione) Rotelli, </w:t>
      </w:r>
      <w:proofErr w:type="spellStart"/>
      <w:r w:rsidRPr="00675715">
        <w:rPr>
          <w:color w:val="000000" w:themeColor="text1"/>
        </w:rPr>
        <w:t>Silvestroni</w:t>
      </w:r>
      <w:proofErr w:type="spellEnd"/>
      <w:r w:rsidRPr="00675715">
        <w:rPr>
          <w:color w:val="000000" w:themeColor="text1"/>
        </w:rPr>
        <w:t xml:space="preserve">, Foti, Butti, Rachele Silvestri; *6.25. (Nuova formulazione) Tombolato, Donina, Maccanti, Fogliani, </w:t>
      </w:r>
      <w:proofErr w:type="spellStart"/>
      <w:r w:rsidRPr="00675715">
        <w:rPr>
          <w:color w:val="000000" w:themeColor="text1"/>
        </w:rPr>
        <w:t>Furgiuele</w:t>
      </w:r>
      <w:proofErr w:type="spellEnd"/>
      <w:r w:rsidRPr="00675715">
        <w:rPr>
          <w:color w:val="000000" w:themeColor="text1"/>
        </w:rPr>
        <w:t xml:space="preserve">, Giacometti, Zanella, Zordan, </w:t>
      </w:r>
      <w:proofErr w:type="spellStart"/>
      <w:r w:rsidRPr="00675715">
        <w:rPr>
          <w:color w:val="000000" w:themeColor="text1"/>
        </w:rPr>
        <w:t>Andreuzza</w:t>
      </w:r>
      <w:proofErr w:type="spellEnd"/>
      <w:r w:rsidRPr="00675715">
        <w:rPr>
          <w:color w:val="000000" w:themeColor="text1"/>
        </w:rPr>
        <w:t xml:space="preserve">, Binelli, Carrara, Colla, Fiorini, Galli, Micheli, </w:t>
      </w:r>
      <w:proofErr w:type="spellStart"/>
      <w:r w:rsidRPr="00675715">
        <w:rPr>
          <w:color w:val="000000" w:themeColor="text1"/>
        </w:rPr>
        <w:t>Pettazzi</w:t>
      </w:r>
      <w:proofErr w:type="spellEnd"/>
      <w:r w:rsidRPr="00675715">
        <w:rPr>
          <w:color w:val="000000" w:themeColor="text1"/>
        </w:rPr>
        <w:t xml:space="preserve">, Piastra, Saltamartini, </w:t>
      </w:r>
      <w:proofErr w:type="spellStart"/>
      <w:r w:rsidRPr="00675715">
        <w:rPr>
          <w:color w:val="000000" w:themeColor="text1"/>
        </w:rPr>
        <w:t>Badole</w:t>
      </w:r>
      <w:proofErr w:type="spellEnd"/>
      <w:r w:rsidRPr="00675715">
        <w:rPr>
          <w:color w:val="000000" w:themeColor="text1"/>
        </w:rPr>
        <w:t xml:space="preserve">, Benvenuto, Dara, D'Eramo, Eva Lorenzoni, Lucchini, </w:t>
      </w:r>
      <w:proofErr w:type="spellStart"/>
      <w:r w:rsidRPr="00675715">
        <w:rPr>
          <w:color w:val="000000" w:themeColor="text1"/>
        </w:rPr>
        <w:t>Patassini</w:t>
      </w:r>
      <w:proofErr w:type="spellEnd"/>
      <w:r w:rsidRPr="00675715">
        <w:rPr>
          <w:color w:val="000000" w:themeColor="text1"/>
        </w:rPr>
        <w:t xml:space="preserve">, Raffaelli, Valbusa, </w:t>
      </w:r>
      <w:proofErr w:type="spellStart"/>
      <w:r w:rsidRPr="00675715">
        <w:rPr>
          <w:color w:val="000000" w:themeColor="text1"/>
        </w:rPr>
        <w:t>Vallotto</w:t>
      </w:r>
      <w:proofErr w:type="spellEnd"/>
      <w:r w:rsidRPr="00675715">
        <w:rPr>
          <w:color w:val="000000" w:themeColor="text1"/>
        </w:rPr>
        <w:t>.</w:t>
      </w:r>
    </w:p>
  </w:footnote>
  <w:footnote w:id="5">
    <w:p w14:paraId="34D2E587" w14:textId="5AE19834" w:rsidR="00675715" w:rsidRDefault="00675715" w:rsidP="00675715">
      <w:pPr>
        <w:pStyle w:val="Testonotaapidipagina"/>
        <w:jc w:val="both"/>
      </w:pPr>
      <w:r w:rsidRPr="00675715">
        <w:rPr>
          <w:rStyle w:val="Rimandonotaapidipagina"/>
          <w:color w:val="000000" w:themeColor="text1"/>
        </w:rPr>
        <w:footnoteRef/>
      </w:r>
      <w:r w:rsidRPr="00675715">
        <w:rPr>
          <w:color w:val="000000" w:themeColor="text1"/>
        </w:rPr>
        <w:t xml:space="preserve"> *7.5. (Nuova formulazione) </w:t>
      </w:r>
      <w:proofErr w:type="spellStart"/>
      <w:r w:rsidRPr="00675715">
        <w:rPr>
          <w:color w:val="000000" w:themeColor="text1"/>
        </w:rPr>
        <w:t>Caiata</w:t>
      </w:r>
      <w:proofErr w:type="spellEnd"/>
      <w:r w:rsidRPr="00675715">
        <w:rPr>
          <w:color w:val="000000" w:themeColor="text1"/>
        </w:rPr>
        <w:t>, Zucconi, De Toma; *7.7. (Nuova formulazione) Rossi, Di Giorgi, Lattanzio, Lotti, Nitti, Orfini, Piccoli Nardelli, Prestipino.</w:t>
      </w:r>
    </w:p>
  </w:footnote>
  <w:footnote w:id="6">
    <w:p w14:paraId="1887F563" w14:textId="2C2E2980" w:rsidR="001B59B0" w:rsidRPr="00741D51" w:rsidRDefault="001B59B0">
      <w:pPr>
        <w:pStyle w:val="Testonotaapidipagina"/>
        <w:rPr>
          <w:color w:val="000000" w:themeColor="text1"/>
        </w:rPr>
      </w:pPr>
      <w:r>
        <w:rPr>
          <w:rStyle w:val="Rimandonotaapidipagina"/>
        </w:rPr>
        <w:footnoteRef/>
      </w:r>
      <w:r>
        <w:t xml:space="preserve"> </w:t>
      </w:r>
      <w:r>
        <w:rPr>
          <w:color w:val="000000" w:themeColor="text1"/>
        </w:rPr>
        <w:t>7.100 I Relatori</w:t>
      </w:r>
    </w:p>
  </w:footnote>
  <w:footnote w:id="7">
    <w:p w14:paraId="6073F6DD" w14:textId="1AA33135" w:rsidR="007C2D7D" w:rsidRPr="00741D51" w:rsidRDefault="007C2D7D" w:rsidP="007C2D7D">
      <w:pPr>
        <w:pStyle w:val="Testonotaapidipagina"/>
        <w:jc w:val="both"/>
        <w:rPr>
          <w:color w:val="000000" w:themeColor="text1"/>
        </w:rPr>
      </w:pPr>
      <w:r w:rsidRPr="00741D51">
        <w:rPr>
          <w:rStyle w:val="Rimandonotaapidipagina"/>
          <w:color w:val="000000" w:themeColor="text1"/>
        </w:rPr>
        <w:footnoteRef/>
      </w:r>
      <w:r w:rsidRPr="00741D51">
        <w:rPr>
          <w:color w:val="000000" w:themeColor="text1"/>
        </w:rPr>
        <w:t xml:space="preserve"> 9.73. (Nuova formulazione) Masi, Sut, </w:t>
      </w:r>
      <w:proofErr w:type="spellStart"/>
      <w:r w:rsidRPr="00741D51">
        <w:rPr>
          <w:color w:val="000000" w:themeColor="text1"/>
        </w:rPr>
        <w:t>Chiazzese</w:t>
      </w:r>
      <w:proofErr w:type="spellEnd"/>
    </w:p>
  </w:footnote>
  <w:footnote w:id="8">
    <w:p w14:paraId="013A4D47" w14:textId="466D5F45" w:rsidR="00561A5E" w:rsidRPr="00741D51" w:rsidRDefault="00561A5E" w:rsidP="005D59A3">
      <w:pPr>
        <w:pStyle w:val="Testonotaapidipagina"/>
        <w:jc w:val="both"/>
        <w:rPr>
          <w:color w:val="000000" w:themeColor="text1"/>
        </w:rPr>
      </w:pPr>
      <w:r w:rsidRPr="00741D51">
        <w:rPr>
          <w:rStyle w:val="Rimandonotaapidipagina"/>
          <w:color w:val="000000" w:themeColor="text1"/>
        </w:rPr>
        <w:footnoteRef/>
      </w:r>
      <w:r w:rsidRPr="00741D51">
        <w:rPr>
          <w:color w:val="000000" w:themeColor="text1"/>
        </w:rPr>
        <w:t xml:space="preserve"> </w:t>
      </w:r>
      <w:r w:rsidR="005D59A3" w:rsidRPr="00741D51">
        <w:rPr>
          <w:color w:val="000000" w:themeColor="text1"/>
        </w:rPr>
        <w:t xml:space="preserve">*9.14. (Nuova formulazione) Muroni; *9.47. (Nuova formulazione) Benamati, Bonomo, D'Elia, Gavino Manca, </w:t>
      </w:r>
      <w:proofErr w:type="spellStart"/>
      <w:r w:rsidR="005D59A3" w:rsidRPr="00741D51">
        <w:rPr>
          <w:color w:val="000000" w:themeColor="text1"/>
        </w:rPr>
        <w:t>Soverini</w:t>
      </w:r>
      <w:proofErr w:type="spellEnd"/>
      <w:r w:rsidR="005D59A3" w:rsidRPr="00741D51">
        <w:rPr>
          <w:color w:val="000000" w:themeColor="text1"/>
        </w:rPr>
        <w:t>, Zardini</w:t>
      </w:r>
      <w:r w:rsidR="00CF7C12" w:rsidRPr="00741D51">
        <w:rPr>
          <w:color w:val="000000" w:themeColor="text1"/>
        </w:rPr>
        <w:t xml:space="preserve">; </w:t>
      </w:r>
      <w:r w:rsidR="005D59A3" w:rsidRPr="00741D51">
        <w:rPr>
          <w:color w:val="000000" w:themeColor="text1"/>
        </w:rPr>
        <w:t xml:space="preserve">*9.60. (Nuova formulazione) Braga, Pellicani, Buratti, </w:t>
      </w:r>
      <w:proofErr w:type="spellStart"/>
      <w:r w:rsidR="005D59A3" w:rsidRPr="00741D51">
        <w:rPr>
          <w:color w:val="000000" w:themeColor="text1"/>
        </w:rPr>
        <w:t>Ciagà</w:t>
      </w:r>
      <w:proofErr w:type="spellEnd"/>
      <w:r w:rsidR="005D59A3" w:rsidRPr="00741D51">
        <w:rPr>
          <w:color w:val="000000" w:themeColor="text1"/>
        </w:rPr>
        <w:t xml:space="preserve">, Morassut, </w:t>
      </w:r>
      <w:proofErr w:type="spellStart"/>
      <w:r w:rsidR="005D59A3" w:rsidRPr="00741D51">
        <w:rPr>
          <w:color w:val="000000" w:themeColor="text1"/>
        </w:rPr>
        <w:t>Morgoni</w:t>
      </w:r>
      <w:proofErr w:type="spellEnd"/>
      <w:r w:rsidR="005D59A3" w:rsidRPr="00741D51">
        <w:rPr>
          <w:color w:val="000000" w:themeColor="text1"/>
        </w:rPr>
        <w:t xml:space="preserve">, Pezzopane, Rotta; *9.77. (Nuova formulazione) Masi, Sut, </w:t>
      </w:r>
      <w:proofErr w:type="spellStart"/>
      <w:r w:rsidR="005D59A3" w:rsidRPr="00741D51">
        <w:rPr>
          <w:color w:val="000000" w:themeColor="text1"/>
        </w:rPr>
        <w:t>Chiazzese</w:t>
      </w:r>
      <w:proofErr w:type="spellEnd"/>
      <w:r w:rsidR="005D59A3" w:rsidRPr="00741D51">
        <w:rPr>
          <w:color w:val="000000" w:themeColor="text1"/>
        </w:rPr>
        <w:t xml:space="preserve">; *9.96. (Nuova formulazione) </w:t>
      </w:r>
      <w:proofErr w:type="spellStart"/>
      <w:r w:rsidR="005D59A3" w:rsidRPr="00741D51">
        <w:rPr>
          <w:color w:val="000000" w:themeColor="text1"/>
        </w:rPr>
        <w:t>Patassini</w:t>
      </w:r>
      <w:proofErr w:type="spellEnd"/>
      <w:r w:rsidR="005D59A3" w:rsidRPr="00741D51">
        <w:rPr>
          <w:color w:val="000000" w:themeColor="text1"/>
        </w:rPr>
        <w:t xml:space="preserve">, Lucchini, </w:t>
      </w:r>
      <w:proofErr w:type="spellStart"/>
      <w:r w:rsidR="005D59A3" w:rsidRPr="00741D51">
        <w:rPr>
          <w:color w:val="000000" w:themeColor="text1"/>
        </w:rPr>
        <w:t>Badole</w:t>
      </w:r>
      <w:proofErr w:type="spellEnd"/>
      <w:r w:rsidR="005D59A3" w:rsidRPr="00741D51">
        <w:rPr>
          <w:color w:val="000000" w:themeColor="text1"/>
        </w:rPr>
        <w:t xml:space="preserve">, Benvenuto, D'Eramo, Dara, Eva Lorenzoni, Raffaelli, Valbusa, </w:t>
      </w:r>
      <w:proofErr w:type="spellStart"/>
      <w:r w:rsidR="005D59A3" w:rsidRPr="00741D51">
        <w:rPr>
          <w:color w:val="000000" w:themeColor="text1"/>
        </w:rPr>
        <w:t>Vallotto</w:t>
      </w:r>
      <w:proofErr w:type="spellEnd"/>
      <w:r w:rsidR="005D59A3" w:rsidRPr="00741D51">
        <w:rPr>
          <w:color w:val="000000" w:themeColor="text1"/>
        </w:rPr>
        <w:t xml:space="preserve">, Cavandoli; *9.122. (Nuova formulazione) Cattaneo, Cortelazzo, </w:t>
      </w:r>
      <w:proofErr w:type="spellStart"/>
      <w:r w:rsidR="005D59A3" w:rsidRPr="00741D51">
        <w:rPr>
          <w:color w:val="000000" w:themeColor="text1"/>
        </w:rPr>
        <w:t>Torromino</w:t>
      </w:r>
      <w:proofErr w:type="spellEnd"/>
      <w:r w:rsidR="005D59A3" w:rsidRPr="00741D51">
        <w:rPr>
          <w:color w:val="000000" w:themeColor="text1"/>
        </w:rPr>
        <w:t>, Mazzetti, Sessa, Polidori, Casino, Labriola, Ferraioli, Valentini.</w:t>
      </w:r>
    </w:p>
  </w:footnote>
  <w:footnote w:id="9">
    <w:p w14:paraId="6FF42143" w14:textId="43F58855" w:rsidR="00CF7C12" w:rsidRPr="00741D51" w:rsidRDefault="00CF7C12">
      <w:pPr>
        <w:pStyle w:val="Testonotaapidipagina"/>
        <w:rPr>
          <w:color w:val="000000" w:themeColor="text1"/>
        </w:rPr>
      </w:pPr>
      <w:r w:rsidRPr="00741D51">
        <w:rPr>
          <w:rStyle w:val="Rimandonotaapidipagina"/>
          <w:color w:val="000000" w:themeColor="text1"/>
        </w:rPr>
        <w:footnoteRef/>
      </w:r>
      <w:r w:rsidRPr="00741D51">
        <w:rPr>
          <w:color w:val="000000" w:themeColor="text1"/>
        </w:rPr>
        <w:t xml:space="preserve"> **9.64. Braga, Pellicani, Benamati, Buratti, </w:t>
      </w:r>
      <w:proofErr w:type="spellStart"/>
      <w:r w:rsidRPr="00741D51">
        <w:rPr>
          <w:color w:val="000000" w:themeColor="text1"/>
        </w:rPr>
        <w:t>Ciagà</w:t>
      </w:r>
      <w:proofErr w:type="spellEnd"/>
      <w:r w:rsidRPr="00741D51">
        <w:rPr>
          <w:color w:val="000000" w:themeColor="text1"/>
        </w:rPr>
        <w:t xml:space="preserve">, Morassut, </w:t>
      </w:r>
      <w:proofErr w:type="spellStart"/>
      <w:r w:rsidRPr="00741D51">
        <w:rPr>
          <w:color w:val="000000" w:themeColor="text1"/>
        </w:rPr>
        <w:t>Morgoni</w:t>
      </w:r>
      <w:proofErr w:type="spellEnd"/>
      <w:r w:rsidRPr="00741D51">
        <w:rPr>
          <w:color w:val="000000" w:themeColor="text1"/>
        </w:rPr>
        <w:t xml:space="preserve">, Pezzopane, </w:t>
      </w:r>
      <w:proofErr w:type="gramStart"/>
      <w:r w:rsidRPr="00741D51">
        <w:rPr>
          <w:color w:val="000000" w:themeColor="text1"/>
        </w:rPr>
        <w:t>Rotta;*</w:t>
      </w:r>
      <w:proofErr w:type="gramEnd"/>
      <w:r w:rsidRPr="00741D51">
        <w:rPr>
          <w:color w:val="000000" w:themeColor="text1"/>
        </w:rPr>
        <w:t xml:space="preserve">*9.70. Sut; **9.117. </w:t>
      </w:r>
      <w:proofErr w:type="spellStart"/>
      <w:r w:rsidRPr="00741D51">
        <w:rPr>
          <w:color w:val="000000" w:themeColor="text1"/>
        </w:rPr>
        <w:t>Torromino</w:t>
      </w:r>
      <w:proofErr w:type="spellEnd"/>
      <w:r w:rsidRPr="00741D51">
        <w:rPr>
          <w:color w:val="000000" w:themeColor="text1"/>
        </w:rPr>
        <w:t>, Cortelazzo, Mazzetti, Sessa, Polidori, Casino, Labriola, Ferraioli, Valentini, Porchietto.</w:t>
      </w:r>
    </w:p>
  </w:footnote>
  <w:footnote w:id="10">
    <w:p w14:paraId="0C21E7DB" w14:textId="6795D51A" w:rsidR="00306DE5" w:rsidRPr="00741D51" w:rsidRDefault="00306DE5">
      <w:pPr>
        <w:pStyle w:val="Testonotaapidipagina"/>
        <w:rPr>
          <w:color w:val="000000" w:themeColor="text1"/>
        </w:rPr>
      </w:pPr>
      <w:r w:rsidRPr="00741D51">
        <w:rPr>
          <w:rStyle w:val="Rimandonotaapidipagina"/>
          <w:color w:val="000000" w:themeColor="text1"/>
        </w:rPr>
        <w:footnoteRef/>
      </w:r>
      <w:r w:rsidRPr="00741D51">
        <w:rPr>
          <w:color w:val="000000" w:themeColor="text1"/>
        </w:rPr>
        <w:t xml:space="preserve"> 9.42. (Nuova formulazione) </w:t>
      </w:r>
      <w:proofErr w:type="spellStart"/>
      <w:r w:rsidRPr="00741D51">
        <w:rPr>
          <w:color w:val="000000" w:themeColor="text1"/>
        </w:rPr>
        <w:t>Fregolent</w:t>
      </w:r>
      <w:proofErr w:type="spellEnd"/>
      <w:r w:rsidRPr="00741D51">
        <w:rPr>
          <w:color w:val="000000" w:themeColor="text1"/>
        </w:rPr>
        <w:t>, Moretto.</w:t>
      </w:r>
    </w:p>
  </w:footnote>
  <w:footnote w:id="11">
    <w:p w14:paraId="5DC6D29C" w14:textId="021AD231" w:rsidR="00306DE5" w:rsidRDefault="00306DE5" w:rsidP="00306DE5">
      <w:pPr>
        <w:pStyle w:val="Testonotaapidipagina"/>
        <w:jc w:val="both"/>
      </w:pPr>
      <w:r w:rsidRPr="00741D51">
        <w:rPr>
          <w:rStyle w:val="Rimandonotaapidipagina"/>
          <w:color w:val="000000" w:themeColor="text1"/>
        </w:rPr>
        <w:footnoteRef/>
      </w:r>
      <w:r w:rsidRPr="00741D51">
        <w:rPr>
          <w:color w:val="000000" w:themeColor="text1"/>
        </w:rPr>
        <w:t xml:space="preserve"> *9.15. Muroni; *9.75. Masi, Sut, </w:t>
      </w:r>
      <w:proofErr w:type="spellStart"/>
      <w:r w:rsidRPr="00741D51">
        <w:rPr>
          <w:color w:val="000000" w:themeColor="text1"/>
        </w:rPr>
        <w:t>Chiazzese</w:t>
      </w:r>
      <w:proofErr w:type="spellEnd"/>
      <w:r w:rsidRPr="00741D51">
        <w:rPr>
          <w:color w:val="000000" w:themeColor="text1"/>
        </w:rPr>
        <w:t xml:space="preserve">; *9.44. </w:t>
      </w:r>
      <w:proofErr w:type="spellStart"/>
      <w:r w:rsidRPr="00741D51">
        <w:rPr>
          <w:color w:val="000000" w:themeColor="text1"/>
        </w:rPr>
        <w:t>Fregolent</w:t>
      </w:r>
      <w:proofErr w:type="spellEnd"/>
      <w:r w:rsidRPr="00741D51">
        <w:rPr>
          <w:color w:val="000000" w:themeColor="text1"/>
        </w:rPr>
        <w:t xml:space="preserve">, Moretto; *9.102. </w:t>
      </w:r>
      <w:proofErr w:type="spellStart"/>
      <w:r w:rsidRPr="00741D51">
        <w:rPr>
          <w:color w:val="000000" w:themeColor="text1"/>
        </w:rPr>
        <w:t>Patassini</w:t>
      </w:r>
      <w:proofErr w:type="spellEnd"/>
      <w:r w:rsidRPr="00741D51">
        <w:rPr>
          <w:color w:val="000000" w:themeColor="text1"/>
        </w:rPr>
        <w:t xml:space="preserve">, Lucchini, </w:t>
      </w:r>
      <w:proofErr w:type="spellStart"/>
      <w:r w:rsidRPr="00741D51">
        <w:rPr>
          <w:color w:val="000000" w:themeColor="text1"/>
        </w:rPr>
        <w:t>Andreuzza</w:t>
      </w:r>
      <w:proofErr w:type="spellEnd"/>
      <w:r w:rsidRPr="00741D51">
        <w:rPr>
          <w:color w:val="000000" w:themeColor="text1"/>
        </w:rPr>
        <w:t xml:space="preserve">, </w:t>
      </w:r>
      <w:proofErr w:type="spellStart"/>
      <w:r w:rsidRPr="00741D51">
        <w:rPr>
          <w:color w:val="000000" w:themeColor="text1"/>
        </w:rPr>
        <w:t>Badole</w:t>
      </w:r>
      <w:proofErr w:type="spellEnd"/>
      <w:r w:rsidRPr="00741D51">
        <w:rPr>
          <w:color w:val="000000" w:themeColor="text1"/>
        </w:rPr>
        <w:t xml:space="preserve">, </w:t>
      </w:r>
      <w:r w:rsidRPr="00306DE5">
        <w:rPr>
          <w:color w:val="000000" w:themeColor="text1"/>
        </w:rPr>
        <w:t xml:space="preserve">Benvenuto, Dara, D'Eramo, Eva Lorenzoni, Raffaelli, </w:t>
      </w:r>
      <w:proofErr w:type="spellStart"/>
      <w:r w:rsidRPr="00306DE5">
        <w:rPr>
          <w:color w:val="000000" w:themeColor="text1"/>
        </w:rPr>
        <w:t>Tateo</w:t>
      </w:r>
      <w:proofErr w:type="spellEnd"/>
      <w:r w:rsidRPr="00306DE5">
        <w:rPr>
          <w:color w:val="000000" w:themeColor="text1"/>
        </w:rPr>
        <w:t xml:space="preserve">, Valbusa, </w:t>
      </w:r>
      <w:proofErr w:type="spellStart"/>
      <w:r w:rsidRPr="00306DE5">
        <w:rPr>
          <w:color w:val="000000" w:themeColor="text1"/>
        </w:rPr>
        <w:t>Vallotto</w:t>
      </w:r>
      <w:proofErr w:type="spellEnd"/>
      <w:r w:rsidRPr="00306DE5">
        <w:rPr>
          <w:color w:val="000000" w:themeColor="text1"/>
        </w:rPr>
        <w:t xml:space="preserve">, Binelli, Carrara, Colla, Fiorini, Galli, Micheli, </w:t>
      </w:r>
      <w:proofErr w:type="spellStart"/>
      <w:r w:rsidRPr="00306DE5">
        <w:rPr>
          <w:color w:val="000000" w:themeColor="text1"/>
        </w:rPr>
        <w:t>Pettazzi</w:t>
      </w:r>
      <w:proofErr w:type="spellEnd"/>
      <w:r w:rsidRPr="00306DE5">
        <w:rPr>
          <w:color w:val="000000" w:themeColor="text1"/>
        </w:rPr>
        <w:t xml:space="preserve">, Piastra, Saltamartini, Cavandoli; *9.1. (Nuova formulazione) Romaniello, Dori, Paolo Nicolò Romano, Siragusa, </w:t>
      </w:r>
      <w:proofErr w:type="spellStart"/>
      <w:r w:rsidRPr="00306DE5">
        <w:rPr>
          <w:color w:val="000000" w:themeColor="text1"/>
        </w:rPr>
        <w:t>Paxia</w:t>
      </w:r>
      <w:proofErr w:type="spellEnd"/>
      <w:r w:rsidRPr="00306DE5">
        <w:rPr>
          <w:color w:val="000000" w:themeColor="text1"/>
        </w:rPr>
        <w:t>.</w:t>
      </w:r>
    </w:p>
  </w:footnote>
  <w:footnote w:id="12">
    <w:p w14:paraId="1F50A6FE" w14:textId="4612F910" w:rsidR="0088744D" w:rsidRDefault="0088744D">
      <w:pPr>
        <w:pStyle w:val="Testonotaapidipagina"/>
      </w:pPr>
      <w:r w:rsidRPr="00B71370">
        <w:rPr>
          <w:rStyle w:val="Rimandonotaapidipagina"/>
          <w:color w:val="000000" w:themeColor="text1"/>
        </w:rPr>
        <w:footnoteRef/>
      </w:r>
      <w:r w:rsidRPr="00B71370">
        <w:rPr>
          <w:color w:val="000000" w:themeColor="text1"/>
        </w:rPr>
        <w:t xml:space="preserve"> </w:t>
      </w:r>
      <w:r w:rsidR="00B71370" w:rsidRPr="00B71370">
        <w:rPr>
          <w:color w:val="000000" w:themeColor="text1"/>
        </w:rPr>
        <w:t>9.129. (Nuova formulazione) Pastorino, Timbro.</w:t>
      </w:r>
    </w:p>
  </w:footnote>
  <w:footnote w:id="13">
    <w:p w14:paraId="28D2402C" w14:textId="7DAB58EA" w:rsidR="009922D9" w:rsidRDefault="009922D9" w:rsidP="00FB1D52">
      <w:pPr>
        <w:pStyle w:val="Testonotaapidipagina"/>
        <w:jc w:val="both"/>
      </w:pPr>
      <w:r w:rsidRPr="008066E0">
        <w:rPr>
          <w:rStyle w:val="Rimandonotaapidipagina"/>
          <w:color w:val="000000" w:themeColor="text1"/>
        </w:rPr>
        <w:footnoteRef/>
      </w:r>
      <w:r w:rsidRPr="008066E0">
        <w:rPr>
          <w:color w:val="000000" w:themeColor="text1"/>
        </w:rPr>
        <w:t xml:space="preserve"> </w:t>
      </w:r>
      <w:r w:rsidR="008066E0" w:rsidRPr="008066E0">
        <w:rPr>
          <w:color w:val="000000" w:themeColor="text1"/>
        </w:rPr>
        <w:t>9.111</w:t>
      </w:r>
      <w:r w:rsidR="00FB1D52">
        <w:rPr>
          <w:color w:val="000000" w:themeColor="text1"/>
        </w:rPr>
        <w:t xml:space="preserve"> </w:t>
      </w:r>
      <w:r w:rsidR="00FB1D52" w:rsidRPr="00FB1D52">
        <w:rPr>
          <w:color w:val="000000" w:themeColor="text1"/>
        </w:rPr>
        <w:t xml:space="preserve">(Nuova formulazione) Mazzetti, Porchietto, Cortelazzo, Labriola, Polidori, </w:t>
      </w:r>
      <w:proofErr w:type="spellStart"/>
      <w:r w:rsidR="00FB1D52" w:rsidRPr="00FB1D52">
        <w:rPr>
          <w:color w:val="000000" w:themeColor="text1"/>
        </w:rPr>
        <w:t>Torromino</w:t>
      </w:r>
      <w:proofErr w:type="spellEnd"/>
      <w:r w:rsidR="00FB1D52" w:rsidRPr="00FB1D52">
        <w:rPr>
          <w:color w:val="000000" w:themeColor="text1"/>
        </w:rPr>
        <w:t>, Casino, Ferraioli, Sessa, Valentini, Giacometto.</w:t>
      </w:r>
    </w:p>
  </w:footnote>
  <w:footnote w:id="14">
    <w:p w14:paraId="03810C04" w14:textId="2ABEA3B4" w:rsidR="00802166" w:rsidRPr="00BC5582" w:rsidRDefault="00802166" w:rsidP="00043538">
      <w:pPr>
        <w:pStyle w:val="Testonotaapidipagina"/>
        <w:jc w:val="both"/>
        <w:rPr>
          <w:color w:val="000000" w:themeColor="text1"/>
        </w:rPr>
      </w:pPr>
      <w:r w:rsidRPr="00043538">
        <w:rPr>
          <w:rStyle w:val="Rimandonotaapidipagina"/>
          <w:color w:val="000000" w:themeColor="text1"/>
        </w:rPr>
        <w:footnoteRef/>
      </w:r>
      <w:r w:rsidRPr="00043538">
        <w:rPr>
          <w:color w:val="000000" w:themeColor="text1"/>
        </w:rPr>
        <w:t xml:space="preserve"> </w:t>
      </w:r>
      <w:r w:rsidR="00043538" w:rsidRPr="00043538">
        <w:rPr>
          <w:color w:val="000000" w:themeColor="text1"/>
        </w:rPr>
        <w:t xml:space="preserve">*9.100. (Nuova formulazione) </w:t>
      </w:r>
      <w:proofErr w:type="spellStart"/>
      <w:r w:rsidR="00043538" w:rsidRPr="00043538">
        <w:rPr>
          <w:color w:val="000000" w:themeColor="text1"/>
        </w:rPr>
        <w:t>Andreuzza</w:t>
      </w:r>
      <w:proofErr w:type="spellEnd"/>
      <w:r w:rsidR="00043538" w:rsidRPr="00043538">
        <w:rPr>
          <w:color w:val="000000" w:themeColor="text1"/>
        </w:rPr>
        <w:t xml:space="preserve">, Binelli, Carrara, Colla, Fiorini, Galli, Micheli, </w:t>
      </w:r>
      <w:proofErr w:type="spellStart"/>
      <w:r w:rsidR="00043538" w:rsidRPr="00043538">
        <w:rPr>
          <w:color w:val="000000" w:themeColor="text1"/>
        </w:rPr>
        <w:t>Pettazzi</w:t>
      </w:r>
      <w:proofErr w:type="spellEnd"/>
      <w:r w:rsidR="00043538" w:rsidRPr="00043538">
        <w:rPr>
          <w:color w:val="000000" w:themeColor="text1"/>
        </w:rPr>
        <w:t xml:space="preserve">, Piastra, Saltamartini, Lucchini, </w:t>
      </w:r>
      <w:proofErr w:type="spellStart"/>
      <w:r w:rsidR="00043538" w:rsidRPr="00043538">
        <w:rPr>
          <w:color w:val="000000" w:themeColor="text1"/>
        </w:rPr>
        <w:t>Badole</w:t>
      </w:r>
      <w:proofErr w:type="spellEnd"/>
      <w:r w:rsidR="00043538" w:rsidRPr="00043538">
        <w:rPr>
          <w:color w:val="000000" w:themeColor="text1"/>
        </w:rPr>
        <w:t xml:space="preserve">, Benvenuto, Dara, D'Eramo, Eva Lorenzoni, </w:t>
      </w:r>
      <w:proofErr w:type="spellStart"/>
      <w:r w:rsidR="00043538" w:rsidRPr="00043538">
        <w:rPr>
          <w:color w:val="000000" w:themeColor="text1"/>
        </w:rPr>
        <w:t>Patassini</w:t>
      </w:r>
      <w:proofErr w:type="spellEnd"/>
      <w:r w:rsidR="00043538" w:rsidRPr="00043538">
        <w:rPr>
          <w:color w:val="000000" w:themeColor="text1"/>
        </w:rPr>
        <w:t xml:space="preserve">, Raffaelli, </w:t>
      </w:r>
      <w:proofErr w:type="spellStart"/>
      <w:r w:rsidR="00043538" w:rsidRPr="00043538">
        <w:rPr>
          <w:color w:val="000000" w:themeColor="text1"/>
        </w:rPr>
        <w:t>Tateo</w:t>
      </w:r>
      <w:proofErr w:type="spellEnd"/>
      <w:r w:rsidR="00043538" w:rsidRPr="00043538">
        <w:rPr>
          <w:color w:val="000000" w:themeColor="text1"/>
        </w:rPr>
        <w:t xml:space="preserve">, Valbusa, </w:t>
      </w:r>
      <w:proofErr w:type="spellStart"/>
      <w:r w:rsidR="00043538" w:rsidRPr="00043538">
        <w:rPr>
          <w:color w:val="000000" w:themeColor="text1"/>
        </w:rPr>
        <w:t>Vallotto</w:t>
      </w:r>
      <w:proofErr w:type="spellEnd"/>
      <w:r w:rsidR="00043538" w:rsidRPr="00043538">
        <w:rPr>
          <w:color w:val="000000" w:themeColor="text1"/>
        </w:rPr>
        <w:t xml:space="preserve">, </w:t>
      </w:r>
      <w:proofErr w:type="spellStart"/>
      <w:r w:rsidR="00043538" w:rsidRPr="00043538">
        <w:rPr>
          <w:color w:val="000000" w:themeColor="text1"/>
        </w:rPr>
        <w:t>Bisa</w:t>
      </w:r>
      <w:proofErr w:type="spellEnd"/>
      <w:r w:rsidR="00043538" w:rsidRPr="00043538">
        <w:rPr>
          <w:color w:val="000000" w:themeColor="text1"/>
        </w:rPr>
        <w:t xml:space="preserve">, </w:t>
      </w:r>
      <w:proofErr w:type="spellStart"/>
      <w:r w:rsidR="00043538" w:rsidRPr="00043538">
        <w:rPr>
          <w:color w:val="000000" w:themeColor="text1"/>
        </w:rPr>
        <w:t>Racchella</w:t>
      </w:r>
      <w:proofErr w:type="spellEnd"/>
      <w:r w:rsidR="00043538" w:rsidRPr="00043538">
        <w:rPr>
          <w:color w:val="000000" w:themeColor="text1"/>
        </w:rPr>
        <w:t xml:space="preserve">, Picchi, Manzato, </w:t>
      </w:r>
      <w:proofErr w:type="gramStart"/>
      <w:r w:rsidR="00043538" w:rsidRPr="00043538">
        <w:rPr>
          <w:color w:val="000000" w:themeColor="text1"/>
        </w:rPr>
        <w:t>Cavandoli:*</w:t>
      </w:r>
      <w:proofErr w:type="gramEnd"/>
      <w:r w:rsidR="00043538" w:rsidRPr="00043538">
        <w:rPr>
          <w:color w:val="000000" w:themeColor="text1"/>
        </w:rPr>
        <w:t xml:space="preserve">9.8. (Nuova formulazione) Muroni, </w:t>
      </w:r>
      <w:proofErr w:type="spellStart"/>
      <w:r w:rsidR="00043538" w:rsidRPr="00043538">
        <w:rPr>
          <w:color w:val="000000" w:themeColor="text1"/>
        </w:rPr>
        <w:t>Fioramonti</w:t>
      </w:r>
      <w:proofErr w:type="spellEnd"/>
      <w:r w:rsidR="00043538" w:rsidRPr="00043538">
        <w:rPr>
          <w:color w:val="000000" w:themeColor="text1"/>
        </w:rPr>
        <w:t>, Tasso</w:t>
      </w:r>
      <w:r w:rsidR="007D67F2">
        <w:rPr>
          <w:color w:val="000000" w:themeColor="text1"/>
        </w:rPr>
        <w:t xml:space="preserve">; </w:t>
      </w:r>
      <w:r w:rsidR="00043538" w:rsidRPr="00043538">
        <w:rPr>
          <w:color w:val="000000" w:themeColor="text1"/>
        </w:rPr>
        <w:t xml:space="preserve">*9.23. (Nuova formulazione) Foti, Butti, Rachele Silvestri; *9.24. (Nuova formulazione) Foti, Butti, Rachele Silvestri; *9.35. (Nuova formulazione) Zucconi, De Toma, </w:t>
      </w:r>
      <w:proofErr w:type="spellStart"/>
      <w:r w:rsidR="00043538" w:rsidRPr="00043538">
        <w:rPr>
          <w:color w:val="000000" w:themeColor="text1"/>
        </w:rPr>
        <w:t>Caiata</w:t>
      </w:r>
      <w:proofErr w:type="spellEnd"/>
      <w:r w:rsidR="00043538" w:rsidRPr="00043538">
        <w:rPr>
          <w:color w:val="000000" w:themeColor="text1"/>
        </w:rPr>
        <w:t>; *9.49. (Nuova formulazione) Gagliardi; *9.51. (Nuova formulazione) Gagliardi; *9.52. (Nuova formulazione) Scanu; *9.54. (Nuova formulazione) Scanu</w:t>
      </w:r>
      <w:r w:rsidR="007D67F2">
        <w:rPr>
          <w:color w:val="000000" w:themeColor="text1"/>
        </w:rPr>
        <w:t xml:space="preserve">; </w:t>
      </w:r>
      <w:r w:rsidR="00043538" w:rsidRPr="00043538">
        <w:rPr>
          <w:color w:val="000000" w:themeColor="text1"/>
        </w:rPr>
        <w:t xml:space="preserve">*9.57. (Nuova formulazione) Pezzopane, Pellicani, Braga, Buratti, </w:t>
      </w:r>
      <w:proofErr w:type="spellStart"/>
      <w:r w:rsidR="00043538" w:rsidRPr="00043538">
        <w:rPr>
          <w:color w:val="000000" w:themeColor="text1"/>
        </w:rPr>
        <w:t>Ciagà</w:t>
      </w:r>
      <w:proofErr w:type="spellEnd"/>
      <w:r w:rsidR="00043538" w:rsidRPr="00043538">
        <w:rPr>
          <w:color w:val="000000" w:themeColor="text1"/>
        </w:rPr>
        <w:t xml:space="preserve">, Morassut, </w:t>
      </w:r>
      <w:proofErr w:type="spellStart"/>
      <w:r w:rsidR="00043538" w:rsidRPr="00043538">
        <w:rPr>
          <w:color w:val="000000" w:themeColor="text1"/>
        </w:rPr>
        <w:t>Morgoni</w:t>
      </w:r>
      <w:proofErr w:type="spellEnd"/>
      <w:r w:rsidR="00043538" w:rsidRPr="00043538">
        <w:rPr>
          <w:color w:val="000000" w:themeColor="text1"/>
        </w:rPr>
        <w:t xml:space="preserve">, Rotta; *9.61. (Nuova formulazione) Pellicani, Braga, Buratti, </w:t>
      </w:r>
      <w:proofErr w:type="spellStart"/>
      <w:r w:rsidR="00043538" w:rsidRPr="00043538">
        <w:rPr>
          <w:color w:val="000000" w:themeColor="text1"/>
        </w:rPr>
        <w:t>Ciagà</w:t>
      </w:r>
      <w:proofErr w:type="spellEnd"/>
      <w:r w:rsidR="00043538" w:rsidRPr="00043538">
        <w:rPr>
          <w:color w:val="000000" w:themeColor="text1"/>
        </w:rPr>
        <w:t xml:space="preserve">, Morassut, </w:t>
      </w:r>
      <w:proofErr w:type="spellStart"/>
      <w:r w:rsidR="00043538" w:rsidRPr="00043538">
        <w:rPr>
          <w:color w:val="000000" w:themeColor="text1"/>
        </w:rPr>
        <w:t>Morgoni</w:t>
      </w:r>
      <w:proofErr w:type="spellEnd"/>
      <w:r w:rsidR="00043538" w:rsidRPr="00043538">
        <w:rPr>
          <w:color w:val="000000" w:themeColor="text1"/>
        </w:rPr>
        <w:t xml:space="preserve">, Pezzopane; *9.66. (Nuova formulazione) Barbuto, Grippa, Deiana, Rotta; *9.68. (Nuova formulazione) Terzoni, Sut; *9.74. (Nuova formulazione) </w:t>
      </w:r>
      <w:proofErr w:type="spellStart"/>
      <w:r w:rsidR="00043538" w:rsidRPr="00043538">
        <w:rPr>
          <w:color w:val="000000" w:themeColor="text1"/>
        </w:rPr>
        <w:t>Chiazzese</w:t>
      </w:r>
      <w:proofErr w:type="spellEnd"/>
      <w:r w:rsidR="00043538" w:rsidRPr="00043538">
        <w:rPr>
          <w:color w:val="000000" w:themeColor="text1"/>
        </w:rPr>
        <w:t xml:space="preserve">, Masi, Sut; *9.98. (Nuova formulazione) Lucchini, </w:t>
      </w:r>
      <w:proofErr w:type="spellStart"/>
      <w:r w:rsidR="00043538" w:rsidRPr="00043538">
        <w:rPr>
          <w:color w:val="000000" w:themeColor="text1"/>
        </w:rPr>
        <w:t>Rixi</w:t>
      </w:r>
      <w:proofErr w:type="spellEnd"/>
      <w:r w:rsidR="00043538" w:rsidRPr="00043538">
        <w:rPr>
          <w:color w:val="000000" w:themeColor="text1"/>
        </w:rPr>
        <w:t xml:space="preserve">, </w:t>
      </w:r>
      <w:proofErr w:type="spellStart"/>
      <w:r w:rsidR="00043538" w:rsidRPr="00043538">
        <w:rPr>
          <w:color w:val="000000" w:themeColor="text1"/>
        </w:rPr>
        <w:t>Badole</w:t>
      </w:r>
      <w:proofErr w:type="spellEnd"/>
      <w:r w:rsidR="00043538" w:rsidRPr="00043538">
        <w:rPr>
          <w:color w:val="000000" w:themeColor="text1"/>
        </w:rPr>
        <w:t xml:space="preserve">, Benvenuto, D'Eramo, Dara, Eva Lorenzoni, Cavandoli; *9.103. (Nuova formulazione) Lupi; *9.106. (Nuova formulazione) </w:t>
      </w:r>
      <w:proofErr w:type="spellStart"/>
      <w:r w:rsidR="00043538" w:rsidRPr="00043538">
        <w:rPr>
          <w:color w:val="000000" w:themeColor="text1"/>
        </w:rPr>
        <w:t>Plangger</w:t>
      </w:r>
      <w:proofErr w:type="spellEnd"/>
      <w:r w:rsidR="00043538" w:rsidRPr="00043538">
        <w:rPr>
          <w:color w:val="000000" w:themeColor="text1"/>
        </w:rPr>
        <w:t xml:space="preserve">, </w:t>
      </w:r>
      <w:proofErr w:type="spellStart"/>
      <w:r w:rsidR="00043538" w:rsidRPr="00043538">
        <w:rPr>
          <w:color w:val="000000" w:themeColor="text1"/>
        </w:rPr>
        <w:t>Schullian</w:t>
      </w:r>
      <w:proofErr w:type="spellEnd"/>
      <w:r w:rsidR="00043538" w:rsidRPr="00043538">
        <w:rPr>
          <w:color w:val="000000" w:themeColor="text1"/>
        </w:rPr>
        <w:t xml:space="preserve">, </w:t>
      </w:r>
      <w:proofErr w:type="spellStart"/>
      <w:r w:rsidR="00043538" w:rsidRPr="00043538">
        <w:rPr>
          <w:color w:val="000000" w:themeColor="text1"/>
        </w:rPr>
        <w:t>Gebhard</w:t>
      </w:r>
      <w:proofErr w:type="spellEnd"/>
      <w:r w:rsidR="00043538" w:rsidRPr="00043538">
        <w:rPr>
          <w:color w:val="000000" w:themeColor="text1"/>
        </w:rPr>
        <w:t xml:space="preserve">, </w:t>
      </w:r>
      <w:r w:rsidR="00043538" w:rsidRPr="00BC5582">
        <w:rPr>
          <w:color w:val="000000" w:themeColor="text1"/>
        </w:rPr>
        <w:t xml:space="preserve">Emanuela Rossini, </w:t>
      </w:r>
      <w:proofErr w:type="spellStart"/>
      <w:r w:rsidR="00043538" w:rsidRPr="00BC5582">
        <w:rPr>
          <w:color w:val="000000" w:themeColor="text1"/>
        </w:rPr>
        <w:t>Patassini</w:t>
      </w:r>
      <w:proofErr w:type="spellEnd"/>
      <w:r w:rsidR="00043538" w:rsidRPr="00BC5582">
        <w:rPr>
          <w:color w:val="000000" w:themeColor="text1"/>
        </w:rPr>
        <w:t xml:space="preserve">, Raffaelli, Valbusa, </w:t>
      </w:r>
      <w:proofErr w:type="spellStart"/>
      <w:r w:rsidR="00043538" w:rsidRPr="00BC5582">
        <w:rPr>
          <w:color w:val="000000" w:themeColor="text1"/>
        </w:rPr>
        <w:t>Vallotto</w:t>
      </w:r>
      <w:proofErr w:type="spellEnd"/>
      <w:r w:rsidR="00043538" w:rsidRPr="00BC5582">
        <w:rPr>
          <w:color w:val="000000" w:themeColor="text1"/>
        </w:rPr>
        <w:t xml:space="preserve">; *9.112. (Nuova formulazione) Mazzetti, Cortelazzo, Cattaneo, Labriola, Porchietto, Polidori, </w:t>
      </w:r>
      <w:proofErr w:type="spellStart"/>
      <w:r w:rsidR="00043538" w:rsidRPr="00BC5582">
        <w:rPr>
          <w:color w:val="000000" w:themeColor="text1"/>
        </w:rPr>
        <w:t>Torromino</w:t>
      </w:r>
      <w:proofErr w:type="spellEnd"/>
      <w:r w:rsidR="00043538" w:rsidRPr="00BC5582">
        <w:rPr>
          <w:color w:val="000000" w:themeColor="text1"/>
        </w:rPr>
        <w:t xml:space="preserve">, Casino, Sessa, Valentini, Ferraioli; *9.133. (Nuova formulazione) Comaroli, Lucchini, </w:t>
      </w:r>
      <w:proofErr w:type="spellStart"/>
      <w:r w:rsidR="00043538" w:rsidRPr="00BC5582">
        <w:rPr>
          <w:color w:val="000000" w:themeColor="text1"/>
        </w:rPr>
        <w:t>Badole</w:t>
      </w:r>
      <w:proofErr w:type="spellEnd"/>
      <w:r w:rsidR="00043538" w:rsidRPr="00BC5582">
        <w:rPr>
          <w:color w:val="000000" w:themeColor="text1"/>
        </w:rPr>
        <w:t xml:space="preserve">, Benvenuto, D'Eramo, Dara, Eva Lorenzoni, </w:t>
      </w:r>
      <w:proofErr w:type="spellStart"/>
      <w:r w:rsidR="00043538" w:rsidRPr="00BC5582">
        <w:rPr>
          <w:color w:val="000000" w:themeColor="text1"/>
        </w:rPr>
        <w:t>Patassini</w:t>
      </w:r>
      <w:proofErr w:type="spellEnd"/>
      <w:r w:rsidR="00043538" w:rsidRPr="00BC5582">
        <w:rPr>
          <w:color w:val="000000" w:themeColor="text1"/>
        </w:rPr>
        <w:t xml:space="preserve">, Raffaelli, Valbusa, </w:t>
      </w:r>
      <w:proofErr w:type="spellStart"/>
      <w:r w:rsidR="00043538" w:rsidRPr="00BC5582">
        <w:rPr>
          <w:color w:val="000000" w:themeColor="text1"/>
        </w:rPr>
        <w:t>Vallotto</w:t>
      </w:r>
      <w:proofErr w:type="spellEnd"/>
      <w:r w:rsidR="00043538" w:rsidRPr="00BC5582">
        <w:rPr>
          <w:color w:val="000000" w:themeColor="text1"/>
        </w:rPr>
        <w:t xml:space="preserve">, Binelli, </w:t>
      </w:r>
      <w:proofErr w:type="spellStart"/>
      <w:r w:rsidR="00043538" w:rsidRPr="00BC5582">
        <w:rPr>
          <w:color w:val="000000" w:themeColor="text1"/>
        </w:rPr>
        <w:t>Andreuzza</w:t>
      </w:r>
      <w:proofErr w:type="spellEnd"/>
      <w:r w:rsidR="00043538" w:rsidRPr="00BC5582">
        <w:rPr>
          <w:color w:val="000000" w:themeColor="text1"/>
        </w:rPr>
        <w:t xml:space="preserve">, Carrara, Colla, Fiorini, Galli, Micheli, </w:t>
      </w:r>
      <w:proofErr w:type="spellStart"/>
      <w:r w:rsidR="00043538" w:rsidRPr="00BC5582">
        <w:rPr>
          <w:color w:val="000000" w:themeColor="text1"/>
        </w:rPr>
        <w:t>Pettazzi</w:t>
      </w:r>
      <w:proofErr w:type="spellEnd"/>
      <w:r w:rsidR="00043538" w:rsidRPr="00BC5582">
        <w:rPr>
          <w:color w:val="000000" w:themeColor="text1"/>
        </w:rPr>
        <w:t>, Piastra, Saltamartini.</w:t>
      </w:r>
    </w:p>
  </w:footnote>
  <w:footnote w:id="15">
    <w:p w14:paraId="40FED93A" w14:textId="1487F3EE" w:rsidR="00BB6C41" w:rsidRPr="00BC5582" w:rsidRDefault="00BB6C41" w:rsidP="007F791E">
      <w:pPr>
        <w:pStyle w:val="Testonotaapidipagina"/>
        <w:jc w:val="both"/>
        <w:rPr>
          <w:color w:val="000000" w:themeColor="text1"/>
        </w:rPr>
      </w:pPr>
      <w:r w:rsidRPr="00BC5582">
        <w:rPr>
          <w:rStyle w:val="Rimandonotaapidipagina"/>
          <w:color w:val="000000" w:themeColor="text1"/>
        </w:rPr>
        <w:footnoteRef/>
      </w:r>
      <w:r w:rsidRPr="00BC5582">
        <w:rPr>
          <w:color w:val="000000" w:themeColor="text1"/>
        </w:rPr>
        <w:t xml:space="preserve"> </w:t>
      </w:r>
      <w:r w:rsidR="007F791E" w:rsidRPr="00BC5582">
        <w:rPr>
          <w:color w:val="000000" w:themeColor="text1"/>
        </w:rPr>
        <w:t xml:space="preserve">**9.130. (Nuova formulazione) Pastorino, Timbro; **9.79. (Nuova formulazione) Terzoni, Sut; **9.128. (Nuova formulazione) Pella, Mazzetti, Porchietto, Cortelazzo, Polidori, Labriola, </w:t>
      </w:r>
      <w:proofErr w:type="spellStart"/>
      <w:r w:rsidR="007F791E" w:rsidRPr="00BC5582">
        <w:rPr>
          <w:color w:val="000000" w:themeColor="text1"/>
        </w:rPr>
        <w:t>Torromino</w:t>
      </w:r>
      <w:proofErr w:type="spellEnd"/>
      <w:r w:rsidR="007F791E" w:rsidRPr="00BC5582">
        <w:rPr>
          <w:color w:val="000000" w:themeColor="text1"/>
        </w:rPr>
        <w:t>, Casino, Ferraioli, Sessa, Valentini; **9.56. (Nuova formulazione) Gagliardi; **12.014. (Nuova formulazione) Sut.</w:t>
      </w:r>
    </w:p>
  </w:footnote>
  <w:footnote w:id="16">
    <w:p w14:paraId="3EAF725C" w14:textId="30B492BE" w:rsidR="00743EBD" w:rsidRPr="00BC5582" w:rsidRDefault="00743EBD">
      <w:pPr>
        <w:pStyle w:val="Testonotaapidipagina"/>
        <w:rPr>
          <w:color w:val="000000" w:themeColor="text1"/>
        </w:rPr>
      </w:pPr>
      <w:r w:rsidRPr="00BC5582">
        <w:rPr>
          <w:rStyle w:val="Rimandonotaapidipagina"/>
          <w:color w:val="000000" w:themeColor="text1"/>
        </w:rPr>
        <w:footnoteRef/>
      </w:r>
      <w:r w:rsidRPr="00BC5582">
        <w:rPr>
          <w:color w:val="000000" w:themeColor="text1"/>
        </w:rPr>
        <w:t xml:space="preserve"> </w:t>
      </w:r>
      <w:r w:rsidR="00280D0B" w:rsidRPr="00BC5582">
        <w:rPr>
          <w:color w:val="000000" w:themeColor="text1"/>
        </w:rPr>
        <w:t>9.83. Paolo Nicolò Romano, Romaniello, Dori, Siragusa.</w:t>
      </w:r>
    </w:p>
  </w:footnote>
  <w:footnote w:id="17">
    <w:p w14:paraId="2A88054A" w14:textId="2F1D24AB" w:rsidR="0090483E" w:rsidRPr="00BC5582" w:rsidRDefault="0090483E">
      <w:pPr>
        <w:pStyle w:val="Testonotaapidipagina"/>
        <w:rPr>
          <w:color w:val="000000" w:themeColor="text1"/>
        </w:rPr>
      </w:pPr>
      <w:r w:rsidRPr="00BC5582">
        <w:rPr>
          <w:rStyle w:val="Rimandonotaapidipagina"/>
          <w:color w:val="000000" w:themeColor="text1"/>
        </w:rPr>
        <w:footnoteRef/>
      </w:r>
      <w:r w:rsidRPr="00BC5582">
        <w:rPr>
          <w:color w:val="000000" w:themeColor="text1"/>
        </w:rPr>
        <w:t xml:space="preserve"> </w:t>
      </w:r>
      <w:r w:rsidR="00EA0500" w:rsidRPr="00BC5582">
        <w:rPr>
          <w:color w:val="000000" w:themeColor="text1"/>
        </w:rPr>
        <w:t>9.</w:t>
      </w:r>
      <w:r w:rsidRPr="00BC5582">
        <w:rPr>
          <w:color w:val="000000" w:themeColor="text1"/>
        </w:rPr>
        <w:t>500 I Relatori</w:t>
      </w:r>
    </w:p>
  </w:footnote>
  <w:footnote w:id="18">
    <w:p w14:paraId="4CEBAF32" w14:textId="5766F6B9" w:rsidR="00D44A1F" w:rsidRPr="00BC5582" w:rsidRDefault="00D44A1F">
      <w:pPr>
        <w:pStyle w:val="Testonotaapidipagina"/>
        <w:rPr>
          <w:color w:val="000000" w:themeColor="text1"/>
        </w:rPr>
      </w:pPr>
      <w:r w:rsidRPr="00BC5582">
        <w:rPr>
          <w:rStyle w:val="Rimandonotaapidipagina"/>
          <w:color w:val="000000" w:themeColor="text1"/>
        </w:rPr>
        <w:footnoteRef/>
      </w:r>
      <w:r w:rsidRPr="00BC5582">
        <w:rPr>
          <w:color w:val="000000" w:themeColor="text1"/>
        </w:rPr>
        <w:t xml:space="preserve"> </w:t>
      </w:r>
      <w:r w:rsidR="00EA0500" w:rsidRPr="00BC5582">
        <w:rPr>
          <w:color w:val="000000" w:themeColor="text1"/>
        </w:rPr>
        <w:t xml:space="preserve">9.67 </w:t>
      </w:r>
      <w:r w:rsidR="00757512" w:rsidRPr="00BC5582">
        <w:rPr>
          <w:color w:val="000000" w:themeColor="text1"/>
        </w:rPr>
        <w:t>Terzoni</w:t>
      </w:r>
    </w:p>
  </w:footnote>
  <w:footnote w:id="19">
    <w:p w14:paraId="3631C9DC" w14:textId="4292133F" w:rsidR="00B073AB" w:rsidRPr="00BC5582" w:rsidRDefault="00B073AB">
      <w:pPr>
        <w:pStyle w:val="Testonotaapidipagina"/>
        <w:rPr>
          <w:color w:val="000000" w:themeColor="text1"/>
        </w:rPr>
      </w:pPr>
      <w:r w:rsidRPr="00BC5582">
        <w:rPr>
          <w:rStyle w:val="Rimandonotaapidipagina"/>
          <w:color w:val="000000" w:themeColor="text1"/>
        </w:rPr>
        <w:footnoteRef/>
      </w:r>
      <w:r w:rsidRPr="00BC5582">
        <w:rPr>
          <w:color w:val="000000" w:themeColor="text1"/>
        </w:rPr>
        <w:t xml:space="preserve"> </w:t>
      </w:r>
      <w:r w:rsidR="000E651C" w:rsidRPr="00BC5582">
        <w:rPr>
          <w:color w:val="000000" w:themeColor="text1"/>
        </w:rPr>
        <w:t>9.020. (Nuova formulazione) Deiana, Masi, Sut, Davide Crippa.</w:t>
      </w:r>
    </w:p>
  </w:footnote>
  <w:footnote w:id="20">
    <w:p w14:paraId="14A8A359" w14:textId="399C2721" w:rsidR="00BC5582" w:rsidRDefault="00BC5582">
      <w:pPr>
        <w:pStyle w:val="Testonotaapidipagina"/>
      </w:pPr>
      <w:r w:rsidRPr="00BC5582">
        <w:rPr>
          <w:rStyle w:val="Rimandonotaapidipagina"/>
          <w:color w:val="000000" w:themeColor="text1"/>
        </w:rPr>
        <w:footnoteRef/>
      </w:r>
      <w:r w:rsidRPr="00BC5582">
        <w:rPr>
          <w:color w:val="000000" w:themeColor="text1"/>
        </w:rPr>
        <w:t xml:space="preserve"> 9.025. (Nuova formulazione) Vanessa </w:t>
      </w:r>
      <w:proofErr w:type="spellStart"/>
      <w:r w:rsidRPr="00BC5582">
        <w:rPr>
          <w:color w:val="000000" w:themeColor="text1"/>
        </w:rPr>
        <w:t>Cattoi</w:t>
      </w:r>
      <w:proofErr w:type="spellEnd"/>
      <w:r w:rsidRPr="00BC5582">
        <w:rPr>
          <w:color w:val="000000" w:themeColor="text1"/>
        </w:rPr>
        <w:t xml:space="preserve">, Binelli, Loss, </w:t>
      </w:r>
      <w:proofErr w:type="spellStart"/>
      <w:r w:rsidRPr="00BC5582">
        <w:rPr>
          <w:color w:val="000000" w:themeColor="text1"/>
        </w:rPr>
        <w:t>Sutto</w:t>
      </w:r>
      <w:proofErr w:type="spellEnd"/>
      <w:r w:rsidRPr="00BC5582">
        <w:rPr>
          <w:color w:val="000000" w:themeColor="text1"/>
        </w:rPr>
        <w:t xml:space="preserve">, </w:t>
      </w:r>
      <w:proofErr w:type="spellStart"/>
      <w:r w:rsidRPr="00BC5582">
        <w:rPr>
          <w:color w:val="000000" w:themeColor="text1"/>
        </w:rPr>
        <w:t>Plangger</w:t>
      </w:r>
      <w:proofErr w:type="spellEnd"/>
      <w:r w:rsidRPr="00BC5582">
        <w:rPr>
          <w:color w:val="000000" w:themeColor="text1"/>
        </w:rPr>
        <w:t>.</w:t>
      </w:r>
    </w:p>
  </w:footnote>
  <w:footnote w:id="21">
    <w:p w14:paraId="69A94080" w14:textId="35778777" w:rsidR="000C0F51" w:rsidRDefault="000C0F51" w:rsidP="000C0F51">
      <w:pPr>
        <w:pStyle w:val="Testonotaapidipagina"/>
        <w:jc w:val="both"/>
      </w:pPr>
      <w:r w:rsidRPr="000C0F51">
        <w:rPr>
          <w:rStyle w:val="Rimandonotaapidipagina"/>
          <w:color w:val="000000" w:themeColor="text1"/>
        </w:rPr>
        <w:footnoteRef/>
      </w:r>
      <w:r w:rsidRPr="000C0F51">
        <w:rPr>
          <w:color w:val="000000" w:themeColor="text1"/>
        </w:rPr>
        <w:t xml:space="preserve"> 10.3. Galli, Binelli, </w:t>
      </w:r>
      <w:proofErr w:type="spellStart"/>
      <w:r w:rsidRPr="000C0F51">
        <w:rPr>
          <w:color w:val="000000" w:themeColor="text1"/>
        </w:rPr>
        <w:t>Andreuzza</w:t>
      </w:r>
      <w:proofErr w:type="spellEnd"/>
      <w:r w:rsidRPr="000C0F51">
        <w:rPr>
          <w:color w:val="000000" w:themeColor="text1"/>
        </w:rPr>
        <w:t xml:space="preserve">, Carrara, Colla, Fiorini, Micheli, </w:t>
      </w:r>
      <w:proofErr w:type="spellStart"/>
      <w:r w:rsidRPr="000C0F51">
        <w:rPr>
          <w:color w:val="000000" w:themeColor="text1"/>
        </w:rPr>
        <w:t>Pettazzi</w:t>
      </w:r>
      <w:proofErr w:type="spellEnd"/>
      <w:r w:rsidRPr="000C0F51">
        <w:rPr>
          <w:color w:val="000000" w:themeColor="text1"/>
        </w:rPr>
        <w:t xml:space="preserve">, Piastra, Saltamartini, Lucchini, </w:t>
      </w:r>
      <w:proofErr w:type="spellStart"/>
      <w:r w:rsidRPr="000C0F51">
        <w:rPr>
          <w:color w:val="000000" w:themeColor="text1"/>
        </w:rPr>
        <w:t>Badole</w:t>
      </w:r>
      <w:proofErr w:type="spellEnd"/>
      <w:r w:rsidRPr="000C0F51">
        <w:rPr>
          <w:color w:val="000000" w:themeColor="text1"/>
        </w:rPr>
        <w:t xml:space="preserve">, Benvenuto, Dara, D'Eramo, Eva Lorenzoni, </w:t>
      </w:r>
      <w:proofErr w:type="spellStart"/>
      <w:r w:rsidRPr="000C0F51">
        <w:rPr>
          <w:color w:val="000000" w:themeColor="text1"/>
        </w:rPr>
        <w:t>Patassini</w:t>
      </w:r>
      <w:proofErr w:type="spellEnd"/>
      <w:r w:rsidRPr="000C0F51">
        <w:rPr>
          <w:color w:val="000000" w:themeColor="text1"/>
        </w:rPr>
        <w:t xml:space="preserve">, Raffaelli, Valbusa, </w:t>
      </w:r>
      <w:proofErr w:type="spellStart"/>
      <w:r w:rsidRPr="000C0F51">
        <w:rPr>
          <w:color w:val="000000" w:themeColor="text1"/>
        </w:rPr>
        <w:t>Vallotto</w:t>
      </w:r>
      <w:proofErr w:type="spellEnd"/>
      <w:r w:rsidRPr="000C0F51">
        <w:rPr>
          <w:color w:val="000000" w:themeColor="text1"/>
        </w:rPr>
        <w:t>, Cavandoli.</w:t>
      </w:r>
    </w:p>
  </w:footnote>
  <w:footnote w:id="22">
    <w:p w14:paraId="7AC2028E" w14:textId="1626EC26" w:rsidR="000C0F51" w:rsidRDefault="000C0F51" w:rsidP="000C0F51">
      <w:pPr>
        <w:pStyle w:val="Testonotaapidipagina"/>
      </w:pPr>
      <w:r w:rsidRPr="000C0F51">
        <w:rPr>
          <w:rStyle w:val="Rimandonotaapidipagina"/>
          <w:color w:val="000000" w:themeColor="text1"/>
        </w:rPr>
        <w:footnoteRef/>
      </w:r>
      <w:r w:rsidRPr="000C0F51">
        <w:rPr>
          <w:color w:val="000000" w:themeColor="text1"/>
        </w:rPr>
        <w:t xml:space="preserve"> 10.03. (Nuova formulazione) Moretto, </w:t>
      </w:r>
      <w:proofErr w:type="spellStart"/>
      <w:r w:rsidRPr="000C0F51">
        <w:rPr>
          <w:color w:val="000000" w:themeColor="text1"/>
        </w:rPr>
        <w:t>Fregolent</w:t>
      </w:r>
      <w:proofErr w:type="spellEnd"/>
      <w:r w:rsidRPr="000C0F51">
        <w:rPr>
          <w:color w:val="000000" w:themeColor="text1"/>
        </w:rPr>
        <w:t>.</w:t>
      </w:r>
    </w:p>
  </w:footnote>
  <w:footnote w:id="23">
    <w:p w14:paraId="18CB9AC3" w14:textId="0E84722F" w:rsidR="00EC007D" w:rsidRDefault="00EC007D" w:rsidP="008E4779">
      <w:pPr>
        <w:pStyle w:val="Testonotaapidipagina"/>
        <w:jc w:val="both"/>
      </w:pPr>
      <w:r w:rsidRPr="008E4779">
        <w:rPr>
          <w:rStyle w:val="Rimandonotaapidipagina"/>
          <w:color w:val="000000" w:themeColor="text1"/>
        </w:rPr>
        <w:footnoteRef/>
      </w:r>
      <w:r w:rsidRPr="008E4779">
        <w:rPr>
          <w:color w:val="000000" w:themeColor="text1"/>
        </w:rPr>
        <w:t xml:space="preserve"> </w:t>
      </w:r>
      <w:r w:rsidR="008E4779" w:rsidRPr="008E4779">
        <w:rPr>
          <w:color w:val="000000" w:themeColor="text1"/>
        </w:rPr>
        <w:t xml:space="preserve">*11.51. (Nuova formulazione) Rotta, Gallinella, Pellicani, Braga, Buratti, </w:t>
      </w:r>
      <w:proofErr w:type="spellStart"/>
      <w:r w:rsidR="008E4779" w:rsidRPr="008E4779">
        <w:rPr>
          <w:color w:val="000000" w:themeColor="text1"/>
        </w:rPr>
        <w:t>Ciagà</w:t>
      </w:r>
      <w:proofErr w:type="spellEnd"/>
      <w:r w:rsidR="008E4779" w:rsidRPr="008E4779">
        <w:rPr>
          <w:color w:val="000000" w:themeColor="text1"/>
        </w:rPr>
        <w:t xml:space="preserve">, Cenni, Morassut, </w:t>
      </w:r>
      <w:proofErr w:type="spellStart"/>
      <w:r w:rsidR="008E4779" w:rsidRPr="008E4779">
        <w:rPr>
          <w:color w:val="000000" w:themeColor="text1"/>
        </w:rPr>
        <w:t>Morgoni</w:t>
      </w:r>
      <w:proofErr w:type="spellEnd"/>
      <w:r w:rsidR="008E4779" w:rsidRPr="008E4779">
        <w:rPr>
          <w:color w:val="000000" w:themeColor="text1"/>
        </w:rPr>
        <w:t xml:space="preserve">, Pezzopane; *11.32. (Nuova formulazione) Cadeddu, Galizia, Bilotti, </w:t>
      </w:r>
      <w:proofErr w:type="spellStart"/>
      <w:r w:rsidR="008E4779" w:rsidRPr="008E4779">
        <w:rPr>
          <w:color w:val="000000" w:themeColor="text1"/>
        </w:rPr>
        <w:t>Cassese</w:t>
      </w:r>
      <w:proofErr w:type="spellEnd"/>
      <w:r w:rsidR="008E4779" w:rsidRPr="008E4779">
        <w:rPr>
          <w:color w:val="000000" w:themeColor="text1"/>
        </w:rPr>
        <w:t xml:space="preserve">, </w:t>
      </w:r>
      <w:proofErr w:type="spellStart"/>
      <w:r w:rsidR="008E4779" w:rsidRPr="008E4779">
        <w:rPr>
          <w:color w:val="000000" w:themeColor="text1"/>
        </w:rPr>
        <w:t>Cillis</w:t>
      </w:r>
      <w:proofErr w:type="spellEnd"/>
      <w:r w:rsidR="008E4779" w:rsidRPr="008E4779">
        <w:rPr>
          <w:color w:val="000000" w:themeColor="text1"/>
        </w:rPr>
        <w:t xml:space="preserve">, </w:t>
      </w:r>
      <w:proofErr w:type="spellStart"/>
      <w:r w:rsidR="008E4779" w:rsidRPr="008E4779">
        <w:rPr>
          <w:color w:val="000000" w:themeColor="text1"/>
        </w:rPr>
        <w:t>Gagnarli</w:t>
      </w:r>
      <w:proofErr w:type="spellEnd"/>
      <w:r w:rsidR="008E4779" w:rsidRPr="008E4779">
        <w:rPr>
          <w:color w:val="000000" w:themeColor="text1"/>
        </w:rPr>
        <w:t>, Gallinella, L'Abbate, Maglione, Alberto Manca, Marzana, Parentela, Pignatone.</w:t>
      </w:r>
    </w:p>
  </w:footnote>
  <w:footnote w:id="24">
    <w:p w14:paraId="19F4CA3A" w14:textId="441496B4" w:rsidR="008E4779" w:rsidRDefault="008E4779">
      <w:pPr>
        <w:pStyle w:val="Testonotaapidipagina"/>
      </w:pPr>
      <w:r>
        <w:rPr>
          <w:rStyle w:val="Rimandonotaapidipagina"/>
        </w:rPr>
        <w:footnoteRef/>
      </w:r>
      <w:r>
        <w:t xml:space="preserve"> </w:t>
      </w:r>
      <w:r w:rsidRPr="008E4779">
        <w:rPr>
          <w:color w:val="000000" w:themeColor="text1"/>
        </w:rPr>
        <w:t xml:space="preserve">*11.51. (Nuova formulazione) Rotta, Gallinella, Pellicani, Braga, Buratti, </w:t>
      </w:r>
      <w:proofErr w:type="spellStart"/>
      <w:r w:rsidRPr="008E4779">
        <w:rPr>
          <w:color w:val="000000" w:themeColor="text1"/>
        </w:rPr>
        <w:t>Ciagà</w:t>
      </w:r>
      <w:proofErr w:type="spellEnd"/>
      <w:r w:rsidRPr="008E4779">
        <w:rPr>
          <w:color w:val="000000" w:themeColor="text1"/>
        </w:rPr>
        <w:t xml:space="preserve">, Cenni, Morassut, </w:t>
      </w:r>
      <w:proofErr w:type="spellStart"/>
      <w:r w:rsidRPr="008E4779">
        <w:rPr>
          <w:color w:val="000000" w:themeColor="text1"/>
        </w:rPr>
        <w:t>Morgoni</w:t>
      </w:r>
      <w:proofErr w:type="spellEnd"/>
      <w:r w:rsidRPr="008E4779">
        <w:rPr>
          <w:color w:val="000000" w:themeColor="text1"/>
        </w:rPr>
        <w:t xml:space="preserve">, Pezzopane; *11.32. (Nuova formulazione) Cadeddu, Galizia, Bilotti, </w:t>
      </w:r>
      <w:proofErr w:type="spellStart"/>
      <w:r w:rsidRPr="008E4779">
        <w:rPr>
          <w:color w:val="000000" w:themeColor="text1"/>
        </w:rPr>
        <w:t>Cassese</w:t>
      </w:r>
      <w:proofErr w:type="spellEnd"/>
      <w:r w:rsidRPr="008E4779">
        <w:rPr>
          <w:color w:val="000000" w:themeColor="text1"/>
        </w:rPr>
        <w:t xml:space="preserve">, </w:t>
      </w:r>
      <w:proofErr w:type="spellStart"/>
      <w:r w:rsidRPr="008E4779">
        <w:rPr>
          <w:color w:val="000000" w:themeColor="text1"/>
        </w:rPr>
        <w:t>Cillis</w:t>
      </w:r>
      <w:proofErr w:type="spellEnd"/>
      <w:r w:rsidRPr="008E4779">
        <w:rPr>
          <w:color w:val="000000" w:themeColor="text1"/>
        </w:rPr>
        <w:t xml:space="preserve">, </w:t>
      </w:r>
      <w:proofErr w:type="spellStart"/>
      <w:r w:rsidRPr="008E4779">
        <w:rPr>
          <w:color w:val="000000" w:themeColor="text1"/>
        </w:rPr>
        <w:t>Gagnarli</w:t>
      </w:r>
      <w:proofErr w:type="spellEnd"/>
      <w:r w:rsidRPr="008E4779">
        <w:rPr>
          <w:color w:val="000000" w:themeColor="text1"/>
        </w:rPr>
        <w:t>, Gallinella, L'Abbate, Maglione, Alberto Manca, Marzana, Parentela, Pignatone.</w:t>
      </w:r>
    </w:p>
  </w:footnote>
  <w:footnote w:id="25">
    <w:p w14:paraId="223FBC88" w14:textId="2D084F2A" w:rsidR="00BF7D13" w:rsidRPr="00C24B50" w:rsidRDefault="00BF7D13" w:rsidP="00BF7D13">
      <w:pPr>
        <w:pStyle w:val="Testonotaapidipagina"/>
        <w:jc w:val="both"/>
        <w:rPr>
          <w:color w:val="000000" w:themeColor="text1"/>
        </w:rPr>
      </w:pPr>
      <w:r w:rsidRPr="00BF7D13">
        <w:rPr>
          <w:rStyle w:val="Rimandonotaapidipagina"/>
          <w:color w:val="000000" w:themeColor="text1"/>
        </w:rPr>
        <w:footnoteRef/>
      </w:r>
      <w:r w:rsidRPr="00BF7D13">
        <w:rPr>
          <w:color w:val="000000" w:themeColor="text1"/>
        </w:rPr>
        <w:t xml:space="preserve"> **11.4. (Nuova formulazione) Muroni; **11.22. (Nuova formulazione) </w:t>
      </w:r>
      <w:proofErr w:type="spellStart"/>
      <w:r w:rsidRPr="00BF7D13">
        <w:rPr>
          <w:color w:val="000000" w:themeColor="text1"/>
        </w:rPr>
        <w:t>Fregolent</w:t>
      </w:r>
      <w:proofErr w:type="spellEnd"/>
      <w:r w:rsidRPr="00BF7D13">
        <w:rPr>
          <w:color w:val="000000" w:themeColor="text1"/>
        </w:rPr>
        <w:t xml:space="preserve">, Moretto; **11.29. (Nuova formulazione) Braga, Pellicani, Buratti, </w:t>
      </w:r>
      <w:proofErr w:type="spellStart"/>
      <w:r w:rsidRPr="00BF7D13">
        <w:rPr>
          <w:color w:val="000000" w:themeColor="text1"/>
        </w:rPr>
        <w:t>Ciagà</w:t>
      </w:r>
      <w:proofErr w:type="spellEnd"/>
      <w:r w:rsidRPr="00BF7D13">
        <w:rPr>
          <w:color w:val="000000" w:themeColor="text1"/>
        </w:rPr>
        <w:t xml:space="preserve">, Morassut, </w:t>
      </w:r>
      <w:proofErr w:type="spellStart"/>
      <w:r w:rsidRPr="00BF7D13">
        <w:rPr>
          <w:color w:val="000000" w:themeColor="text1"/>
        </w:rPr>
        <w:t>Morgoni</w:t>
      </w:r>
      <w:proofErr w:type="spellEnd"/>
      <w:r w:rsidRPr="00BF7D13">
        <w:rPr>
          <w:color w:val="000000" w:themeColor="text1"/>
        </w:rPr>
        <w:t xml:space="preserve">, Pezzopane, Rotta; **11.37. (Nuova formulazione) Masi, </w:t>
      </w:r>
      <w:proofErr w:type="spellStart"/>
      <w:r w:rsidRPr="00BF7D13">
        <w:rPr>
          <w:color w:val="000000" w:themeColor="text1"/>
        </w:rPr>
        <w:t>Chiazzese</w:t>
      </w:r>
      <w:proofErr w:type="spellEnd"/>
      <w:r w:rsidRPr="00BF7D13">
        <w:rPr>
          <w:color w:val="000000" w:themeColor="text1"/>
        </w:rPr>
        <w:t xml:space="preserve">, Sut; **11.49. (Nuova formulazione) </w:t>
      </w:r>
      <w:proofErr w:type="spellStart"/>
      <w:r w:rsidRPr="00BF7D13">
        <w:rPr>
          <w:color w:val="000000" w:themeColor="text1"/>
        </w:rPr>
        <w:t>Patassini</w:t>
      </w:r>
      <w:proofErr w:type="spellEnd"/>
      <w:r w:rsidRPr="00BF7D13">
        <w:rPr>
          <w:color w:val="000000" w:themeColor="text1"/>
        </w:rPr>
        <w:t xml:space="preserve">, Lucchini, </w:t>
      </w:r>
      <w:proofErr w:type="spellStart"/>
      <w:r w:rsidRPr="00BF7D13">
        <w:rPr>
          <w:color w:val="000000" w:themeColor="text1"/>
        </w:rPr>
        <w:t>Andreuzza</w:t>
      </w:r>
      <w:proofErr w:type="spellEnd"/>
      <w:r w:rsidRPr="00BF7D13">
        <w:rPr>
          <w:color w:val="000000" w:themeColor="text1"/>
        </w:rPr>
        <w:t xml:space="preserve">, </w:t>
      </w:r>
      <w:proofErr w:type="spellStart"/>
      <w:r w:rsidRPr="00BF7D13">
        <w:rPr>
          <w:color w:val="000000" w:themeColor="text1"/>
        </w:rPr>
        <w:t>Badole</w:t>
      </w:r>
      <w:proofErr w:type="spellEnd"/>
      <w:r w:rsidRPr="00BF7D13">
        <w:rPr>
          <w:color w:val="000000" w:themeColor="text1"/>
        </w:rPr>
        <w:t xml:space="preserve">, Benvenuto, Dara, D'Eramo, Eva Lorenzoni, Raffaelli, </w:t>
      </w:r>
      <w:proofErr w:type="spellStart"/>
      <w:r w:rsidRPr="00BF7D13">
        <w:rPr>
          <w:color w:val="000000" w:themeColor="text1"/>
        </w:rPr>
        <w:t>Tateo</w:t>
      </w:r>
      <w:proofErr w:type="spellEnd"/>
      <w:r w:rsidRPr="00BF7D13">
        <w:rPr>
          <w:color w:val="000000" w:themeColor="text1"/>
        </w:rPr>
        <w:t xml:space="preserve">, Valbusa, </w:t>
      </w:r>
      <w:proofErr w:type="spellStart"/>
      <w:r w:rsidRPr="00BF7D13">
        <w:rPr>
          <w:color w:val="000000" w:themeColor="text1"/>
        </w:rPr>
        <w:t>Vallotto</w:t>
      </w:r>
      <w:proofErr w:type="spellEnd"/>
      <w:r w:rsidRPr="00BF7D13">
        <w:rPr>
          <w:color w:val="000000" w:themeColor="text1"/>
        </w:rPr>
        <w:t xml:space="preserve">, Binelli, Carrara, Colla, Fiorini, Galli, Micheli, </w:t>
      </w:r>
      <w:proofErr w:type="spellStart"/>
      <w:r w:rsidRPr="00BF7D13">
        <w:rPr>
          <w:color w:val="000000" w:themeColor="text1"/>
        </w:rPr>
        <w:t>Pettazzi</w:t>
      </w:r>
      <w:proofErr w:type="spellEnd"/>
      <w:r w:rsidRPr="00BF7D13">
        <w:rPr>
          <w:color w:val="000000" w:themeColor="text1"/>
        </w:rPr>
        <w:t xml:space="preserve">, Piastra, Saltamartini, </w:t>
      </w:r>
      <w:r w:rsidRPr="00C24B50">
        <w:rPr>
          <w:color w:val="000000" w:themeColor="text1"/>
        </w:rPr>
        <w:t>Cavandoli.</w:t>
      </w:r>
    </w:p>
  </w:footnote>
  <w:footnote w:id="26">
    <w:p w14:paraId="512F04FB" w14:textId="1BFE0FF5" w:rsidR="0097748C" w:rsidRDefault="0097748C">
      <w:pPr>
        <w:pStyle w:val="Testonotaapidipagina"/>
      </w:pPr>
      <w:r w:rsidRPr="00C24B50">
        <w:rPr>
          <w:rStyle w:val="Rimandonotaapidipagina"/>
          <w:color w:val="000000" w:themeColor="text1"/>
        </w:rPr>
        <w:footnoteRef/>
      </w:r>
      <w:r w:rsidRPr="00C24B50">
        <w:rPr>
          <w:color w:val="000000" w:themeColor="text1"/>
        </w:rPr>
        <w:t xml:space="preserve"> </w:t>
      </w:r>
      <w:r w:rsidR="00C24B50" w:rsidRPr="00C24B50">
        <w:rPr>
          <w:color w:val="000000" w:themeColor="text1"/>
        </w:rPr>
        <w:t>  11.35. (Nuova formulazione) Gallinella, Galizia.</w:t>
      </w:r>
    </w:p>
  </w:footnote>
  <w:footnote w:id="27">
    <w:p w14:paraId="7910A51F" w14:textId="2CCFF20E" w:rsidR="008461B3" w:rsidRDefault="008461B3">
      <w:pPr>
        <w:pStyle w:val="Testonotaapidipagina"/>
      </w:pPr>
      <w:r>
        <w:rPr>
          <w:rStyle w:val="Rimandonotaapidipagina"/>
        </w:rPr>
        <w:footnoteRef/>
      </w:r>
      <w:r>
        <w:t xml:space="preserve"> </w:t>
      </w:r>
      <w:r w:rsidRPr="008E4779">
        <w:rPr>
          <w:color w:val="000000" w:themeColor="text1"/>
        </w:rPr>
        <w:t xml:space="preserve">*11.51. (Nuova formulazione) Rotta, Gallinella, Pellicani, Braga, Buratti, </w:t>
      </w:r>
      <w:proofErr w:type="spellStart"/>
      <w:r w:rsidRPr="008E4779">
        <w:rPr>
          <w:color w:val="000000" w:themeColor="text1"/>
        </w:rPr>
        <w:t>Ciagà</w:t>
      </w:r>
      <w:proofErr w:type="spellEnd"/>
      <w:r w:rsidRPr="008E4779">
        <w:rPr>
          <w:color w:val="000000" w:themeColor="text1"/>
        </w:rPr>
        <w:t xml:space="preserve">, Cenni, Morassut, </w:t>
      </w:r>
      <w:proofErr w:type="spellStart"/>
      <w:r w:rsidRPr="008E4779">
        <w:rPr>
          <w:color w:val="000000" w:themeColor="text1"/>
        </w:rPr>
        <w:t>Morgoni</w:t>
      </w:r>
      <w:proofErr w:type="spellEnd"/>
      <w:r w:rsidRPr="008E4779">
        <w:rPr>
          <w:color w:val="000000" w:themeColor="text1"/>
        </w:rPr>
        <w:t xml:space="preserve">, Pezzopane; *11.32. (Nuova formulazione) Cadeddu, Galizia, Bilotti, </w:t>
      </w:r>
      <w:proofErr w:type="spellStart"/>
      <w:r w:rsidRPr="008E4779">
        <w:rPr>
          <w:color w:val="000000" w:themeColor="text1"/>
        </w:rPr>
        <w:t>Cassese</w:t>
      </w:r>
      <w:proofErr w:type="spellEnd"/>
      <w:r w:rsidRPr="008E4779">
        <w:rPr>
          <w:color w:val="000000" w:themeColor="text1"/>
        </w:rPr>
        <w:t xml:space="preserve">, </w:t>
      </w:r>
      <w:proofErr w:type="spellStart"/>
      <w:r w:rsidRPr="008E4779">
        <w:rPr>
          <w:color w:val="000000" w:themeColor="text1"/>
        </w:rPr>
        <w:t>Cillis</w:t>
      </w:r>
      <w:proofErr w:type="spellEnd"/>
      <w:r w:rsidRPr="008E4779">
        <w:rPr>
          <w:color w:val="000000" w:themeColor="text1"/>
        </w:rPr>
        <w:t xml:space="preserve">, </w:t>
      </w:r>
      <w:proofErr w:type="spellStart"/>
      <w:r w:rsidRPr="008E4779">
        <w:rPr>
          <w:color w:val="000000" w:themeColor="text1"/>
        </w:rPr>
        <w:t>Gagnarli</w:t>
      </w:r>
      <w:proofErr w:type="spellEnd"/>
      <w:r w:rsidRPr="008E4779">
        <w:rPr>
          <w:color w:val="000000" w:themeColor="text1"/>
        </w:rPr>
        <w:t>, Gallinella, L'Abbate, Maglione, Alberto Manca, Marzana, Parentela, Pignatone.</w:t>
      </w:r>
    </w:p>
  </w:footnote>
  <w:footnote w:id="28">
    <w:p w14:paraId="0C3AA909" w14:textId="02E9690C" w:rsidR="001C2164" w:rsidRPr="004B5916" w:rsidRDefault="001C2164">
      <w:pPr>
        <w:pStyle w:val="Testonotaapidipagina"/>
        <w:rPr>
          <w:color w:val="000000" w:themeColor="text1"/>
        </w:rPr>
      </w:pPr>
      <w:r w:rsidRPr="004B5916">
        <w:rPr>
          <w:rStyle w:val="Rimandonotaapidipagina"/>
          <w:color w:val="000000" w:themeColor="text1"/>
        </w:rPr>
        <w:footnoteRef/>
      </w:r>
      <w:r w:rsidRPr="004B5916">
        <w:rPr>
          <w:color w:val="000000" w:themeColor="text1"/>
        </w:rPr>
        <w:t xml:space="preserve"> </w:t>
      </w:r>
      <w:r w:rsidR="00946BA0" w:rsidRPr="004B5916">
        <w:rPr>
          <w:color w:val="000000" w:themeColor="text1"/>
        </w:rPr>
        <w:t xml:space="preserve">11.09. (Nuova formulazione) Zucconi, De Toma, </w:t>
      </w:r>
      <w:proofErr w:type="spellStart"/>
      <w:r w:rsidR="00946BA0" w:rsidRPr="004B5916">
        <w:rPr>
          <w:color w:val="000000" w:themeColor="text1"/>
        </w:rPr>
        <w:t>Caiata</w:t>
      </w:r>
      <w:proofErr w:type="spellEnd"/>
      <w:r w:rsidR="00946BA0" w:rsidRPr="004B5916">
        <w:rPr>
          <w:color w:val="000000" w:themeColor="text1"/>
        </w:rPr>
        <w:t>.</w:t>
      </w:r>
    </w:p>
  </w:footnote>
  <w:footnote w:id="29">
    <w:p w14:paraId="59D3F7AC" w14:textId="59D38B4C" w:rsidR="004B5916" w:rsidRDefault="004B5916">
      <w:pPr>
        <w:pStyle w:val="Testonotaapidipagina"/>
      </w:pPr>
      <w:r w:rsidRPr="004B5916">
        <w:rPr>
          <w:rStyle w:val="Rimandonotaapidipagina"/>
          <w:color w:val="000000" w:themeColor="text1"/>
        </w:rPr>
        <w:footnoteRef/>
      </w:r>
      <w:r w:rsidRPr="004B5916">
        <w:rPr>
          <w:color w:val="000000" w:themeColor="text1"/>
        </w:rPr>
        <w:t xml:space="preserve"> 12.25. (nuova formulazione) Braga, Pellicani, Buratti, </w:t>
      </w:r>
      <w:proofErr w:type="spellStart"/>
      <w:r w:rsidRPr="004B5916">
        <w:rPr>
          <w:color w:val="000000" w:themeColor="text1"/>
        </w:rPr>
        <w:t>Ciagà</w:t>
      </w:r>
      <w:proofErr w:type="spellEnd"/>
      <w:r w:rsidRPr="004B5916">
        <w:rPr>
          <w:color w:val="000000" w:themeColor="text1"/>
        </w:rPr>
        <w:t xml:space="preserve">, Morassut, </w:t>
      </w:r>
      <w:proofErr w:type="spellStart"/>
      <w:r w:rsidRPr="004B5916">
        <w:rPr>
          <w:color w:val="000000" w:themeColor="text1"/>
        </w:rPr>
        <w:t>Morgoni</w:t>
      </w:r>
      <w:proofErr w:type="spellEnd"/>
      <w:r w:rsidRPr="004B5916">
        <w:rPr>
          <w:color w:val="000000" w:themeColor="text1"/>
        </w:rPr>
        <w:t>, Pezzopane, Rotta, Vianello.</w:t>
      </w:r>
    </w:p>
  </w:footnote>
  <w:footnote w:id="30">
    <w:p w14:paraId="0DA339BA" w14:textId="42D1730F" w:rsidR="00221755" w:rsidRPr="00BA73C3" w:rsidRDefault="00221755" w:rsidP="00BA73C3">
      <w:pPr>
        <w:pStyle w:val="Testonotaapidipagina"/>
        <w:jc w:val="both"/>
        <w:rPr>
          <w:color w:val="000000" w:themeColor="text1"/>
        </w:rPr>
      </w:pPr>
      <w:r w:rsidRPr="00BA73C3">
        <w:rPr>
          <w:rStyle w:val="Rimandonotaapidipagina"/>
          <w:color w:val="000000" w:themeColor="text1"/>
        </w:rPr>
        <w:footnoteRef/>
      </w:r>
      <w:r w:rsidRPr="00BA73C3">
        <w:rPr>
          <w:color w:val="000000" w:themeColor="text1"/>
        </w:rPr>
        <w:t xml:space="preserve"> 12.57. (Nuova formulazione) Pastorino, Timbro.</w:t>
      </w:r>
    </w:p>
  </w:footnote>
  <w:footnote w:id="31">
    <w:p w14:paraId="432CC381" w14:textId="2A563E77" w:rsidR="00BB7EF0" w:rsidRPr="00BA73C3" w:rsidRDefault="00BB7EF0" w:rsidP="00BA73C3">
      <w:pPr>
        <w:pStyle w:val="Testonotaapidipagina"/>
        <w:jc w:val="both"/>
        <w:rPr>
          <w:color w:val="000000" w:themeColor="text1"/>
        </w:rPr>
      </w:pPr>
      <w:r w:rsidRPr="00BA73C3">
        <w:rPr>
          <w:rStyle w:val="Rimandonotaapidipagina"/>
          <w:color w:val="000000" w:themeColor="text1"/>
        </w:rPr>
        <w:footnoteRef/>
      </w:r>
      <w:r w:rsidRPr="00BA73C3">
        <w:rPr>
          <w:color w:val="000000" w:themeColor="text1"/>
        </w:rPr>
        <w:t xml:space="preserve"> 12.27. (Ulteriore nuova formulazione) Braga, Pellicani, Buratti, </w:t>
      </w:r>
      <w:proofErr w:type="spellStart"/>
      <w:r w:rsidRPr="00BA73C3">
        <w:rPr>
          <w:color w:val="000000" w:themeColor="text1"/>
        </w:rPr>
        <w:t>Ciagà</w:t>
      </w:r>
      <w:proofErr w:type="spellEnd"/>
      <w:r w:rsidRPr="00BA73C3">
        <w:rPr>
          <w:color w:val="000000" w:themeColor="text1"/>
        </w:rPr>
        <w:t xml:space="preserve">, Morassut, </w:t>
      </w:r>
      <w:proofErr w:type="spellStart"/>
      <w:r w:rsidRPr="00BA73C3">
        <w:rPr>
          <w:color w:val="000000" w:themeColor="text1"/>
        </w:rPr>
        <w:t>Morgoni</w:t>
      </w:r>
      <w:proofErr w:type="spellEnd"/>
      <w:r w:rsidRPr="00BA73C3">
        <w:rPr>
          <w:color w:val="000000" w:themeColor="text1"/>
        </w:rPr>
        <w:t>, Pezzopane.</w:t>
      </w:r>
    </w:p>
  </w:footnote>
  <w:footnote w:id="32">
    <w:p w14:paraId="7E85D108" w14:textId="359CBC98" w:rsidR="00EB6412" w:rsidRPr="00BA73C3" w:rsidRDefault="00EB6412" w:rsidP="00BA73C3">
      <w:pPr>
        <w:pStyle w:val="Testonotaapidipagina"/>
        <w:jc w:val="both"/>
        <w:rPr>
          <w:color w:val="000000" w:themeColor="text1"/>
        </w:rPr>
      </w:pPr>
      <w:r w:rsidRPr="00BA73C3">
        <w:rPr>
          <w:rStyle w:val="Rimandonotaapidipagina"/>
          <w:color w:val="000000" w:themeColor="text1"/>
        </w:rPr>
        <w:footnoteRef/>
      </w:r>
      <w:r w:rsidRPr="00BA73C3">
        <w:rPr>
          <w:color w:val="000000" w:themeColor="text1"/>
        </w:rPr>
        <w:t xml:space="preserve"> *12.13. (Nuova formulazione) Foti, Butti, Rachele Silvestri, Caretta, </w:t>
      </w:r>
      <w:proofErr w:type="spellStart"/>
      <w:r w:rsidRPr="00BA73C3">
        <w:rPr>
          <w:color w:val="000000" w:themeColor="text1"/>
        </w:rPr>
        <w:t>Ciaburro</w:t>
      </w:r>
      <w:proofErr w:type="spellEnd"/>
      <w:r w:rsidRPr="00BA73C3">
        <w:rPr>
          <w:color w:val="000000" w:themeColor="text1"/>
        </w:rPr>
        <w:t xml:space="preserve">; *12.17. (Nuova formulazione) </w:t>
      </w:r>
      <w:proofErr w:type="spellStart"/>
      <w:r w:rsidRPr="00BA73C3">
        <w:rPr>
          <w:color w:val="000000" w:themeColor="text1"/>
        </w:rPr>
        <w:t>Fregolent</w:t>
      </w:r>
      <w:proofErr w:type="spellEnd"/>
      <w:r w:rsidRPr="00BA73C3">
        <w:rPr>
          <w:color w:val="000000" w:themeColor="text1"/>
        </w:rPr>
        <w:t xml:space="preserve">, Moretto; *12.42. (Nuova formulazione) Lucchini, </w:t>
      </w:r>
      <w:proofErr w:type="spellStart"/>
      <w:r w:rsidRPr="00BA73C3">
        <w:rPr>
          <w:color w:val="000000" w:themeColor="text1"/>
        </w:rPr>
        <w:t>Badole</w:t>
      </w:r>
      <w:proofErr w:type="spellEnd"/>
      <w:r w:rsidRPr="00BA73C3">
        <w:rPr>
          <w:color w:val="000000" w:themeColor="text1"/>
        </w:rPr>
        <w:t xml:space="preserve">, Benvenuto, D'Eramo, Dara, Eva Lorenzoni, </w:t>
      </w:r>
      <w:proofErr w:type="spellStart"/>
      <w:r w:rsidRPr="00BA73C3">
        <w:rPr>
          <w:color w:val="000000" w:themeColor="text1"/>
        </w:rPr>
        <w:t>Patassini</w:t>
      </w:r>
      <w:proofErr w:type="spellEnd"/>
      <w:r w:rsidRPr="00BA73C3">
        <w:rPr>
          <w:color w:val="000000" w:themeColor="text1"/>
        </w:rPr>
        <w:t xml:space="preserve">, Raffaelli, Valbusa, </w:t>
      </w:r>
      <w:proofErr w:type="spellStart"/>
      <w:r w:rsidRPr="00BA73C3">
        <w:rPr>
          <w:color w:val="000000" w:themeColor="text1"/>
        </w:rPr>
        <w:t>Vallotto</w:t>
      </w:r>
      <w:proofErr w:type="spellEnd"/>
      <w:r w:rsidRPr="00BA73C3">
        <w:rPr>
          <w:color w:val="000000" w:themeColor="text1"/>
        </w:rPr>
        <w:t xml:space="preserve">, Binelli, </w:t>
      </w:r>
      <w:proofErr w:type="spellStart"/>
      <w:r w:rsidRPr="00BA73C3">
        <w:rPr>
          <w:color w:val="000000" w:themeColor="text1"/>
        </w:rPr>
        <w:t>Andreuzza</w:t>
      </w:r>
      <w:proofErr w:type="spellEnd"/>
      <w:r w:rsidRPr="00BA73C3">
        <w:rPr>
          <w:color w:val="000000" w:themeColor="text1"/>
        </w:rPr>
        <w:t xml:space="preserve">, Carrara, Colla, Fiorini, Galli, Micheli, </w:t>
      </w:r>
      <w:proofErr w:type="spellStart"/>
      <w:r w:rsidRPr="00BA73C3">
        <w:rPr>
          <w:color w:val="000000" w:themeColor="text1"/>
        </w:rPr>
        <w:t>Pettazzi</w:t>
      </w:r>
      <w:proofErr w:type="spellEnd"/>
      <w:r w:rsidRPr="00BA73C3">
        <w:rPr>
          <w:color w:val="000000" w:themeColor="text1"/>
        </w:rPr>
        <w:t>, Piastra, Saltamartini, Cavandoli.</w:t>
      </w:r>
    </w:p>
  </w:footnote>
  <w:footnote w:id="33">
    <w:p w14:paraId="438107B8" w14:textId="4ACB0E67" w:rsidR="00BA73C3" w:rsidRDefault="00BA73C3" w:rsidP="00BA73C3">
      <w:pPr>
        <w:pStyle w:val="Testonotaapidipagina"/>
        <w:jc w:val="both"/>
      </w:pPr>
      <w:r w:rsidRPr="00BA73C3">
        <w:rPr>
          <w:rStyle w:val="Rimandonotaapidipagina"/>
          <w:color w:val="000000" w:themeColor="text1"/>
        </w:rPr>
        <w:footnoteRef/>
      </w:r>
      <w:r w:rsidRPr="00BA73C3">
        <w:rPr>
          <w:color w:val="000000" w:themeColor="text1"/>
        </w:rPr>
        <w:t xml:space="preserve"> **12.04. (Nuova formulazione) Gadda, Moretto, </w:t>
      </w:r>
      <w:proofErr w:type="spellStart"/>
      <w:r w:rsidRPr="00BA73C3">
        <w:rPr>
          <w:color w:val="000000" w:themeColor="text1"/>
        </w:rPr>
        <w:t>Fregolent</w:t>
      </w:r>
      <w:proofErr w:type="spellEnd"/>
      <w:r w:rsidRPr="00BA73C3">
        <w:rPr>
          <w:color w:val="000000" w:themeColor="text1"/>
        </w:rPr>
        <w:t xml:space="preserve">; **12.012. (Nuova formulazione) </w:t>
      </w:r>
      <w:proofErr w:type="spellStart"/>
      <w:r w:rsidRPr="00BA73C3">
        <w:rPr>
          <w:color w:val="000000" w:themeColor="text1"/>
        </w:rPr>
        <w:t>Cassese</w:t>
      </w:r>
      <w:proofErr w:type="spellEnd"/>
      <w:r w:rsidRPr="00BA73C3">
        <w:rPr>
          <w:color w:val="000000" w:themeColor="text1"/>
        </w:rPr>
        <w:t xml:space="preserve">, Galizia, Bilotti, Cadeddu, </w:t>
      </w:r>
      <w:proofErr w:type="spellStart"/>
      <w:r w:rsidRPr="00BA73C3">
        <w:rPr>
          <w:color w:val="000000" w:themeColor="text1"/>
        </w:rPr>
        <w:t>Cillis</w:t>
      </w:r>
      <w:proofErr w:type="spellEnd"/>
      <w:r w:rsidRPr="00BA73C3">
        <w:rPr>
          <w:color w:val="000000" w:themeColor="text1"/>
        </w:rPr>
        <w:t xml:space="preserve">, </w:t>
      </w:r>
      <w:proofErr w:type="spellStart"/>
      <w:r w:rsidRPr="00BA73C3">
        <w:rPr>
          <w:color w:val="000000" w:themeColor="text1"/>
        </w:rPr>
        <w:t>Gagnarli</w:t>
      </w:r>
      <w:proofErr w:type="spellEnd"/>
      <w:r w:rsidRPr="00BA73C3">
        <w:rPr>
          <w:color w:val="000000" w:themeColor="text1"/>
        </w:rPr>
        <w:t xml:space="preserve">, Gallinella, L'Abbate, Maglione, Alberto Manca, Marzana, Parentela, Pignatone; **12.017. (Nuova formulazione) </w:t>
      </w:r>
      <w:proofErr w:type="spellStart"/>
      <w:r w:rsidRPr="00BA73C3">
        <w:rPr>
          <w:color w:val="000000" w:themeColor="text1"/>
        </w:rPr>
        <w:t>Patassini</w:t>
      </w:r>
      <w:proofErr w:type="spellEnd"/>
      <w:r w:rsidRPr="00BA73C3">
        <w:rPr>
          <w:color w:val="000000" w:themeColor="text1"/>
        </w:rPr>
        <w:t xml:space="preserve">, Lucchini, </w:t>
      </w:r>
      <w:proofErr w:type="spellStart"/>
      <w:r w:rsidRPr="00BA73C3">
        <w:rPr>
          <w:color w:val="000000" w:themeColor="text1"/>
        </w:rPr>
        <w:t>Andreuzza</w:t>
      </w:r>
      <w:proofErr w:type="spellEnd"/>
      <w:r w:rsidRPr="00BA73C3">
        <w:rPr>
          <w:color w:val="000000" w:themeColor="text1"/>
        </w:rPr>
        <w:t xml:space="preserve">, </w:t>
      </w:r>
      <w:proofErr w:type="spellStart"/>
      <w:r w:rsidRPr="00BA73C3">
        <w:rPr>
          <w:color w:val="000000" w:themeColor="text1"/>
        </w:rPr>
        <w:t>Badole</w:t>
      </w:r>
      <w:proofErr w:type="spellEnd"/>
      <w:r w:rsidRPr="00BA73C3">
        <w:rPr>
          <w:color w:val="000000" w:themeColor="text1"/>
        </w:rPr>
        <w:t xml:space="preserve">, Benvenuto, Dara, D'Eramo, Eva Lorenzoni, Raffaelli, </w:t>
      </w:r>
      <w:proofErr w:type="spellStart"/>
      <w:r w:rsidRPr="00BA73C3">
        <w:rPr>
          <w:color w:val="000000" w:themeColor="text1"/>
        </w:rPr>
        <w:t>Tateo</w:t>
      </w:r>
      <w:proofErr w:type="spellEnd"/>
      <w:r w:rsidRPr="00BA73C3">
        <w:rPr>
          <w:color w:val="000000" w:themeColor="text1"/>
        </w:rPr>
        <w:t xml:space="preserve">, Valbusa, </w:t>
      </w:r>
      <w:proofErr w:type="spellStart"/>
      <w:r w:rsidRPr="00BA73C3">
        <w:rPr>
          <w:color w:val="000000" w:themeColor="text1"/>
        </w:rPr>
        <w:t>Vallotto</w:t>
      </w:r>
      <w:proofErr w:type="spellEnd"/>
      <w:r w:rsidRPr="00BA73C3">
        <w:rPr>
          <w:color w:val="000000" w:themeColor="text1"/>
        </w:rPr>
        <w:t xml:space="preserve">, Binelli, Carrara, Colla, Fiorini, Galli, Micheli, </w:t>
      </w:r>
      <w:proofErr w:type="spellStart"/>
      <w:r w:rsidRPr="00BA73C3">
        <w:rPr>
          <w:color w:val="000000" w:themeColor="text1"/>
        </w:rPr>
        <w:t>Pettazzi</w:t>
      </w:r>
      <w:proofErr w:type="spellEnd"/>
      <w:r w:rsidRPr="00BA73C3">
        <w:rPr>
          <w:color w:val="000000" w:themeColor="text1"/>
        </w:rPr>
        <w:t xml:space="preserve">, Piastra, Saltamartini, Cavandoli; **12.019. (Nuova formulazione) </w:t>
      </w:r>
      <w:proofErr w:type="spellStart"/>
      <w:r w:rsidRPr="00BA73C3">
        <w:rPr>
          <w:color w:val="000000" w:themeColor="text1"/>
        </w:rPr>
        <w:t>Torromino</w:t>
      </w:r>
      <w:proofErr w:type="spellEnd"/>
      <w:r w:rsidRPr="00BA73C3">
        <w:rPr>
          <w:color w:val="000000" w:themeColor="text1"/>
        </w:rPr>
        <w:t xml:space="preserve">, Cortelazzo, Mazzetti, Sessa, Polidori, Casino, Labriola, Ferraioli, Valentini, Porchietto; **12.022. (nuova formulazione) Cenni, Incerti, Avossa, Critelli, Cappellani, </w:t>
      </w:r>
      <w:proofErr w:type="spellStart"/>
      <w:r w:rsidRPr="00BA73C3">
        <w:rPr>
          <w:color w:val="000000" w:themeColor="text1"/>
        </w:rPr>
        <w:t>Frailis</w:t>
      </w:r>
      <w:proofErr w:type="spellEnd"/>
      <w:r w:rsidRPr="00BA73C3">
        <w:rPr>
          <w:color w:val="000000" w:themeColor="text1"/>
        </w:rPr>
        <w:t>, Braga.</w:t>
      </w:r>
    </w:p>
  </w:footnote>
  <w:footnote w:id="34">
    <w:p w14:paraId="52EF5E55" w14:textId="0BF76090" w:rsidR="00245F8A" w:rsidRDefault="00245F8A">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*13.10.</w:t>
      </w:r>
      <w:r w:rsidRPr="000C0983">
        <w:rPr>
          <w:rFonts w:asciiTheme="minorHAnsi" w:eastAsia="Times New Roman" w:hAnsiTheme="minorHAnsi" w:cstheme="minorHAnsi"/>
          <w:color w:val="000000" w:themeColor="text1"/>
        </w:rPr>
        <w:t xml:space="preserve"> Braga, Pellicani, Benamati, Buratti,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Pezzopane, Rotta</w:t>
      </w:r>
      <w:r w:rsidRPr="00245F8A">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*13.14.</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245F8A">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*13.16.</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Cortelazzo, Mazzetti, Sessa, Polidori, Casino, Labriola, Ferraioli, Valentini, Porchietto.</w:t>
      </w:r>
    </w:p>
  </w:footnote>
  <w:footnote w:id="35">
    <w:p w14:paraId="498B2488" w14:textId="7FD0EC1C" w:rsidR="002347A8" w:rsidRDefault="002347A8">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*13.10.</w:t>
      </w:r>
      <w:r w:rsidRPr="000C0983">
        <w:rPr>
          <w:rFonts w:asciiTheme="minorHAnsi" w:eastAsia="Times New Roman" w:hAnsiTheme="minorHAnsi" w:cstheme="minorHAnsi"/>
          <w:color w:val="000000" w:themeColor="text1"/>
        </w:rPr>
        <w:t xml:space="preserve"> Braga, Pellicani, Benamati, Buratti,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Pezzopane, Rotta</w:t>
      </w:r>
      <w:r w:rsidRPr="00245F8A">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*13.14.</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245F8A">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*13.16.</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Cortelazzo, Mazzetti, Sessa, Polidori, Casino, Labriola, Ferraioli, Valentini, Porchietto.</w:t>
      </w:r>
    </w:p>
  </w:footnote>
  <w:footnote w:id="36">
    <w:p w14:paraId="31EC8455" w14:textId="272FC168" w:rsidR="002347A8" w:rsidRDefault="002347A8" w:rsidP="002D2005">
      <w:pPr>
        <w:shd w:val="clear" w:color="auto" w:fill="FFFFFF"/>
        <w:spacing w:after="0" w:line="240" w:lineRule="auto"/>
      </w:pPr>
      <w:r>
        <w:rPr>
          <w:rStyle w:val="Rimandonotaapidipagina"/>
        </w:rPr>
        <w:footnoteRef/>
      </w:r>
      <w:r>
        <w:t xml:space="preserve"> </w:t>
      </w:r>
      <w:r w:rsidRPr="000C0983">
        <w:rPr>
          <w:rFonts w:asciiTheme="minorHAnsi" w:eastAsia="Times New Roman" w:hAnsiTheme="minorHAnsi" w:cstheme="minorHAnsi"/>
          <w:b/>
          <w:bCs/>
          <w:color w:val="000000" w:themeColor="text1"/>
        </w:rPr>
        <w:t>*13.10.</w:t>
      </w:r>
      <w:r w:rsidRPr="000C0983">
        <w:rPr>
          <w:rFonts w:asciiTheme="minorHAnsi" w:eastAsia="Times New Roman" w:hAnsiTheme="minorHAnsi" w:cstheme="minorHAnsi"/>
          <w:color w:val="000000" w:themeColor="text1"/>
        </w:rPr>
        <w:t xml:space="preserve"> Braga, Pellicani, Benamati, Buratti,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Pezzopane, Rotta</w:t>
      </w:r>
      <w:r w:rsidRPr="00245F8A">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*13.14.</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245F8A">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*13.16.</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Cortelazzo, Mazzetti, Sessa, Polidori, Casino, Labriola, Ferraioli, Valentini, Porchietto.</w:t>
      </w:r>
    </w:p>
  </w:footnote>
  <w:footnote w:id="37">
    <w:p w14:paraId="498992DC" w14:textId="463A399B" w:rsidR="002D2005" w:rsidRDefault="002D2005" w:rsidP="00E93C45">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13.06.</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riformulazione) B</w:t>
      </w:r>
      <w:r w:rsidRPr="000C0983">
        <w:rPr>
          <w:rFonts w:asciiTheme="minorHAnsi" w:eastAsia="Times New Roman" w:hAnsiTheme="minorHAnsi" w:cstheme="minorHAnsi"/>
          <w:color w:val="000000" w:themeColor="text1"/>
        </w:rPr>
        <w:t xml:space="preserve">raga, Pellicani, Benamati, Buratti,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Pezzopane, Rotta.</w:t>
      </w:r>
    </w:p>
  </w:footnote>
  <w:footnote w:id="38">
    <w:p w14:paraId="5C4EEF6F" w14:textId="62C013EA" w:rsidR="00E93C45" w:rsidRDefault="00E93C45">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13.08.</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Sut.</w:t>
      </w:r>
    </w:p>
  </w:footnote>
  <w:footnote w:id="39">
    <w:p w14:paraId="54F5D4DA" w14:textId="6E4AAF95" w:rsidR="00A51857" w:rsidRDefault="00A51857" w:rsidP="00A271FC">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*14.4.</w:t>
      </w:r>
      <w:r w:rsidRPr="000C0983">
        <w:rPr>
          <w:rFonts w:asciiTheme="minorHAnsi" w:eastAsia="Times New Roman" w:hAnsiTheme="minorHAnsi" w:cstheme="minorHAnsi"/>
          <w:color w:val="000000" w:themeColor="text1"/>
        </w:rPr>
        <w:t xml:space="preserve"> Moretto, </w:t>
      </w:r>
      <w:proofErr w:type="spellStart"/>
      <w:r w:rsidRPr="000C0983">
        <w:rPr>
          <w:rFonts w:asciiTheme="minorHAnsi" w:eastAsia="Times New Roman" w:hAnsiTheme="minorHAnsi" w:cstheme="minorHAnsi"/>
          <w:color w:val="000000" w:themeColor="text1"/>
        </w:rPr>
        <w:t>Fregolent</w:t>
      </w:r>
      <w:proofErr w:type="spellEnd"/>
      <w:r w:rsidRPr="00842AC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*14.10.</w:t>
      </w:r>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D'Eramo, Dara, Eva Lorenzoni,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842AC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*14.6.</w:t>
      </w:r>
      <w:r w:rsidRPr="000C0983">
        <w:rPr>
          <w:rFonts w:asciiTheme="minorHAnsi" w:eastAsia="Times New Roman" w:hAnsiTheme="minorHAnsi" w:cstheme="minorHAnsi"/>
          <w:color w:val="000000" w:themeColor="text1"/>
        </w:rPr>
        <w:t> Benamati</w:t>
      </w:r>
      <w:r w:rsidRPr="00842AC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*14.2.</w:t>
      </w:r>
      <w:r w:rsidRPr="000C0983">
        <w:rPr>
          <w:rFonts w:asciiTheme="minorHAnsi" w:eastAsia="Times New Roman" w:hAnsiTheme="minorHAnsi" w:cstheme="minorHAnsi"/>
          <w:color w:val="000000" w:themeColor="text1"/>
        </w:rPr>
        <w:t> Muroni</w:t>
      </w:r>
      <w:r w:rsidRPr="00842AC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*14.7.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Masi, </w:t>
      </w:r>
      <w:proofErr w:type="spellStart"/>
      <w:r w:rsidRPr="000C0983">
        <w:rPr>
          <w:rFonts w:asciiTheme="minorHAnsi" w:eastAsia="Times New Roman" w:hAnsiTheme="minorHAnsi" w:cstheme="minorHAnsi"/>
          <w:color w:val="000000" w:themeColor="text1"/>
        </w:rPr>
        <w:t>Chiazzese</w:t>
      </w:r>
      <w:proofErr w:type="spellEnd"/>
      <w:r w:rsidRPr="000C0983">
        <w:rPr>
          <w:rFonts w:asciiTheme="minorHAnsi" w:eastAsia="Times New Roman" w:hAnsiTheme="minorHAnsi" w:cstheme="minorHAnsi"/>
          <w:color w:val="000000" w:themeColor="text1"/>
        </w:rPr>
        <w:t>.</w:t>
      </w:r>
    </w:p>
  </w:footnote>
  <w:footnote w:id="40">
    <w:p w14:paraId="106A6344" w14:textId="7EFCF7AB" w:rsidR="00A271FC" w:rsidRDefault="00A271FC" w:rsidP="00E87028">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14.9.</w:t>
      </w:r>
      <w:r w:rsidRPr="000C0983">
        <w:rPr>
          <w:rFonts w:asciiTheme="minorHAnsi" w:eastAsia="Times New Roman" w:hAnsiTheme="minorHAnsi" w:cstheme="minorHAnsi"/>
          <w:color w:val="000000" w:themeColor="text1"/>
        </w:rPr>
        <w:t xml:space="preserve"> Gavino Manca, Benamati, Bonomo, D'Elia,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 Deiana.</w:t>
      </w:r>
    </w:p>
  </w:footnote>
  <w:footnote w:id="41">
    <w:p w14:paraId="4E028A0B" w14:textId="4A700272" w:rsidR="00E87028" w:rsidRDefault="00E87028" w:rsidP="00E87028">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*15.8.</w:t>
      </w:r>
      <w:r w:rsidRPr="000C0983">
        <w:rPr>
          <w:rFonts w:asciiTheme="minorHAnsi" w:eastAsia="Times New Roman" w:hAnsiTheme="minorHAnsi" w:cstheme="minorHAnsi"/>
          <w:color w:val="000000" w:themeColor="text1"/>
        </w:rPr>
        <w:t> Fraccaro</w:t>
      </w:r>
      <w:r w:rsidRPr="005561F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*15.11.</w:t>
      </w:r>
      <w:r w:rsidRPr="000C0983">
        <w:rPr>
          <w:rFonts w:asciiTheme="minorHAnsi" w:eastAsia="Times New Roman" w:hAnsiTheme="minorHAnsi" w:cstheme="minorHAnsi"/>
          <w:color w:val="000000" w:themeColor="text1"/>
        </w:rPr>
        <w:t xml:space="preserve"> Cortelazzo,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Mazzetti, Sessa, Polidori, Casino, Labriola, Ferraioli, Valentini</w:t>
      </w:r>
      <w:r w:rsidRPr="005561F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*15.2.</w:t>
      </w:r>
      <w:r w:rsidRPr="000C0983">
        <w:rPr>
          <w:rFonts w:asciiTheme="minorHAnsi" w:eastAsia="Times New Roman" w:hAnsiTheme="minorHAnsi" w:cstheme="minorHAnsi"/>
          <w:color w:val="000000" w:themeColor="text1"/>
        </w:rPr>
        <w:t xml:space="preserve"> Muroni, </w:t>
      </w:r>
      <w:proofErr w:type="spellStart"/>
      <w:r w:rsidRPr="000C0983">
        <w:rPr>
          <w:rFonts w:asciiTheme="minorHAnsi" w:eastAsia="Times New Roman" w:hAnsiTheme="minorHAnsi" w:cstheme="minorHAnsi"/>
          <w:color w:val="000000" w:themeColor="text1"/>
        </w:rPr>
        <w:t>Fioramonti</w:t>
      </w:r>
      <w:proofErr w:type="spellEnd"/>
      <w:r w:rsidRPr="000C0983">
        <w:rPr>
          <w:rFonts w:asciiTheme="minorHAnsi" w:eastAsia="Times New Roman" w:hAnsiTheme="minorHAnsi" w:cstheme="minorHAnsi"/>
          <w:color w:val="000000" w:themeColor="text1"/>
        </w:rPr>
        <w:t>, Tasso.</w:t>
      </w:r>
    </w:p>
  </w:footnote>
  <w:footnote w:id="42">
    <w:p w14:paraId="73D27FC5" w14:textId="4F658847" w:rsidR="00E87028" w:rsidRDefault="00E87028" w:rsidP="00E87028">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*15.8.</w:t>
      </w:r>
      <w:r w:rsidRPr="000C0983">
        <w:rPr>
          <w:rFonts w:asciiTheme="minorHAnsi" w:eastAsia="Times New Roman" w:hAnsiTheme="minorHAnsi" w:cstheme="minorHAnsi"/>
          <w:color w:val="000000" w:themeColor="text1"/>
        </w:rPr>
        <w:t> Fraccaro</w:t>
      </w:r>
      <w:r w:rsidRPr="005561F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*15.11.</w:t>
      </w:r>
      <w:r w:rsidRPr="000C0983">
        <w:rPr>
          <w:rFonts w:asciiTheme="minorHAnsi" w:eastAsia="Times New Roman" w:hAnsiTheme="minorHAnsi" w:cstheme="minorHAnsi"/>
          <w:color w:val="000000" w:themeColor="text1"/>
        </w:rPr>
        <w:t xml:space="preserve"> Cortelazzo,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Mazzetti, Sessa, Polidori, Casino, Labriola, Ferraioli, Valentini</w:t>
      </w:r>
      <w:r w:rsidRPr="005561F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*15.2.</w:t>
      </w:r>
      <w:r w:rsidRPr="000C0983">
        <w:rPr>
          <w:rFonts w:asciiTheme="minorHAnsi" w:eastAsia="Times New Roman" w:hAnsiTheme="minorHAnsi" w:cstheme="minorHAnsi"/>
          <w:color w:val="000000" w:themeColor="text1"/>
        </w:rPr>
        <w:t xml:space="preserve"> Muroni, </w:t>
      </w:r>
      <w:proofErr w:type="spellStart"/>
      <w:r w:rsidRPr="000C0983">
        <w:rPr>
          <w:rFonts w:asciiTheme="minorHAnsi" w:eastAsia="Times New Roman" w:hAnsiTheme="minorHAnsi" w:cstheme="minorHAnsi"/>
          <w:color w:val="000000" w:themeColor="text1"/>
        </w:rPr>
        <w:t>Fioramonti</w:t>
      </w:r>
      <w:proofErr w:type="spellEnd"/>
      <w:r w:rsidRPr="000C0983">
        <w:rPr>
          <w:rFonts w:asciiTheme="minorHAnsi" w:eastAsia="Times New Roman" w:hAnsiTheme="minorHAnsi" w:cstheme="minorHAnsi"/>
          <w:color w:val="000000" w:themeColor="text1"/>
        </w:rPr>
        <w:t>, Tasso.</w:t>
      </w:r>
    </w:p>
  </w:footnote>
  <w:footnote w:id="43">
    <w:p w14:paraId="4E83B8BC" w14:textId="50679D5F" w:rsidR="00E87028" w:rsidRDefault="00E87028" w:rsidP="00E87028">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*15.8.</w:t>
      </w:r>
      <w:r w:rsidRPr="000C0983">
        <w:rPr>
          <w:rFonts w:asciiTheme="minorHAnsi" w:eastAsia="Times New Roman" w:hAnsiTheme="minorHAnsi" w:cstheme="minorHAnsi"/>
          <w:color w:val="000000" w:themeColor="text1"/>
        </w:rPr>
        <w:t> Fraccaro</w:t>
      </w:r>
      <w:r w:rsidRPr="005561F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*15.11.</w:t>
      </w:r>
      <w:r w:rsidRPr="000C0983">
        <w:rPr>
          <w:rFonts w:asciiTheme="minorHAnsi" w:eastAsia="Times New Roman" w:hAnsiTheme="minorHAnsi" w:cstheme="minorHAnsi"/>
          <w:color w:val="000000" w:themeColor="text1"/>
        </w:rPr>
        <w:t xml:space="preserve"> Cortelazzo,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Mazzetti, Sessa, Polidori, Casino, Labriola, Ferraioli, Valentini</w:t>
      </w:r>
      <w:r w:rsidRPr="005561F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*15.2.</w:t>
      </w:r>
      <w:r w:rsidRPr="000C0983">
        <w:rPr>
          <w:rFonts w:asciiTheme="minorHAnsi" w:eastAsia="Times New Roman" w:hAnsiTheme="minorHAnsi" w:cstheme="minorHAnsi"/>
          <w:color w:val="000000" w:themeColor="text1"/>
        </w:rPr>
        <w:t xml:space="preserve"> Muroni, </w:t>
      </w:r>
      <w:proofErr w:type="spellStart"/>
      <w:r w:rsidRPr="000C0983">
        <w:rPr>
          <w:rFonts w:asciiTheme="minorHAnsi" w:eastAsia="Times New Roman" w:hAnsiTheme="minorHAnsi" w:cstheme="minorHAnsi"/>
          <w:color w:val="000000" w:themeColor="text1"/>
        </w:rPr>
        <w:t>Fioramonti</w:t>
      </w:r>
      <w:proofErr w:type="spellEnd"/>
      <w:r w:rsidRPr="000C0983">
        <w:rPr>
          <w:rFonts w:asciiTheme="minorHAnsi" w:eastAsia="Times New Roman" w:hAnsiTheme="minorHAnsi" w:cstheme="minorHAnsi"/>
          <w:color w:val="000000" w:themeColor="text1"/>
        </w:rPr>
        <w:t>, Tasso.</w:t>
      </w:r>
    </w:p>
  </w:footnote>
  <w:footnote w:id="44">
    <w:p w14:paraId="27F58109" w14:textId="40F90636" w:rsidR="007A7C46" w:rsidRPr="007A7C46" w:rsidRDefault="007A7C46">
      <w:pPr>
        <w:pStyle w:val="Testonotaapidipagina"/>
        <w:rPr>
          <w:b/>
          <w:bCs/>
        </w:rPr>
      </w:pPr>
      <w:r>
        <w:rPr>
          <w:rStyle w:val="Rimandonotaapidipagina"/>
        </w:rPr>
        <w:footnoteRef/>
      </w:r>
      <w:r>
        <w:t xml:space="preserve"> </w:t>
      </w:r>
      <w:r w:rsidRPr="007A7C46">
        <w:rPr>
          <w:b/>
          <w:bCs/>
          <w:color w:val="000000" w:themeColor="text1"/>
        </w:rPr>
        <w:t xml:space="preserve">15.100 </w:t>
      </w:r>
      <w:r w:rsidRPr="007A7C46">
        <w:rPr>
          <w:color w:val="000000" w:themeColor="text1"/>
        </w:rPr>
        <w:t>I Relatori</w:t>
      </w:r>
    </w:p>
  </w:footnote>
  <w:footnote w:id="45">
    <w:p w14:paraId="62669424" w14:textId="6DA9E56A" w:rsidR="006F4AEE" w:rsidRDefault="006F4AEE">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15.1.</w:t>
      </w:r>
      <w:r w:rsidRPr="000C0983">
        <w:rPr>
          <w:rFonts w:asciiTheme="minorHAnsi" w:eastAsia="Times New Roman" w:hAnsiTheme="minorHAnsi" w:cstheme="minorHAnsi"/>
          <w:color w:val="000000" w:themeColor="text1"/>
        </w:rPr>
        <w:t xml:space="preserve"> Nardi, </w:t>
      </w:r>
      <w:proofErr w:type="spellStart"/>
      <w:r w:rsidRPr="000C0983">
        <w:rPr>
          <w:rFonts w:asciiTheme="minorHAnsi" w:eastAsia="Times New Roman" w:hAnsiTheme="minorHAnsi" w:cstheme="minorHAnsi"/>
          <w:color w:val="000000" w:themeColor="text1"/>
        </w:rPr>
        <w:t>Fragomeli</w:t>
      </w:r>
      <w:proofErr w:type="spellEnd"/>
    </w:p>
  </w:footnote>
  <w:footnote w:id="46">
    <w:p w14:paraId="716DCAB9" w14:textId="26E1BD15" w:rsidR="005F411C" w:rsidRDefault="005F411C" w:rsidP="005F411C">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16.18.</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Cortelazzo, Porchietto,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xml:space="preserve">, Mazzetti, Sessa, Polidori, Casino, Labriola, Ferraioli, Valentini, Giacometto,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Lucchini,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w:t>
      </w:r>
    </w:p>
  </w:footnote>
  <w:footnote w:id="47">
    <w:p w14:paraId="251657A9" w14:textId="2B00E62C" w:rsidR="00C704F2" w:rsidRDefault="00C704F2" w:rsidP="00C704F2">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*16.5.</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Foti, Zucconi, De Toma, Butti, </w:t>
      </w:r>
      <w:proofErr w:type="spellStart"/>
      <w:r w:rsidRPr="000C0983">
        <w:rPr>
          <w:rFonts w:asciiTheme="minorHAnsi" w:eastAsia="Times New Roman" w:hAnsiTheme="minorHAnsi" w:cstheme="minorHAnsi"/>
          <w:color w:val="000000" w:themeColor="text1"/>
        </w:rPr>
        <w:t>Caiata</w:t>
      </w:r>
      <w:proofErr w:type="spellEnd"/>
      <w:r w:rsidRPr="000C0983">
        <w:rPr>
          <w:rFonts w:asciiTheme="minorHAnsi" w:eastAsia="Times New Roman" w:hAnsiTheme="minorHAnsi" w:cstheme="minorHAnsi"/>
          <w:color w:val="000000" w:themeColor="text1"/>
        </w:rPr>
        <w:t xml:space="preserve">, Rachele Silvestri, Caretta, </w:t>
      </w:r>
      <w:proofErr w:type="spellStart"/>
      <w:r w:rsidRPr="000C0983">
        <w:rPr>
          <w:rFonts w:asciiTheme="minorHAnsi" w:eastAsia="Times New Roman" w:hAnsiTheme="minorHAnsi" w:cstheme="minorHAnsi"/>
          <w:color w:val="000000" w:themeColor="text1"/>
        </w:rPr>
        <w:t>Ciaburro</w:t>
      </w:r>
      <w:proofErr w:type="spellEnd"/>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*16.14.</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Cortelazzo, Mazzetti, Sessa, Polidori, Casino, Labriola, Ferraioli, Valentini, Porchietto</w:t>
      </w:r>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*16.11.</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*16.10.</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Fiorini, Valbusa, Frassini, Binelli,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Carrara, Colla,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xml:space="preserve">, Piastra, Saltamartini, Lucchini,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Raffaelli,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*16.8.</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Ascari</w:t>
      </w:r>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Benamati, Rossi, Bonomo, D'Elia, Gavino Manca, Nardi,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xml:space="preserve">, Zardini, Pellicani, Braga,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Pezzopane, Rotta, Buratti</w:t>
      </w:r>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*16.17.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Stumpo, Timbro.</w:t>
      </w:r>
    </w:p>
  </w:footnote>
  <w:footnote w:id="48">
    <w:p w14:paraId="14D84FA1" w14:textId="58D1AEC5" w:rsidR="0006654B" w:rsidRDefault="0006654B" w:rsidP="00E34DAC">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**16.06.</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Benamati, Braga, Bonomo, D'Elia, Gavino Manca,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xml:space="preserve">, Zardini, Nardi, Pellicani,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xml:space="preserve">, Pezzopane, Rotta, Berlinghieri, </w:t>
      </w:r>
      <w:proofErr w:type="spellStart"/>
      <w:r w:rsidRPr="000C0983">
        <w:rPr>
          <w:rFonts w:asciiTheme="minorHAnsi" w:eastAsia="Times New Roman" w:hAnsiTheme="minorHAnsi" w:cstheme="minorHAnsi"/>
          <w:color w:val="000000" w:themeColor="text1"/>
        </w:rPr>
        <w:t>Frailis</w:t>
      </w:r>
      <w:proofErr w:type="spellEnd"/>
      <w:r w:rsidRPr="000C0983">
        <w:rPr>
          <w:rFonts w:asciiTheme="minorHAnsi" w:eastAsia="Times New Roman" w:hAnsiTheme="minorHAnsi" w:cstheme="minorHAnsi"/>
          <w:color w:val="000000" w:themeColor="text1"/>
        </w:rPr>
        <w:t>, Buratti</w:t>
      </w:r>
      <w:r w:rsidRPr="00F66DDE">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**16.017.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Davide Crippa, Zanichelli.</w:t>
      </w:r>
    </w:p>
  </w:footnote>
  <w:footnote w:id="49">
    <w:p w14:paraId="66A30B6C" w14:textId="6C49EEC3" w:rsidR="00E34DAC" w:rsidRDefault="00E34DAC" w:rsidP="00E34DAC">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*18.6.</w:t>
      </w:r>
      <w:r w:rsidRPr="000C0983">
        <w:rPr>
          <w:rFonts w:asciiTheme="minorHAnsi" w:eastAsia="Times New Roman" w:hAnsiTheme="minorHAnsi" w:cstheme="minorHAnsi"/>
          <w:color w:val="000000" w:themeColor="text1"/>
        </w:rPr>
        <w:t> Gagliardi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*18.15.</w:t>
      </w:r>
      <w:r w:rsidRPr="000C0983">
        <w:rPr>
          <w:rFonts w:asciiTheme="minorHAnsi" w:eastAsia="Times New Roman" w:hAnsiTheme="minorHAnsi" w:cstheme="minorHAnsi"/>
          <w:color w:val="000000" w:themeColor="text1"/>
        </w:rPr>
        <w:t xml:space="preserve"> Lucchini, Binelli,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Piastra, Raffaelli,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*18.14.</w:t>
      </w:r>
      <w:r w:rsidRPr="000C0983">
        <w:rPr>
          <w:rFonts w:asciiTheme="minorHAnsi" w:eastAsia="Times New Roman" w:hAnsiTheme="minorHAnsi" w:cstheme="minorHAnsi"/>
          <w:color w:val="000000" w:themeColor="text1"/>
        </w:rPr>
        <w:t xml:space="preserve"> Raffaelli,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w:t>
      </w:r>
      <w:proofErr w:type="spellStart"/>
      <w:r w:rsidRPr="000C0983">
        <w:rPr>
          <w:rFonts w:asciiTheme="minorHAnsi" w:eastAsia="Times New Roman" w:hAnsiTheme="minorHAnsi" w:cstheme="minorHAnsi"/>
          <w:color w:val="000000" w:themeColor="text1"/>
        </w:rPr>
        <w:t>Tateo</w:t>
      </w:r>
      <w:proofErr w:type="spellEnd"/>
      <w:r w:rsidRPr="000C0983">
        <w:rPr>
          <w:rFonts w:asciiTheme="minorHAnsi" w:eastAsia="Times New Roman" w:hAnsiTheme="minorHAnsi" w:cstheme="minorHAnsi"/>
          <w:color w:val="000000" w:themeColor="text1"/>
        </w:rPr>
        <w:t xml:space="preserve">,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*18.10.</w:t>
      </w:r>
      <w:r w:rsidRPr="000C0983">
        <w:rPr>
          <w:rFonts w:asciiTheme="minorHAnsi" w:eastAsia="Times New Roman" w:hAnsiTheme="minorHAnsi" w:cstheme="minorHAnsi"/>
          <w:color w:val="000000" w:themeColor="text1"/>
        </w:rPr>
        <w:t xml:space="preserve"> Sut, Rotta, Braga, Buratti,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xml:space="preserve">, Pellicani, Pezzopane, Nardi, Benamati, Bonomo, D'Elia, Gavino Manca,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w:t>
      </w:r>
    </w:p>
  </w:footnote>
  <w:footnote w:id="50">
    <w:p w14:paraId="1F172CF8" w14:textId="3156B2C3" w:rsidR="00E34DAC" w:rsidRDefault="00E34DAC" w:rsidP="00E34DAC">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*18.6.</w:t>
      </w:r>
      <w:r w:rsidRPr="000C0983">
        <w:rPr>
          <w:rFonts w:asciiTheme="minorHAnsi" w:eastAsia="Times New Roman" w:hAnsiTheme="minorHAnsi" w:cstheme="minorHAnsi"/>
          <w:color w:val="000000" w:themeColor="text1"/>
        </w:rPr>
        <w:t> Gagliardi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*18.15.</w:t>
      </w:r>
      <w:r w:rsidRPr="000C0983">
        <w:rPr>
          <w:rFonts w:asciiTheme="minorHAnsi" w:eastAsia="Times New Roman" w:hAnsiTheme="minorHAnsi" w:cstheme="minorHAnsi"/>
          <w:color w:val="000000" w:themeColor="text1"/>
        </w:rPr>
        <w:t xml:space="preserve"> Lucchini, Binelli,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Piastra, Raffaelli,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*18.14.</w:t>
      </w:r>
      <w:r w:rsidRPr="000C0983">
        <w:rPr>
          <w:rFonts w:asciiTheme="minorHAnsi" w:eastAsia="Times New Roman" w:hAnsiTheme="minorHAnsi" w:cstheme="minorHAnsi"/>
          <w:color w:val="000000" w:themeColor="text1"/>
        </w:rPr>
        <w:t xml:space="preserve"> Raffaelli,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w:t>
      </w:r>
      <w:proofErr w:type="spellStart"/>
      <w:r w:rsidRPr="000C0983">
        <w:rPr>
          <w:rFonts w:asciiTheme="minorHAnsi" w:eastAsia="Times New Roman" w:hAnsiTheme="minorHAnsi" w:cstheme="minorHAnsi"/>
          <w:color w:val="000000" w:themeColor="text1"/>
        </w:rPr>
        <w:t>Tateo</w:t>
      </w:r>
      <w:proofErr w:type="spellEnd"/>
      <w:r w:rsidRPr="000C0983">
        <w:rPr>
          <w:rFonts w:asciiTheme="minorHAnsi" w:eastAsia="Times New Roman" w:hAnsiTheme="minorHAnsi" w:cstheme="minorHAnsi"/>
          <w:color w:val="000000" w:themeColor="text1"/>
        </w:rPr>
        <w:t xml:space="preserve">,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*18.10.</w:t>
      </w:r>
      <w:r w:rsidRPr="000C0983">
        <w:rPr>
          <w:rFonts w:asciiTheme="minorHAnsi" w:eastAsia="Times New Roman" w:hAnsiTheme="minorHAnsi" w:cstheme="minorHAnsi"/>
          <w:color w:val="000000" w:themeColor="text1"/>
        </w:rPr>
        <w:t xml:space="preserve"> Sut, Rotta, Braga, Buratti,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xml:space="preserve">, Pellicani, Pezzopane, Nardi, Benamati, Bonomo, D'Elia, Gavino Manca,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w:t>
      </w:r>
    </w:p>
  </w:footnote>
  <w:footnote w:id="51">
    <w:p w14:paraId="375FBCCD" w14:textId="203EE485" w:rsidR="00942D50" w:rsidRDefault="00942D50" w:rsidP="00942D50">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**18.4.</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Foti, Butti, Rachele Silvestri, </w:t>
      </w:r>
      <w:proofErr w:type="spellStart"/>
      <w:r w:rsidRPr="000C0983">
        <w:rPr>
          <w:rFonts w:asciiTheme="minorHAnsi" w:eastAsia="Times New Roman" w:hAnsiTheme="minorHAnsi" w:cstheme="minorHAnsi"/>
          <w:color w:val="000000" w:themeColor="text1"/>
        </w:rPr>
        <w:t>Lucaselli</w:t>
      </w:r>
      <w:proofErr w:type="spellEnd"/>
      <w:r w:rsidRPr="001E550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**18.9.</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Scagliusi</w:t>
      </w:r>
      <w:proofErr w:type="spellEnd"/>
      <w:r w:rsidRPr="000C0983">
        <w:rPr>
          <w:rFonts w:asciiTheme="minorHAnsi" w:eastAsia="Times New Roman" w:hAnsiTheme="minorHAnsi" w:cstheme="minorHAnsi"/>
          <w:color w:val="000000" w:themeColor="text1"/>
        </w:rPr>
        <w:t xml:space="preserve">, Barbuto, Luciano Cantone, Carinelli, De </w:t>
      </w:r>
      <w:proofErr w:type="spellStart"/>
      <w:r w:rsidRPr="000C0983">
        <w:rPr>
          <w:rFonts w:asciiTheme="minorHAnsi" w:eastAsia="Times New Roman" w:hAnsiTheme="minorHAnsi" w:cstheme="minorHAnsi"/>
          <w:color w:val="000000" w:themeColor="text1"/>
        </w:rPr>
        <w:t>Lorenzis</w:t>
      </w:r>
      <w:proofErr w:type="spellEnd"/>
      <w:r w:rsidRPr="000C0983">
        <w:rPr>
          <w:rFonts w:asciiTheme="minorHAnsi" w:eastAsia="Times New Roman" w:hAnsiTheme="minorHAnsi" w:cstheme="minorHAnsi"/>
          <w:color w:val="000000" w:themeColor="text1"/>
        </w:rPr>
        <w:t xml:space="preserve">, Ficara, Grippa, Liuzzi, Raffa, </w:t>
      </w:r>
      <w:proofErr w:type="spellStart"/>
      <w:r w:rsidRPr="000C0983">
        <w:rPr>
          <w:rFonts w:asciiTheme="minorHAnsi" w:eastAsia="Times New Roman" w:hAnsiTheme="minorHAnsi" w:cstheme="minorHAnsi"/>
          <w:color w:val="000000" w:themeColor="text1"/>
        </w:rPr>
        <w:t>Serritella</w:t>
      </w:r>
      <w:proofErr w:type="spellEnd"/>
      <w:r w:rsidRPr="000C0983">
        <w:rPr>
          <w:rFonts w:asciiTheme="minorHAnsi" w:eastAsia="Times New Roman" w:hAnsiTheme="minorHAnsi" w:cstheme="minorHAnsi"/>
          <w:color w:val="000000" w:themeColor="text1"/>
        </w:rPr>
        <w:t>, Traversi, Zanichelli</w:t>
      </w:r>
      <w:r w:rsidRPr="001E550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**18.13.</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Fiorini, Maccanti, </w:t>
      </w:r>
      <w:proofErr w:type="spellStart"/>
      <w:r w:rsidRPr="000C0983">
        <w:rPr>
          <w:rFonts w:asciiTheme="minorHAnsi" w:eastAsia="Times New Roman" w:hAnsiTheme="minorHAnsi" w:cstheme="minorHAnsi"/>
          <w:color w:val="000000" w:themeColor="text1"/>
        </w:rPr>
        <w:t>Rixi</w:t>
      </w:r>
      <w:proofErr w:type="spellEnd"/>
      <w:r w:rsidRPr="000C0983">
        <w:rPr>
          <w:rFonts w:asciiTheme="minorHAnsi" w:eastAsia="Times New Roman" w:hAnsiTheme="minorHAnsi" w:cstheme="minorHAnsi"/>
          <w:color w:val="000000" w:themeColor="text1"/>
        </w:rPr>
        <w:t xml:space="preserve">, Donina, </w:t>
      </w:r>
      <w:proofErr w:type="spellStart"/>
      <w:r w:rsidRPr="000C0983">
        <w:rPr>
          <w:rFonts w:asciiTheme="minorHAnsi" w:eastAsia="Times New Roman" w:hAnsiTheme="minorHAnsi" w:cstheme="minorHAnsi"/>
          <w:color w:val="000000" w:themeColor="text1"/>
        </w:rPr>
        <w:t>Furgiuele</w:t>
      </w:r>
      <w:proofErr w:type="spellEnd"/>
      <w:r w:rsidRPr="000C0983">
        <w:rPr>
          <w:rFonts w:asciiTheme="minorHAnsi" w:eastAsia="Times New Roman" w:hAnsiTheme="minorHAnsi" w:cstheme="minorHAnsi"/>
          <w:color w:val="000000" w:themeColor="text1"/>
        </w:rPr>
        <w:t xml:space="preserve">, Capitanio, Fogliani, Giacometti, Tombolato, Zanella, Zordan,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Binelli, Carrara, Colla,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xml:space="preserve">, Piastra, Saltamartini,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Lucchini,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1E550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**18.2.</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Bruno Bossio, Gariglio, Pizzetti, Andrea Romano, Casu, Cantini, Del Basso De </w:t>
      </w:r>
      <w:proofErr w:type="gramStart"/>
      <w:r w:rsidRPr="000C0983">
        <w:rPr>
          <w:rFonts w:asciiTheme="minorHAnsi" w:eastAsia="Times New Roman" w:hAnsiTheme="minorHAnsi" w:cstheme="minorHAnsi"/>
          <w:color w:val="000000" w:themeColor="text1"/>
        </w:rPr>
        <w:t>Caro</w:t>
      </w:r>
      <w:r w:rsidRPr="001E5507">
        <w:rPr>
          <w:rFonts w:eastAsia="Times New Roman" w:cstheme="minorHAnsi"/>
          <w:color w:val="000000" w:themeColor="text1"/>
        </w:rPr>
        <w:t>;</w:t>
      </w:r>
      <w:r w:rsidRPr="000C0983">
        <w:rPr>
          <w:rFonts w:asciiTheme="minorHAnsi" w:eastAsia="Times New Roman" w:hAnsiTheme="minorHAnsi" w:cstheme="minorHAnsi"/>
          <w:b/>
          <w:bCs/>
          <w:color w:val="000000" w:themeColor="text1"/>
        </w:rPr>
        <w:t>*</w:t>
      </w:r>
      <w:proofErr w:type="gramEnd"/>
      <w:r w:rsidRPr="000C0983">
        <w:rPr>
          <w:rFonts w:asciiTheme="minorHAnsi" w:eastAsia="Times New Roman" w:hAnsiTheme="minorHAnsi" w:cstheme="minorHAnsi"/>
          <w:b/>
          <w:bCs/>
          <w:color w:val="000000" w:themeColor="text1"/>
        </w:rPr>
        <w:t>*18.5.</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Gagliardi</w:t>
      </w:r>
      <w:r w:rsidRPr="001E5507">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**18.12.</w:t>
      </w:r>
      <w:r w:rsidRPr="000C0983">
        <w:rPr>
          <w:rFonts w:asciiTheme="minorHAnsi" w:eastAsia="Times New Roman" w:hAnsiTheme="minorHAnsi" w:cstheme="minorHAnsi"/>
          <w:color w:val="000000" w:themeColor="text1"/>
        </w:rPr>
        <w:t xml:space="preserve"> Moretto, </w:t>
      </w:r>
      <w:proofErr w:type="spellStart"/>
      <w:r w:rsidRPr="000C0983">
        <w:rPr>
          <w:rFonts w:asciiTheme="minorHAnsi" w:eastAsia="Times New Roman" w:hAnsiTheme="minorHAnsi" w:cstheme="minorHAnsi"/>
          <w:color w:val="000000" w:themeColor="text1"/>
        </w:rPr>
        <w:t>Fregolent</w:t>
      </w:r>
      <w:proofErr w:type="spellEnd"/>
      <w:r w:rsidRPr="001E5507">
        <w:rPr>
          <w:rFonts w:eastAsia="Times New Roman" w:cstheme="minorHAnsi"/>
          <w:color w:val="000000" w:themeColor="text1"/>
        </w:rPr>
        <w:t>;</w:t>
      </w:r>
      <w:r w:rsidRPr="001E5507">
        <w:rPr>
          <w:rFonts w:eastAsia="Times New Roman" w:cstheme="minorHAnsi"/>
          <w:b/>
          <w:bCs/>
          <w:color w:val="000000" w:themeColor="text1"/>
        </w:rPr>
        <w:t xml:space="preserve"> </w:t>
      </w:r>
      <w:r w:rsidRPr="000C0983">
        <w:rPr>
          <w:rFonts w:asciiTheme="minorHAnsi" w:eastAsia="Times New Roman" w:hAnsiTheme="minorHAnsi" w:cstheme="minorHAnsi"/>
          <w:b/>
          <w:bCs/>
          <w:color w:val="000000" w:themeColor="text1"/>
        </w:rPr>
        <w:t>**18.16.</w:t>
      </w:r>
      <w:r w:rsidRPr="000C0983">
        <w:rPr>
          <w:rFonts w:asciiTheme="minorHAnsi" w:eastAsia="Times New Roman" w:hAnsiTheme="minorHAnsi" w:cstheme="minorHAnsi"/>
          <w:color w:val="000000" w:themeColor="text1"/>
        </w:rPr>
        <w:t xml:space="preserve"> Mazzetti, Cortelazzo, Labriola, Porchietto, Polidori,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Sessa, Valentini, Casino, Ferraioli.</w:t>
      </w:r>
    </w:p>
  </w:footnote>
  <w:footnote w:id="52">
    <w:p w14:paraId="1756525B" w14:textId="0830925E" w:rsidR="00E34DAC" w:rsidRDefault="00E34DAC">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*18.6.</w:t>
      </w:r>
      <w:r w:rsidRPr="000C0983">
        <w:rPr>
          <w:rFonts w:asciiTheme="minorHAnsi" w:eastAsia="Times New Roman" w:hAnsiTheme="minorHAnsi" w:cstheme="minorHAnsi"/>
          <w:color w:val="000000" w:themeColor="text1"/>
        </w:rPr>
        <w:t> Gagliardi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*18.15.</w:t>
      </w:r>
      <w:r w:rsidRPr="000C0983">
        <w:rPr>
          <w:rFonts w:asciiTheme="minorHAnsi" w:eastAsia="Times New Roman" w:hAnsiTheme="minorHAnsi" w:cstheme="minorHAnsi"/>
          <w:color w:val="000000" w:themeColor="text1"/>
        </w:rPr>
        <w:t xml:space="preserve"> Lucchini, Binelli,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Piastra, Raffaelli,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*18.14.</w:t>
      </w:r>
      <w:r w:rsidRPr="000C0983">
        <w:rPr>
          <w:rFonts w:asciiTheme="minorHAnsi" w:eastAsia="Times New Roman" w:hAnsiTheme="minorHAnsi" w:cstheme="minorHAnsi"/>
          <w:color w:val="000000" w:themeColor="text1"/>
        </w:rPr>
        <w:t xml:space="preserve"> Raffaelli,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w:t>
      </w:r>
      <w:proofErr w:type="spellStart"/>
      <w:r w:rsidRPr="000C0983">
        <w:rPr>
          <w:rFonts w:asciiTheme="minorHAnsi" w:eastAsia="Times New Roman" w:hAnsiTheme="minorHAnsi" w:cstheme="minorHAnsi"/>
          <w:color w:val="000000" w:themeColor="text1"/>
        </w:rPr>
        <w:t>Tateo</w:t>
      </w:r>
      <w:proofErr w:type="spellEnd"/>
      <w:r w:rsidRPr="000C0983">
        <w:rPr>
          <w:rFonts w:asciiTheme="minorHAnsi" w:eastAsia="Times New Roman" w:hAnsiTheme="minorHAnsi" w:cstheme="minorHAnsi"/>
          <w:color w:val="000000" w:themeColor="text1"/>
        </w:rPr>
        <w:t xml:space="preserve">,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xml:space="preserve">, Binelli,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Piastra, Saltamartini, Cavandoli</w:t>
      </w:r>
      <w:r w:rsidRPr="00070BF1">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*18.10.</w:t>
      </w:r>
      <w:r w:rsidRPr="000C0983">
        <w:rPr>
          <w:rFonts w:asciiTheme="minorHAnsi" w:eastAsia="Times New Roman" w:hAnsiTheme="minorHAnsi" w:cstheme="minorHAnsi"/>
          <w:color w:val="000000" w:themeColor="text1"/>
        </w:rPr>
        <w:t xml:space="preserve"> Sut, Rotta, Braga, Buratti,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xml:space="preserve">, Pellicani, Pezzopane, Nardi, Benamati, Bonomo, D'Elia, Gavino Manca,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w:t>
      </w:r>
    </w:p>
  </w:footnote>
  <w:footnote w:id="53">
    <w:p w14:paraId="28347BC4" w14:textId="21CC7ADF" w:rsidR="00395F81" w:rsidRDefault="00395F81">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18.11.</w:t>
      </w:r>
      <w:r w:rsidRPr="000C0983">
        <w:rPr>
          <w:rFonts w:asciiTheme="minorHAnsi" w:eastAsia="Times New Roman" w:hAnsiTheme="minorHAnsi" w:cstheme="minorHAnsi"/>
          <w:color w:val="000000" w:themeColor="text1"/>
        </w:rPr>
        <w:t xml:space="preserve"> Davide </w:t>
      </w:r>
      <w:proofErr w:type="gramStart"/>
      <w:r w:rsidRPr="000C0983">
        <w:rPr>
          <w:rFonts w:asciiTheme="minorHAnsi" w:eastAsia="Times New Roman" w:hAnsiTheme="minorHAnsi" w:cstheme="minorHAnsi"/>
          <w:color w:val="000000" w:themeColor="text1"/>
        </w:rPr>
        <w:t>Crippa ,</w:t>
      </w:r>
      <w:proofErr w:type="gramEnd"/>
      <w:r w:rsidRPr="000C0983">
        <w:rPr>
          <w:rFonts w:asciiTheme="minorHAnsi" w:eastAsia="Times New Roman" w:hAnsiTheme="minorHAnsi" w:cstheme="minorHAnsi"/>
          <w:color w:val="000000" w:themeColor="text1"/>
        </w:rPr>
        <w:t xml:space="preserve"> Galizia.</w:t>
      </w:r>
    </w:p>
  </w:footnote>
  <w:footnote w:id="54">
    <w:p w14:paraId="18C92988" w14:textId="6DC8D4E3" w:rsidR="00024286" w:rsidRDefault="00024286">
      <w:pPr>
        <w:pStyle w:val="Testonotaapidipagina"/>
      </w:pPr>
      <w:r>
        <w:rPr>
          <w:rStyle w:val="Rimandonotaapidipagina"/>
        </w:rPr>
        <w:footnoteRef/>
      </w:r>
      <w:r>
        <w:t xml:space="preserve"> </w:t>
      </w:r>
      <w:r w:rsidR="003C74D6" w:rsidRPr="000C0983">
        <w:rPr>
          <w:rFonts w:asciiTheme="minorHAnsi" w:eastAsia="Times New Roman" w:hAnsiTheme="minorHAnsi" w:cstheme="minorHAnsi"/>
          <w:b/>
          <w:bCs/>
          <w:color w:val="000000" w:themeColor="text1"/>
        </w:rPr>
        <w:t>18.01.</w:t>
      </w:r>
      <w:r w:rsidR="003C74D6" w:rsidRPr="000C0983">
        <w:rPr>
          <w:rFonts w:asciiTheme="minorHAnsi" w:eastAsia="Times New Roman" w:hAnsiTheme="minorHAnsi" w:cstheme="minorHAnsi"/>
          <w:color w:val="000000" w:themeColor="text1"/>
        </w:rPr>
        <w:t> Davide Crippa, Galizia, Zanichelli.</w:t>
      </w:r>
    </w:p>
  </w:footnote>
  <w:footnote w:id="55">
    <w:p w14:paraId="404BC7B7" w14:textId="033EC78A" w:rsidR="003C74D6" w:rsidRDefault="003C74D6">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19.05.</w:t>
      </w:r>
      <w:r w:rsidRPr="000C0983">
        <w:rPr>
          <w:rFonts w:asciiTheme="minorHAnsi" w:eastAsia="Times New Roman" w:hAnsiTheme="minorHAnsi" w:cstheme="minorHAnsi"/>
          <w:color w:val="000000" w:themeColor="text1"/>
        </w:rPr>
        <w:t xml:space="preserve"> Braga, Rotta, Pellicani, Deiana, </w:t>
      </w:r>
      <w:proofErr w:type="spellStart"/>
      <w:r w:rsidRPr="000C0983">
        <w:rPr>
          <w:rFonts w:asciiTheme="minorHAnsi" w:eastAsia="Times New Roman" w:hAnsiTheme="minorHAnsi" w:cstheme="minorHAnsi"/>
          <w:color w:val="000000" w:themeColor="text1"/>
        </w:rPr>
        <w:t>Fregolent</w:t>
      </w:r>
      <w:proofErr w:type="spellEnd"/>
      <w:r w:rsidRPr="000C0983">
        <w:rPr>
          <w:rFonts w:asciiTheme="minorHAnsi" w:eastAsia="Times New Roman" w:hAnsiTheme="minorHAnsi" w:cstheme="minorHAnsi"/>
          <w:color w:val="000000" w:themeColor="text1"/>
        </w:rPr>
        <w:t xml:space="preserve">, Cortelazzo,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Buratti,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xml:space="preserve">,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Pezzopane.</w:t>
      </w:r>
    </w:p>
  </w:footnote>
  <w:footnote w:id="56">
    <w:p w14:paraId="7EB1E0D6" w14:textId="0BB97C56" w:rsidR="003C74D6" w:rsidRDefault="003C74D6" w:rsidP="003C74D6">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19.010.</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Deiana, Masi, Sut, Davide Crippa, Zanichelli.</w:t>
      </w:r>
    </w:p>
  </w:footnote>
  <w:footnote w:id="57">
    <w:p w14:paraId="0F350FE1" w14:textId="0C19D021" w:rsidR="003C74D6" w:rsidRDefault="003C74D6" w:rsidP="0059772E">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19.07.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Masi, Deiana, Sut, Davide Crippa.</w:t>
      </w:r>
    </w:p>
  </w:footnote>
  <w:footnote w:id="58">
    <w:p w14:paraId="331F3B61" w14:textId="1880B4A5" w:rsidR="0059772E" w:rsidRDefault="0059772E">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20.11.</w:t>
      </w:r>
      <w:r w:rsidRPr="000C0983">
        <w:rPr>
          <w:rFonts w:asciiTheme="minorHAnsi" w:eastAsia="Times New Roman" w:hAnsiTheme="minorHAnsi" w:cstheme="minorHAnsi"/>
          <w:color w:val="000000" w:themeColor="text1"/>
        </w:rPr>
        <w:t> Enrico Borghi.</w:t>
      </w:r>
    </w:p>
  </w:footnote>
  <w:footnote w:id="59">
    <w:p w14:paraId="3FEE64B4" w14:textId="25D37EE2" w:rsidR="00187A0C" w:rsidRDefault="00187A0C" w:rsidP="00187A0C">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21.8.</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Casciello, Cortelazzo,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Mazzetti, Sessa, Polidori, Casino, Labriola, Ferraioli, Valentini, Porchietto.</w:t>
      </w:r>
    </w:p>
  </w:footnote>
  <w:footnote w:id="60">
    <w:p w14:paraId="154564E2" w14:textId="630F0A94" w:rsidR="00187A0C" w:rsidRDefault="00187A0C" w:rsidP="00187A0C">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*22.08.</w:t>
      </w:r>
      <w:r w:rsidRPr="000C0983">
        <w:rPr>
          <w:rFonts w:asciiTheme="minorHAnsi" w:eastAsia="Times New Roman" w:hAnsiTheme="minorHAnsi" w:cstheme="minorHAnsi"/>
          <w:color w:val="000000" w:themeColor="text1"/>
        </w:rPr>
        <w:t xml:space="preserve"> Zucconi, De Toma, </w:t>
      </w:r>
      <w:proofErr w:type="spellStart"/>
      <w:r w:rsidRPr="000C0983">
        <w:rPr>
          <w:rFonts w:asciiTheme="minorHAnsi" w:eastAsia="Times New Roman" w:hAnsiTheme="minorHAnsi" w:cstheme="minorHAnsi"/>
          <w:color w:val="000000" w:themeColor="text1"/>
        </w:rPr>
        <w:t>Caiata</w:t>
      </w:r>
      <w:proofErr w:type="spellEnd"/>
      <w:r w:rsidRPr="00DA2F9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*22.015.</w:t>
      </w:r>
      <w:r w:rsidRPr="000C0983">
        <w:rPr>
          <w:rFonts w:asciiTheme="minorHAnsi" w:eastAsia="Times New Roman" w:hAnsiTheme="minorHAnsi" w:cstheme="minorHAnsi"/>
          <w:color w:val="000000" w:themeColor="text1"/>
        </w:rPr>
        <w:t> Pagani</w:t>
      </w:r>
      <w:r w:rsidRPr="00DA2F9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*22.028.</w:t>
      </w:r>
      <w:r w:rsidRPr="000C0983">
        <w:rPr>
          <w:rFonts w:asciiTheme="minorHAnsi" w:eastAsia="Times New Roman" w:hAnsiTheme="minorHAnsi" w:cstheme="minorHAnsi"/>
          <w:color w:val="000000" w:themeColor="text1"/>
        </w:rPr>
        <w:t xml:space="preserve"> Lucchini,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D'Eramo, Dara, Eva Lorenzoni,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DA2F93">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*22.032.</w:t>
      </w:r>
      <w:r w:rsidRPr="000C0983">
        <w:rPr>
          <w:rFonts w:asciiTheme="minorHAnsi" w:eastAsia="Times New Roman" w:hAnsiTheme="minorHAnsi" w:cstheme="minorHAnsi"/>
          <w:color w:val="000000" w:themeColor="text1"/>
        </w:rPr>
        <w:t xml:space="preserve"> D'Attis, Porchietto, Cortelazzo, Polidori,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Sessa, Labriola, Mazzetti, Valentini, Casino, Ferraioli, Giacometto.</w:t>
      </w:r>
    </w:p>
  </w:footnote>
  <w:footnote w:id="61">
    <w:p w14:paraId="59A6EAE4" w14:textId="0EC41DC8" w:rsidR="00187A0C" w:rsidRDefault="00187A0C" w:rsidP="00111EE0">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25.011.</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Dal Moro, Serracchiani, Pellicani.</w:t>
      </w:r>
    </w:p>
  </w:footnote>
  <w:footnote w:id="62">
    <w:p w14:paraId="644F5284" w14:textId="3EA4831B" w:rsidR="00111EE0" w:rsidRDefault="00111EE0">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26.3.</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Buratti, Delrio.</w:t>
      </w:r>
    </w:p>
  </w:footnote>
  <w:footnote w:id="63">
    <w:p w14:paraId="35A6B918" w14:textId="77777777" w:rsidR="00111EE0" w:rsidRPr="000C0983" w:rsidRDefault="00111EE0" w:rsidP="00111EE0">
      <w:pPr>
        <w:shd w:val="clear" w:color="auto" w:fill="FFFFFF"/>
        <w:spacing w:after="0" w:line="240" w:lineRule="auto"/>
        <w:jc w:val="both"/>
        <w:rPr>
          <w:rFonts w:asciiTheme="minorHAnsi" w:eastAsia="Times New Roman" w:hAnsiTheme="minorHAnsi" w:cstheme="minorHAnsi"/>
          <w:color w:val="000000" w:themeColor="text1"/>
          <w:sz w:val="24"/>
          <w:szCs w:val="24"/>
        </w:rPr>
      </w:pPr>
      <w:r>
        <w:rPr>
          <w:rStyle w:val="Rimandonotaapidipagina"/>
        </w:rPr>
        <w:footnoteRef/>
      </w:r>
      <w:r>
        <w:t xml:space="preserve"> </w:t>
      </w:r>
      <w:r w:rsidRPr="000C0983">
        <w:rPr>
          <w:rFonts w:asciiTheme="minorHAnsi" w:eastAsia="Times New Roman" w:hAnsiTheme="minorHAnsi" w:cstheme="minorHAnsi"/>
          <w:b/>
          <w:bCs/>
          <w:color w:val="000000" w:themeColor="text1"/>
        </w:rPr>
        <w:t>26.3.</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Buratti, Delrio.</w:t>
      </w:r>
    </w:p>
    <w:p w14:paraId="78C25827" w14:textId="58179187" w:rsidR="00111EE0" w:rsidRDefault="00111EE0">
      <w:pPr>
        <w:pStyle w:val="Testonotaapidipagina"/>
      </w:pPr>
    </w:p>
  </w:footnote>
  <w:footnote w:id="64">
    <w:p w14:paraId="7E6F3E67" w14:textId="3CE1FCE2" w:rsidR="00111EE0" w:rsidRDefault="00111EE0" w:rsidP="00111EE0">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*27.8.</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Gagliardi</w:t>
      </w:r>
      <w:r w:rsidRPr="00F07B32">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*27.39.</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Cortelazzo, Polidori, Labriola, Porchietto, Mazzetti,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Casino, Ferraioli, Sessa, Valentini</w:t>
      </w:r>
      <w:r>
        <w:rPr>
          <w:rFonts w:asciiTheme="minorHAnsi" w:eastAsia="Times New Roman" w:hAnsiTheme="minorHAnsi" w:cstheme="minorHAnsi"/>
          <w:color w:val="000000" w:themeColor="text1"/>
        </w:rPr>
        <w:t xml:space="preserve">; </w:t>
      </w:r>
      <w:r w:rsidRPr="000C0983">
        <w:rPr>
          <w:rFonts w:asciiTheme="minorHAnsi" w:eastAsia="Times New Roman" w:hAnsiTheme="minorHAnsi" w:cstheme="minorHAnsi"/>
          <w:b/>
          <w:bCs/>
          <w:color w:val="000000" w:themeColor="text1"/>
        </w:rPr>
        <w:t>*27.30.</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D'Elia</w:t>
      </w:r>
      <w:r w:rsidRPr="00F07B32">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*27.50.</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Pastorino, Timbro.</w:t>
      </w:r>
    </w:p>
  </w:footnote>
  <w:footnote w:id="65">
    <w:p w14:paraId="4E734A4C" w14:textId="1217AB75" w:rsidR="00111EE0" w:rsidRDefault="00111EE0" w:rsidP="006A6D39">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27.19.</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D'Eramo, Bellachioma, Zennaro, Davide Crippa, Grippa, Cavandoli.</w:t>
      </w:r>
    </w:p>
  </w:footnote>
  <w:footnote w:id="66">
    <w:p w14:paraId="2665B954" w14:textId="31196B04" w:rsidR="006A6D39" w:rsidRDefault="006A6D39">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27.4.</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Plangger</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Gebhard</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Schullian</w:t>
      </w:r>
      <w:proofErr w:type="spellEnd"/>
      <w:r w:rsidRPr="000C0983">
        <w:rPr>
          <w:rFonts w:asciiTheme="minorHAnsi" w:eastAsia="Times New Roman" w:hAnsiTheme="minorHAnsi" w:cstheme="minorHAnsi"/>
          <w:color w:val="000000" w:themeColor="text1"/>
        </w:rPr>
        <w:t xml:space="preserve">, Emanuela Rossini, Binelli, Maurizio </w:t>
      </w:r>
      <w:proofErr w:type="spellStart"/>
      <w:r w:rsidRPr="000C0983">
        <w:rPr>
          <w:rFonts w:asciiTheme="minorHAnsi" w:eastAsia="Times New Roman" w:hAnsiTheme="minorHAnsi" w:cstheme="minorHAnsi"/>
          <w:color w:val="000000" w:themeColor="text1"/>
        </w:rPr>
        <w:t>Cattoi</w:t>
      </w:r>
      <w:proofErr w:type="spellEnd"/>
      <w:r w:rsidRPr="000C0983">
        <w:rPr>
          <w:rFonts w:asciiTheme="minorHAnsi" w:eastAsia="Times New Roman" w:hAnsiTheme="minorHAnsi" w:cstheme="minorHAnsi"/>
          <w:color w:val="000000" w:themeColor="text1"/>
        </w:rPr>
        <w:t>.</w:t>
      </w:r>
    </w:p>
  </w:footnote>
  <w:footnote w:id="67">
    <w:p w14:paraId="4D89FFEB" w14:textId="2991D56D" w:rsidR="006A6D39" w:rsidRDefault="006A6D39">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*28.4.</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Del Barba, </w:t>
      </w:r>
      <w:proofErr w:type="spellStart"/>
      <w:r w:rsidRPr="000C0983">
        <w:rPr>
          <w:rFonts w:asciiTheme="minorHAnsi" w:eastAsia="Times New Roman" w:hAnsiTheme="minorHAnsi" w:cstheme="minorHAnsi"/>
          <w:color w:val="000000" w:themeColor="text1"/>
        </w:rPr>
        <w:t>Fregolent</w:t>
      </w:r>
      <w:proofErr w:type="spellEnd"/>
      <w:r w:rsidRPr="000C0983">
        <w:rPr>
          <w:rFonts w:asciiTheme="minorHAnsi" w:eastAsia="Times New Roman" w:hAnsiTheme="minorHAnsi" w:cstheme="minorHAnsi"/>
          <w:color w:val="000000" w:themeColor="text1"/>
        </w:rPr>
        <w:t>, Moretto</w:t>
      </w:r>
      <w:r w:rsidRPr="00DC3DA0">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*28.7.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Chiazzese</w:t>
      </w:r>
      <w:proofErr w:type="spellEnd"/>
      <w:r w:rsidRPr="000C0983">
        <w:rPr>
          <w:rFonts w:asciiTheme="minorHAnsi" w:eastAsia="Times New Roman" w:hAnsiTheme="minorHAnsi" w:cstheme="minorHAnsi"/>
          <w:color w:val="000000" w:themeColor="text1"/>
        </w:rPr>
        <w:t xml:space="preserve">, </w:t>
      </w:r>
      <w:proofErr w:type="spellStart"/>
      <w:r w:rsidRPr="000C0983">
        <w:rPr>
          <w:rFonts w:asciiTheme="minorHAnsi" w:eastAsia="Times New Roman" w:hAnsiTheme="minorHAnsi" w:cstheme="minorHAnsi"/>
          <w:color w:val="000000" w:themeColor="text1"/>
        </w:rPr>
        <w:t>Licatini</w:t>
      </w:r>
      <w:proofErr w:type="spellEnd"/>
      <w:r w:rsidRPr="000C0983">
        <w:rPr>
          <w:rFonts w:asciiTheme="minorHAnsi" w:eastAsia="Times New Roman" w:hAnsiTheme="minorHAnsi" w:cstheme="minorHAnsi"/>
          <w:color w:val="000000" w:themeColor="text1"/>
        </w:rPr>
        <w:t>, Traversi.</w:t>
      </w:r>
    </w:p>
  </w:footnote>
  <w:footnote w:id="68">
    <w:p w14:paraId="62A76820" w14:textId="02411921" w:rsidR="006A6D39" w:rsidRDefault="006A6D39">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28.02.</w:t>
      </w:r>
      <w:r w:rsidRPr="000C0983">
        <w:rPr>
          <w:rFonts w:asciiTheme="minorHAnsi" w:eastAsia="Times New Roman" w:hAnsiTheme="minorHAnsi" w:cstheme="minorHAnsi"/>
          <w:color w:val="000000" w:themeColor="text1"/>
        </w:rPr>
        <w:t xml:space="preserve"> Benamati, Bonomo, D'Elia, Gavino Manca,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w:t>
      </w:r>
    </w:p>
  </w:footnote>
  <w:footnote w:id="69">
    <w:p w14:paraId="053695A6" w14:textId="5EFFAC3F" w:rsidR="00713BDD" w:rsidRDefault="00713BDD">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29.1.</w:t>
      </w:r>
      <w:r w:rsidRPr="000C0983">
        <w:rPr>
          <w:rFonts w:asciiTheme="minorHAnsi" w:eastAsia="Times New Roman" w:hAnsiTheme="minorHAnsi" w:cstheme="minorHAnsi"/>
          <w:color w:val="000000" w:themeColor="text1"/>
        </w:rPr>
        <w:t> Gemmato, Zucconi.</w:t>
      </w:r>
    </w:p>
  </w:footnote>
  <w:footnote w:id="70">
    <w:p w14:paraId="72A433FD" w14:textId="6749E90A" w:rsidR="00713BDD" w:rsidRDefault="00713BDD">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29.1.</w:t>
      </w:r>
      <w:r w:rsidRPr="000C0983">
        <w:rPr>
          <w:rFonts w:asciiTheme="minorHAnsi" w:eastAsia="Times New Roman" w:hAnsiTheme="minorHAnsi" w:cstheme="minorHAnsi"/>
          <w:color w:val="000000" w:themeColor="text1"/>
        </w:rPr>
        <w:t> Gemmato, Zucconi.</w:t>
      </w:r>
    </w:p>
  </w:footnote>
  <w:footnote w:id="71">
    <w:p w14:paraId="72A86C67" w14:textId="32C2F60E" w:rsidR="00713BDD" w:rsidRDefault="00713BDD" w:rsidP="00713BDD">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28.04.</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Terzoni, Sut, Fraccaro, Masi, Deiana.</w:t>
      </w:r>
    </w:p>
  </w:footnote>
  <w:footnote w:id="72">
    <w:p w14:paraId="5E2A8CD4" w14:textId="7C664B3A" w:rsidR="00713BDD" w:rsidRDefault="00713BDD">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30.5.</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Cannizzaro, D'Ettore, Gentile,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xml:space="preserve">, Maria Tripodi, </w:t>
      </w:r>
      <w:proofErr w:type="spellStart"/>
      <w:r w:rsidRPr="000C0983">
        <w:rPr>
          <w:rFonts w:asciiTheme="minorHAnsi" w:eastAsia="Times New Roman" w:hAnsiTheme="minorHAnsi" w:cstheme="minorHAnsi"/>
          <w:color w:val="000000" w:themeColor="text1"/>
        </w:rPr>
        <w:t>Furgiuele</w:t>
      </w:r>
      <w:proofErr w:type="spellEnd"/>
    </w:p>
  </w:footnote>
  <w:footnote w:id="73">
    <w:p w14:paraId="714FC3B2" w14:textId="31FC4982" w:rsidR="00713BDD" w:rsidRDefault="00713BDD">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*32.7.</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D'Elia, De Filippo</w:t>
      </w:r>
      <w:r w:rsidRPr="00035179">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*32.9.</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Magi</w:t>
      </w:r>
      <w:r w:rsidRPr="00035179">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*32.10.</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Magi.</w:t>
      </w:r>
    </w:p>
  </w:footnote>
  <w:footnote w:id="74">
    <w:p w14:paraId="7E59AC0B" w14:textId="3B45E58F" w:rsidR="00713BDD" w:rsidRDefault="00713BDD" w:rsidP="007F6303">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33.6.</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Vitiello, Annibali, Ferri, Moretto, </w:t>
      </w:r>
      <w:proofErr w:type="spellStart"/>
      <w:r w:rsidRPr="000C0983">
        <w:rPr>
          <w:rFonts w:asciiTheme="minorHAnsi" w:eastAsia="Times New Roman" w:hAnsiTheme="minorHAnsi" w:cstheme="minorHAnsi"/>
          <w:color w:val="000000" w:themeColor="text1"/>
        </w:rPr>
        <w:t>Fregolent</w:t>
      </w:r>
      <w:proofErr w:type="spellEnd"/>
      <w:r w:rsidRPr="000C0983">
        <w:rPr>
          <w:rFonts w:asciiTheme="minorHAnsi" w:eastAsia="Times New Roman" w:hAnsiTheme="minorHAnsi" w:cstheme="minorHAnsi"/>
          <w:color w:val="000000" w:themeColor="text1"/>
        </w:rPr>
        <w:t>.</w:t>
      </w:r>
    </w:p>
  </w:footnote>
  <w:footnote w:id="75">
    <w:p w14:paraId="67D837AC" w14:textId="0384830F" w:rsidR="007F6303" w:rsidRDefault="007F6303">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35.06.</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Fragomeli</w:t>
      </w:r>
      <w:proofErr w:type="spellEnd"/>
      <w:r w:rsidRPr="000C0983">
        <w:rPr>
          <w:rFonts w:asciiTheme="minorHAnsi" w:eastAsia="Times New Roman" w:hAnsiTheme="minorHAnsi" w:cstheme="minorHAnsi"/>
          <w:color w:val="000000" w:themeColor="text1"/>
        </w:rPr>
        <w:t xml:space="preserve">, Boccia, Buratti, </w:t>
      </w:r>
      <w:proofErr w:type="spellStart"/>
      <w:r w:rsidRPr="000C0983">
        <w:rPr>
          <w:rFonts w:asciiTheme="minorHAnsi" w:eastAsia="Times New Roman" w:hAnsiTheme="minorHAnsi" w:cstheme="minorHAnsi"/>
          <w:color w:val="000000" w:themeColor="text1"/>
        </w:rPr>
        <w:t>Ciagà</w:t>
      </w:r>
      <w:proofErr w:type="spellEnd"/>
      <w:r w:rsidRPr="000C0983">
        <w:rPr>
          <w:rFonts w:asciiTheme="minorHAnsi" w:eastAsia="Times New Roman" w:hAnsiTheme="minorHAnsi" w:cstheme="minorHAnsi"/>
          <w:color w:val="000000" w:themeColor="text1"/>
        </w:rPr>
        <w:t>, Sani, Topo.</w:t>
      </w:r>
    </w:p>
  </w:footnote>
  <w:footnote w:id="76">
    <w:p w14:paraId="3869B8EC" w14:textId="77C6060C" w:rsidR="007F6303" w:rsidRDefault="007F6303" w:rsidP="007F6303">
      <w:pPr>
        <w:pStyle w:val="Testonotaapidipagina"/>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36.1.</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Rotta, Braga, Buratti,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xml:space="preserve">, Pellicani, Pezzopane, Benamati, Bonomo, D'Elia, Gavino Manca, Nardi,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w:t>
      </w:r>
    </w:p>
  </w:footnote>
  <w:footnote w:id="77">
    <w:p w14:paraId="720B831D" w14:textId="55BFC3CA" w:rsidR="007F6303" w:rsidRDefault="007F6303" w:rsidP="00DF6D11">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36.1.</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xml:space="preserve"> Rotta, Braga, Buratti, Morassut, </w:t>
      </w:r>
      <w:proofErr w:type="spellStart"/>
      <w:r w:rsidRPr="000C0983">
        <w:rPr>
          <w:rFonts w:asciiTheme="minorHAnsi" w:eastAsia="Times New Roman" w:hAnsiTheme="minorHAnsi" w:cstheme="minorHAnsi"/>
          <w:color w:val="000000" w:themeColor="text1"/>
        </w:rPr>
        <w:t>Morgoni</w:t>
      </w:r>
      <w:proofErr w:type="spellEnd"/>
      <w:r w:rsidRPr="000C0983">
        <w:rPr>
          <w:rFonts w:asciiTheme="minorHAnsi" w:eastAsia="Times New Roman" w:hAnsiTheme="minorHAnsi" w:cstheme="minorHAnsi"/>
          <w:color w:val="000000" w:themeColor="text1"/>
        </w:rPr>
        <w:t xml:space="preserve">, Pellicani, Pezzopane, Benamati, Bonomo, D'Elia, Gavino Manca, Nardi, </w:t>
      </w:r>
      <w:proofErr w:type="spellStart"/>
      <w:r w:rsidRPr="000C0983">
        <w:rPr>
          <w:rFonts w:asciiTheme="minorHAnsi" w:eastAsia="Times New Roman" w:hAnsiTheme="minorHAnsi" w:cstheme="minorHAnsi"/>
          <w:color w:val="000000" w:themeColor="text1"/>
        </w:rPr>
        <w:t>Soverini</w:t>
      </w:r>
      <w:proofErr w:type="spellEnd"/>
      <w:r w:rsidRPr="000C0983">
        <w:rPr>
          <w:rFonts w:asciiTheme="minorHAnsi" w:eastAsia="Times New Roman" w:hAnsiTheme="minorHAnsi" w:cstheme="minorHAnsi"/>
          <w:color w:val="000000" w:themeColor="text1"/>
        </w:rPr>
        <w:t>, Zardini.</w:t>
      </w:r>
    </w:p>
  </w:footnote>
  <w:footnote w:id="78">
    <w:p w14:paraId="230F9CEE" w14:textId="38C6ED4E" w:rsidR="00DF6D11" w:rsidRDefault="00DF6D11">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38.2.</w:t>
      </w:r>
      <w:r w:rsidRPr="000C0983">
        <w:rPr>
          <w:rFonts w:asciiTheme="minorHAnsi" w:eastAsia="Times New Roman" w:hAnsiTheme="minorHAnsi" w:cstheme="minorHAnsi"/>
          <w:color w:val="000000" w:themeColor="text1"/>
        </w:rPr>
        <w:t> </w:t>
      </w:r>
      <w:proofErr w:type="spellStart"/>
      <w:r w:rsidRPr="000C0983">
        <w:rPr>
          <w:rFonts w:asciiTheme="minorHAnsi" w:eastAsia="Times New Roman" w:hAnsiTheme="minorHAnsi" w:cstheme="minorHAnsi"/>
          <w:color w:val="000000" w:themeColor="text1"/>
        </w:rPr>
        <w:t>Fragomeli</w:t>
      </w:r>
      <w:proofErr w:type="spellEnd"/>
      <w:r w:rsidRPr="000C0983">
        <w:rPr>
          <w:rFonts w:asciiTheme="minorHAnsi" w:eastAsia="Times New Roman" w:hAnsiTheme="minorHAnsi" w:cstheme="minorHAnsi"/>
          <w:color w:val="000000" w:themeColor="text1"/>
        </w:rPr>
        <w:t>, Cenni.</w:t>
      </w:r>
    </w:p>
  </w:footnote>
  <w:footnote w:id="79">
    <w:p w14:paraId="70A0C037" w14:textId="221F2714" w:rsidR="00DF6D11" w:rsidRDefault="00DF6D11">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*39.1.</w:t>
      </w:r>
      <w:r w:rsidRPr="000C0983">
        <w:rPr>
          <w:rFonts w:asciiTheme="minorHAnsi" w:eastAsia="Times New Roman" w:hAnsiTheme="minorHAnsi" w:cstheme="minorHAnsi"/>
          <w:color w:val="000000" w:themeColor="text1"/>
        </w:rPr>
        <w:t xml:space="preserve"> Binelli, </w:t>
      </w:r>
      <w:proofErr w:type="spellStart"/>
      <w:r w:rsidRPr="000C0983">
        <w:rPr>
          <w:rFonts w:asciiTheme="minorHAnsi" w:eastAsia="Times New Roman" w:hAnsiTheme="minorHAnsi" w:cstheme="minorHAnsi"/>
          <w:color w:val="000000" w:themeColor="text1"/>
        </w:rPr>
        <w:t>Andreuzza</w:t>
      </w:r>
      <w:proofErr w:type="spellEnd"/>
      <w:r w:rsidRPr="000C0983">
        <w:rPr>
          <w:rFonts w:asciiTheme="minorHAnsi" w:eastAsia="Times New Roman" w:hAnsiTheme="minorHAnsi" w:cstheme="minorHAnsi"/>
          <w:color w:val="000000" w:themeColor="text1"/>
        </w:rPr>
        <w:t xml:space="preserve">, Carrara, Colla, Fiorini, Galli, Micheli, </w:t>
      </w:r>
      <w:proofErr w:type="spellStart"/>
      <w:r w:rsidRPr="000C0983">
        <w:rPr>
          <w:rFonts w:asciiTheme="minorHAnsi" w:eastAsia="Times New Roman" w:hAnsiTheme="minorHAnsi" w:cstheme="minorHAnsi"/>
          <w:color w:val="000000" w:themeColor="text1"/>
        </w:rPr>
        <w:t>Pettazzi</w:t>
      </w:r>
      <w:proofErr w:type="spellEnd"/>
      <w:r w:rsidRPr="000C0983">
        <w:rPr>
          <w:rFonts w:asciiTheme="minorHAnsi" w:eastAsia="Times New Roman" w:hAnsiTheme="minorHAnsi" w:cstheme="minorHAnsi"/>
          <w:color w:val="000000" w:themeColor="text1"/>
        </w:rPr>
        <w:t xml:space="preserve">, Piastra, Saltamartini, </w:t>
      </w:r>
      <w:proofErr w:type="spellStart"/>
      <w:r w:rsidRPr="000C0983">
        <w:rPr>
          <w:rFonts w:asciiTheme="minorHAnsi" w:eastAsia="Times New Roman" w:hAnsiTheme="minorHAnsi" w:cstheme="minorHAnsi"/>
          <w:color w:val="000000" w:themeColor="text1"/>
        </w:rPr>
        <w:t>Badole</w:t>
      </w:r>
      <w:proofErr w:type="spellEnd"/>
      <w:r w:rsidRPr="000C0983">
        <w:rPr>
          <w:rFonts w:asciiTheme="minorHAnsi" w:eastAsia="Times New Roman" w:hAnsiTheme="minorHAnsi" w:cstheme="minorHAnsi"/>
          <w:color w:val="000000" w:themeColor="text1"/>
        </w:rPr>
        <w:t xml:space="preserve">, Benvenuto, Dara, D'Eramo, Eva Lorenzoni, Lucchini, </w:t>
      </w:r>
      <w:proofErr w:type="spellStart"/>
      <w:r w:rsidRPr="000C0983">
        <w:rPr>
          <w:rFonts w:asciiTheme="minorHAnsi" w:eastAsia="Times New Roman" w:hAnsiTheme="minorHAnsi" w:cstheme="minorHAnsi"/>
          <w:color w:val="000000" w:themeColor="text1"/>
        </w:rPr>
        <w:t>Patassini</w:t>
      </w:r>
      <w:proofErr w:type="spellEnd"/>
      <w:r w:rsidRPr="000C0983">
        <w:rPr>
          <w:rFonts w:asciiTheme="minorHAnsi" w:eastAsia="Times New Roman" w:hAnsiTheme="minorHAnsi" w:cstheme="minorHAnsi"/>
          <w:color w:val="000000" w:themeColor="text1"/>
        </w:rPr>
        <w:t xml:space="preserve">, Raffaelli, Valbusa, </w:t>
      </w:r>
      <w:proofErr w:type="spellStart"/>
      <w:r w:rsidRPr="000C0983">
        <w:rPr>
          <w:rFonts w:asciiTheme="minorHAnsi" w:eastAsia="Times New Roman" w:hAnsiTheme="minorHAnsi" w:cstheme="minorHAnsi"/>
          <w:color w:val="000000" w:themeColor="text1"/>
        </w:rPr>
        <w:t>Vallotto</w:t>
      </w:r>
      <w:proofErr w:type="spellEnd"/>
      <w:r w:rsidRPr="000C0983">
        <w:rPr>
          <w:rFonts w:asciiTheme="minorHAnsi" w:eastAsia="Times New Roman" w:hAnsiTheme="minorHAnsi" w:cstheme="minorHAnsi"/>
          <w:color w:val="000000" w:themeColor="text1"/>
        </w:rPr>
        <w:t>, Cavandoli</w:t>
      </w:r>
      <w:r w:rsidRPr="005F43F8">
        <w:rPr>
          <w:rFonts w:eastAsia="Times New Roman" w:cstheme="minorHAnsi"/>
          <w:color w:val="000000" w:themeColor="text1"/>
        </w:rPr>
        <w:t xml:space="preserve">; </w:t>
      </w:r>
      <w:r w:rsidRPr="000C0983">
        <w:rPr>
          <w:rFonts w:asciiTheme="minorHAnsi" w:eastAsia="Times New Roman" w:hAnsiTheme="minorHAnsi" w:cstheme="minorHAnsi"/>
          <w:b/>
          <w:bCs/>
          <w:color w:val="000000" w:themeColor="text1"/>
        </w:rPr>
        <w:t>*39.2.</w:t>
      </w:r>
      <w:r w:rsidRPr="000C0983">
        <w:rPr>
          <w:rFonts w:asciiTheme="minorHAnsi" w:eastAsia="Times New Roman" w:hAnsiTheme="minorHAnsi" w:cstheme="minorHAnsi"/>
          <w:color w:val="000000" w:themeColor="text1"/>
        </w:rPr>
        <w:t xml:space="preserve"> Giacomoni, Porchietto, Cortelazzo, Mazzetti, </w:t>
      </w:r>
      <w:proofErr w:type="spellStart"/>
      <w:r w:rsidRPr="000C0983">
        <w:rPr>
          <w:rFonts w:asciiTheme="minorHAnsi" w:eastAsia="Times New Roman" w:hAnsiTheme="minorHAnsi" w:cstheme="minorHAnsi"/>
          <w:color w:val="000000" w:themeColor="text1"/>
        </w:rPr>
        <w:t>Torromino</w:t>
      </w:r>
      <w:proofErr w:type="spellEnd"/>
      <w:r w:rsidRPr="000C0983">
        <w:rPr>
          <w:rFonts w:asciiTheme="minorHAnsi" w:eastAsia="Times New Roman" w:hAnsiTheme="minorHAnsi" w:cstheme="minorHAnsi"/>
          <w:color w:val="000000" w:themeColor="text1"/>
        </w:rPr>
        <w:t>, Labriola, Sessa, Casino, Polidori, Ferraioli, Valentini.</w:t>
      </w:r>
    </w:p>
  </w:footnote>
  <w:footnote w:id="80">
    <w:p w14:paraId="070AE071" w14:textId="6D2C9811" w:rsidR="00DF6D11" w:rsidRDefault="00DF6D11" w:rsidP="00DF6D11">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41.014.</w:t>
      </w:r>
      <w:r w:rsidRPr="000C0983">
        <w:rPr>
          <w:rFonts w:asciiTheme="minorHAnsi" w:eastAsia="Times New Roman" w:hAnsiTheme="minorHAnsi" w:cstheme="minorHAnsi"/>
          <w:color w:val="000000" w:themeColor="text1"/>
        </w:rPr>
        <w:t> </w:t>
      </w:r>
      <w:r w:rsidRPr="000C0983">
        <w:rPr>
          <w:rFonts w:asciiTheme="minorHAnsi" w:eastAsia="Times New Roman" w:hAnsiTheme="minorHAnsi" w:cstheme="minorHAnsi"/>
          <w:i/>
          <w:iCs/>
          <w:color w:val="000000" w:themeColor="text1"/>
        </w:rPr>
        <w:t>(Nuova formulazione)</w:t>
      </w:r>
      <w:r w:rsidRPr="000C0983">
        <w:rPr>
          <w:rFonts w:asciiTheme="minorHAnsi" w:eastAsia="Times New Roman" w:hAnsiTheme="minorHAnsi" w:cstheme="minorHAnsi"/>
          <w:color w:val="000000" w:themeColor="text1"/>
        </w:rPr>
        <w:t> Deiana.</w:t>
      </w:r>
    </w:p>
  </w:footnote>
  <w:footnote w:id="81">
    <w:p w14:paraId="321DBE97" w14:textId="5EBF9A0D" w:rsidR="00DF6D11" w:rsidRDefault="00DF6D11">
      <w:pPr>
        <w:pStyle w:val="Testonotaapidipagina"/>
      </w:pPr>
      <w:r>
        <w:rPr>
          <w:rStyle w:val="Rimandonotaapidipagina"/>
        </w:rPr>
        <w:footnoteRef/>
      </w:r>
      <w:r>
        <w:t xml:space="preserve"> </w:t>
      </w:r>
      <w:r w:rsidRPr="00DF6D11">
        <w:rPr>
          <w:b/>
          <w:bCs/>
          <w:color w:val="000000" w:themeColor="text1"/>
        </w:rPr>
        <w:t xml:space="preserve">42.100 </w:t>
      </w:r>
      <w:r w:rsidRPr="00DF6D11">
        <w:rPr>
          <w:color w:val="000000" w:themeColor="text1"/>
        </w:rPr>
        <w:t>Il Governo</w:t>
      </w:r>
    </w:p>
  </w:footnote>
  <w:footnote w:id="82">
    <w:p w14:paraId="1F45BD57" w14:textId="2353778E" w:rsidR="00DF6D11" w:rsidRDefault="00DF6D11">
      <w:pPr>
        <w:pStyle w:val="Testonotaapidipagina"/>
      </w:pPr>
      <w:r>
        <w:rPr>
          <w:rStyle w:val="Rimandonotaapidipagina"/>
        </w:rPr>
        <w:footnoteRef/>
      </w:r>
      <w:r>
        <w:t xml:space="preserve"> </w:t>
      </w:r>
      <w:r w:rsidRPr="00DF6D11">
        <w:rPr>
          <w:b/>
          <w:bCs/>
          <w:color w:val="000000" w:themeColor="text1"/>
        </w:rPr>
        <w:t xml:space="preserve">42.100 </w:t>
      </w:r>
      <w:r w:rsidRPr="00DF6D11">
        <w:rPr>
          <w:color w:val="000000" w:themeColor="text1"/>
        </w:rPr>
        <w:t>Il Governo</w:t>
      </w:r>
    </w:p>
  </w:footnote>
  <w:footnote w:id="83">
    <w:p w14:paraId="4730C99D" w14:textId="65AA20AE" w:rsidR="007E5286" w:rsidRDefault="007E5286">
      <w:pPr>
        <w:pStyle w:val="Testonotaapidipagina"/>
      </w:pPr>
      <w:r>
        <w:rPr>
          <w:rStyle w:val="Rimandonotaapidipagina"/>
        </w:rPr>
        <w:footnoteRef/>
      </w:r>
      <w:r>
        <w:t xml:space="preserve"> </w:t>
      </w:r>
      <w:r w:rsidRPr="00DF6D11">
        <w:rPr>
          <w:b/>
          <w:bCs/>
          <w:color w:val="000000" w:themeColor="text1"/>
        </w:rPr>
        <w:t xml:space="preserve">42.100 </w:t>
      </w:r>
      <w:r w:rsidRPr="00DF6D11">
        <w:rPr>
          <w:color w:val="000000" w:themeColor="text1"/>
        </w:rPr>
        <w:t>Il Governo</w:t>
      </w:r>
    </w:p>
  </w:footnote>
  <w:footnote w:id="84">
    <w:p w14:paraId="7DF28ADE" w14:textId="22EF47D7" w:rsidR="007E5286" w:rsidRDefault="007E5286">
      <w:pPr>
        <w:pStyle w:val="Testonotaapidipagina"/>
      </w:pPr>
      <w:r>
        <w:rPr>
          <w:rStyle w:val="Rimandonotaapidipagina"/>
        </w:rPr>
        <w:footnoteRef/>
      </w:r>
      <w:r>
        <w:t xml:space="preserve"> </w:t>
      </w:r>
      <w:r w:rsidRPr="00DF6D11">
        <w:rPr>
          <w:b/>
          <w:bCs/>
          <w:color w:val="000000" w:themeColor="text1"/>
        </w:rPr>
        <w:t>42.10</w:t>
      </w:r>
      <w:r>
        <w:rPr>
          <w:b/>
          <w:bCs/>
          <w:color w:val="000000" w:themeColor="text1"/>
        </w:rPr>
        <w:t>1</w:t>
      </w:r>
      <w:r w:rsidRPr="00DF6D11">
        <w:rPr>
          <w:b/>
          <w:bCs/>
          <w:color w:val="000000" w:themeColor="text1"/>
        </w:rPr>
        <w:t xml:space="preserve"> </w:t>
      </w:r>
      <w:r w:rsidRPr="00DF6D11">
        <w:rPr>
          <w:color w:val="000000" w:themeColor="text1"/>
        </w:rPr>
        <w:t>I</w:t>
      </w:r>
      <w:r>
        <w:rPr>
          <w:color w:val="000000" w:themeColor="text1"/>
        </w:rPr>
        <w:t xml:space="preserve"> Relatori</w:t>
      </w:r>
    </w:p>
  </w:footnote>
  <w:footnote w:id="85">
    <w:p w14:paraId="3932FAAE" w14:textId="730589B2" w:rsidR="007E5286" w:rsidRDefault="007E5286" w:rsidP="007E5286">
      <w:pPr>
        <w:shd w:val="clear" w:color="auto" w:fill="FFFFFF"/>
        <w:spacing w:after="0" w:line="240" w:lineRule="auto"/>
        <w:jc w:val="both"/>
      </w:pPr>
      <w:r>
        <w:rPr>
          <w:rStyle w:val="Rimandonotaapidipagina"/>
        </w:rPr>
        <w:footnoteRef/>
      </w:r>
      <w:r>
        <w:t xml:space="preserve"> </w:t>
      </w:r>
      <w:r w:rsidRPr="000C0983">
        <w:rPr>
          <w:rFonts w:asciiTheme="minorHAnsi" w:eastAsia="Times New Roman" w:hAnsiTheme="minorHAnsi" w:cstheme="minorHAnsi"/>
          <w:b/>
          <w:bCs/>
          <w:color w:val="000000" w:themeColor="text1"/>
        </w:rPr>
        <w:t>42.01.</w:t>
      </w:r>
      <w:r w:rsidRPr="000C0983">
        <w:rPr>
          <w:rFonts w:asciiTheme="minorHAnsi" w:eastAsia="Times New Roman" w:hAnsiTheme="minorHAnsi" w:cstheme="minorHAnsi"/>
          <w:color w:val="000000" w:themeColor="text1"/>
        </w:rPr>
        <w:t xml:space="preserve"> Moretto, </w:t>
      </w:r>
      <w:proofErr w:type="spellStart"/>
      <w:r w:rsidRPr="000C0983">
        <w:rPr>
          <w:rFonts w:asciiTheme="minorHAnsi" w:eastAsia="Times New Roman" w:hAnsiTheme="minorHAnsi" w:cstheme="minorHAnsi"/>
          <w:color w:val="000000" w:themeColor="text1"/>
        </w:rPr>
        <w:t>Fregolent</w:t>
      </w:r>
      <w:proofErr w:type="spellEnd"/>
      <w:r w:rsidRPr="000C0983">
        <w:rPr>
          <w:rFonts w:asciiTheme="minorHAnsi" w:eastAsia="Times New Roman" w:hAnsiTheme="minorHAnsi" w:cstheme="minorHAnsi"/>
          <w:color w:val="000000" w:themeColor="text1"/>
        </w:rPr>
        <w:t>, Marco Di Maio.</w:t>
      </w:r>
    </w:p>
  </w:footnote>
  <w:footnote w:id="86">
    <w:p w14:paraId="09065DB4" w14:textId="49C74F97" w:rsidR="007E5286" w:rsidRDefault="007E5286">
      <w:pPr>
        <w:pStyle w:val="Testonotaapidipagina"/>
      </w:pPr>
      <w:r>
        <w:rPr>
          <w:rStyle w:val="Rimandonotaapidipagina"/>
        </w:rPr>
        <w:footnoteRef/>
      </w:r>
      <w:r>
        <w:t xml:space="preserve"> </w:t>
      </w:r>
      <w:r w:rsidRPr="000C0983">
        <w:rPr>
          <w:rFonts w:asciiTheme="minorHAnsi" w:eastAsia="Times New Roman" w:hAnsiTheme="minorHAnsi" w:cstheme="minorHAnsi"/>
          <w:b/>
          <w:bCs/>
          <w:color w:val="000000" w:themeColor="text1"/>
        </w:rPr>
        <w:t>42.017.</w:t>
      </w:r>
      <w:r w:rsidRPr="000C0983">
        <w:rPr>
          <w:rFonts w:asciiTheme="minorHAnsi" w:eastAsia="Times New Roman" w:hAnsiTheme="minorHAnsi" w:cstheme="minorHAnsi"/>
          <w:color w:val="000000" w:themeColor="text1"/>
        </w:rPr>
        <w:t xml:space="preserve"> Binelli, Vanessa </w:t>
      </w:r>
      <w:proofErr w:type="spellStart"/>
      <w:r w:rsidRPr="000C0983">
        <w:rPr>
          <w:rFonts w:asciiTheme="minorHAnsi" w:eastAsia="Times New Roman" w:hAnsiTheme="minorHAnsi" w:cstheme="minorHAnsi"/>
          <w:color w:val="000000" w:themeColor="text1"/>
        </w:rPr>
        <w:t>Cattoi</w:t>
      </w:r>
      <w:proofErr w:type="spellEnd"/>
      <w:r w:rsidRPr="000C0983">
        <w:rPr>
          <w:rFonts w:asciiTheme="minorHAnsi" w:eastAsia="Times New Roman" w:hAnsiTheme="minorHAnsi" w:cstheme="minorHAnsi"/>
          <w:color w:val="000000" w:themeColor="text1"/>
        </w:rPr>
        <w:t xml:space="preserve">, Loss, </w:t>
      </w:r>
      <w:proofErr w:type="spellStart"/>
      <w:r w:rsidRPr="000C0983">
        <w:rPr>
          <w:rFonts w:asciiTheme="minorHAnsi" w:eastAsia="Times New Roman" w:hAnsiTheme="minorHAnsi" w:cstheme="minorHAnsi"/>
          <w:color w:val="000000" w:themeColor="text1"/>
        </w:rPr>
        <w:t>Sutto</w:t>
      </w:r>
      <w:proofErr w:type="spellEnd"/>
      <w:r w:rsidRPr="000C0983">
        <w:rPr>
          <w:rFonts w:asciiTheme="minorHAnsi" w:eastAsia="Times New Roman" w:hAnsiTheme="minorHAnsi" w:cstheme="minorHAnsi"/>
          <w:color w:val="000000" w:themeColor="text1"/>
        </w:rPr>
        <w:t>, Cavandoli.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2D6F0232" w:rsidR="00D03ABC" w:rsidRDefault="00D03ABC"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10948D8C" w:rsidR="00D03ABC" w:rsidRPr="00A82891" w:rsidRDefault="00D03ABC"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0219A8D7" w:rsidR="00D03ABC" w:rsidRDefault="00D03ABC"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240917304">
    <w:abstractNumId w:val="3"/>
  </w:num>
  <w:num w:numId="2" w16cid:durableId="433021007">
    <w:abstractNumId w:val="13"/>
  </w:num>
  <w:num w:numId="3" w16cid:durableId="18550427">
    <w:abstractNumId w:val="11"/>
  </w:num>
  <w:num w:numId="4" w16cid:durableId="1407191495">
    <w:abstractNumId w:val="8"/>
  </w:num>
  <w:num w:numId="5" w16cid:durableId="841236284">
    <w:abstractNumId w:val="19"/>
  </w:num>
  <w:num w:numId="6" w16cid:durableId="1794205605">
    <w:abstractNumId w:val="5"/>
  </w:num>
  <w:num w:numId="7" w16cid:durableId="2069960321">
    <w:abstractNumId w:val="21"/>
  </w:num>
  <w:num w:numId="8" w16cid:durableId="626080571">
    <w:abstractNumId w:val="18"/>
  </w:num>
  <w:num w:numId="9" w16cid:durableId="1819566321">
    <w:abstractNumId w:val="10"/>
  </w:num>
  <w:num w:numId="10" w16cid:durableId="268709295">
    <w:abstractNumId w:val="7"/>
  </w:num>
  <w:num w:numId="11" w16cid:durableId="973754106">
    <w:abstractNumId w:val="6"/>
  </w:num>
  <w:num w:numId="12" w16cid:durableId="61783624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660699925">
    <w:abstractNumId w:val="20"/>
  </w:num>
  <w:num w:numId="14" w16cid:durableId="2094350599">
    <w:abstractNumId w:val="27"/>
  </w:num>
  <w:num w:numId="15" w16cid:durableId="1999111736">
    <w:abstractNumId w:val="25"/>
  </w:num>
  <w:num w:numId="16" w16cid:durableId="1368409039">
    <w:abstractNumId w:val="23"/>
  </w:num>
  <w:num w:numId="17" w16cid:durableId="2115175330">
    <w:abstractNumId w:val="22"/>
  </w:num>
  <w:num w:numId="18" w16cid:durableId="843519968">
    <w:abstractNumId w:val="4"/>
  </w:num>
  <w:num w:numId="19" w16cid:durableId="1553033023">
    <w:abstractNumId w:val="24"/>
  </w:num>
  <w:num w:numId="20" w16cid:durableId="1673872416">
    <w:abstractNumId w:val="14"/>
  </w:num>
  <w:num w:numId="21" w16cid:durableId="1232887818">
    <w:abstractNumId w:val="1"/>
  </w:num>
  <w:num w:numId="22" w16cid:durableId="521557110">
    <w:abstractNumId w:val="2"/>
  </w:num>
  <w:num w:numId="23" w16cid:durableId="975527011">
    <w:abstractNumId w:val="9"/>
  </w:num>
  <w:num w:numId="24" w16cid:durableId="1108770574">
    <w:abstractNumId w:val="12"/>
  </w:num>
  <w:num w:numId="25" w16cid:durableId="1746411701">
    <w:abstractNumId w:val="17"/>
  </w:num>
  <w:num w:numId="26" w16cid:durableId="1135411240">
    <w:abstractNumId w:val="26"/>
  </w:num>
  <w:num w:numId="27" w16cid:durableId="1516729014">
    <w:abstractNumId w:val="15"/>
  </w:num>
  <w:num w:numId="28" w16cid:durableId="851844649">
    <w:abstractNumId w:val="16"/>
  </w:num>
  <w:num w:numId="29" w16cid:durableId="65819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10AC"/>
    <w:rsid w:val="00024286"/>
    <w:rsid w:val="000267C1"/>
    <w:rsid w:val="0003055C"/>
    <w:rsid w:val="000312C3"/>
    <w:rsid w:val="000331CC"/>
    <w:rsid w:val="000334E1"/>
    <w:rsid w:val="00033C4F"/>
    <w:rsid w:val="00040E4A"/>
    <w:rsid w:val="00042E03"/>
    <w:rsid w:val="00043185"/>
    <w:rsid w:val="00043538"/>
    <w:rsid w:val="0004407E"/>
    <w:rsid w:val="00051A57"/>
    <w:rsid w:val="000525CC"/>
    <w:rsid w:val="0005286F"/>
    <w:rsid w:val="00053901"/>
    <w:rsid w:val="000548FD"/>
    <w:rsid w:val="00055E6C"/>
    <w:rsid w:val="00056A4A"/>
    <w:rsid w:val="00062B9B"/>
    <w:rsid w:val="00065D85"/>
    <w:rsid w:val="0006654B"/>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0F51"/>
    <w:rsid w:val="000C2735"/>
    <w:rsid w:val="000C32B0"/>
    <w:rsid w:val="000C3A15"/>
    <w:rsid w:val="000C45FD"/>
    <w:rsid w:val="000C50F1"/>
    <w:rsid w:val="000C7656"/>
    <w:rsid w:val="000D6B51"/>
    <w:rsid w:val="000D78D2"/>
    <w:rsid w:val="000E2A19"/>
    <w:rsid w:val="000E58CB"/>
    <w:rsid w:val="000E651C"/>
    <w:rsid w:val="000E653E"/>
    <w:rsid w:val="000F53CD"/>
    <w:rsid w:val="000F7413"/>
    <w:rsid w:val="000F7F93"/>
    <w:rsid w:val="00102599"/>
    <w:rsid w:val="00105332"/>
    <w:rsid w:val="0011107C"/>
    <w:rsid w:val="00111EE0"/>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3EBA"/>
    <w:rsid w:val="0015538C"/>
    <w:rsid w:val="00156165"/>
    <w:rsid w:val="0015700C"/>
    <w:rsid w:val="001636BB"/>
    <w:rsid w:val="00165484"/>
    <w:rsid w:val="00166CB1"/>
    <w:rsid w:val="0017004E"/>
    <w:rsid w:val="001718BB"/>
    <w:rsid w:val="00171C64"/>
    <w:rsid w:val="00174402"/>
    <w:rsid w:val="0017636E"/>
    <w:rsid w:val="0017723D"/>
    <w:rsid w:val="00182895"/>
    <w:rsid w:val="00187A0C"/>
    <w:rsid w:val="00187D36"/>
    <w:rsid w:val="0019195A"/>
    <w:rsid w:val="001927D7"/>
    <w:rsid w:val="00195034"/>
    <w:rsid w:val="001956A3"/>
    <w:rsid w:val="001A1A70"/>
    <w:rsid w:val="001A22CF"/>
    <w:rsid w:val="001A275C"/>
    <w:rsid w:val="001A669C"/>
    <w:rsid w:val="001A749A"/>
    <w:rsid w:val="001A762A"/>
    <w:rsid w:val="001B3F84"/>
    <w:rsid w:val="001B59B0"/>
    <w:rsid w:val="001B687E"/>
    <w:rsid w:val="001C0AB0"/>
    <w:rsid w:val="001C15D6"/>
    <w:rsid w:val="001C2164"/>
    <w:rsid w:val="001C56A3"/>
    <w:rsid w:val="001C5FAC"/>
    <w:rsid w:val="001D04E2"/>
    <w:rsid w:val="001D1E46"/>
    <w:rsid w:val="001D2CA7"/>
    <w:rsid w:val="001E017B"/>
    <w:rsid w:val="001F29AA"/>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1755"/>
    <w:rsid w:val="00226389"/>
    <w:rsid w:val="00226A4C"/>
    <w:rsid w:val="002273FB"/>
    <w:rsid w:val="00227FEC"/>
    <w:rsid w:val="00234096"/>
    <w:rsid w:val="002347A8"/>
    <w:rsid w:val="00235445"/>
    <w:rsid w:val="00236326"/>
    <w:rsid w:val="002404DA"/>
    <w:rsid w:val="0024088B"/>
    <w:rsid w:val="0024213A"/>
    <w:rsid w:val="00245F0E"/>
    <w:rsid w:val="00245F8A"/>
    <w:rsid w:val="00251FEF"/>
    <w:rsid w:val="00252A4F"/>
    <w:rsid w:val="002565F2"/>
    <w:rsid w:val="00260DAF"/>
    <w:rsid w:val="00262713"/>
    <w:rsid w:val="00262F41"/>
    <w:rsid w:val="00264750"/>
    <w:rsid w:val="00264FF1"/>
    <w:rsid w:val="002739D4"/>
    <w:rsid w:val="0027465D"/>
    <w:rsid w:val="00276E23"/>
    <w:rsid w:val="00280D0B"/>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0C9F"/>
    <w:rsid w:val="002C7E0D"/>
    <w:rsid w:val="002D2005"/>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DE5"/>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2076"/>
    <w:rsid w:val="003746A5"/>
    <w:rsid w:val="00375658"/>
    <w:rsid w:val="00377D10"/>
    <w:rsid w:val="003801C6"/>
    <w:rsid w:val="003905DB"/>
    <w:rsid w:val="0039083C"/>
    <w:rsid w:val="00395F81"/>
    <w:rsid w:val="00397931"/>
    <w:rsid w:val="003A0287"/>
    <w:rsid w:val="003B5530"/>
    <w:rsid w:val="003B55CF"/>
    <w:rsid w:val="003B618F"/>
    <w:rsid w:val="003C0333"/>
    <w:rsid w:val="003C0376"/>
    <w:rsid w:val="003C13CE"/>
    <w:rsid w:val="003C2822"/>
    <w:rsid w:val="003C382C"/>
    <w:rsid w:val="003C3FF0"/>
    <w:rsid w:val="003C74D6"/>
    <w:rsid w:val="003D1E5D"/>
    <w:rsid w:val="003D24F9"/>
    <w:rsid w:val="003D2A0B"/>
    <w:rsid w:val="003D31DF"/>
    <w:rsid w:val="003D492A"/>
    <w:rsid w:val="003D602D"/>
    <w:rsid w:val="003D6F56"/>
    <w:rsid w:val="003E19B6"/>
    <w:rsid w:val="003E6C3F"/>
    <w:rsid w:val="003E7407"/>
    <w:rsid w:val="003E7840"/>
    <w:rsid w:val="003F032E"/>
    <w:rsid w:val="003F2553"/>
    <w:rsid w:val="003F3306"/>
    <w:rsid w:val="003F51F8"/>
    <w:rsid w:val="003F5EED"/>
    <w:rsid w:val="004033D2"/>
    <w:rsid w:val="004035C7"/>
    <w:rsid w:val="004041F4"/>
    <w:rsid w:val="00410BE0"/>
    <w:rsid w:val="00410C42"/>
    <w:rsid w:val="0041357C"/>
    <w:rsid w:val="00420460"/>
    <w:rsid w:val="004226BC"/>
    <w:rsid w:val="00422E52"/>
    <w:rsid w:val="00424DB6"/>
    <w:rsid w:val="00427C7D"/>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061D"/>
    <w:rsid w:val="00481C8C"/>
    <w:rsid w:val="00482F03"/>
    <w:rsid w:val="004832BA"/>
    <w:rsid w:val="0048371F"/>
    <w:rsid w:val="004838A9"/>
    <w:rsid w:val="0048497A"/>
    <w:rsid w:val="004850A2"/>
    <w:rsid w:val="00487615"/>
    <w:rsid w:val="004A76FE"/>
    <w:rsid w:val="004B288A"/>
    <w:rsid w:val="004B4327"/>
    <w:rsid w:val="004B5916"/>
    <w:rsid w:val="004B7F8A"/>
    <w:rsid w:val="004C00AE"/>
    <w:rsid w:val="004C0C9F"/>
    <w:rsid w:val="004C16CF"/>
    <w:rsid w:val="004C1EE5"/>
    <w:rsid w:val="004C2441"/>
    <w:rsid w:val="004C5039"/>
    <w:rsid w:val="004C7ECF"/>
    <w:rsid w:val="004D04A9"/>
    <w:rsid w:val="004D0F93"/>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56D8D"/>
    <w:rsid w:val="005603DB"/>
    <w:rsid w:val="00561A5E"/>
    <w:rsid w:val="00562CBE"/>
    <w:rsid w:val="005705AA"/>
    <w:rsid w:val="0057099F"/>
    <w:rsid w:val="00571386"/>
    <w:rsid w:val="00572BE9"/>
    <w:rsid w:val="0057525D"/>
    <w:rsid w:val="005753C8"/>
    <w:rsid w:val="00583EA6"/>
    <w:rsid w:val="0058489B"/>
    <w:rsid w:val="00590380"/>
    <w:rsid w:val="00592362"/>
    <w:rsid w:val="005926F7"/>
    <w:rsid w:val="005934CD"/>
    <w:rsid w:val="005971D8"/>
    <w:rsid w:val="0059772E"/>
    <w:rsid w:val="005A0F9A"/>
    <w:rsid w:val="005A216D"/>
    <w:rsid w:val="005A7FEA"/>
    <w:rsid w:val="005B1E86"/>
    <w:rsid w:val="005B3648"/>
    <w:rsid w:val="005B3DD5"/>
    <w:rsid w:val="005B48F7"/>
    <w:rsid w:val="005B4FD5"/>
    <w:rsid w:val="005B74C3"/>
    <w:rsid w:val="005C16F5"/>
    <w:rsid w:val="005C4A39"/>
    <w:rsid w:val="005C7C10"/>
    <w:rsid w:val="005D50F5"/>
    <w:rsid w:val="005D520C"/>
    <w:rsid w:val="005D53A6"/>
    <w:rsid w:val="005D59A3"/>
    <w:rsid w:val="005D611D"/>
    <w:rsid w:val="005E0892"/>
    <w:rsid w:val="005E472D"/>
    <w:rsid w:val="005E72C2"/>
    <w:rsid w:val="005F1255"/>
    <w:rsid w:val="005F1A2D"/>
    <w:rsid w:val="005F27F8"/>
    <w:rsid w:val="005F411C"/>
    <w:rsid w:val="005F4267"/>
    <w:rsid w:val="005F591F"/>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46835"/>
    <w:rsid w:val="006508D0"/>
    <w:rsid w:val="006517AA"/>
    <w:rsid w:val="00652AF5"/>
    <w:rsid w:val="00652CF5"/>
    <w:rsid w:val="00652DC6"/>
    <w:rsid w:val="00653758"/>
    <w:rsid w:val="0065552E"/>
    <w:rsid w:val="006559FD"/>
    <w:rsid w:val="0065699F"/>
    <w:rsid w:val="00656B6D"/>
    <w:rsid w:val="006603A2"/>
    <w:rsid w:val="00666366"/>
    <w:rsid w:val="00670FEE"/>
    <w:rsid w:val="00671FC2"/>
    <w:rsid w:val="00675715"/>
    <w:rsid w:val="00677E92"/>
    <w:rsid w:val="00682580"/>
    <w:rsid w:val="006839D6"/>
    <w:rsid w:val="006856E6"/>
    <w:rsid w:val="0069179E"/>
    <w:rsid w:val="006973EE"/>
    <w:rsid w:val="006A144C"/>
    <w:rsid w:val="006A1DE0"/>
    <w:rsid w:val="006A579B"/>
    <w:rsid w:val="006A6D39"/>
    <w:rsid w:val="006B1D9A"/>
    <w:rsid w:val="006B20AE"/>
    <w:rsid w:val="006B241D"/>
    <w:rsid w:val="006B30B2"/>
    <w:rsid w:val="006B56BC"/>
    <w:rsid w:val="006C1765"/>
    <w:rsid w:val="006C30CC"/>
    <w:rsid w:val="006C4C74"/>
    <w:rsid w:val="006C64F5"/>
    <w:rsid w:val="006D1C75"/>
    <w:rsid w:val="006D2F23"/>
    <w:rsid w:val="006E2B63"/>
    <w:rsid w:val="006E302B"/>
    <w:rsid w:val="006E522F"/>
    <w:rsid w:val="006E7E70"/>
    <w:rsid w:val="006F455D"/>
    <w:rsid w:val="006F4AEE"/>
    <w:rsid w:val="006F56B0"/>
    <w:rsid w:val="006F5E11"/>
    <w:rsid w:val="006F6F3C"/>
    <w:rsid w:val="00704B03"/>
    <w:rsid w:val="007053B8"/>
    <w:rsid w:val="0070663F"/>
    <w:rsid w:val="00713BDD"/>
    <w:rsid w:val="007156B5"/>
    <w:rsid w:val="007207DA"/>
    <w:rsid w:val="0072446D"/>
    <w:rsid w:val="0072734B"/>
    <w:rsid w:val="007329D0"/>
    <w:rsid w:val="00734D39"/>
    <w:rsid w:val="00736196"/>
    <w:rsid w:val="007364A2"/>
    <w:rsid w:val="00740F55"/>
    <w:rsid w:val="00741D51"/>
    <w:rsid w:val="00743EBD"/>
    <w:rsid w:val="00744976"/>
    <w:rsid w:val="0074650F"/>
    <w:rsid w:val="00747EC8"/>
    <w:rsid w:val="00750EB1"/>
    <w:rsid w:val="00751D46"/>
    <w:rsid w:val="00753B38"/>
    <w:rsid w:val="00753E34"/>
    <w:rsid w:val="00754B81"/>
    <w:rsid w:val="00757512"/>
    <w:rsid w:val="007608C2"/>
    <w:rsid w:val="0076318E"/>
    <w:rsid w:val="007633F7"/>
    <w:rsid w:val="00766AEE"/>
    <w:rsid w:val="0077029C"/>
    <w:rsid w:val="00772D94"/>
    <w:rsid w:val="0077462B"/>
    <w:rsid w:val="007754B1"/>
    <w:rsid w:val="007811E7"/>
    <w:rsid w:val="007831F4"/>
    <w:rsid w:val="00783AF0"/>
    <w:rsid w:val="00783F07"/>
    <w:rsid w:val="007850F6"/>
    <w:rsid w:val="00787D0B"/>
    <w:rsid w:val="00791B08"/>
    <w:rsid w:val="00792ADB"/>
    <w:rsid w:val="00793000"/>
    <w:rsid w:val="00793B10"/>
    <w:rsid w:val="00793CC1"/>
    <w:rsid w:val="00797401"/>
    <w:rsid w:val="007A1606"/>
    <w:rsid w:val="007A303D"/>
    <w:rsid w:val="007A35B6"/>
    <w:rsid w:val="007A66FC"/>
    <w:rsid w:val="007A7C46"/>
    <w:rsid w:val="007B16C8"/>
    <w:rsid w:val="007B16DD"/>
    <w:rsid w:val="007B3A12"/>
    <w:rsid w:val="007B4730"/>
    <w:rsid w:val="007B5023"/>
    <w:rsid w:val="007B5275"/>
    <w:rsid w:val="007B583C"/>
    <w:rsid w:val="007C2D7D"/>
    <w:rsid w:val="007C2F69"/>
    <w:rsid w:val="007C3B1E"/>
    <w:rsid w:val="007C436B"/>
    <w:rsid w:val="007C573D"/>
    <w:rsid w:val="007C70BC"/>
    <w:rsid w:val="007D14FF"/>
    <w:rsid w:val="007D36E1"/>
    <w:rsid w:val="007D51FE"/>
    <w:rsid w:val="007D5AFB"/>
    <w:rsid w:val="007D67F2"/>
    <w:rsid w:val="007D7409"/>
    <w:rsid w:val="007D74F4"/>
    <w:rsid w:val="007E1F1F"/>
    <w:rsid w:val="007E4D43"/>
    <w:rsid w:val="007E4F90"/>
    <w:rsid w:val="007E5286"/>
    <w:rsid w:val="007E5FDD"/>
    <w:rsid w:val="007E62F8"/>
    <w:rsid w:val="007F0465"/>
    <w:rsid w:val="007F1176"/>
    <w:rsid w:val="007F2DFA"/>
    <w:rsid w:val="007F34E5"/>
    <w:rsid w:val="007F4B1D"/>
    <w:rsid w:val="007F50A8"/>
    <w:rsid w:val="007F6303"/>
    <w:rsid w:val="007F791E"/>
    <w:rsid w:val="00800796"/>
    <w:rsid w:val="00800D74"/>
    <w:rsid w:val="008015BA"/>
    <w:rsid w:val="00802166"/>
    <w:rsid w:val="0080396B"/>
    <w:rsid w:val="008039B2"/>
    <w:rsid w:val="00804187"/>
    <w:rsid w:val="008066E0"/>
    <w:rsid w:val="008147F7"/>
    <w:rsid w:val="00816A2D"/>
    <w:rsid w:val="00820B5B"/>
    <w:rsid w:val="00820CB4"/>
    <w:rsid w:val="00823AC4"/>
    <w:rsid w:val="008246C0"/>
    <w:rsid w:val="0082508B"/>
    <w:rsid w:val="008300BF"/>
    <w:rsid w:val="00830635"/>
    <w:rsid w:val="00835427"/>
    <w:rsid w:val="0083761C"/>
    <w:rsid w:val="008413E2"/>
    <w:rsid w:val="00845CB5"/>
    <w:rsid w:val="008461B3"/>
    <w:rsid w:val="0084772D"/>
    <w:rsid w:val="00850907"/>
    <w:rsid w:val="00854469"/>
    <w:rsid w:val="008555E4"/>
    <w:rsid w:val="0086411D"/>
    <w:rsid w:val="00866CA8"/>
    <w:rsid w:val="00871AD9"/>
    <w:rsid w:val="00873812"/>
    <w:rsid w:val="0088040D"/>
    <w:rsid w:val="00880CE0"/>
    <w:rsid w:val="008857CB"/>
    <w:rsid w:val="00885EE4"/>
    <w:rsid w:val="0088744D"/>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E4779"/>
    <w:rsid w:val="008F0165"/>
    <w:rsid w:val="008F1B4E"/>
    <w:rsid w:val="008F3D34"/>
    <w:rsid w:val="008F456C"/>
    <w:rsid w:val="008F5B87"/>
    <w:rsid w:val="008F7901"/>
    <w:rsid w:val="00902675"/>
    <w:rsid w:val="00903114"/>
    <w:rsid w:val="0090483E"/>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2D50"/>
    <w:rsid w:val="00945E11"/>
    <w:rsid w:val="00946BA0"/>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7748C"/>
    <w:rsid w:val="00991E6E"/>
    <w:rsid w:val="009922D9"/>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6EC0"/>
    <w:rsid w:val="00A16FC1"/>
    <w:rsid w:val="00A20BEE"/>
    <w:rsid w:val="00A21E66"/>
    <w:rsid w:val="00A24120"/>
    <w:rsid w:val="00A24F3A"/>
    <w:rsid w:val="00A271FC"/>
    <w:rsid w:val="00A30BD7"/>
    <w:rsid w:val="00A313F5"/>
    <w:rsid w:val="00A33CDD"/>
    <w:rsid w:val="00A34048"/>
    <w:rsid w:val="00A34AE9"/>
    <w:rsid w:val="00A37720"/>
    <w:rsid w:val="00A43B43"/>
    <w:rsid w:val="00A5014D"/>
    <w:rsid w:val="00A51857"/>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94754"/>
    <w:rsid w:val="00AA11AD"/>
    <w:rsid w:val="00AA120E"/>
    <w:rsid w:val="00AA127C"/>
    <w:rsid w:val="00AA4CC9"/>
    <w:rsid w:val="00AA5107"/>
    <w:rsid w:val="00AA706F"/>
    <w:rsid w:val="00AB0BA5"/>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B0286F"/>
    <w:rsid w:val="00B05226"/>
    <w:rsid w:val="00B073AB"/>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5577"/>
    <w:rsid w:val="00B56801"/>
    <w:rsid w:val="00B57B4B"/>
    <w:rsid w:val="00B61054"/>
    <w:rsid w:val="00B62016"/>
    <w:rsid w:val="00B6290E"/>
    <w:rsid w:val="00B645F5"/>
    <w:rsid w:val="00B67116"/>
    <w:rsid w:val="00B67BE5"/>
    <w:rsid w:val="00B67C39"/>
    <w:rsid w:val="00B71370"/>
    <w:rsid w:val="00B73C5C"/>
    <w:rsid w:val="00B7653B"/>
    <w:rsid w:val="00B76C9A"/>
    <w:rsid w:val="00B778D4"/>
    <w:rsid w:val="00B82448"/>
    <w:rsid w:val="00B82DA5"/>
    <w:rsid w:val="00B93B12"/>
    <w:rsid w:val="00B95499"/>
    <w:rsid w:val="00BA3423"/>
    <w:rsid w:val="00BA3516"/>
    <w:rsid w:val="00BA73C3"/>
    <w:rsid w:val="00BB2691"/>
    <w:rsid w:val="00BB4EFD"/>
    <w:rsid w:val="00BB608C"/>
    <w:rsid w:val="00BB62AF"/>
    <w:rsid w:val="00BB6C41"/>
    <w:rsid w:val="00BB7EF0"/>
    <w:rsid w:val="00BC14B9"/>
    <w:rsid w:val="00BC29A0"/>
    <w:rsid w:val="00BC2C29"/>
    <w:rsid w:val="00BC2F2E"/>
    <w:rsid w:val="00BC2F98"/>
    <w:rsid w:val="00BC49F4"/>
    <w:rsid w:val="00BC4B89"/>
    <w:rsid w:val="00BC5582"/>
    <w:rsid w:val="00BC5ED4"/>
    <w:rsid w:val="00BC7B56"/>
    <w:rsid w:val="00BD155F"/>
    <w:rsid w:val="00BD415D"/>
    <w:rsid w:val="00BD4A22"/>
    <w:rsid w:val="00BD52BC"/>
    <w:rsid w:val="00BD6B17"/>
    <w:rsid w:val="00BD7E4F"/>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BF7D13"/>
    <w:rsid w:val="00C02901"/>
    <w:rsid w:val="00C051A0"/>
    <w:rsid w:val="00C0623F"/>
    <w:rsid w:val="00C12C2F"/>
    <w:rsid w:val="00C13B2F"/>
    <w:rsid w:val="00C14E8D"/>
    <w:rsid w:val="00C151EC"/>
    <w:rsid w:val="00C2005D"/>
    <w:rsid w:val="00C20DE6"/>
    <w:rsid w:val="00C21362"/>
    <w:rsid w:val="00C24B50"/>
    <w:rsid w:val="00C2564D"/>
    <w:rsid w:val="00C27BE4"/>
    <w:rsid w:val="00C32577"/>
    <w:rsid w:val="00C437EA"/>
    <w:rsid w:val="00C45B4D"/>
    <w:rsid w:val="00C4624D"/>
    <w:rsid w:val="00C466AF"/>
    <w:rsid w:val="00C50F7C"/>
    <w:rsid w:val="00C51C68"/>
    <w:rsid w:val="00C5243A"/>
    <w:rsid w:val="00C553DF"/>
    <w:rsid w:val="00C60D07"/>
    <w:rsid w:val="00C65A6F"/>
    <w:rsid w:val="00C704F2"/>
    <w:rsid w:val="00C76E5E"/>
    <w:rsid w:val="00C77FEA"/>
    <w:rsid w:val="00C812D7"/>
    <w:rsid w:val="00C86438"/>
    <w:rsid w:val="00C86901"/>
    <w:rsid w:val="00C8754B"/>
    <w:rsid w:val="00C908BC"/>
    <w:rsid w:val="00C91B38"/>
    <w:rsid w:val="00C9381B"/>
    <w:rsid w:val="00C93C0E"/>
    <w:rsid w:val="00C9597C"/>
    <w:rsid w:val="00C973FC"/>
    <w:rsid w:val="00CA00A8"/>
    <w:rsid w:val="00CA6FB6"/>
    <w:rsid w:val="00CA7386"/>
    <w:rsid w:val="00CB0296"/>
    <w:rsid w:val="00CB2D1D"/>
    <w:rsid w:val="00CB3CA1"/>
    <w:rsid w:val="00CB5CA5"/>
    <w:rsid w:val="00CB5E62"/>
    <w:rsid w:val="00CB5F02"/>
    <w:rsid w:val="00CB64E8"/>
    <w:rsid w:val="00CC165B"/>
    <w:rsid w:val="00CC3DC5"/>
    <w:rsid w:val="00CC46ED"/>
    <w:rsid w:val="00CC7DBB"/>
    <w:rsid w:val="00CD386D"/>
    <w:rsid w:val="00CE0751"/>
    <w:rsid w:val="00CE5181"/>
    <w:rsid w:val="00CE59FE"/>
    <w:rsid w:val="00CE64F8"/>
    <w:rsid w:val="00CE65C5"/>
    <w:rsid w:val="00CE692C"/>
    <w:rsid w:val="00CE7AE2"/>
    <w:rsid w:val="00CE7EF6"/>
    <w:rsid w:val="00CF5ED7"/>
    <w:rsid w:val="00CF7C12"/>
    <w:rsid w:val="00D015AC"/>
    <w:rsid w:val="00D025C8"/>
    <w:rsid w:val="00D03ABC"/>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4A1F"/>
    <w:rsid w:val="00D44CF9"/>
    <w:rsid w:val="00D455DA"/>
    <w:rsid w:val="00D50B6A"/>
    <w:rsid w:val="00D52D9C"/>
    <w:rsid w:val="00D542E0"/>
    <w:rsid w:val="00D55161"/>
    <w:rsid w:val="00D6709B"/>
    <w:rsid w:val="00D727AF"/>
    <w:rsid w:val="00D76A6D"/>
    <w:rsid w:val="00D80B36"/>
    <w:rsid w:val="00D854D2"/>
    <w:rsid w:val="00D90935"/>
    <w:rsid w:val="00D90D1C"/>
    <w:rsid w:val="00D9173D"/>
    <w:rsid w:val="00D920B0"/>
    <w:rsid w:val="00D92EAE"/>
    <w:rsid w:val="00D946FA"/>
    <w:rsid w:val="00DA1D50"/>
    <w:rsid w:val="00DA61AF"/>
    <w:rsid w:val="00DB033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6D11"/>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4DAC"/>
    <w:rsid w:val="00E36BE7"/>
    <w:rsid w:val="00E37BEC"/>
    <w:rsid w:val="00E444DA"/>
    <w:rsid w:val="00E447A6"/>
    <w:rsid w:val="00E44F44"/>
    <w:rsid w:val="00E4730A"/>
    <w:rsid w:val="00E477A5"/>
    <w:rsid w:val="00E52027"/>
    <w:rsid w:val="00E5236F"/>
    <w:rsid w:val="00E52847"/>
    <w:rsid w:val="00E52913"/>
    <w:rsid w:val="00E55C7F"/>
    <w:rsid w:val="00E600A5"/>
    <w:rsid w:val="00E6494B"/>
    <w:rsid w:val="00E74D4F"/>
    <w:rsid w:val="00E76304"/>
    <w:rsid w:val="00E7709B"/>
    <w:rsid w:val="00E80AF6"/>
    <w:rsid w:val="00E810E2"/>
    <w:rsid w:val="00E831A3"/>
    <w:rsid w:val="00E8364C"/>
    <w:rsid w:val="00E87028"/>
    <w:rsid w:val="00E87237"/>
    <w:rsid w:val="00E93C45"/>
    <w:rsid w:val="00E94B93"/>
    <w:rsid w:val="00E977A2"/>
    <w:rsid w:val="00EA0500"/>
    <w:rsid w:val="00EA1F45"/>
    <w:rsid w:val="00EA41FC"/>
    <w:rsid w:val="00EA6860"/>
    <w:rsid w:val="00EA6B07"/>
    <w:rsid w:val="00EB108E"/>
    <w:rsid w:val="00EB3B2C"/>
    <w:rsid w:val="00EB45F6"/>
    <w:rsid w:val="00EB6412"/>
    <w:rsid w:val="00EB6C23"/>
    <w:rsid w:val="00EC007D"/>
    <w:rsid w:val="00EC1DCD"/>
    <w:rsid w:val="00EC58C7"/>
    <w:rsid w:val="00ED0087"/>
    <w:rsid w:val="00ED3475"/>
    <w:rsid w:val="00EE1DD8"/>
    <w:rsid w:val="00EE36A4"/>
    <w:rsid w:val="00EE4D49"/>
    <w:rsid w:val="00EE5B75"/>
    <w:rsid w:val="00EE5D4B"/>
    <w:rsid w:val="00EE7D35"/>
    <w:rsid w:val="00EE7D91"/>
    <w:rsid w:val="00EF0D42"/>
    <w:rsid w:val="00EF0DB6"/>
    <w:rsid w:val="00EF3D6D"/>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4B5F"/>
    <w:rsid w:val="00F25B8E"/>
    <w:rsid w:val="00F25BDF"/>
    <w:rsid w:val="00F26973"/>
    <w:rsid w:val="00F305F6"/>
    <w:rsid w:val="00F32333"/>
    <w:rsid w:val="00F33260"/>
    <w:rsid w:val="00F347CD"/>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1D52"/>
    <w:rsid w:val="00FB30FB"/>
    <w:rsid w:val="00FB6FCB"/>
    <w:rsid w:val="00FC1832"/>
    <w:rsid w:val="00FC1D7E"/>
    <w:rsid w:val="00FC3585"/>
    <w:rsid w:val="00FC3D6D"/>
    <w:rsid w:val="00FC5C2F"/>
    <w:rsid w:val="00FC6D35"/>
    <w:rsid w:val="00FD0CB3"/>
    <w:rsid w:val="00FD1CFE"/>
    <w:rsid w:val="00FD4993"/>
    <w:rsid w:val="00FD4C5A"/>
    <w:rsid w:val="00FD6CA2"/>
    <w:rsid w:val="00FE395B"/>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9BC9-983F-46CC-9391-64F1DF3E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27332</Words>
  <Characters>155796</Characters>
  <Application>Microsoft Office Word</Application>
  <DocSecurity>0</DocSecurity>
  <Lines>1298</Lines>
  <Paragraphs>365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2022-04-08T11:30:00Z</dcterms:created>
  <dcterms:modified xsi:type="dcterms:W3CDTF">2022-04-08T11:30:00Z</dcterms:modified>
</cp:coreProperties>
</file>