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5C24" w14:textId="20AFC9D4"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Emendamenti formulati dalla Commissione Bilancio e recepiti nel maxiemendamento</w:t>
      </w:r>
    </w:p>
    <w:p w14:paraId="5AD6933F"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p>
    <w:p w14:paraId="02A5C295" w14:textId="15A7A0F5"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l'articolo 5-</w:t>
      </w:r>
      <w:r>
        <w:rPr>
          <w:rFonts w:ascii="Verdana" w:hAnsi="Verdana"/>
          <w:i/>
          <w:iCs/>
          <w:color w:val="000000"/>
          <w:sz w:val="19"/>
          <w:szCs w:val="19"/>
        </w:rPr>
        <w:t>quater</w:t>
      </w:r>
      <w:r>
        <w:rPr>
          <w:rFonts w:ascii="Verdana" w:hAnsi="Verdana"/>
          <w:color w:val="000000"/>
          <w:sz w:val="19"/>
          <w:szCs w:val="19"/>
        </w:rPr>
        <w:t> sia sostituito dal seguente:</w:t>
      </w:r>
    </w:p>
    <w:p w14:paraId="2C2677F1" w14:textId="77777777" w:rsidR="00F27645" w:rsidRDefault="00F27645" w:rsidP="00F27645">
      <w:pPr>
        <w:pStyle w:val="NormaleWeb"/>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«Articolo 5-</w:t>
      </w:r>
      <w:r>
        <w:rPr>
          <w:rFonts w:ascii="Verdana" w:hAnsi="Verdana"/>
          <w:i/>
          <w:iCs/>
          <w:color w:val="000000"/>
          <w:sz w:val="19"/>
          <w:szCs w:val="19"/>
        </w:rPr>
        <w:t>quater</w:t>
      </w:r>
    </w:p>
    <w:p w14:paraId="5AD419AA"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xml:space="preserve">1. Al testo unico delle disposizioni legislative concernenti le imposte sulla produzione e sui consumi e relative sanzioni penali e amministrative di cui al decreto legislativo 26 ottobre 1995, n. 504, all'articolo 23, al comma 12, è aggiunto, in fine, il seguente periodo: "In luogo della predetta sospensione, l'Agenzia delle dogane e dei monopoli, su istanza del depositario autorizzato, consente allo stesso soggetto di proseguire l'attività in regime di deposito fiscale, per dodici mesi decorrenti dalla data in cui è constatata l'assenza delle condizioni di cui al predetto comma 4, subordinatamente alla sussistenza di un'apposita garanzia prestata dal medesimo depositario. In ciascuno dei dodici mesi tale garanzia deve risultare pari al cento per cento dell'accisa dovuta sui prodotti energetici estratti dal deposito fiscale nel mese solare precedente; la garanzia è prestata o adeguata in danaro o in titoli di Stato. Decorsi i dodici mesi senza che sia comprovato il ripristino delle condizioni di cui al comma 4, l'autorizzazione ad operare in regime di deposito fiscale è revocata e viene rilasciata, su richiesta dell'esercente il deposito, </w:t>
      </w:r>
      <w:proofErr w:type="gramStart"/>
      <w:r>
        <w:rPr>
          <w:rFonts w:ascii="Verdana" w:hAnsi="Verdana"/>
          <w:color w:val="000000"/>
          <w:sz w:val="19"/>
          <w:szCs w:val="19"/>
        </w:rPr>
        <w:t>1a</w:t>
      </w:r>
      <w:proofErr w:type="gramEnd"/>
      <w:r>
        <w:rPr>
          <w:rFonts w:ascii="Verdana" w:hAnsi="Verdana"/>
          <w:color w:val="000000"/>
          <w:sz w:val="19"/>
          <w:szCs w:val="19"/>
        </w:rPr>
        <w:t xml:space="preserve"> licenza di cui all'articolo 25, comma 4. Con decreto del Ministro dell'economia e delle finanze sono stabilite le modalità attuative delle disposizioni di cui al presente comma, incluse quelle relative alla prestazione della garanzia".</w:t>
      </w:r>
    </w:p>
    <w:p w14:paraId="15E979AF"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2. Per il periodo di dodici mesi di cui all'articolo 23, comma 12, del testo unico delle disposizioni legislative concernenti le imposte sulla produzione e sui consumi e relative sanzioni penali e amministrative, di cui al decreto legislativo 26 ottobre 1995, n. 504, ai fini dell'IVA dovuta sui prodotti energetici estratti dal deposito fiscale, non trovano applicazione le disposizioni di cui all'articolo 1, comma 941, della legge 27 dicembre 2017, n. 205.»;</w:t>
      </w:r>
    </w:p>
    <w:p w14:paraId="38EDE9C5"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all'articolo 8-</w:t>
      </w:r>
      <w:r>
        <w:rPr>
          <w:rFonts w:ascii="Verdana" w:hAnsi="Verdana"/>
          <w:i/>
          <w:iCs/>
          <w:color w:val="000000"/>
          <w:sz w:val="19"/>
          <w:szCs w:val="19"/>
        </w:rPr>
        <w:t>bis</w:t>
      </w:r>
      <w:r>
        <w:rPr>
          <w:rFonts w:ascii="Verdana" w:hAnsi="Verdana"/>
          <w:color w:val="000000"/>
          <w:sz w:val="19"/>
          <w:szCs w:val="19"/>
        </w:rPr>
        <w:t>, la lettera </w:t>
      </w:r>
      <w:r>
        <w:rPr>
          <w:rFonts w:ascii="Verdana" w:hAnsi="Verdana"/>
          <w:i/>
          <w:iCs/>
          <w:color w:val="000000"/>
          <w:sz w:val="19"/>
          <w:szCs w:val="19"/>
        </w:rPr>
        <w:t>b)</w:t>
      </w:r>
      <w:r>
        <w:rPr>
          <w:rFonts w:ascii="Verdana" w:hAnsi="Verdana"/>
          <w:color w:val="000000"/>
          <w:sz w:val="19"/>
          <w:szCs w:val="19"/>
        </w:rPr>
        <w:t> sia sostituita dalla seguente:</w:t>
      </w:r>
    </w:p>
    <w:p w14:paraId="1A2DF114"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w:t>
      </w:r>
      <w:r>
        <w:rPr>
          <w:rFonts w:ascii="Verdana" w:hAnsi="Verdana"/>
          <w:i/>
          <w:iCs/>
          <w:color w:val="000000"/>
          <w:sz w:val="19"/>
          <w:szCs w:val="19"/>
        </w:rPr>
        <w:t>b)</w:t>
      </w:r>
      <w:r>
        <w:rPr>
          <w:rFonts w:ascii="Verdana" w:hAnsi="Verdana"/>
          <w:color w:val="000000"/>
          <w:sz w:val="19"/>
          <w:szCs w:val="19"/>
        </w:rPr>
        <w:t> alla lettera </w:t>
      </w:r>
      <w:r>
        <w:rPr>
          <w:rFonts w:ascii="Verdana" w:hAnsi="Verdana"/>
          <w:i/>
          <w:iCs/>
          <w:color w:val="000000"/>
          <w:sz w:val="19"/>
          <w:szCs w:val="19"/>
        </w:rPr>
        <w:t>p</w:t>
      </w:r>
      <w:r>
        <w:rPr>
          <w:rFonts w:ascii="Verdana" w:hAnsi="Verdana"/>
          <w:color w:val="000000"/>
          <w:sz w:val="19"/>
          <w:szCs w:val="19"/>
        </w:rPr>
        <w:t>-</w:t>
      </w:r>
      <w:r>
        <w:rPr>
          <w:rFonts w:ascii="Verdana" w:hAnsi="Verdana"/>
          <w:i/>
          <w:iCs/>
          <w:color w:val="000000"/>
          <w:sz w:val="19"/>
          <w:szCs w:val="19"/>
        </w:rPr>
        <w:t>bis)</w:t>
      </w:r>
      <w:r>
        <w:rPr>
          <w:rFonts w:ascii="Verdana" w:hAnsi="Verdana"/>
          <w:color w:val="000000"/>
          <w:sz w:val="19"/>
          <w:szCs w:val="19"/>
        </w:rPr>
        <w:t>, dopo le parole: "fino a ventiquattro mesi." è aggiunto il seguente periodo: "Per i medesimi finanziamenti, il cui termine iniziale di rimborso del capitale inizia a decorrere in un periodo non antecedente al 1° giugno 2022, l'anzidetto termine, su richiesta del soggetto finanziato e previo accordo tra le parti, può essere differito di un periodo non superiore a sei mesi, fermi restando gli obblighi di segnalazione e prudenziali."»;</w:t>
      </w:r>
    </w:p>
    <w:p w14:paraId="6F863CD1"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all'articolo 12-</w:t>
      </w:r>
      <w:r>
        <w:rPr>
          <w:rFonts w:ascii="Verdana" w:hAnsi="Verdana"/>
          <w:i/>
          <w:iCs/>
          <w:color w:val="000000"/>
          <w:sz w:val="19"/>
          <w:szCs w:val="19"/>
        </w:rPr>
        <w:t>bis</w:t>
      </w:r>
      <w:r>
        <w:rPr>
          <w:rFonts w:ascii="Verdana" w:hAnsi="Verdana"/>
          <w:color w:val="000000"/>
          <w:sz w:val="19"/>
          <w:szCs w:val="19"/>
        </w:rPr>
        <w:t> sia aggiunto, in fine, il seguente comma:</w:t>
      </w:r>
    </w:p>
    <w:p w14:paraId="0BD812BE"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«3. All'onere derivante dal presente articolo, valutato in 3,6 milioni di euro per l'anno 2022, si provvede mediante corrispondente riduzione del Fondo per le esigenze indifferibili di cui all'articolo 1, comma 200, della legge 23 dicembre 2014, n. 190».</w:t>
      </w:r>
    </w:p>
    <w:p w14:paraId="7B53BD64"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l'articolo 12-</w:t>
      </w:r>
      <w:r>
        <w:rPr>
          <w:rFonts w:ascii="Verdana" w:hAnsi="Verdana"/>
          <w:i/>
          <w:iCs/>
          <w:color w:val="000000"/>
          <w:sz w:val="19"/>
          <w:szCs w:val="19"/>
        </w:rPr>
        <w:t>ter</w:t>
      </w:r>
      <w:r>
        <w:rPr>
          <w:rFonts w:ascii="Verdana" w:hAnsi="Verdana"/>
          <w:color w:val="000000"/>
          <w:sz w:val="19"/>
          <w:szCs w:val="19"/>
        </w:rPr>
        <w:t> sia sostituito dal seguente:</w:t>
      </w:r>
    </w:p>
    <w:p w14:paraId="56959246" w14:textId="77777777" w:rsidR="00F27645" w:rsidRDefault="00F27645" w:rsidP="00F27645">
      <w:pPr>
        <w:pStyle w:val="NormaleWeb"/>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«Articolo 12-</w:t>
      </w:r>
      <w:r>
        <w:rPr>
          <w:rFonts w:ascii="Verdana" w:hAnsi="Verdana"/>
          <w:i/>
          <w:iCs/>
          <w:color w:val="000000"/>
          <w:sz w:val="19"/>
          <w:szCs w:val="19"/>
        </w:rPr>
        <w:t>ter</w:t>
      </w:r>
    </w:p>
    <w:p w14:paraId="43196577" w14:textId="77777777" w:rsidR="00F27645" w:rsidRDefault="00F27645" w:rsidP="00F27645">
      <w:pPr>
        <w:pStyle w:val="NormaleWeb"/>
        <w:shd w:val="clear" w:color="auto" w:fill="FFFFFF"/>
        <w:spacing w:before="30" w:beforeAutospacing="0" w:after="30" w:afterAutospacing="0"/>
        <w:ind w:left="30"/>
        <w:jc w:val="center"/>
        <w:rPr>
          <w:rFonts w:ascii="Verdana" w:hAnsi="Verdana"/>
          <w:color w:val="000000"/>
          <w:sz w:val="19"/>
          <w:szCs w:val="19"/>
        </w:rPr>
      </w:pPr>
      <w:r>
        <w:rPr>
          <w:rFonts w:ascii="Verdana" w:hAnsi="Verdana"/>
          <w:i/>
          <w:iCs/>
          <w:color w:val="000000"/>
          <w:sz w:val="19"/>
          <w:szCs w:val="19"/>
        </w:rPr>
        <w:t>(Modifiche all'articolo 26 del decreto legislativo 14 settembre 2015, n. 148)</w:t>
      </w:r>
      <w:r>
        <w:rPr>
          <w:rFonts w:ascii="Verdana" w:hAnsi="Verdana"/>
          <w:color w:val="000000"/>
          <w:sz w:val="19"/>
          <w:szCs w:val="19"/>
        </w:rPr>
        <w:t>.</w:t>
      </w:r>
    </w:p>
    <w:p w14:paraId="40565E7F"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1. All'articolo 26, comma 9, del decreto legislativo 14 settembre 2015, n. 148, dopo la lettera </w:t>
      </w:r>
      <w:r>
        <w:rPr>
          <w:rFonts w:ascii="Verdana" w:hAnsi="Verdana"/>
          <w:i/>
          <w:iCs/>
          <w:color w:val="000000"/>
          <w:sz w:val="19"/>
          <w:szCs w:val="19"/>
        </w:rPr>
        <w:t>c)</w:t>
      </w:r>
      <w:r>
        <w:rPr>
          <w:rFonts w:ascii="Verdana" w:hAnsi="Verdana"/>
          <w:color w:val="000000"/>
          <w:sz w:val="19"/>
          <w:szCs w:val="19"/>
        </w:rPr>
        <w:t>, è aggiunta la seguente: "</w:t>
      </w:r>
      <w:r>
        <w:rPr>
          <w:rFonts w:ascii="Verdana" w:hAnsi="Verdana"/>
          <w:i/>
          <w:iCs/>
          <w:color w:val="000000"/>
          <w:sz w:val="19"/>
          <w:szCs w:val="19"/>
        </w:rPr>
        <w:t>c-bis)</w:t>
      </w:r>
      <w:r>
        <w:rPr>
          <w:rFonts w:ascii="Verdana" w:hAnsi="Verdana"/>
          <w:color w:val="000000"/>
          <w:sz w:val="19"/>
          <w:szCs w:val="19"/>
        </w:rPr>
        <w:t>: assicurare, in via opzionale, il versamento mensile di contributi previdenziali nel quadro dei processi connessi alla staffetta generazionale a favore di lavoratori che raggiungono i requisiti previsti per il pensionamento di vecchiaia o anticipato nei successivi tre anni, consentendo la contestuale assunzione presso il medesimo datore di lavoro di lavoratori di età non superiore a 35 anni compiuti per un periodo non inferiore a tre anni.".</w:t>
      </w:r>
    </w:p>
    <w:p w14:paraId="4C7406ED"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Conseguentemente, all'articolo 33, comma 3, del medesimo decreto legislativo n. 148 del 2015, è aggiunto, infine, il seguente periodo: «Gli oneri e le minori entrate relativi alla prestazione di cui all'articolo 26, comma 9, lettera </w:t>
      </w:r>
      <w:r>
        <w:rPr>
          <w:rFonts w:ascii="Verdana" w:hAnsi="Verdana"/>
          <w:i/>
          <w:iCs/>
          <w:color w:val="000000"/>
          <w:sz w:val="19"/>
          <w:szCs w:val="19"/>
        </w:rPr>
        <w:t>c-bis)</w:t>
      </w:r>
      <w:r>
        <w:rPr>
          <w:rFonts w:ascii="Verdana" w:hAnsi="Verdana"/>
          <w:color w:val="000000"/>
          <w:sz w:val="19"/>
          <w:szCs w:val="19"/>
        </w:rPr>
        <w:t>, sono finanziati mediante un contributo straordinario a carico esclusivo del datore di lavoro di importo corrispondente al fabbisogno di copertura delle predette voci di costo"»; </w:t>
      </w:r>
      <w:r>
        <w:rPr>
          <w:rFonts w:ascii="Verdana" w:hAnsi="Verdana"/>
          <w:noProof/>
          <w:color w:val="000000"/>
          <w:sz w:val="19"/>
          <w:szCs w:val="19"/>
        </w:rPr>
        <mc:AlternateContent>
          <mc:Choice Requires="wps">
            <w:drawing>
              <wp:inline distT="0" distB="0" distL="0" distR="0" wp14:anchorId="08F9AB16" wp14:editId="6D251DF1">
                <wp:extent cx="9525" cy="19050"/>
                <wp:effectExtent l="0" t="0" r="0" b="0"/>
                <wp:docPr id="1" name="Picture 45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55CB6" id="Picture 4505"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" filled="f" stroked="f">
                <o:lock v:ext="edit" aspectratio="t"/>
                <w10:anchorlock/>
              </v:rect>
            </w:pict>
          </mc:Fallback>
        </mc:AlternateContent>
      </w:r>
    </w:p>
    <w:p w14:paraId="1A3A954E"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all'articolo 13-</w:t>
      </w:r>
      <w:r>
        <w:rPr>
          <w:rFonts w:ascii="Verdana" w:hAnsi="Verdana"/>
          <w:i/>
          <w:iCs/>
          <w:color w:val="000000"/>
          <w:sz w:val="19"/>
          <w:szCs w:val="19"/>
        </w:rPr>
        <w:t>bis</w:t>
      </w:r>
      <w:r>
        <w:rPr>
          <w:rFonts w:ascii="Verdana" w:hAnsi="Verdana"/>
          <w:color w:val="000000"/>
          <w:sz w:val="19"/>
          <w:szCs w:val="19"/>
        </w:rPr>
        <w:t>, le parole: «e nel rispetto degli equilibri di bilancio» siano sostituite dalle seguenti: «, nel rispetto degli equilibri di bilancio e senza utilizzo dell'avanzo di amministrazione,»;</w:t>
      </w:r>
    </w:p>
    <w:p w14:paraId="547E97B1"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all'articolo 19-</w:t>
      </w:r>
      <w:r>
        <w:rPr>
          <w:rFonts w:ascii="Verdana" w:hAnsi="Verdana"/>
          <w:i/>
          <w:iCs/>
          <w:color w:val="000000"/>
          <w:sz w:val="19"/>
          <w:szCs w:val="19"/>
        </w:rPr>
        <w:t>ter</w:t>
      </w:r>
      <w:r>
        <w:rPr>
          <w:rFonts w:ascii="Verdana" w:hAnsi="Verdana"/>
          <w:color w:val="000000"/>
          <w:sz w:val="19"/>
          <w:szCs w:val="19"/>
        </w:rPr>
        <w:t>, sia soppresso il comma 3; all'articolo 20-</w:t>
      </w:r>
      <w:r>
        <w:rPr>
          <w:rFonts w:ascii="Verdana" w:hAnsi="Verdana"/>
          <w:i/>
          <w:iCs/>
          <w:color w:val="000000"/>
          <w:sz w:val="19"/>
          <w:szCs w:val="19"/>
        </w:rPr>
        <w:t>ter</w:t>
      </w:r>
      <w:r>
        <w:rPr>
          <w:rFonts w:ascii="Verdana" w:hAnsi="Verdana"/>
          <w:color w:val="000000"/>
          <w:sz w:val="19"/>
          <w:szCs w:val="19"/>
        </w:rPr>
        <w:t>, sia aggiunto, in fine, il seguente periodo: «Conseguentemente, le contabilità speciali n. 6253 e 6254 sono chiuse.»; all'articolo 31, comma 1, lettera </w:t>
      </w:r>
      <w:r>
        <w:rPr>
          <w:rFonts w:ascii="Verdana" w:hAnsi="Verdana"/>
          <w:i/>
          <w:iCs/>
          <w:color w:val="000000"/>
          <w:sz w:val="19"/>
          <w:szCs w:val="19"/>
        </w:rPr>
        <w:t>a)</w:t>
      </w:r>
      <w:r>
        <w:rPr>
          <w:rFonts w:ascii="Verdana" w:hAnsi="Verdana"/>
          <w:color w:val="000000"/>
          <w:sz w:val="19"/>
          <w:szCs w:val="19"/>
        </w:rPr>
        <w:t>, dopo le parole: «convenzioni sottoscritte» siano inserite le seguenti: «senza nuovi o maggiori oneri per la finanza pubblica»;</w:t>
      </w:r>
    </w:p>
    <w:p w14:paraId="178E50A6"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l'articolo 31-</w:t>
      </w:r>
      <w:r>
        <w:rPr>
          <w:rFonts w:ascii="Verdana" w:hAnsi="Verdana"/>
          <w:i/>
          <w:iCs/>
          <w:color w:val="000000"/>
          <w:sz w:val="19"/>
          <w:szCs w:val="19"/>
        </w:rPr>
        <w:t>bis</w:t>
      </w:r>
      <w:r>
        <w:rPr>
          <w:rFonts w:ascii="Verdana" w:hAnsi="Verdana"/>
          <w:color w:val="000000"/>
          <w:sz w:val="19"/>
          <w:szCs w:val="19"/>
        </w:rPr>
        <w:t> sia sostituito dal seguente:</w:t>
      </w:r>
    </w:p>
    <w:p w14:paraId="49B8A0A2" w14:textId="77777777" w:rsidR="00F27645" w:rsidRDefault="00F27645" w:rsidP="00F27645">
      <w:pPr>
        <w:pStyle w:val="NormaleWeb"/>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«Articolo 31-</w:t>
      </w:r>
      <w:r>
        <w:rPr>
          <w:rFonts w:ascii="Verdana" w:hAnsi="Verdana"/>
          <w:i/>
          <w:iCs/>
          <w:color w:val="000000"/>
          <w:sz w:val="19"/>
          <w:szCs w:val="19"/>
        </w:rPr>
        <w:t>bis</w:t>
      </w:r>
    </w:p>
    <w:p w14:paraId="4AF746C2" w14:textId="77777777" w:rsidR="00F27645" w:rsidRDefault="00F27645" w:rsidP="00F27645">
      <w:pPr>
        <w:pStyle w:val="NormaleWeb"/>
        <w:shd w:val="clear" w:color="auto" w:fill="FFFFFF"/>
        <w:spacing w:before="30" w:beforeAutospacing="0" w:after="30" w:afterAutospacing="0"/>
        <w:ind w:left="30"/>
        <w:jc w:val="center"/>
        <w:rPr>
          <w:rFonts w:ascii="Verdana" w:hAnsi="Verdana"/>
          <w:color w:val="000000"/>
          <w:sz w:val="19"/>
          <w:szCs w:val="19"/>
        </w:rPr>
      </w:pPr>
      <w:r>
        <w:rPr>
          <w:rFonts w:ascii="Verdana" w:hAnsi="Verdana"/>
          <w:i/>
          <w:iCs/>
          <w:color w:val="000000"/>
          <w:sz w:val="19"/>
          <w:szCs w:val="19"/>
        </w:rPr>
        <w:t>(Misure di assistenza nei confronti dei minori non accompagnati provenienti dall'Ucraina)</w:t>
      </w:r>
      <w:r>
        <w:rPr>
          <w:rFonts w:ascii="Verdana" w:hAnsi="Verdana"/>
          <w:color w:val="000000"/>
          <w:sz w:val="19"/>
          <w:szCs w:val="19"/>
        </w:rPr>
        <w:t>.</w:t>
      </w:r>
    </w:p>
    <w:p w14:paraId="0B626D80"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noProof/>
          <w:color w:val="000000"/>
          <w:sz w:val="19"/>
          <w:szCs w:val="19"/>
        </w:rPr>
        <mc:AlternateContent>
          <mc:Choice Requires="wps">
            <w:drawing>
              <wp:anchor distT="0" distB="0" distL="114300" distR="114300" simplePos="0" relativeHeight="251659264" behindDoc="0" locked="0" layoutInCell="1" allowOverlap="0" wp14:anchorId="43FA942C" wp14:editId="7F132BEE">
                <wp:simplePos x="0" y="0"/>
                <wp:positionH relativeFrom="column">
                  <wp:align>left</wp:align>
                </wp:positionH>
                <wp:positionV relativeFrom="line">
                  <wp:posOffset>0</wp:posOffset>
                </wp:positionV>
                <wp:extent cx="9525" cy="9525"/>
                <wp:effectExtent l="0" t="0" r="0" b="0"/>
                <wp:wrapSquare wrapText="bothSides"/>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042E5" id="AutoShape 2" o:spid="_x0000_s1026" style="position:absolute;margin-left:0;margin-top:0;width:.75pt;height:.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o:allowoverlap="f" filled="f" stroked="f">
                <o:lock v:ext="edit" aspectratio="t"/>
                <w10:wrap type="square" anchory="line"/>
              </v:rect>
            </w:pict>
          </mc:Fallback>
        </mc:AlternateContent>
      </w:r>
      <w:r>
        <w:rPr>
          <w:rFonts w:ascii="Verdana" w:hAnsi="Verdana"/>
          <w:color w:val="000000"/>
          <w:sz w:val="19"/>
          <w:szCs w:val="19"/>
        </w:rPr>
        <w:t xml:space="preserve">1. Nell'ambito delle misure assistenziali previste dalle ordinanze di protezione civile conseguenti alla delibera dello stato di emergenza adottata dal Consiglio dei ministri in data 28 febbraio 2022, ai comuni che accolgono minori non accompagnati provenienti dall'Ucraina in conseguenza della crisi </w:t>
      </w:r>
      <w:r>
        <w:rPr>
          <w:rFonts w:ascii="Verdana" w:hAnsi="Verdana"/>
          <w:color w:val="000000"/>
          <w:sz w:val="19"/>
          <w:szCs w:val="19"/>
        </w:rPr>
        <w:lastRenderedPageBreak/>
        <w:t>politica e militare in atto, nelle strutture autorizzate o accreditate ai sensi dell'articolo 8, comma 3, lettera </w:t>
      </w:r>
      <w:r>
        <w:rPr>
          <w:rFonts w:ascii="Verdana" w:hAnsi="Verdana"/>
          <w:i/>
          <w:iCs/>
          <w:color w:val="000000"/>
          <w:sz w:val="19"/>
          <w:szCs w:val="19"/>
        </w:rPr>
        <w:t>f)</w:t>
      </w:r>
      <w:r>
        <w:rPr>
          <w:rFonts w:ascii="Verdana" w:hAnsi="Verdana"/>
          <w:color w:val="000000"/>
          <w:sz w:val="19"/>
          <w:szCs w:val="19"/>
        </w:rPr>
        <w:t>, della legge 8 novembre 2000, n. 328, ovvero che sostengono gli oneri connessi all'affidamento familiare dei medesimi minori, disposto ai sensi degli articoli 4 e 5 della legge 4 maggio 1983, n. 184, è riconosciuto, da parte del Commissario delegato di cui all'articolo 2 dell'ordinanza del Capo del Dipartimento della protezione civile n. 876 del 13 marzo 2022, il rimborso dei costi sostenuti, fino a un massimo di 100 euro </w:t>
      </w:r>
      <w:r>
        <w:rPr>
          <w:rFonts w:ascii="Verdana" w:hAnsi="Verdana"/>
          <w:i/>
          <w:iCs/>
          <w:color w:val="000000"/>
          <w:sz w:val="19"/>
          <w:szCs w:val="19"/>
        </w:rPr>
        <w:t>pro die pro capite</w:t>
      </w:r>
      <w:r>
        <w:rPr>
          <w:rFonts w:ascii="Verdana" w:hAnsi="Verdana"/>
          <w:color w:val="000000"/>
          <w:sz w:val="19"/>
          <w:szCs w:val="19"/>
        </w:rPr>
        <w:t>.</w:t>
      </w:r>
    </w:p>
    <w:p w14:paraId="5A0F85FD"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xml:space="preserve">A tal fine, il </w:t>
      </w:r>
      <w:proofErr w:type="gramStart"/>
      <w:r>
        <w:rPr>
          <w:rFonts w:ascii="Verdana" w:hAnsi="Verdana"/>
          <w:color w:val="000000"/>
          <w:sz w:val="19"/>
          <w:szCs w:val="19"/>
        </w:rPr>
        <w:t>predetto</w:t>
      </w:r>
      <w:proofErr w:type="gramEnd"/>
      <w:r>
        <w:rPr>
          <w:rFonts w:ascii="Verdana" w:hAnsi="Verdana"/>
          <w:color w:val="000000"/>
          <w:sz w:val="19"/>
          <w:szCs w:val="19"/>
        </w:rPr>
        <w:t xml:space="preserve"> Commissario si avvale di una struttura di supporto da definirsi con ordinanza del Capo del Dipartimento della protezione civile, nel limite di spesa complessiva di euro 237.701 per l'anno 2022. Per l'attuazione delle misure di cui al presente comma, il Fondo per le emergenze nazionali, di cui all'articolo 44 del decreto legislativo 2 gennaio 2018, n. 1, è incrementato di euro 58.568.190 per l'esercizio finanziario 2022.</w:t>
      </w:r>
    </w:p>
    <w:p w14:paraId="2094277C"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2. Agli oneri derivanti dal comma 1, si provvede mediante corrispondente versamento all'entrata del bilancio dello Stato delle risorse in conto residui accertate ai sensi dell'articolo 1, comma 767, della legge 30 dicembre 2018, n. 145»;</w:t>
      </w:r>
    </w:p>
    <w:p w14:paraId="6EBB7B16"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 l'articolo 37-</w:t>
      </w:r>
      <w:r>
        <w:rPr>
          <w:rFonts w:ascii="Verdana" w:hAnsi="Verdana"/>
          <w:i/>
          <w:iCs/>
          <w:color w:val="000000"/>
          <w:sz w:val="19"/>
          <w:szCs w:val="19"/>
        </w:rPr>
        <w:t>ter</w:t>
      </w:r>
      <w:r>
        <w:rPr>
          <w:rFonts w:ascii="Verdana" w:hAnsi="Verdana"/>
          <w:color w:val="000000"/>
          <w:sz w:val="19"/>
          <w:szCs w:val="19"/>
        </w:rPr>
        <w:t> sia sostituito dal seguente:</w:t>
      </w:r>
    </w:p>
    <w:p w14:paraId="296E004B" w14:textId="77777777" w:rsidR="00F27645" w:rsidRDefault="00F27645" w:rsidP="00F27645">
      <w:pPr>
        <w:pStyle w:val="NormaleWeb"/>
        <w:shd w:val="clear" w:color="auto" w:fill="FFFFFF"/>
        <w:spacing w:before="30" w:beforeAutospacing="0" w:after="30" w:afterAutospacing="0"/>
        <w:ind w:left="30"/>
        <w:jc w:val="center"/>
        <w:rPr>
          <w:rFonts w:ascii="Verdana" w:hAnsi="Verdana"/>
          <w:color w:val="000000"/>
          <w:sz w:val="19"/>
          <w:szCs w:val="19"/>
        </w:rPr>
      </w:pPr>
      <w:r>
        <w:rPr>
          <w:rFonts w:ascii="Verdana" w:hAnsi="Verdana"/>
          <w:color w:val="000000"/>
          <w:sz w:val="19"/>
          <w:szCs w:val="19"/>
        </w:rPr>
        <w:t>«Articolo 37-</w:t>
      </w:r>
      <w:r>
        <w:rPr>
          <w:rFonts w:ascii="Verdana" w:hAnsi="Verdana"/>
          <w:i/>
          <w:iCs/>
          <w:color w:val="000000"/>
          <w:sz w:val="19"/>
          <w:szCs w:val="19"/>
        </w:rPr>
        <w:t>ter</w:t>
      </w:r>
    </w:p>
    <w:p w14:paraId="7C0DF61D" w14:textId="77777777" w:rsidR="00F27645" w:rsidRDefault="00F27645" w:rsidP="00F27645">
      <w:pPr>
        <w:pStyle w:val="NormaleWeb"/>
        <w:shd w:val="clear" w:color="auto" w:fill="FFFFFF"/>
        <w:spacing w:before="30" w:beforeAutospacing="0" w:after="30" w:afterAutospacing="0"/>
        <w:ind w:left="30"/>
        <w:jc w:val="center"/>
        <w:rPr>
          <w:rFonts w:ascii="Verdana" w:hAnsi="Verdana"/>
          <w:color w:val="000000"/>
          <w:sz w:val="19"/>
          <w:szCs w:val="19"/>
        </w:rPr>
      </w:pPr>
      <w:r>
        <w:rPr>
          <w:rFonts w:ascii="Verdana" w:hAnsi="Verdana"/>
          <w:i/>
          <w:iCs/>
          <w:color w:val="000000"/>
          <w:sz w:val="19"/>
          <w:szCs w:val="19"/>
        </w:rPr>
        <w:t>(Utilizzo avanzi amministrazione per copertura maggiori oneri derivanti dalle spese per l'energia)</w:t>
      </w:r>
    </w:p>
    <w:p w14:paraId="3EA7B191"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1. All'articolo 13 del decreto-legge 27 gennaio 2022, n. 4, convertito, con modificazioni, dalla legge 28 marzo 2022, n. 25, sono apportate le seguenti modifiche:</w:t>
      </w:r>
    </w:p>
    <w:p w14:paraId="4253EB68"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a) al comma 4, è aggiunto, in fine, il seguente periodo: "Per l'anno 2022, le risorse di cui al presente articolo possono essere utilizzate a copertura dei maggiori oneri derivanti dall'incremento della spesa per energia elettrica, non coperti da specifiche assegnazioni statali, riscontrati con riferimento al confronto tra la spesa dell'esercizio 2022 e la spesa registrata per utenze e periodi omologhi nel 2019.";</w:t>
      </w:r>
    </w:p>
    <w:p w14:paraId="287AC58E" w14:textId="77777777" w:rsidR="00F27645" w:rsidRDefault="00F27645" w:rsidP="00F27645">
      <w:pPr>
        <w:pStyle w:val="NormaleWeb"/>
        <w:shd w:val="clear" w:color="auto" w:fill="FFFFFF"/>
        <w:spacing w:before="30" w:beforeAutospacing="0" w:after="30" w:afterAutospacing="0"/>
        <w:ind w:left="30"/>
        <w:jc w:val="both"/>
        <w:rPr>
          <w:rFonts w:ascii="Verdana" w:hAnsi="Verdana"/>
          <w:color w:val="000000"/>
          <w:sz w:val="19"/>
          <w:szCs w:val="19"/>
        </w:rPr>
      </w:pPr>
      <w:r>
        <w:rPr>
          <w:rFonts w:ascii="Verdana" w:hAnsi="Verdana"/>
          <w:color w:val="000000"/>
          <w:sz w:val="19"/>
          <w:szCs w:val="19"/>
        </w:rPr>
        <w:t>b) dopo il comma 6 è inserito il seguente: "6-</w:t>
      </w:r>
      <w:r>
        <w:rPr>
          <w:rFonts w:ascii="Verdana" w:hAnsi="Verdana"/>
          <w:i/>
          <w:iCs/>
          <w:color w:val="000000"/>
          <w:sz w:val="19"/>
          <w:szCs w:val="19"/>
        </w:rPr>
        <w:t>bis</w:t>
      </w:r>
      <w:r>
        <w:rPr>
          <w:rFonts w:ascii="Verdana" w:hAnsi="Verdana"/>
          <w:color w:val="000000"/>
          <w:sz w:val="19"/>
          <w:szCs w:val="19"/>
        </w:rPr>
        <w:t>. La verifica a consuntivo di cui all'articolo 106, comma 1, del decreto-legge 19 maggio 2020, n. 34, convertito, con modificazioni, dalla legge 17 luglio 2020, n. 77, non comporta nuovi oneri a carico della finanza pubblica."».</w:t>
      </w:r>
    </w:p>
    <w:p w14:paraId="794BCA75" w14:textId="77777777" w:rsidR="00574B0E" w:rsidRDefault="00574B0E"/>
    <w:sectPr w:rsidR="00574B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45"/>
    <w:rsid w:val="00574B0E"/>
    <w:rsid w:val="00F27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D036"/>
  <w15:chartTrackingRefBased/>
  <w15:docId w15:val="{E7597081-1CF3-427F-A80F-F39AE6DD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2764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Alessandrini</dc:creator>
  <cp:keywords/>
  <dc:description/>
  <cp:lastModifiedBy>Paolo Alessandrini</cp:lastModifiedBy>
  <cp:revision>1</cp:revision>
  <dcterms:created xsi:type="dcterms:W3CDTF">2022-05-13T09:10:00Z</dcterms:created>
  <dcterms:modified xsi:type="dcterms:W3CDTF">2022-05-13T09:11:00Z</dcterms:modified>
</cp:coreProperties>
</file>