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05A0C" w:rsidRPr="00B05A0C" w:rsidRDefault="00B05A0C" w:rsidP="00B05A0C">
      <w:pPr>
        <w:jc w:val="both"/>
        <w:rPr>
          <w:rFonts w:ascii="Arial" w:hAnsi="Arial" w:cs="Arial"/>
          <w:sz w:val="28"/>
          <w:szCs w:val="28"/>
        </w:rPr>
      </w:pPr>
    </w:p>
    <w:p w:rsidR="00B05A0C" w:rsidRPr="00B05A0C" w:rsidRDefault="00B05A0C" w:rsidP="00B05A0C">
      <w:pPr>
        <w:jc w:val="center"/>
        <w:rPr>
          <w:rFonts w:ascii="Arial" w:hAnsi="Arial" w:cs="Arial"/>
          <w:b/>
          <w:sz w:val="28"/>
          <w:szCs w:val="28"/>
        </w:rPr>
      </w:pPr>
      <w:r w:rsidRPr="00B05A0C">
        <w:rPr>
          <w:rFonts w:ascii="Arial" w:hAnsi="Arial" w:cs="Arial"/>
          <w:b/>
          <w:sz w:val="28"/>
          <w:szCs w:val="28"/>
        </w:rPr>
        <w:t>Giannini: “Fortunatamente i 300 milioni accantonati dal Fondo nazionale TPL tornano a disposizione delle Regioni”</w:t>
      </w:r>
    </w:p>
    <w:p w:rsidR="00B05A0C" w:rsidRDefault="00B05A0C" w:rsidP="00B05A0C">
      <w:pPr>
        <w:tabs>
          <w:tab w:val="left" w:pos="3720"/>
        </w:tabs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</w:p>
    <w:p w:rsidR="00B05A0C" w:rsidRPr="00B05A0C" w:rsidRDefault="00B05A0C" w:rsidP="00B05A0C">
      <w:pPr>
        <w:tabs>
          <w:tab w:val="left" w:pos="3720"/>
        </w:tabs>
        <w:jc w:val="both"/>
        <w:rPr>
          <w:rFonts w:ascii="Arial" w:hAnsi="Arial" w:cs="Arial"/>
          <w:b/>
          <w:sz w:val="28"/>
          <w:szCs w:val="28"/>
        </w:rPr>
      </w:pPr>
    </w:p>
    <w:p w:rsidR="00B05A0C" w:rsidRPr="00B05A0C" w:rsidRDefault="00B05A0C" w:rsidP="00B05A0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B05A0C">
        <w:rPr>
          <w:rFonts w:ascii="Arial" w:hAnsi="Arial" w:cs="Arial"/>
          <w:sz w:val="28"/>
          <w:szCs w:val="28"/>
        </w:rPr>
        <w:t xml:space="preserve">L’assessore alla Mobilità della Regione Puglia, Giovanni Giannini, risponde all’on. Diego De Lorenzis: “Esprimo soddisfazione per i 300 milioni appartenenti al Fondo per il TPL che tornano al loro posto. </w:t>
      </w:r>
    </w:p>
    <w:p w:rsidR="00B05A0C" w:rsidRPr="00B05A0C" w:rsidRDefault="00B05A0C" w:rsidP="00B05A0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B05A0C">
        <w:rPr>
          <w:rFonts w:ascii="Arial" w:hAnsi="Arial" w:cs="Arial"/>
          <w:sz w:val="28"/>
          <w:szCs w:val="28"/>
        </w:rPr>
        <w:t xml:space="preserve">Il fatto stesso, però, che il Governo abbia dovuto adottare un provvedimento specifico per riposizionarli in detto Fondo, attesta la fondatezza della denuncia e delle preoccupazioni espresse all’atto dell’accantonamento e della dichiarazione di indisponibilità dei complessivi due miliardi, fatta con la Legge di Bilancio 2019. </w:t>
      </w:r>
    </w:p>
    <w:p w:rsidR="00B05A0C" w:rsidRPr="00B05A0C" w:rsidRDefault="00B05A0C" w:rsidP="00B05A0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B05A0C">
        <w:rPr>
          <w:rFonts w:ascii="Arial" w:hAnsi="Arial" w:cs="Arial"/>
          <w:sz w:val="28"/>
          <w:szCs w:val="28"/>
        </w:rPr>
        <w:t xml:space="preserve">A conferma della fondatezza della preoccupazione diffusa in tutte le Regioni, è arrivato il documento approvato dalla Conferenza Stato Regioni ad aprile con la richiesta al Governo di astenersi dalla distrazione dei 300 milioni dal Fondo nazionale TPL e il successivo impegno del Governo stesso ad accogliere la richiesta. </w:t>
      </w:r>
    </w:p>
    <w:p w:rsidR="00B05A0C" w:rsidRDefault="00B05A0C" w:rsidP="00B05A0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B05A0C">
        <w:rPr>
          <w:rFonts w:ascii="Arial" w:hAnsi="Arial" w:cs="Arial"/>
          <w:sz w:val="28"/>
          <w:szCs w:val="28"/>
        </w:rPr>
        <w:t xml:space="preserve">E così con l’assestamento di bilancio 2019 il Governo rimetterà a posto i soldi. </w:t>
      </w:r>
    </w:p>
    <w:p w:rsidR="00B05A0C" w:rsidRPr="00B05A0C" w:rsidRDefault="00B05A0C" w:rsidP="00B05A0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B05A0C">
        <w:rPr>
          <w:rFonts w:ascii="Arial" w:hAnsi="Arial" w:cs="Arial"/>
          <w:sz w:val="28"/>
          <w:szCs w:val="28"/>
        </w:rPr>
        <w:t>L’intervento dell’on. De Lorenzis va, perciò, inquadrato nella categoria delle dichiarazioni strumentali e tendenziose finalizzate a porre rimedio a uno strafalcione commesso dal Governo</w:t>
      </w:r>
      <w:r>
        <w:rPr>
          <w:rFonts w:ascii="Arial" w:hAnsi="Arial" w:cs="Arial"/>
          <w:sz w:val="28"/>
          <w:szCs w:val="28"/>
        </w:rPr>
        <w:t>”. (com.)</w:t>
      </w:r>
    </w:p>
    <w:p w:rsidR="00467945" w:rsidRDefault="00467945"/>
    <w:sectPr w:rsidR="00467945">
      <w:headerReference w:type="default" r:id="rId7"/>
      <w:footerReference w:type="default" r:id="rId8"/>
      <w:pgSz w:w="11906" w:h="16838"/>
      <w:pgMar w:top="1440" w:right="1440" w:bottom="1568" w:left="1440" w:header="720" w:footer="399" w:gutter="0"/>
      <w:pgNumType w:start="1"/>
      <w:cols w:space="720"/>
      <w:docGrid w:linePitch="240" w:charSpace="-245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249" w:rsidRDefault="00CA2249">
      <w:r>
        <w:separator/>
      </w:r>
    </w:p>
  </w:endnote>
  <w:endnote w:type="continuationSeparator" w:id="0">
    <w:p w:rsidR="00CA2249" w:rsidRDefault="00CA2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F13" w:rsidRDefault="00AF7F13">
    <w:pPr>
      <w:jc w:val="center"/>
      <w:rPr>
        <w:sz w:val="16"/>
        <w:szCs w:val="16"/>
      </w:rPr>
    </w:pPr>
  </w:p>
  <w:p w:rsidR="00AF7F13" w:rsidRPr="00AF7F13" w:rsidRDefault="00AF7F13" w:rsidP="00AF7F13">
    <w:pPr>
      <w:widowControl w:val="0"/>
      <w:jc w:val="center"/>
      <w:rPr>
        <w:sz w:val="16"/>
        <w:szCs w:val="16"/>
      </w:rPr>
    </w:pPr>
    <w:r w:rsidRPr="00AF7F13">
      <w:rPr>
        <w:b/>
      </w:rPr>
      <w:t>Agierrefax</w:t>
    </w:r>
    <w:r>
      <w:rPr>
        <w:b/>
      </w:rPr>
      <w:t xml:space="preserve"> </w:t>
    </w:r>
    <w:r w:rsidRPr="00AF7F13">
      <w:t>Agenzia Giornalistica a cura del Servizio Stampa della Giunta Regionale</w:t>
    </w:r>
  </w:p>
  <w:p w:rsidR="00467945" w:rsidRPr="00AF7F13" w:rsidRDefault="00467945" w:rsidP="00AF7F13">
    <w:pPr>
      <w:widowControl w:val="0"/>
      <w:rPr>
        <w:b/>
      </w:rPr>
    </w:pPr>
    <w:r>
      <w:rPr>
        <w:sz w:val="16"/>
        <w:szCs w:val="16"/>
      </w:rPr>
      <w:t>Direttore responsabile: Elena Laterza, Caporedattore: Laura Sutto, Redazione: Nico Lorusso, Susanna Napolitano, Antonio Rolli.</w:t>
    </w:r>
  </w:p>
  <w:p w:rsidR="00467945" w:rsidRDefault="00467945">
    <w:pPr>
      <w:jc w:val="center"/>
      <w:rPr>
        <w:sz w:val="16"/>
        <w:szCs w:val="16"/>
      </w:rPr>
    </w:pPr>
    <w:r>
      <w:rPr>
        <w:sz w:val="16"/>
        <w:szCs w:val="16"/>
      </w:rPr>
      <w:t>Regione Puglia - Lungomare N. Sauro 31, 70121, Bari ▪ Tel. 080 5406228 - 6342 - 6198 ▪ Fax 080 5406231</w:t>
    </w:r>
  </w:p>
  <w:p w:rsidR="00467945" w:rsidRDefault="00467945">
    <w:pPr>
      <w:jc w:val="center"/>
      <w:rPr>
        <w:sz w:val="16"/>
        <w:szCs w:val="16"/>
      </w:rPr>
    </w:pPr>
    <w:r>
      <w:rPr>
        <w:sz w:val="16"/>
        <w:szCs w:val="16"/>
      </w:rPr>
      <w:t xml:space="preserve">E-mail: </w:t>
    </w:r>
    <w:hyperlink r:id="rId1" w:history="1">
      <w:r>
        <w:rPr>
          <w:rStyle w:val="Collegamentoipertestuale"/>
          <w:color w:val="1155CC"/>
          <w:sz w:val="16"/>
          <w:szCs w:val="16"/>
        </w:rPr>
        <w:t>serviziostampa.gr@regione.puglia.it</w:t>
      </w:r>
    </w:hyperlink>
    <w:r>
      <w:rPr>
        <w:sz w:val="16"/>
        <w:szCs w:val="16"/>
      </w:rPr>
      <w:t xml:space="preserve"> ▪ </w:t>
    </w:r>
    <w:hyperlink r:id="rId2" w:history="1">
      <w:r>
        <w:rPr>
          <w:rStyle w:val="Collegamentoipertestuale"/>
          <w:color w:val="1155CC"/>
          <w:sz w:val="16"/>
          <w:szCs w:val="16"/>
        </w:rPr>
        <w:t>www.regione.puglia.it</w:t>
      </w:r>
    </w:hyperlink>
  </w:p>
  <w:p w:rsidR="00467945" w:rsidRDefault="00467945">
    <w:pPr>
      <w:jc w:val="center"/>
    </w:pPr>
    <w:r>
      <w:rPr>
        <w:sz w:val="16"/>
        <w:szCs w:val="16"/>
      </w:rPr>
      <w:t>Iscrizione al Registro della Stampa presso il Tribunale di Bari n.1390 del 29/10/1998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249" w:rsidRDefault="00CA2249">
      <w:r>
        <w:separator/>
      </w:r>
    </w:p>
  </w:footnote>
  <w:footnote w:type="continuationSeparator" w:id="0">
    <w:p w:rsidR="00CA2249" w:rsidRDefault="00CA22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0" w:type="dxa"/>
        <w:right w:w="0" w:type="dxa"/>
      </w:tblCellMar>
      <w:tblLook w:val="0000"/>
    </w:tblPr>
    <w:tblGrid>
      <w:gridCol w:w="2775"/>
      <w:gridCol w:w="4995"/>
      <w:gridCol w:w="1256"/>
    </w:tblGrid>
    <w:tr w:rsidR="00467945">
      <w:tc>
        <w:tcPr>
          <w:tcW w:w="2775" w:type="dxa"/>
          <w:shd w:val="clear" w:color="auto" w:fill="auto"/>
        </w:tcPr>
        <w:p w:rsidR="00467945" w:rsidRDefault="00B05A0C">
          <w:pPr>
            <w:pStyle w:val="Contenutotabella"/>
            <w:rPr>
              <w:b/>
              <w:sz w:val="28"/>
              <w:szCs w:val="28"/>
            </w:rPr>
          </w:pPr>
          <w:r>
            <w:rPr>
              <w:noProof/>
              <w:lang w:eastAsia="it-IT" w:bidi="ar-SA"/>
            </w:rPr>
            <w:drawing>
              <wp:inline distT="0" distB="0" distL="0" distR="0">
                <wp:extent cx="1638300" cy="885825"/>
                <wp:effectExtent l="1905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8858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5" w:type="dxa"/>
          <w:shd w:val="clear" w:color="auto" w:fill="auto"/>
        </w:tcPr>
        <w:p w:rsidR="00467945" w:rsidRDefault="00467945">
          <w:pPr>
            <w:widowControl w:val="0"/>
            <w:rPr>
              <w:b/>
              <w:sz w:val="16"/>
              <w:szCs w:val="16"/>
            </w:rPr>
          </w:pPr>
        </w:p>
      </w:tc>
      <w:tc>
        <w:tcPr>
          <w:tcW w:w="1256" w:type="dxa"/>
          <w:shd w:val="clear" w:color="auto" w:fill="auto"/>
        </w:tcPr>
        <w:p w:rsidR="00AF7F13" w:rsidRDefault="00AF7F13">
          <w:pPr>
            <w:widowControl w:val="0"/>
            <w:rPr>
              <w:b/>
              <w:sz w:val="16"/>
              <w:szCs w:val="16"/>
            </w:rPr>
          </w:pPr>
        </w:p>
        <w:p w:rsidR="00AF7F13" w:rsidRDefault="00AF7F13">
          <w:pPr>
            <w:widowControl w:val="0"/>
            <w:rPr>
              <w:b/>
              <w:sz w:val="16"/>
              <w:szCs w:val="16"/>
            </w:rPr>
          </w:pPr>
        </w:p>
        <w:p w:rsidR="00467945" w:rsidRDefault="00467945">
          <w:pPr>
            <w:widowControl w:val="0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Anno X</w:t>
          </w:r>
          <w:r w:rsidR="00B05A0C">
            <w:rPr>
              <w:b/>
              <w:sz w:val="16"/>
              <w:szCs w:val="16"/>
            </w:rPr>
            <w:t>X</w:t>
          </w:r>
          <w:r>
            <w:rPr>
              <w:b/>
              <w:sz w:val="16"/>
              <w:szCs w:val="16"/>
            </w:rPr>
            <w:t>I</w:t>
          </w:r>
        </w:p>
        <w:p w:rsidR="00467945" w:rsidRDefault="00B05A0C">
          <w:pPr>
            <w:widowControl w:val="0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Numero  891</w:t>
          </w:r>
          <w:r w:rsidR="00467945">
            <w:rPr>
              <w:b/>
              <w:sz w:val="16"/>
              <w:szCs w:val="16"/>
            </w:rPr>
            <w:t>.1</w:t>
          </w:r>
          <w:r>
            <w:rPr>
              <w:b/>
              <w:sz w:val="16"/>
              <w:szCs w:val="16"/>
            </w:rPr>
            <w:t>9</w:t>
          </w:r>
        </w:p>
        <w:p w:rsidR="00467945" w:rsidRDefault="00467945">
          <w:pPr>
            <w:widowControl w:val="0"/>
          </w:pPr>
          <w:r>
            <w:rPr>
              <w:b/>
              <w:sz w:val="16"/>
              <w:szCs w:val="16"/>
            </w:rPr>
            <w:fldChar w:fldCharType="begin"/>
          </w:r>
          <w:r>
            <w:rPr>
              <w:b/>
              <w:sz w:val="16"/>
              <w:szCs w:val="16"/>
            </w:rPr>
            <w:instrText xml:space="preserve"> CREATEDATE \@"dd\/MM\/yyyy" </w:instrText>
          </w:r>
          <w:r>
            <w:rPr>
              <w:b/>
              <w:sz w:val="16"/>
              <w:szCs w:val="16"/>
            </w:rPr>
            <w:fldChar w:fldCharType="separate"/>
          </w:r>
          <w:r w:rsidR="00B05A0C">
            <w:rPr>
              <w:b/>
              <w:noProof/>
              <w:sz w:val="16"/>
              <w:szCs w:val="16"/>
            </w:rPr>
            <w:t>08/07/2019</w:t>
          </w:r>
          <w:r>
            <w:rPr>
              <w:b/>
              <w:sz w:val="16"/>
              <w:szCs w:val="16"/>
            </w:rPr>
            <w:fldChar w:fldCharType="end"/>
          </w:r>
        </w:p>
      </w:tc>
    </w:tr>
  </w:tbl>
  <w:p w:rsidR="00467945" w:rsidRPr="00AF7F13" w:rsidRDefault="00467945">
    <w:pPr>
      <w:rPr>
        <w:b/>
        <w:sz w:val="36"/>
        <w:szCs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CA2249"/>
    <w:rsid w:val="00464EB1"/>
    <w:rsid w:val="00467945"/>
    <w:rsid w:val="00AF7F13"/>
    <w:rsid w:val="00B05A0C"/>
    <w:rsid w:val="00C9590E"/>
    <w:rsid w:val="00CA2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5A0C"/>
    <w:rPr>
      <w:rFonts w:ascii="Cambria" w:eastAsia="Cambria" w:hAnsi="Cambria"/>
      <w:sz w:val="24"/>
      <w:szCs w:val="24"/>
      <w:lang w:eastAsia="en-US"/>
    </w:rPr>
  </w:style>
  <w:style w:type="paragraph" w:styleId="Titolo1">
    <w:name w:val="heading 1"/>
    <w:basedOn w:val="LO-normal"/>
    <w:next w:val="Normale"/>
    <w:qFormat/>
    <w:pPr>
      <w:keepNext/>
      <w:keepLines/>
      <w:numPr>
        <w:numId w:val="2"/>
      </w:numPr>
      <w:spacing w:before="200" w:line="240" w:lineRule="auto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Titolo2">
    <w:name w:val="heading 2"/>
    <w:basedOn w:val="LO-normal"/>
    <w:next w:val="Normale"/>
    <w:qFormat/>
    <w:pPr>
      <w:keepNext/>
      <w:keepLines/>
      <w:numPr>
        <w:ilvl w:val="1"/>
        <w:numId w:val="2"/>
      </w:numPr>
      <w:spacing w:before="200" w:line="240" w:lineRule="auto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Titolo3">
    <w:name w:val="heading 3"/>
    <w:basedOn w:val="LO-normal"/>
    <w:next w:val="Normale"/>
    <w:qFormat/>
    <w:pPr>
      <w:keepNext/>
      <w:keepLines/>
      <w:numPr>
        <w:ilvl w:val="2"/>
        <w:numId w:val="2"/>
      </w:numPr>
      <w:spacing w:before="160" w:line="240" w:lineRule="auto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Titolo4">
    <w:name w:val="heading 4"/>
    <w:basedOn w:val="LO-normal"/>
    <w:next w:val="Normale"/>
    <w:qFormat/>
    <w:pPr>
      <w:keepNext/>
      <w:keepLines/>
      <w:numPr>
        <w:ilvl w:val="3"/>
        <w:numId w:val="2"/>
      </w:numPr>
      <w:spacing w:before="160" w:line="240" w:lineRule="auto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Titolo5">
    <w:name w:val="heading 5"/>
    <w:basedOn w:val="LO-normal"/>
    <w:next w:val="Normale"/>
    <w:qFormat/>
    <w:pPr>
      <w:keepNext/>
      <w:keepLines/>
      <w:numPr>
        <w:ilvl w:val="4"/>
        <w:numId w:val="2"/>
      </w:numPr>
      <w:spacing w:before="160" w:line="240" w:lineRule="auto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itolo6">
    <w:name w:val="heading 6"/>
    <w:basedOn w:val="LO-normal"/>
    <w:next w:val="Normale"/>
    <w:qFormat/>
    <w:pPr>
      <w:keepNext/>
      <w:keepLines/>
      <w:numPr>
        <w:ilvl w:val="5"/>
        <w:numId w:val="2"/>
      </w:numPr>
      <w:spacing w:before="160" w:line="240" w:lineRule="auto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Collegamentoipertestuale">
    <w:name w:val="Hyperlink"/>
    <w:rPr>
      <w:color w:val="000080"/>
      <w:u w:val="single"/>
      <w:lang/>
    </w:rPr>
  </w:style>
  <w:style w:type="character" w:customStyle="1" w:styleId="Segnaposto">
    <w:name w:val="Segnaposto"/>
    <w:rPr>
      <w:smallCaps/>
      <w:color w:val="008080"/>
      <w:u w:val="dotted"/>
    </w:rPr>
  </w:style>
  <w:style w:type="paragraph" w:customStyle="1" w:styleId="Titolo10">
    <w:name w:val="Titolo1"/>
    <w:basedOn w:val="Normale"/>
    <w:next w:val="Corpodel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ltesto">
    <w:name w:val="Body Text"/>
    <w:basedOn w:val="Normale"/>
    <w:pPr>
      <w:suppressAutoHyphens/>
      <w:spacing w:after="140" w:line="288" w:lineRule="auto"/>
    </w:pPr>
    <w:rPr>
      <w:rFonts w:ascii="Calibri" w:eastAsia="Calibri" w:hAnsi="Calibri" w:cs="Calibri"/>
      <w:color w:val="000000"/>
      <w:kern w:val="1"/>
      <w:sz w:val="22"/>
      <w:szCs w:val="22"/>
      <w:lang w:eastAsia="zh-CN" w:bidi="hi-IN"/>
    </w:r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color w:val="000000"/>
      <w:kern w:val="1"/>
      <w:lang w:eastAsia="zh-CN" w:bidi="hi-IN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LO-normal">
    <w:name w:val="LO-normal"/>
    <w:pPr>
      <w:suppressAutoHyphens/>
      <w:spacing w:line="276" w:lineRule="auto"/>
    </w:pPr>
    <w:rPr>
      <w:rFonts w:ascii="Calibri" w:eastAsia="Calibri" w:hAnsi="Calibri" w:cs="Calibri"/>
      <w:color w:val="000000"/>
      <w:kern w:val="1"/>
      <w:sz w:val="22"/>
      <w:szCs w:val="22"/>
      <w:lang w:eastAsia="zh-CN" w:bidi="hi-IN"/>
    </w:rPr>
  </w:style>
  <w:style w:type="paragraph" w:styleId="Titolo">
    <w:name w:val="Title"/>
    <w:basedOn w:val="LO-normal"/>
    <w:next w:val="Normale"/>
    <w:qFormat/>
    <w:pPr>
      <w:keepNext/>
      <w:keepLines/>
      <w:contextualSpacing/>
      <w:jc w:val="center"/>
    </w:pPr>
    <w:rPr>
      <w:b/>
      <w:color w:val="003270"/>
      <w:sz w:val="48"/>
      <w:szCs w:val="48"/>
    </w:rPr>
  </w:style>
  <w:style w:type="paragraph" w:styleId="Sottotitolo">
    <w:name w:val="Subtitle"/>
    <w:basedOn w:val="LO-normal"/>
    <w:next w:val="Normale"/>
    <w:qFormat/>
    <w:pPr>
      <w:keepNext/>
      <w:keepLines/>
      <w:spacing w:after="200" w:line="240" w:lineRule="auto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Intestazione">
    <w:name w:val="header"/>
    <w:basedOn w:val="Normale"/>
    <w:pPr>
      <w:suppressAutoHyphens/>
      <w:spacing w:line="276" w:lineRule="auto"/>
    </w:pPr>
    <w:rPr>
      <w:rFonts w:ascii="Calibri" w:eastAsia="Calibri" w:hAnsi="Calibri" w:cs="Calibri"/>
      <w:color w:val="000000"/>
      <w:kern w:val="1"/>
      <w:sz w:val="22"/>
      <w:szCs w:val="22"/>
      <w:lang w:eastAsia="zh-CN" w:bidi="hi-IN"/>
    </w:rPr>
  </w:style>
  <w:style w:type="paragraph" w:styleId="Pidipagina">
    <w:name w:val="footer"/>
    <w:basedOn w:val="Normale"/>
    <w:pPr>
      <w:suppressAutoHyphens/>
      <w:spacing w:line="276" w:lineRule="auto"/>
    </w:pPr>
    <w:rPr>
      <w:rFonts w:ascii="Calibri" w:eastAsia="Calibri" w:hAnsi="Calibri" w:cs="Calibri"/>
      <w:color w:val="000000"/>
      <w:kern w:val="1"/>
      <w:sz w:val="22"/>
      <w:szCs w:val="22"/>
      <w:lang w:eastAsia="zh-CN" w:bidi="hi-IN"/>
    </w:rPr>
  </w:style>
  <w:style w:type="paragraph" w:customStyle="1" w:styleId="Contenutotabella">
    <w:name w:val="Contenuto tabella"/>
    <w:basedOn w:val="Normale"/>
    <w:pPr>
      <w:suppressAutoHyphens/>
      <w:spacing w:line="276" w:lineRule="auto"/>
    </w:pPr>
    <w:rPr>
      <w:rFonts w:ascii="Calibri" w:eastAsia="Calibri" w:hAnsi="Calibri" w:cs="Calibri"/>
      <w:color w:val="000000"/>
      <w:kern w:val="1"/>
      <w:sz w:val="22"/>
      <w:szCs w:val="22"/>
      <w:lang w:eastAsia="zh-CN" w:bidi="hi-IN"/>
    </w:rPr>
  </w:style>
  <w:style w:type="paragraph" w:customStyle="1" w:styleId="Titolotabella">
    <w:name w:val="Titolo tabella"/>
    <w:basedOn w:val="Contenutotabella"/>
    <w:pPr>
      <w:suppressLineNumbers/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egione.puglia.it/" TargetMode="External"/><Relationship Id="rId1" Type="http://schemas.openxmlformats.org/officeDocument/2006/relationships/hyperlink" Target="mailto:serviziostampa.gr@regione.pugl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russo%20Nicola\Desktop\Comunicato%20Regione%20Pugli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Comunicato Regione Puglia</Template>
  <TotalTime>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Regione Puglia</vt:lpstr>
    </vt:vector>
  </TitlesOfParts>
  <Company>Hewlett-Packard Company</Company>
  <LinksUpToDate>false</LinksUpToDate>
  <CharactersWithSpaces>1258</CharactersWithSpaces>
  <SharedDoc>false</SharedDoc>
  <HLinks>
    <vt:vector size="12" baseType="variant">
      <vt:variant>
        <vt:i4>1048589</vt:i4>
      </vt:variant>
      <vt:variant>
        <vt:i4>6</vt:i4>
      </vt:variant>
      <vt:variant>
        <vt:i4>0</vt:i4>
      </vt:variant>
      <vt:variant>
        <vt:i4>5</vt:i4>
      </vt:variant>
      <vt:variant>
        <vt:lpwstr>http://www.regione.puglia.it/</vt:lpwstr>
      </vt:variant>
      <vt:variant>
        <vt:lpwstr/>
      </vt:variant>
      <vt:variant>
        <vt:i4>6684750</vt:i4>
      </vt:variant>
      <vt:variant>
        <vt:i4>3</vt:i4>
      </vt:variant>
      <vt:variant>
        <vt:i4>0</vt:i4>
      </vt:variant>
      <vt:variant>
        <vt:i4>5</vt:i4>
      </vt:variant>
      <vt:variant>
        <vt:lpwstr>mailto:serviziostampa.gr@regione.puglia.it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Regione Puglia</dc:title>
  <dc:creator>Lorusso Nicola</dc:creator>
  <cp:lastModifiedBy>Lorusso Nicola</cp:lastModifiedBy>
  <cp:revision>1</cp:revision>
  <cp:lastPrinted>1601-01-01T00:00:00Z</cp:lastPrinted>
  <dcterms:created xsi:type="dcterms:W3CDTF">2019-07-08T14:40:00Z</dcterms:created>
  <dcterms:modified xsi:type="dcterms:W3CDTF">2019-07-08T14:42:00Z</dcterms:modified>
</cp:coreProperties>
</file>