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07D6A0" w14:textId="77777777" w:rsidR="00164872" w:rsidRPr="00895EEF" w:rsidRDefault="00164872" w:rsidP="00164872">
      <w:pPr>
        <w:spacing w:beforeLines="60" w:before="144" w:line="300" w:lineRule="exact"/>
        <w:jc w:val="both"/>
        <w:rPr>
          <w:rFonts w:cstheme="minorHAnsi"/>
          <w:b/>
          <w:bCs/>
          <w:sz w:val="28"/>
          <w:szCs w:val="28"/>
          <w:shd w:val="clear" w:color="auto" w:fill="FFFFFF"/>
        </w:rPr>
      </w:pPr>
      <w:bookmarkStart w:id="0" w:name="_GoBack"/>
      <w:bookmarkEnd w:id="0"/>
      <w:r w:rsidRPr="00895EEF">
        <w:rPr>
          <w:rFonts w:cstheme="minorHAnsi"/>
          <w:b/>
          <w:bCs/>
          <w:sz w:val="28"/>
          <w:szCs w:val="28"/>
          <w:shd w:val="clear" w:color="auto" w:fill="FFFFFF"/>
        </w:rPr>
        <w:t xml:space="preserve">Il nuovo </w:t>
      </w:r>
      <w:proofErr w:type="spellStart"/>
      <w:r w:rsidRPr="00895EEF">
        <w:rPr>
          <w:rFonts w:cstheme="minorHAnsi"/>
          <w:b/>
          <w:bCs/>
          <w:sz w:val="28"/>
          <w:szCs w:val="28"/>
          <w:shd w:val="clear" w:color="auto" w:fill="FFFFFF"/>
        </w:rPr>
        <w:t>Prit</w:t>
      </w:r>
      <w:proofErr w:type="spellEnd"/>
      <w:r w:rsidRPr="00895EEF">
        <w:rPr>
          <w:rFonts w:cstheme="minorHAnsi"/>
          <w:b/>
          <w:bCs/>
          <w:sz w:val="28"/>
          <w:szCs w:val="28"/>
          <w:shd w:val="clear" w:color="auto" w:fill="FFFFFF"/>
        </w:rPr>
        <w:t xml:space="preserve"> 2025 / Schede allegate</w:t>
      </w:r>
    </w:p>
    <w:p w14:paraId="76C1A358" w14:textId="77777777" w:rsidR="00164872" w:rsidRPr="00895EEF" w:rsidRDefault="00164872" w:rsidP="00164872">
      <w:pPr>
        <w:spacing w:after="0" w:line="240" w:lineRule="auto"/>
        <w:jc w:val="both"/>
        <w:textAlignment w:val="baseline"/>
        <w:rPr>
          <w:rFonts w:eastAsia="Times New Roman" w:cstheme="minorHAnsi"/>
          <w:b/>
          <w:bCs/>
          <w:sz w:val="24"/>
          <w:szCs w:val="24"/>
          <w:lang w:eastAsia="it-IT"/>
        </w:rPr>
      </w:pPr>
      <w:r w:rsidRPr="00895EEF">
        <w:rPr>
          <w:rFonts w:eastAsia="Microsoft YaHei" w:cstheme="minorHAnsi"/>
          <w:b/>
          <w:bCs/>
          <w:kern w:val="24"/>
          <w:sz w:val="24"/>
          <w:szCs w:val="24"/>
          <w:lang w:eastAsia="it-IT"/>
        </w:rPr>
        <w:t>Lo scenario nazionale, l</w:t>
      </w:r>
      <w:r w:rsidRPr="00895EEF">
        <w:rPr>
          <w:rFonts w:eastAsia="Times New Roman" w:cstheme="minorHAnsi"/>
          <w:b/>
          <w:bCs/>
          <w:sz w:val="24"/>
          <w:szCs w:val="24"/>
          <w:lang w:eastAsia="it-IT"/>
        </w:rPr>
        <w:t xml:space="preserve">a rete regionale e il </w:t>
      </w:r>
      <w:r w:rsidRPr="00895EEF">
        <w:rPr>
          <w:rFonts w:eastAsia="Microsoft YaHei" w:cstheme="minorHAnsi"/>
          <w:b/>
          <w:bCs/>
          <w:kern w:val="24"/>
          <w:sz w:val="24"/>
          <w:szCs w:val="24"/>
          <w:lang w:eastAsia="it-IT"/>
        </w:rPr>
        <w:t>sistema della mobilità locale</w:t>
      </w:r>
    </w:p>
    <w:p w14:paraId="7DA46478" w14:textId="77777777" w:rsidR="00164872" w:rsidRPr="00895EEF" w:rsidRDefault="00164872" w:rsidP="00164872">
      <w:pPr>
        <w:spacing w:after="0" w:line="240" w:lineRule="auto"/>
        <w:jc w:val="both"/>
        <w:textAlignment w:val="baseline"/>
        <w:rPr>
          <w:rFonts w:eastAsia="Times New Roman" w:cstheme="minorHAnsi"/>
          <w:b/>
          <w:bCs/>
          <w:sz w:val="24"/>
          <w:szCs w:val="24"/>
          <w:lang w:eastAsia="it-IT"/>
        </w:rPr>
      </w:pPr>
    </w:p>
    <w:p w14:paraId="26AF5964" w14:textId="77777777" w:rsidR="00164872" w:rsidRPr="00895EEF" w:rsidRDefault="00164872" w:rsidP="00164872">
      <w:pPr>
        <w:spacing w:after="0" w:line="240" w:lineRule="auto"/>
        <w:jc w:val="both"/>
        <w:textAlignment w:val="baseline"/>
        <w:rPr>
          <w:rStyle w:val="Enfasicorsivo"/>
          <w:rFonts w:eastAsia="Times New Roman" w:cstheme="minorHAnsi"/>
          <w:b/>
          <w:bCs/>
          <w:i w:val="0"/>
          <w:iCs w:val="0"/>
          <w:sz w:val="24"/>
          <w:szCs w:val="24"/>
          <w:lang w:eastAsia="it-IT"/>
        </w:rPr>
      </w:pPr>
      <w:r w:rsidRPr="00895EEF">
        <w:rPr>
          <w:rFonts w:eastAsia="Microsoft YaHei" w:cstheme="minorHAnsi"/>
          <w:kern w:val="24"/>
          <w:sz w:val="24"/>
          <w:szCs w:val="24"/>
          <w:lang w:eastAsia="it-IT"/>
        </w:rPr>
        <w:t xml:space="preserve">I riferimenti comunitari del nuovo </w:t>
      </w:r>
      <w:proofErr w:type="spellStart"/>
      <w:r w:rsidRPr="00895EEF">
        <w:rPr>
          <w:rFonts w:eastAsia="Microsoft YaHei" w:cstheme="minorHAnsi"/>
          <w:kern w:val="24"/>
          <w:sz w:val="24"/>
          <w:szCs w:val="24"/>
          <w:lang w:eastAsia="it-IT"/>
        </w:rPr>
        <w:t>Prit</w:t>
      </w:r>
      <w:proofErr w:type="spellEnd"/>
      <w:r w:rsidRPr="00895EEF">
        <w:rPr>
          <w:rFonts w:eastAsia="Microsoft YaHei" w:cstheme="minorHAnsi"/>
          <w:kern w:val="24"/>
          <w:sz w:val="24"/>
          <w:szCs w:val="24"/>
          <w:lang w:eastAsia="it-IT"/>
        </w:rPr>
        <w:t xml:space="preserve"> 2025 sono </w:t>
      </w:r>
      <w:r w:rsidRPr="00895EEF">
        <w:rPr>
          <w:rStyle w:val="Enfasicorsivo"/>
          <w:rFonts w:cstheme="minorHAnsi"/>
          <w:sz w:val="24"/>
          <w:szCs w:val="24"/>
          <w:shd w:val="clear" w:color="auto" w:fill="FFFFFF"/>
        </w:rPr>
        <w:t>la rete Transeuropea dei trasporti (</w:t>
      </w:r>
      <w:proofErr w:type="spellStart"/>
      <w:r w:rsidRPr="00895EEF">
        <w:rPr>
          <w:rStyle w:val="Enfasicorsivo"/>
          <w:rFonts w:cstheme="minorHAnsi"/>
          <w:sz w:val="24"/>
          <w:szCs w:val="24"/>
          <w:shd w:val="clear" w:color="auto" w:fill="FFFFFF"/>
        </w:rPr>
        <w:t>Ten</w:t>
      </w:r>
      <w:proofErr w:type="spellEnd"/>
      <w:r w:rsidRPr="00895EEF">
        <w:rPr>
          <w:rStyle w:val="Enfasicorsivo"/>
          <w:rFonts w:cstheme="minorHAnsi"/>
          <w:sz w:val="24"/>
          <w:szCs w:val="24"/>
          <w:shd w:val="clear" w:color="auto" w:fill="FFFFFF"/>
        </w:rPr>
        <w:t xml:space="preserve">-T) mentre lo </w:t>
      </w:r>
      <w:r w:rsidRPr="00895EEF">
        <w:rPr>
          <w:rFonts w:eastAsia="Microsoft YaHei" w:cstheme="minorHAnsi"/>
          <w:b/>
          <w:bCs/>
          <w:kern w:val="24"/>
          <w:sz w:val="24"/>
          <w:szCs w:val="24"/>
          <w:lang w:eastAsia="it-IT"/>
        </w:rPr>
        <w:t xml:space="preserve">scenario nazionale </w:t>
      </w:r>
      <w:r w:rsidRPr="00895EEF">
        <w:rPr>
          <w:rFonts w:eastAsia="Microsoft YaHei" w:cstheme="minorHAnsi"/>
          <w:kern w:val="24"/>
          <w:sz w:val="24"/>
          <w:szCs w:val="24"/>
          <w:lang w:eastAsia="it-IT"/>
        </w:rPr>
        <w:t>è dato dal</w:t>
      </w:r>
      <w:r w:rsidRPr="00895EEF">
        <w:rPr>
          <w:rFonts w:eastAsia="Microsoft YaHei" w:cstheme="minorHAnsi"/>
          <w:b/>
          <w:bCs/>
          <w:kern w:val="24"/>
          <w:sz w:val="24"/>
          <w:szCs w:val="24"/>
          <w:lang w:eastAsia="it-IT"/>
        </w:rPr>
        <w:t xml:space="preserve"> </w:t>
      </w:r>
      <w:r w:rsidRPr="00895EEF">
        <w:rPr>
          <w:rFonts w:cstheme="minorHAnsi"/>
          <w:sz w:val="24"/>
          <w:szCs w:val="24"/>
          <w:shd w:val="clear" w:color="auto" w:fill="FFFFFF"/>
        </w:rPr>
        <w:t>Sistema nazionale integrato dei </w:t>
      </w:r>
      <w:r w:rsidRPr="00895EEF">
        <w:rPr>
          <w:rStyle w:val="Enfasicorsivo"/>
          <w:rFonts w:cstheme="minorHAnsi"/>
          <w:sz w:val="24"/>
          <w:szCs w:val="24"/>
          <w:shd w:val="clear" w:color="auto" w:fill="FFFFFF"/>
        </w:rPr>
        <w:t>Trasporti e dai P</w:t>
      </w:r>
      <w:r w:rsidRPr="00895EEF">
        <w:rPr>
          <w:rFonts w:eastAsia="Microsoft YaHei" w:cstheme="minorHAnsi"/>
          <w:kern w:val="24"/>
          <w:sz w:val="24"/>
          <w:szCs w:val="24"/>
          <w:lang w:eastAsia="it-IT"/>
        </w:rPr>
        <w:t xml:space="preserve">iani nazionali rispettivamente degli aeroporti; dei porti e della logistica; della rete ferroviaria nazionale e delle ciclovie turistiche.  </w:t>
      </w:r>
    </w:p>
    <w:p w14:paraId="3005064E" w14:textId="77777777" w:rsidR="00164872" w:rsidRPr="00895EEF" w:rsidRDefault="00164872" w:rsidP="00164872">
      <w:pPr>
        <w:spacing w:after="0" w:line="240" w:lineRule="auto"/>
        <w:jc w:val="both"/>
        <w:textAlignment w:val="baseline"/>
        <w:rPr>
          <w:rFonts w:eastAsia="Times New Roman" w:cstheme="minorHAnsi"/>
          <w:sz w:val="24"/>
          <w:szCs w:val="24"/>
          <w:lang w:eastAsia="it-IT"/>
        </w:rPr>
      </w:pPr>
      <w:r w:rsidRPr="00895EEF">
        <w:rPr>
          <w:rFonts w:eastAsia="Microsoft YaHei" w:cstheme="minorHAnsi"/>
          <w:kern w:val="24"/>
          <w:sz w:val="24"/>
          <w:szCs w:val="24"/>
          <w:lang w:eastAsia="it-IT"/>
        </w:rPr>
        <w:t xml:space="preserve">In questo ambito di primo livello hanno particolare importanza i </w:t>
      </w:r>
      <w:r w:rsidRPr="00895EEF">
        <w:rPr>
          <w:rFonts w:eastAsia="Microsoft YaHei" w:cstheme="minorHAnsi"/>
          <w:b/>
          <w:bCs/>
          <w:kern w:val="24"/>
          <w:sz w:val="24"/>
          <w:szCs w:val="24"/>
          <w:lang w:eastAsia="it-IT"/>
        </w:rPr>
        <w:t xml:space="preserve">tre corridoi Dorsale centrale, Adriatico e Tirreno-Brennero. </w:t>
      </w:r>
    </w:p>
    <w:p w14:paraId="4BCFA1EC" w14:textId="77777777" w:rsidR="00164872" w:rsidRPr="00895EEF" w:rsidRDefault="00164872" w:rsidP="00164872">
      <w:pPr>
        <w:spacing w:after="0" w:line="240" w:lineRule="auto"/>
        <w:contextualSpacing/>
        <w:jc w:val="both"/>
        <w:textAlignment w:val="baseline"/>
        <w:rPr>
          <w:rFonts w:eastAsia="Times New Roman" w:cstheme="minorHAnsi"/>
          <w:sz w:val="24"/>
          <w:szCs w:val="24"/>
          <w:lang w:eastAsia="it-IT"/>
        </w:rPr>
      </w:pPr>
      <w:r w:rsidRPr="00895EEF">
        <w:rPr>
          <w:rFonts w:eastAsia="Microsoft YaHei" w:cstheme="minorHAnsi"/>
          <w:kern w:val="24"/>
          <w:sz w:val="24"/>
          <w:szCs w:val="24"/>
          <w:lang w:eastAsia="it-IT"/>
        </w:rPr>
        <w:t xml:space="preserve">Il primo è costituito dall’autostrada A1, dal nodo autostradale-tangenziale di Bologna e dalla rete dell’Alta velocità ferroviaria in affiancamento a quella storica. All’asse centrale dell’A1 si aggiunge </w:t>
      </w:r>
      <w:r w:rsidRPr="00895EEF">
        <w:rPr>
          <w:rFonts w:eastAsia="Microsoft YaHei" w:cstheme="minorHAnsi"/>
          <w:b/>
          <w:bCs/>
          <w:kern w:val="24"/>
          <w:sz w:val="24"/>
          <w:szCs w:val="24"/>
          <w:lang w:eastAsia="it-IT"/>
        </w:rPr>
        <w:t>l’Autostrada regionale Cispadana</w:t>
      </w:r>
      <w:r w:rsidRPr="00895EEF">
        <w:rPr>
          <w:rFonts w:eastAsia="Microsoft YaHei" w:cstheme="minorHAnsi"/>
          <w:kern w:val="24"/>
          <w:sz w:val="24"/>
          <w:szCs w:val="24"/>
          <w:lang w:eastAsia="it-IT"/>
        </w:rPr>
        <w:t xml:space="preserve"> che si interconnette alle autostrade A22 del Brennero e A13 Bologna-Padova. Il secondo corridoio comprende l’autostrada A14 con la diramazione per Ravenna, la statale 16 Adriatica, la linea ferroviaria adriatica e il porto di Ravenna. Il Tirreno-Brennero infine, è costituito dalle autostrade A22 del Brennero e A15 della </w:t>
      </w:r>
      <w:proofErr w:type="spellStart"/>
      <w:r w:rsidRPr="00895EEF">
        <w:rPr>
          <w:rFonts w:eastAsia="Microsoft YaHei" w:cstheme="minorHAnsi"/>
          <w:kern w:val="24"/>
          <w:sz w:val="24"/>
          <w:szCs w:val="24"/>
          <w:lang w:eastAsia="it-IT"/>
        </w:rPr>
        <w:t>Cisa</w:t>
      </w:r>
      <w:proofErr w:type="spellEnd"/>
      <w:r w:rsidRPr="00895EEF">
        <w:rPr>
          <w:rFonts w:eastAsia="Microsoft YaHei" w:cstheme="minorHAnsi"/>
          <w:kern w:val="24"/>
          <w:sz w:val="24"/>
          <w:szCs w:val="24"/>
          <w:lang w:eastAsia="it-IT"/>
        </w:rPr>
        <w:t>, dall’asse ferroviario del Brennero, dalla linea ferroviaria Parma-La Spezia (</w:t>
      </w:r>
      <w:proofErr w:type="spellStart"/>
      <w:r w:rsidRPr="00895EEF">
        <w:rPr>
          <w:rFonts w:eastAsia="Microsoft YaHei" w:cstheme="minorHAnsi"/>
          <w:kern w:val="24"/>
          <w:sz w:val="24"/>
          <w:szCs w:val="24"/>
          <w:lang w:eastAsia="it-IT"/>
        </w:rPr>
        <w:t>Tibre</w:t>
      </w:r>
      <w:proofErr w:type="spellEnd"/>
      <w:r w:rsidRPr="00895EEF">
        <w:rPr>
          <w:rFonts w:eastAsia="Microsoft YaHei" w:cstheme="minorHAnsi"/>
          <w:kern w:val="24"/>
          <w:sz w:val="24"/>
          <w:szCs w:val="24"/>
          <w:lang w:eastAsia="it-IT"/>
        </w:rPr>
        <w:t xml:space="preserve"> ferroviario). </w:t>
      </w:r>
    </w:p>
    <w:p w14:paraId="7783AE6D" w14:textId="77777777" w:rsidR="00164872" w:rsidRPr="00895EEF" w:rsidRDefault="00164872" w:rsidP="00164872">
      <w:pPr>
        <w:spacing w:after="0" w:line="240" w:lineRule="auto"/>
        <w:jc w:val="both"/>
        <w:textAlignment w:val="baseline"/>
        <w:rPr>
          <w:rFonts w:eastAsia="Times New Roman" w:cstheme="minorHAnsi"/>
          <w:sz w:val="24"/>
          <w:szCs w:val="24"/>
          <w:lang w:eastAsia="it-IT"/>
        </w:rPr>
      </w:pPr>
      <w:r w:rsidRPr="00895EEF">
        <w:rPr>
          <w:rFonts w:eastAsia="Microsoft YaHei" w:cstheme="minorHAnsi"/>
          <w:kern w:val="24"/>
          <w:sz w:val="24"/>
          <w:szCs w:val="24"/>
          <w:lang w:eastAsia="it-IT"/>
        </w:rPr>
        <w:t xml:space="preserve">Questi corridoi includono come </w:t>
      </w:r>
      <w:r w:rsidRPr="00895EEF">
        <w:rPr>
          <w:rFonts w:eastAsia="Microsoft YaHei" w:cstheme="minorHAnsi"/>
          <w:b/>
          <w:bCs/>
          <w:kern w:val="24"/>
          <w:sz w:val="24"/>
          <w:szCs w:val="24"/>
          <w:lang w:eastAsia="it-IT"/>
        </w:rPr>
        <w:t>nodi principali</w:t>
      </w:r>
      <w:r w:rsidRPr="00895EEF">
        <w:rPr>
          <w:rFonts w:eastAsia="Microsoft YaHei" w:cstheme="minorHAnsi"/>
          <w:kern w:val="24"/>
          <w:sz w:val="24"/>
          <w:szCs w:val="24"/>
          <w:lang w:eastAsia="it-IT"/>
        </w:rPr>
        <w:t xml:space="preserve">: l’aeroporto e la stazione ferroviaria di Bologna, la stazione Medio Padana di Reggio Emilia, il porto di Ravenna; per la </w:t>
      </w:r>
      <w:r w:rsidRPr="00895EEF">
        <w:rPr>
          <w:rFonts w:eastAsia="Microsoft YaHei" w:cstheme="minorHAnsi"/>
          <w:b/>
          <w:bCs/>
          <w:kern w:val="24"/>
          <w:sz w:val="24"/>
          <w:szCs w:val="24"/>
          <w:lang w:eastAsia="it-IT"/>
        </w:rPr>
        <w:t>logistica</w:t>
      </w:r>
      <w:r w:rsidRPr="00895EEF">
        <w:rPr>
          <w:rFonts w:eastAsia="Microsoft YaHei" w:cstheme="minorHAnsi"/>
          <w:kern w:val="24"/>
          <w:sz w:val="24"/>
          <w:szCs w:val="24"/>
          <w:lang w:eastAsia="it-IT"/>
        </w:rPr>
        <w:t>: gli interporti di Bologna e di Parma, gli scali di Marzaglia-Dinazzano, Le Mose di Piacenza.</w:t>
      </w:r>
    </w:p>
    <w:p w14:paraId="11C787AF" w14:textId="77777777" w:rsidR="00164872" w:rsidRPr="00895EEF" w:rsidRDefault="00164872" w:rsidP="00164872">
      <w:pPr>
        <w:pStyle w:val="NormaleWeb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b/>
          <w:bCs/>
        </w:rPr>
      </w:pPr>
      <w:r w:rsidRPr="00895EEF">
        <w:rPr>
          <w:rFonts w:asciiTheme="minorHAnsi" w:eastAsia="Microsoft YaHei" w:hAnsiTheme="minorHAnsi" w:cstheme="minorHAnsi"/>
          <w:kern w:val="24"/>
        </w:rPr>
        <w:t xml:space="preserve">L’Emilia-Romagna è poi attraversata da </w:t>
      </w:r>
      <w:r w:rsidRPr="00895EEF">
        <w:rPr>
          <w:rFonts w:asciiTheme="minorHAnsi" w:eastAsia="Microsoft YaHei" w:hAnsiTheme="minorHAnsi" w:cstheme="minorHAnsi"/>
          <w:b/>
          <w:bCs/>
          <w:kern w:val="24"/>
        </w:rPr>
        <w:t xml:space="preserve">tre corridoi “core” della rete europea TEN-T. </w:t>
      </w:r>
      <w:r w:rsidRPr="00895EEF">
        <w:rPr>
          <w:rFonts w:asciiTheme="minorHAnsi" w:eastAsia="Microsoft YaHei" w:hAnsiTheme="minorHAnsi" w:cstheme="minorHAnsi"/>
          <w:kern w:val="24"/>
        </w:rPr>
        <w:t>La revisione fatta dall’unione europea nel 2013 non ha inserito tra i corridoi l’asse “</w:t>
      </w:r>
      <w:r w:rsidRPr="00895EEF">
        <w:rPr>
          <w:rFonts w:asciiTheme="minorHAnsi" w:eastAsia="Microsoft YaHei" w:hAnsiTheme="minorHAnsi" w:cstheme="minorHAnsi"/>
          <w:b/>
          <w:bCs/>
          <w:kern w:val="24"/>
        </w:rPr>
        <w:t xml:space="preserve">Bologna-Milano”, </w:t>
      </w:r>
      <w:r w:rsidRPr="00895EEF">
        <w:rPr>
          <w:rFonts w:asciiTheme="minorHAnsi" w:eastAsia="Microsoft YaHei" w:hAnsiTheme="minorHAnsi" w:cstheme="minorHAnsi"/>
          <w:kern w:val="24"/>
        </w:rPr>
        <w:t xml:space="preserve">uno dei più </w:t>
      </w:r>
      <w:proofErr w:type="spellStart"/>
      <w:r w:rsidRPr="00895EEF">
        <w:rPr>
          <w:rFonts w:asciiTheme="minorHAnsi" w:eastAsia="Microsoft YaHei" w:hAnsiTheme="minorHAnsi" w:cstheme="minorHAnsi"/>
          <w:kern w:val="24"/>
        </w:rPr>
        <w:t>infrastrutturati</w:t>
      </w:r>
      <w:proofErr w:type="spellEnd"/>
      <w:r w:rsidRPr="00895EEF">
        <w:rPr>
          <w:rFonts w:asciiTheme="minorHAnsi" w:eastAsia="Microsoft YaHei" w:hAnsiTheme="minorHAnsi" w:cstheme="minorHAnsi"/>
          <w:kern w:val="24"/>
        </w:rPr>
        <w:t xml:space="preserve"> d’Italia. Il </w:t>
      </w:r>
      <w:proofErr w:type="spellStart"/>
      <w:r w:rsidRPr="00895EEF">
        <w:rPr>
          <w:rFonts w:asciiTheme="minorHAnsi" w:eastAsia="Microsoft YaHei" w:hAnsiTheme="minorHAnsi" w:cstheme="minorHAnsi"/>
          <w:kern w:val="24"/>
        </w:rPr>
        <w:t>Prit</w:t>
      </w:r>
      <w:proofErr w:type="spellEnd"/>
      <w:r w:rsidRPr="00895EEF">
        <w:rPr>
          <w:rFonts w:asciiTheme="minorHAnsi" w:eastAsia="Microsoft YaHei" w:hAnsiTheme="minorHAnsi" w:cstheme="minorHAnsi"/>
          <w:kern w:val="24"/>
        </w:rPr>
        <w:t xml:space="preserve"> 2025 ritiene invece importante promuovere iniziative di valorizzazione di questo asse e </w:t>
      </w:r>
      <w:r w:rsidRPr="00895EEF">
        <w:rPr>
          <w:rFonts w:asciiTheme="minorHAnsi" w:eastAsia="Microsoft YaHei" w:hAnsiTheme="minorHAnsi" w:cstheme="minorHAnsi"/>
          <w:b/>
          <w:bCs/>
          <w:kern w:val="24"/>
        </w:rPr>
        <w:t>il suo reinserimento all’interno del corridoio TEN-T “Scandinavo-Mediterraneo</w:t>
      </w:r>
      <w:r w:rsidRPr="00895EEF">
        <w:rPr>
          <w:rFonts w:asciiTheme="minorHAnsi" w:eastAsia="Microsoft YaHei" w:hAnsiTheme="minorHAnsi" w:cstheme="minorHAnsi"/>
          <w:kern w:val="24"/>
        </w:rPr>
        <w:t>”.</w:t>
      </w:r>
    </w:p>
    <w:p w14:paraId="2EACF042" w14:textId="77777777" w:rsidR="00164872" w:rsidRPr="00895EEF" w:rsidRDefault="00164872" w:rsidP="00164872">
      <w:pPr>
        <w:pStyle w:val="NormaleWeb"/>
        <w:spacing w:before="0" w:beforeAutospacing="0" w:after="0" w:afterAutospacing="0"/>
        <w:jc w:val="both"/>
        <w:textAlignment w:val="baseline"/>
        <w:rPr>
          <w:rFonts w:asciiTheme="minorHAnsi" w:eastAsia="Microsoft YaHei" w:hAnsiTheme="minorHAnsi" w:cstheme="minorHAnsi"/>
          <w:kern w:val="24"/>
        </w:rPr>
      </w:pPr>
      <w:r w:rsidRPr="00895EEF">
        <w:rPr>
          <w:rFonts w:asciiTheme="minorHAnsi" w:eastAsia="Microsoft YaHei" w:hAnsiTheme="minorHAnsi" w:cstheme="minorHAnsi"/>
          <w:kern w:val="24"/>
        </w:rPr>
        <w:t xml:space="preserve">La </w:t>
      </w:r>
      <w:r w:rsidRPr="00895EEF">
        <w:rPr>
          <w:rFonts w:asciiTheme="minorHAnsi" w:eastAsia="Microsoft YaHei" w:hAnsiTheme="minorHAnsi" w:cstheme="minorHAnsi"/>
          <w:b/>
          <w:bCs/>
          <w:kern w:val="24"/>
        </w:rPr>
        <w:t>rete regionale</w:t>
      </w:r>
      <w:r w:rsidRPr="00895EEF">
        <w:rPr>
          <w:rFonts w:asciiTheme="minorHAnsi" w:eastAsia="Microsoft YaHei" w:hAnsiTheme="minorHAnsi" w:cstheme="minorHAnsi"/>
          <w:kern w:val="24"/>
        </w:rPr>
        <w:t xml:space="preserve"> riguarda l’accessibilità delle grandi aree urbane e dei distretti industriali, in grado di garantire gli spostamenti di media distanza concentrandone i flussi su alcune direttrici principali. Il </w:t>
      </w:r>
      <w:r w:rsidRPr="00895EEF">
        <w:rPr>
          <w:rFonts w:asciiTheme="minorHAnsi" w:eastAsia="Microsoft YaHei" w:hAnsiTheme="minorHAnsi" w:cstheme="minorHAnsi"/>
          <w:b/>
          <w:bCs/>
          <w:kern w:val="24"/>
        </w:rPr>
        <w:t>sistema della mobilità locale</w:t>
      </w:r>
      <w:r w:rsidRPr="00895EEF">
        <w:rPr>
          <w:rFonts w:asciiTheme="minorHAnsi" w:eastAsia="Microsoft YaHei" w:hAnsiTheme="minorHAnsi" w:cstheme="minorHAnsi"/>
          <w:kern w:val="24"/>
        </w:rPr>
        <w:t xml:space="preserve">, strettamente connesso alla rete regionale, è quello dei collegamenti interprovinciali e intercomunali da Piacenza a Rimini. I tre livelli sono spesso intrecciati, in particolare nei Comuni con oltre 30.000 abitanti. </w:t>
      </w:r>
    </w:p>
    <w:p w14:paraId="3B89E9D8" w14:textId="77777777" w:rsidR="00164872" w:rsidRPr="00895EEF" w:rsidRDefault="00164872" w:rsidP="00164872">
      <w:pPr>
        <w:pStyle w:val="NormaleWeb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</w:rPr>
      </w:pPr>
    </w:p>
    <w:p w14:paraId="34DCE374" w14:textId="77777777" w:rsidR="00164872" w:rsidRPr="00895EEF" w:rsidRDefault="00164872" w:rsidP="00164872">
      <w:pPr>
        <w:spacing w:beforeLines="60" w:before="144" w:line="300" w:lineRule="exact"/>
        <w:jc w:val="both"/>
        <w:rPr>
          <w:rFonts w:eastAsia="Times New Roman" w:cstheme="minorHAnsi"/>
          <w:b/>
          <w:bCs/>
          <w:sz w:val="24"/>
          <w:szCs w:val="24"/>
          <w:lang w:eastAsia="it-IT"/>
        </w:rPr>
      </w:pPr>
      <w:r w:rsidRPr="00895EEF">
        <w:rPr>
          <w:rFonts w:cstheme="minorHAnsi"/>
          <w:b/>
          <w:bCs/>
          <w:sz w:val="24"/>
          <w:szCs w:val="24"/>
          <w:shd w:val="clear" w:color="auto" w:fill="FFFFFF"/>
        </w:rPr>
        <w:t xml:space="preserve">Le novità del nuovo </w:t>
      </w:r>
      <w:proofErr w:type="spellStart"/>
      <w:r w:rsidRPr="00895EEF">
        <w:rPr>
          <w:rFonts w:cstheme="minorHAnsi"/>
          <w:b/>
          <w:bCs/>
          <w:sz w:val="24"/>
          <w:szCs w:val="24"/>
          <w:shd w:val="clear" w:color="auto" w:fill="FFFFFF"/>
        </w:rPr>
        <w:t>Prit</w:t>
      </w:r>
      <w:proofErr w:type="spellEnd"/>
    </w:p>
    <w:p w14:paraId="190EA6C5" w14:textId="77777777" w:rsidR="00164872" w:rsidRPr="00895EEF" w:rsidRDefault="00164872" w:rsidP="00164872">
      <w:pPr>
        <w:spacing w:after="0" w:line="240" w:lineRule="auto"/>
        <w:jc w:val="both"/>
        <w:textAlignment w:val="baseline"/>
        <w:rPr>
          <w:rFonts w:eastAsia="Microsoft YaHei" w:cstheme="minorHAnsi"/>
          <w:b/>
          <w:bCs/>
          <w:kern w:val="24"/>
          <w:sz w:val="24"/>
          <w:szCs w:val="24"/>
        </w:rPr>
      </w:pPr>
      <w:r w:rsidRPr="00895EEF">
        <w:rPr>
          <w:rFonts w:eastAsia="Microsoft YaHei" w:cstheme="minorHAnsi"/>
          <w:kern w:val="24"/>
          <w:sz w:val="24"/>
          <w:szCs w:val="24"/>
        </w:rPr>
        <w:t xml:space="preserve">Il </w:t>
      </w:r>
      <w:proofErr w:type="spellStart"/>
      <w:r w:rsidRPr="00895EEF">
        <w:rPr>
          <w:rFonts w:eastAsia="Microsoft YaHei" w:cstheme="minorHAnsi"/>
          <w:kern w:val="24"/>
          <w:sz w:val="24"/>
          <w:szCs w:val="24"/>
        </w:rPr>
        <w:t>Prit</w:t>
      </w:r>
      <w:proofErr w:type="spellEnd"/>
      <w:r w:rsidRPr="00895EEF">
        <w:rPr>
          <w:rFonts w:eastAsia="Microsoft YaHei" w:cstheme="minorHAnsi"/>
          <w:kern w:val="24"/>
          <w:sz w:val="24"/>
          <w:szCs w:val="24"/>
        </w:rPr>
        <w:t xml:space="preserve"> 2025 sottolinea in maniera più marcata il </w:t>
      </w:r>
      <w:r w:rsidRPr="00895EEF">
        <w:rPr>
          <w:rFonts w:eastAsia="Microsoft YaHei" w:cstheme="minorHAnsi"/>
          <w:b/>
          <w:bCs/>
          <w:kern w:val="24"/>
          <w:sz w:val="24"/>
          <w:szCs w:val="24"/>
        </w:rPr>
        <w:t>rapporto</w:t>
      </w:r>
      <w:r w:rsidRPr="00895EEF">
        <w:rPr>
          <w:rFonts w:eastAsia="Microsoft YaHei" w:cstheme="minorHAnsi"/>
          <w:kern w:val="24"/>
          <w:sz w:val="24"/>
          <w:szCs w:val="24"/>
        </w:rPr>
        <w:t xml:space="preserve"> con gli altri strumenti di pianificazione come</w:t>
      </w:r>
      <w:r w:rsidRPr="00895EEF">
        <w:rPr>
          <w:rFonts w:eastAsia="Microsoft YaHei" w:cstheme="minorHAnsi"/>
          <w:b/>
          <w:bCs/>
          <w:kern w:val="24"/>
          <w:sz w:val="24"/>
          <w:szCs w:val="24"/>
        </w:rPr>
        <w:t xml:space="preserve"> </w:t>
      </w:r>
      <w:r w:rsidRPr="00895EEF">
        <w:rPr>
          <w:rFonts w:eastAsia="Microsoft YaHei" w:cstheme="minorHAnsi"/>
          <w:kern w:val="24"/>
          <w:sz w:val="24"/>
          <w:szCs w:val="24"/>
        </w:rPr>
        <w:t>il</w:t>
      </w:r>
      <w:r w:rsidRPr="00895EEF">
        <w:rPr>
          <w:rFonts w:eastAsia="Microsoft YaHei" w:cstheme="minorHAnsi"/>
          <w:b/>
          <w:bCs/>
          <w:kern w:val="24"/>
          <w:sz w:val="24"/>
          <w:szCs w:val="24"/>
        </w:rPr>
        <w:t xml:space="preserve"> Piano per la qualità dell’aria </w:t>
      </w:r>
      <w:r w:rsidRPr="00895EEF">
        <w:rPr>
          <w:rFonts w:eastAsia="Microsoft YaHei" w:cstheme="minorHAnsi"/>
          <w:kern w:val="24"/>
          <w:sz w:val="24"/>
          <w:szCs w:val="24"/>
          <w:lang w:eastAsia="it-IT"/>
        </w:rPr>
        <w:t xml:space="preserve">sulla gestione sostenibile delle città, </w:t>
      </w:r>
      <w:r w:rsidRPr="00895EEF">
        <w:rPr>
          <w:rFonts w:eastAsia="Microsoft YaHei" w:cstheme="minorHAnsi"/>
          <w:kern w:val="24"/>
          <w:sz w:val="24"/>
          <w:szCs w:val="24"/>
        </w:rPr>
        <w:t xml:space="preserve">il </w:t>
      </w:r>
      <w:r w:rsidRPr="00895EEF">
        <w:rPr>
          <w:rFonts w:eastAsia="Microsoft YaHei" w:cstheme="minorHAnsi"/>
          <w:b/>
          <w:bCs/>
          <w:kern w:val="24"/>
          <w:sz w:val="24"/>
          <w:szCs w:val="24"/>
        </w:rPr>
        <w:t>Piano energetico regionale</w:t>
      </w:r>
      <w:r w:rsidRPr="00895EEF">
        <w:rPr>
          <w:rFonts w:eastAsia="Microsoft YaHei" w:cstheme="minorHAnsi"/>
          <w:kern w:val="24"/>
          <w:sz w:val="24"/>
          <w:szCs w:val="24"/>
          <w:lang w:eastAsia="it-IT"/>
        </w:rPr>
        <w:t xml:space="preserve"> che fissa gli obiettivi della Regione su risparmio ed efficienza energetica, anche in relazione al sistema dei trasporti, i Piani </w:t>
      </w:r>
      <w:r w:rsidRPr="00895EEF">
        <w:rPr>
          <w:rFonts w:eastAsia="Microsoft YaHei" w:cstheme="minorHAnsi"/>
          <w:kern w:val="24"/>
          <w:sz w:val="24"/>
          <w:szCs w:val="24"/>
        </w:rPr>
        <w:t xml:space="preserve">di </w:t>
      </w:r>
      <w:r w:rsidRPr="00895EEF">
        <w:rPr>
          <w:rFonts w:eastAsia="Microsoft YaHei" w:cstheme="minorHAnsi"/>
          <w:b/>
          <w:bCs/>
          <w:kern w:val="24"/>
          <w:sz w:val="24"/>
          <w:szCs w:val="24"/>
        </w:rPr>
        <w:t>Area vasta</w:t>
      </w:r>
      <w:r w:rsidRPr="00895EEF">
        <w:rPr>
          <w:rFonts w:eastAsia="Microsoft YaHei" w:cstheme="minorHAnsi"/>
          <w:kern w:val="24"/>
          <w:sz w:val="24"/>
          <w:szCs w:val="24"/>
        </w:rPr>
        <w:t xml:space="preserve">, i </w:t>
      </w:r>
      <w:r w:rsidRPr="00895EEF">
        <w:rPr>
          <w:rFonts w:eastAsia="Microsoft YaHei" w:cstheme="minorHAnsi"/>
          <w:b/>
          <w:bCs/>
          <w:kern w:val="24"/>
          <w:sz w:val="24"/>
          <w:szCs w:val="24"/>
        </w:rPr>
        <w:t xml:space="preserve">Piani urbani della mobilità sostenibile e i Piani urbani del traffico. </w:t>
      </w:r>
    </w:p>
    <w:p w14:paraId="62208DEF" w14:textId="77777777" w:rsidR="00164872" w:rsidRPr="00895EEF" w:rsidRDefault="00164872" w:rsidP="00164872">
      <w:pPr>
        <w:spacing w:after="0" w:line="240" w:lineRule="auto"/>
        <w:jc w:val="both"/>
        <w:textAlignment w:val="baseline"/>
        <w:rPr>
          <w:rFonts w:eastAsia="Times New Roman" w:cstheme="minorHAnsi"/>
          <w:sz w:val="24"/>
          <w:szCs w:val="24"/>
          <w:lang w:eastAsia="it-IT"/>
        </w:rPr>
      </w:pPr>
      <w:r w:rsidRPr="00895EEF">
        <w:rPr>
          <w:rFonts w:eastAsia="Times New Roman" w:cstheme="minorHAnsi"/>
          <w:sz w:val="24"/>
          <w:szCs w:val="24"/>
          <w:lang w:eastAsia="it-IT"/>
        </w:rPr>
        <w:t>Facendo leva sull’</w:t>
      </w:r>
      <w:r w:rsidRPr="00895EEF">
        <w:rPr>
          <w:rFonts w:eastAsia="Times New Roman" w:cstheme="minorHAnsi"/>
          <w:b/>
          <w:bCs/>
          <w:sz w:val="24"/>
          <w:szCs w:val="24"/>
          <w:lang w:eastAsia="it-IT"/>
        </w:rPr>
        <w:t xml:space="preserve">innovazione </w:t>
      </w:r>
      <w:r w:rsidRPr="00895EEF">
        <w:rPr>
          <w:rFonts w:eastAsia="Times New Roman" w:cstheme="minorHAnsi"/>
          <w:sz w:val="24"/>
          <w:szCs w:val="24"/>
          <w:lang w:eastAsia="it-IT"/>
        </w:rPr>
        <w:t xml:space="preserve">nei suoi diversi aspetti (tecnologici, organizzativi, di sistema) – si legge nel Piano - è possibile avviare una trasformazione profonda dei modelli di trasporto, rilanciando il trasporto pubblico e favorendone l’integrazione con corrette forme di </w:t>
      </w:r>
      <w:r w:rsidRPr="00895EEF">
        <w:rPr>
          <w:rFonts w:eastAsia="Times New Roman" w:cstheme="minorHAnsi"/>
          <w:b/>
          <w:bCs/>
          <w:i/>
          <w:iCs/>
          <w:sz w:val="24"/>
          <w:szCs w:val="24"/>
          <w:lang w:eastAsia="it-IT"/>
        </w:rPr>
        <w:t xml:space="preserve">sharing </w:t>
      </w:r>
      <w:proofErr w:type="spellStart"/>
      <w:r w:rsidRPr="00895EEF">
        <w:rPr>
          <w:rFonts w:eastAsia="Times New Roman" w:cstheme="minorHAnsi"/>
          <w:b/>
          <w:bCs/>
          <w:i/>
          <w:iCs/>
          <w:sz w:val="24"/>
          <w:szCs w:val="24"/>
          <w:lang w:eastAsia="it-IT"/>
        </w:rPr>
        <w:t>mobility</w:t>
      </w:r>
      <w:proofErr w:type="spellEnd"/>
      <w:r w:rsidRPr="00895EEF">
        <w:rPr>
          <w:rFonts w:eastAsia="Times New Roman" w:cstheme="minorHAnsi"/>
          <w:b/>
          <w:bCs/>
          <w:sz w:val="24"/>
          <w:szCs w:val="24"/>
          <w:lang w:eastAsia="it-IT"/>
        </w:rPr>
        <w:t>,</w:t>
      </w:r>
      <w:r w:rsidRPr="00895EEF">
        <w:rPr>
          <w:rFonts w:eastAsia="Times New Roman" w:cstheme="minorHAnsi"/>
          <w:sz w:val="24"/>
          <w:szCs w:val="24"/>
          <w:lang w:eastAsia="it-IT"/>
        </w:rPr>
        <w:t xml:space="preserve"> e intervenendo sui </w:t>
      </w:r>
      <w:r w:rsidRPr="00895EEF">
        <w:rPr>
          <w:rFonts w:eastAsia="Times New Roman" w:cstheme="minorHAnsi"/>
          <w:b/>
          <w:bCs/>
          <w:sz w:val="24"/>
          <w:szCs w:val="24"/>
          <w:lang w:eastAsia="it-IT"/>
        </w:rPr>
        <w:t>processi logistici e</w:t>
      </w:r>
      <w:r w:rsidRPr="00895EEF"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Pr="00895EEF">
        <w:rPr>
          <w:rFonts w:eastAsia="Times New Roman" w:cstheme="minorHAnsi"/>
          <w:b/>
          <w:bCs/>
          <w:sz w:val="24"/>
          <w:szCs w:val="24"/>
          <w:lang w:eastAsia="it-IT"/>
        </w:rPr>
        <w:t>l’organizzazione dei flussi merci</w:t>
      </w:r>
      <w:r w:rsidRPr="00895EEF">
        <w:rPr>
          <w:rFonts w:eastAsia="Times New Roman" w:cstheme="minorHAnsi"/>
          <w:sz w:val="24"/>
          <w:szCs w:val="24"/>
          <w:lang w:eastAsia="it-IT"/>
        </w:rPr>
        <w:t xml:space="preserve"> sia nei distretti industriali che nelle “filiere corte”.</w:t>
      </w:r>
    </w:p>
    <w:p w14:paraId="15F1F6C6" w14:textId="77777777" w:rsidR="00164872" w:rsidRPr="00895EEF" w:rsidRDefault="00164872" w:rsidP="00164872">
      <w:pPr>
        <w:spacing w:after="0" w:line="240" w:lineRule="auto"/>
        <w:jc w:val="both"/>
        <w:textAlignment w:val="baseline"/>
        <w:rPr>
          <w:rFonts w:eastAsia="Times New Roman" w:cstheme="minorHAnsi"/>
          <w:sz w:val="24"/>
          <w:szCs w:val="24"/>
          <w:lang w:eastAsia="it-IT"/>
        </w:rPr>
      </w:pPr>
      <w:r w:rsidRPr="00895EEF">
        <w:rPr>
          <w:rFonts w:eastAsia="Times New Roman" w:cstheme="minorHAnsi"/>
          <w:sz w:val="24"/>
          <w:szCs w:val="24"/>
          <w:lang w:eastAsia="it-IT"/>
        </w:rPr>
        <w:t xml:space="preserve">Nell’ambito dell’accessibilità e organizzazione dei servizi, il Piano, per aumentare l’accessibilità del territorio, ritiene fondamentale procedere per il </w:t>
      </w:r>
      <w:r w:rsidRPr="00895EEF">
        <w:rPr>
          <w:rFonts w:eastAsia="Times New Roman" w:cstheme="minorHAnsi"/>
          <w:b/>
          <w:bCs/>
          <w:sz w:val="24"/>
          <w:szCs w:val="24"/>
          <w:lang w:eastAsia="it-IT"/>
        </w:rPr>
        <w:t xml:space="preserve">riequilibrio verso forme di mobilità collettiva o non motorizzata, </w:t>
      </w:r>
      <w:r w:rsidRPr="00895EEF">
        <w:rPr>
          <w:rFonts w:eastAsia="Times New Roman" w:cstheme="minorHAnsi"/>
          <w:sz w:val="24"/>
          <w:szCs w:val="24"/>
          <w:lang w:eastAsia="it-IT"/>
        </w:rPr>
        <w:t xml:space="preserve">sia in ambito urbano che extra-urbano, promuovendo sistemi più efficienti di integrazione modale e di co-modalità per i passeggeri e per le merci, agendo per l’innovazione e il potenziamento del Trasporto pubblico locale, oltre che sulle regole per la </w:t>
      </w:r>
      <w:r w:rsidRPr="00895EEF">
        <w:rPr>
          <w:rFonts w:eastAsia="Times New Roman" w:cstheme="minorHAnsi"/>
          <w:i/>
          <w:iCs/>
          <w:sz w:val="24"/>
          <w:szCs w:val="24"/>
          <w:lang w:eastAsia="it-IT"/>
        </w:rPr>
        <w:t>governance</w:t>
      </w:r>
      <w:r w:rsidRPr="00895EEF">
        <w:rPr>
          <w:rFonts w:eastAsia="Times New Roman" w:cstheme="minorHAnsi"/>
          <w:sz w:val="24"/>
          <w:szCs w:val="24"/>
          <w:lang w:eastAsia="it-IT"/>
        </w:rPr>
        <w:t xml:space="preserve"> del sistema. </w:t>
      </w:r>
      <w:r w:rsidRPr="00895EEF">
        <w:rPr>
          <w:rFonts w:eastAsia="Times New Roman" w:cstheme="minorHAnsi"/>
          <w:sz w:val="24"/>
          <w:szCs w:val="24"/>
          <w:lang w:eastAsia="it-IT"/>
        </w:rPr>
        <w:lastRenderedPageBreak/>
        <w:t xml:space="preserve">L’efficacia di questa strategia è però anche legata al rafforzamento di effettivi processi di </w:t>
      </w:r>
      <w:r w:rsidRPr="00895EEF">
        <w:rPr>
          <w:rFonts w:eastAsia="Times New Roman" w:cstheme="minorHAnsi"/>
          <w:b/>
          <w:bCs/>
          <w:sz w:val="24"/>
          <w:szCs w:val="24"/>
          <w:lang w:eastAsia="it-IT"/>
        </w:rPr>
        <w:t>integrazione della pianificazione della mobilità con la pianificazione territoriale e urbanistica</w:t>
      </w:r>
      <w:r w:rsidRPr="00895EEF">
        <w:rPr>
          <w:rFonts w:eastAsia="Times New Roman" w:cstheme="minorHAnsi"/>
          <w:sz w:val="24"/>
          <w:szCs w:val="24"/>
          <w:lang w:eastAsia="it-IT"/>
        </w:rPr>
        <w:t>.</w:t>
      </w:r>
    </w:p>
    <w:p w14:paraId="7E94C173" w14:textId="77777777" w:rsidR="00164872" w:rsidRPr="00895EEF" w:rsidRDefault="00164872" w:rsidP="00164872">
      <w:pPr>
        <w:spacing w:beforeLines="60" w:before="144" w:after="0" w:line="300" w:lineRule="exact"/>
        <w:jc w:val="both"/>
        <w:rPr>
          <w:rFonts w:eastAsia="Times New Roman" w:cstheme="minorHAnsi"/>
          <w:sz w:val="24"/>
          <w:szCs w:val="24"/>
        </w:rPr>
      </w:pPr>
    </w:p>
    <w:p w14:paraId="2BCE4979" w14:textId="77777777" w:rsidR="00164872" w:rsidRPr="00895EEF" w:rsidRDefault="00164872" w:rsidP="00164872">
      <w:pPr>
        <w:spacing w:beforeLines="60" w:before="144" w:after="0" w:line="300" w:lineRule="exact"/>
        <w:jc w:val="both"/>
        <w:rPr>
          <w:rFonts w:eastAsiaTheme="majorEastAsia" w:cstheme="minorHAnsi"/>
          <w:b/>
          <w:bCs/>
          <w:sz w:val="24"/>
          <w:szCs w:val="24"/>
          <w14:shadow w14:blurRad="38100" w14:dist="38100" w14:dir="2700000" w14:sx="100000" w14:sy="100000" w14:kx="0" w14:ky="0" w14:algn="tl">
            <w14:srgbClr w14:val="C0C0C0"/>
          </w14:shadow>
        </w:rPr>
      </w:pPr>
      <w:r w:rsidRPr="00895EEF">
        <w:rPr>
          <w:rFonts w:eastAsiaTheme="majorEastAsia" w:cstheme="minorHAnsi"/>
          <w:b/>
          <w:bCs/>
          <w:sz w:val="24"/>
          <w:szCs w:val="24"/>
          <w14:shadow w14:blurRad="38100" w14:dist="38100" w14:dir="2700000" w14:sx="100000" w14:sy="100000" w14:kx="0" w14:ky="0" w14:algn="tl">
            <w14:srgbClr w14:val="C0C0C0"/>
          </w14:shadow>
        </w:rPr>
        <w:t>Accessibilità e organizzazione dei servizi</w:t>
      </w:r>
    </w:p>
    <w:p w14:paraId="23E561A1" w14:textId="77777777" w:rsidR="00164872" w:rsidRPr="00895EEF" w:rsidRDefault="00164872" w:rsidP="00164872">
      <w:pPr>
        <w:spacing w:beforeLines="60" w:before="144" w:after="0" w:line="300" w:lineRule="exact"/>
        <w:jc w:val="both"/>
        <w:rPr>
          <w:rFonts w:eastAsia="Microsoft YaHei" w:cstheme="minorHAnsi"/>
          <w:b/>
          <w:bCs/>
          <w:kern w:val="24"/>
          <w:sz w:val="24"/>
          <w:szCs w:val="24"/>
          <w:lang w:eastAsia="it-IT"/>
        </w:rPr>
      </w:pPr>
      <w:proofErr w:type="gramStart"/>
      <w:r w:rsidRPr="00895EEF">
        <w:rPr>
          <w:rFonts w:eastAsia="Microsoft YaHei" w:cstheme="minorHAnsi"/>
          <w:kern w:val="24"/>
          <w:sz w:val="24"/>
          <w:szCs w:val="24"/>
        </w:rPr>
        <w:t xml:space="preserve">Il </w:t>
      </w:r>
      <w:proofErr w:type="spellStart"/>
      <w:r w:rsidRPr="00895EEF">
        <w:rPr>
          <w:rFonts w:eastAsia="Microsoft YaHei" w:cstheme="minorHAnsi"/>
          <w:kern w:val="24"/>
          <w:sz w:val="24"/>
          <w:szCs w:val="24"/>
        </w:rPr>
        <w:t>Prit</w:t>
      </w:r>
      <w:proofErr w:type="spellEnd"/>
      <w:r w:rsidRPr="00895EEF">
        <w:rPr>
          <w:rFonts w:eastAsia="Microsoft YaHei" w:cstheme="minorHAnsi"/>
          <w:kern w:val="24"/>
          <w:sz w:val="24"/>
          <w:szCs w:val="24"/>
        </w:rPr>
        <w:t xml:space="preserve"> 2025,</w:t>
      </w:r>
      <w:proofErr w:type="gramEnd"/>
      <w:r w:rsidRPr="00895EEF">
        <w:rPr>
          <w:rFonts w:eastAsia="Microsoft YaHei" w:cstheme="minorHAnsi"/>
          <w:kern w:val="24"/>
          <w:sz w:val="24"/>
          <w:szCs w:val="24"/>
        </w:rPr>
        <w:t xml:space="preserve"> promuove il </w:t>
      </w:r>
      <w:r w:rsidRPr="00895EEF">
        <w:rPr>
          <w:rFonts w:eastAsia="Microsoft YaHei" w:cstheme="minorHAnsi"/>
          <w:b/>
          <w:bCs/>
          <w:kern w:val="24"/>
          <w:sz w:val="24"/>
          <w:szCs w:val="24"/>
        </w:rPr>
        <w:t xml:space="preserve">riequilibrio verso forme di mobilità collettiva </w:t>
      </w:r>
      <w:r w:rsidRPr="00895EEF">
        <w:rPr>
          <w:rFonts w:eastAsia="Microsoft YaHei" w:cstheme="minorHAnsi"/>
          <w:kern w:val="24"/>
          <w:sz w:val="24"/>
          <w:szCs w:val="24"/>
        </w:rPr>
        <w:t xml:space="preserve">sia in ambito urbano che extra-urbano attraverso la riorganizzazione dei servizi di trasporto pubblico con una </w:t>
      </w:r>
      <w:r w:rsidRPr="00895EEF">
        <w:rPr>
          <w:rFonts w:eastAsia="Microsoft YaHei" w:cstheme="minorHAnsi"/>
          <w:b/>
          <w:bCs/>
          <w:kern w:val="24"/>
          <w:sz w:val="24"/>
          <w:szCs w:val="24"/>
        </w:rPr>
        <w:t xml:space="preserve">rete di servizi ferroviari </w:t>
      </w:r>
      <w:r w:rsidRPr="00895EEF">
        <w:rPr>
          <w:rFonts w:eastAsia="Microsoft YaHei" w:cstheme="minorHAnsi"/>
          <w:kern w:val="24"/>
          <w:sz w:val="24"/>
          <w:szCs w:val="24"/>
        </w:rPr>
        <w:t xml:space="preserve">regionali, metropolitani e di bacino che costituiscono </w:t>
      </w:r>
      <w:r w:rsidRPr="00895EEF">
        <w:rPr>
          <w:rFonts w:eastAsia="Microsoft YaHei" w:cstheme="minorHAnsi"/>
          <w:b/>
          <w:bCs/>
          <w:kern w:val="24"/>
          <w:sz w:val="24"/>
          <w:szCs w:val="24"/>
        </w:rPr>
        <w:t xml:space="preserve">le linee di forza </w:t>
      </w:r>
      <w:r w:rsidRPr="00895EEF">
        <w:rPr>
          <w:rFonts w:eastAsia="Microsoft YaHei" w:cstheme="minorHAnsi"/>
          <w:kern w:val="24"/>
          <w:sz w:val="24"/>
          <w:szCs w:val="24"/>
        </w:rPr>
        <w:t xml:space="preserve">della mobilità, e </w:t>
      </w:r>
      <w:r w:rsidRPr="00895EEF">
        <w:rPr>
          <w:rFonts w:eastAsia="Microsoft YaHei" w:cstheme="minorHAnsi"/>
          <w:b/>
          <w:bCs/>
          <w:kern w:val="24"/>
          <w:sz w:val="24"/>
          <w:szCs w:val="24"/>
        </w:rPr>
        <w:t>autolinee su gomma</w:t>
      </w:r>
      <w:r w:rsidRPr="00895EEF">
        <w:rPr>
          <w:rFonts w:eastAsia="Microsoft YaHei" w:cstheme="minorHAnsi"/>
          <w:kern w:val="24"/>
          <w:sz w:val="24"/>
          <w:szCs w:val="24"/>
        </w:rPr>
        <w:t xml:space="preserve">, in coordinamento con tali servizi, dimensionata in modo da estendere la copertura territoriale e </w:t>
      </w:r>
      <w:r w:rsidRPr="00895EEF">
        <w:rPr>
          <w:rFonts w:eastAsia="Microsoft YaHei" w:cstheme="minorHAnsi"/>
          <w:b/>
          <w:bCs/>
          <w:kern w:val="24"/>
          <w:sz w:val="24"/>
          <w:szCs w:val="24"/>
        </w:rPr>
        <w:t xml:space="preserve">contribuire al miglioramento dei livelli di accessibilità </w:t>
      </w:r>
      <w:r w:rsidRPr="00895EEF">
        <w:rPr>
          <w:rFonts w:eastAsia="Microsoft YaHei" w:cstheme="minorHAnsi"/>
          <w:kern w:val="24"/>
          <w:sz w:val="24"/>
          <w:szCs w:val="24"/>
        </w:rPr>
        <w:t>su mezzo pubblico.</w:t>
      </w:r>
    </w:p>
    <w:p w14:paraId="31DF1995" w14:textId="77777777" w:rsidR="00164872" w:rsidRPr="00895EEF" w:rsidRDefault="00164872" w:rsidP="00164872">
      <w:pPr>
        <w:pStyle w:val="NormaleWeb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</w:rPr>
      </w:pPr>
      <w:r w:rsidRPr="00895EEF">
        <w:rPr>
          <w:rFonts w:asciiTheme="minorHAnsi" w:eastAsia="Microsoft YaHei" w:hAnsiTheme="minorHAnsi" w:cstheme="minorHAnsi"/>
          <w:b/>
          <w:bCs/>
          <w:kern w:val="24"/>
        </w:rPr>
        <w:t xml:space="preserve">Snodi fondamentali </w:t>
      </w:r>
      <w:r w:rsidRPr="00895EEF">
        <w:rPr>
          <w:rFonts w:asciiTheme="minorHAnsi" w:eastAsia="Microsoft YaHei" w:hAnsiTheme="minorHAnsi" w:cstheme="minorHAnsi"/>
          <w:kern w:val="24"/>
        </w:rPr>
        <w:t xml:space="preserve">in questo sistema sono </w:t>
      </w:r>
      <w:r w:rsidRPr="00895EEF">
        <w:rPr>
          <w:rFonts w:asciiTheme="minorHAnsi" w:eastAsia="Microsoft YaHei" w:hAnsiTheme="minorHAnsi" w:cstheme="minorHAnsi"/>
          <w:b/>
          <w:bCs/>
          <w:kern w:val="24"/>
        </w:rPr>
        <w:t>le stazioni ferroviarie</w:t>
      </w:r>
      <w:r w:rsidRPr="00895EEF">
        <w:rPr>
          <w:rFonts w:asciiTheme="minorHAnsi" w:eastAsia="Microsoft YaHei" w:hAnsiTheme="minorHAnsi" w:cstheme="minorHAnsi"/>
          <w:kern w:val="24"/>
        </w:rPr>
        <w:t xml:space="preserve">, che diventano punto di </w:t>
      </w:r>
      <w:r w:rsidRPr="00895EEF">
        <w:rPr>
          <w:rFonts w:asciiTheme="minorHAnsi" w:eastAsia="Microsoft YaHei" w:hAnsiTheme="minorHAnsi" w:cstheme="minorHAnsi"/>
          <w:b/>
          <w:bCs/>
          <w:kern w:val="24"/>
        </w:rPr>
        <w:t xml:space="preserve">integrazione del sistema </w:t>
      </w:r>
      <w:r w:rsidRPr="00895EEF">
        <w:rPr>
          <w:rFonts w:asciiTheme="minorHAnsi" w:eastAsia="Microsoft YaHei" w:hAnsiTheme="minorHAnsi" w:cstheme="minorHAnsi"/>
          <w:kern w:val="24"/>
        </w:rPr>
        <w:t>tra TPL e il trasporto privato.</w:t>
      </w:r>
    </w:p>
    <w:p w14:paraId="56E53687" w14:textId="77777777" w:rsidR="00164872" w:rsidRPr="00895EEF" w:rsidRDefault="00164872" w:rsidP="00164872">
      <w:pPr>
        <w:pStyle w:val="NormaleWeb"/>
        <w:spacing w:before="0" w:beforeAutospacing="0" w:after="0" w:afterAutospacing="0"/>
        <w:jc w:val="both"/>
        <w:textAlignment w:val="baseline"/>
        <w:rPr>
          <w:rFonts w:asciiTheme="minorHAnsi" w:eastAsia="Microsoft YaHei" w:hAnsiTheme="minorHAnsi" w:cstheme="minorHAnsi"/>
          <w:kern w:val="24"/>
        </w:rPr>
      </w:pPr>
      <w:r w:rsidRPr="00895EEF">
        <w:rPr>
          <w:rFonts w:asciiTheme="minorHAnsi" w:eastAsia="Microsoft YaHei" w:hAnsiTheme="minorHAnsi" w:cstheme="minorHAnsi"/>
          <w:kern w:val="24"/>
        </w:rPr>
        <w:t xml:space="preserve">Il PRIT 2025 promuove inoltre </w:t>
      </w:r>
      <w:r w:rsidRPr="00895EEF">
        <w:rPr>
          <w:rFonts w:asciiTheme="minorHAnsi" w:eastAsia="Microsoft YaHei" w:hAnsiTheme="minorHAnsi" w:cstheme="minorHAnsi"/>
          <w:b/>
          <w:bCs/>
          <w:kern w:val="24"/>
        </w:rPr>
        <w:t>l’efficace ed efficiente gestione del trasporto pubblico</w:t>
      </w:r>
      <w:r w:rsidRPr="00895EEF">
        <w:rPr>
          <w:rFonts w:asciiTheme="minorHAnsi" w:eastAsia="Microsoft YaHei" w:hAnsiTheme="minorHAnsi" w:cstheme="minorHAnsi"/>
          <w:kern w:val="24"/>
        </w:rPr>
        <w:t>, con un’offerta di servizi di livello adeguato e con costi e fabbisogni basati sul concetto di “</w:t>
      </w:r>
      <w:r w:rsidRPr="00895EEF">
        <w:rPr>
          <w:rFonts w:asciiTheme="minorHAnsi" w:eastAsia="Microsoft YaHei" w:hAnsiTheme="minorHAnsi" w:cstheme="minorHAnsi"/>
          <w:b/>
          <w:bCs/>
          <w:kern w:val="24"/>
        </w:rPr>
        <w:t>costo standard</w:t>
      </w:r>
      <w:r w:rsidRPr="00895EEF">
        <w:rPr>
          <w:rFonts w:asciiTheme="minorHAnsi" w:eastAsia="Microsoft YaHei" w:hAnsiTheme="minorHAnsi" w:cstheme="minorHAnsi"/>
          <w:kern w:val="24"/>
        </w:rPr>
        <w:t xml:space="preserve">”. </w:t>
      </w:r>
      <w:r w:rsidRPr="00895EEF">
        <w:rPr>
          <w:rFonts w:asciiTheme="minorHAnsi" w:hAnsiTheme="minorHAnsi" w:cstheme="minorHAnsi"/>
        </w:rPr>
        <w:t xml:space="preserve">La riorganizzazione dei servizi di trasporto pubblico (ferroviario e su gomma) e l’offerta di servizi basata su l’integrazione modale deve essere completata da obiettivi </w:t>
      </w:r>
      <w:r w:rsidRPr="00895EEF">
        <w:rPr>
          <w:rFonts w:asciiTheme="minorHAnsi" w:hAnsiTheme="minorHAnsi" w:cstheme="minorHAnsi"/>
          <w:b/>
          <w:bCs/>
        </w:rPr>
        <w:t>di semplicità di fruizione, integrazione tariffaria e di informazione coordinata verso l’utenza</w:t>
      </w:r>
      <w:r w:rsidRPr="00895EEF">
        <w:rPr>
          <w:rFonts w:asciiTheme="minorHAnsi" w:hAnsiTheme="minorHAnsi" w:cstheme="minorHAnsi"/>
        </w:rPr>
        <w:t xml:space="preserve">. </w:t>
      </w:r>
    </w:p>
    <w:p w14:paraId="3269CB3C" w14:textId="77777777" w:rsidR="00164872" w:rsidRPr="00895EEF" w:rsidRDefault="00164872" w:rsidP="00164872">
      <w:pPr>
        <w:jc w:val="both"/>
        <w:rPr>
          <w:rFonts w:cstheme="minorHAnsi"/>
          <w:sz w:val="24"/>
          <w:szCs w:val="24"/>
          <w:shd w:val="clear" w:color="auto" w:fill="FFFFFF"/>
        </w:rPr>
      </w:pPr>
    </w:p>
    <w:p w14:paraId="1FA68FBF" w14:textId="77777777" w:rsidR="00146252" w:rsidRDefault="00146252"/>
    <w:sectPr w:rsidR="0014625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1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872"/>
    <w:rsid w:val="00146252"/>
    <w:rsid w:val="00164872"/>
    <w:rsid w:val="00D53E8F"/>
    <w:rsid w:val="00E80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1948DF"/>
  <w15:chartTrackingRefBased/>
  <w15:docId w15:val="{3F972578-509A-40E5-A27D-8E36D46D9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64872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unhideWhenUsed/>
    <w:rsid w:val="00164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corsivo">
    <w:name w:val="Emphasis"/>
    <w:basedOn w:val="Carpredefinitoparagrafo"/>
    <w:uiPriority w:val="20"/>
    <w:qFormat/>
    <w:rsid w:val="0016487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760</Words>
  <Characters>4336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Cavina Olga</dc:creator>
  <cp:keywords/>
  <dc:description/>
  <cp:lastModifiedBy>Cavina Olga</cp:lastModifiedBy>
  <cp:revision>1</cp:revision>
  <dcterms:created xsi:type="dcterms:W3CDTF">2019-07-10T14:03:00Z</dcterms:created>
  <dcterms:modified xsi:type="dcterms:W3CDTF">2019-07-10T14:05:00Z</dcterms:modified>
</cp:coreProperties>
</file>