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30FE9" w:rsidRPr="00630FE9" w14:paraId="5208F126" w14:textId="77777777" w:rsidTr="00630F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0E319" w14:textId="77777777" w:rsidR="00630FE9" w:rsidRPr="00630FE9" w:rsidRDefault="00630FE9" w:rsidP="0063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D550761" w14:textId="77777777" w:rsidR="00630FE9" w:rsidRPr="00630FE9" w:rsidRDefault="00630FE9" w:rsidP="0063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C1821A3" w14:textId="77777777" w:rsidR="00630FE9" w:rsidRPr="00630FE9" w:rsidRDefault="00630FE9" w:rsidP="0063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30FE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DEL PRESIDENTE DEL CONSIGLIO DEI MINISTRI 10 dicembre 2021  </w:t>
      </w:r>
    </w:p>
    <w:p w14:paraId="04CF3419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Rideterminazione  dell'aliquota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compartecipazione   regionale</w:t>
      </w:r>
    </w:p>
    <w:p w14:paraId="1C0E5A4F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all'IVA, relativa all'anno 2020. (22A00318) </w:t>
      </w:r>
    </w:p>
    <w:p w14:paraId="6DAB3727" w14:textId="77777777" w:rsidR="00630FE9" w:rsidRPr="00630FE9" w:rsidRDefault="00630FE9" w:rsidP="00630F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30FE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n.17 del 22-1-2022) </w:t>
      </w:r>
    </w:p>
    <w:p w14:paraId="5C6FC4AF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D94E9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IL PRESIDENTE DEL CONSIGLIO DEI MINISTRI </w:t>
      </w:r>
    </w:p>
    <w:p w14:paraId="19A972C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A4969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10 della legge n.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133  del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  maggio  1999,  recante</w:t>
      </w:r>
    </w:p>
    <w:p w14:paraId="0932842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in materia di federalismo fiscale»; </w:t>
      </w:r>
    </w:p>
    <w:p w14:paraId="720405A8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1, comma 4, del decreto legislativo 18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febbraio  2000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F5A0128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56 recante disposizioni in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federalismo  fiscale,  che</w:t>
      </w:r>
    </w:p>
    <w:p w14:paraId="5AEB3093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stabilisce  la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compensazione   dei   trasferimenti   soppressi   con</w:t>
      </w:r>
    </w:p>
    <w:p w14:paraId="0BB35777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compartecipazioni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regionali  all'imposta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  valore  aggiunto,  con</w:t>
      </w:r>
    </w:p>
    <w:p w14:paraId="7A2F1E7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l'aumento della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compartecipazione  all'accisa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sulle  benzine  e  con</w:t>
      </w:r>
    </w:p>
    <w:p w14:paraId="7CB0717A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l'aumento dell'aliquota dell'addizionale regionale all'IRPEF; </w:t>
      </w:r>
    </w:p>
    <w:p w14:paraId="17FE42A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5, commi 1 e 2,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del  predetto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  e</w:t>
      </w:r>
    </w:p>
    <w:p w14:paraId="104F680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successive   modificazioni   ed   integrazioni   che    prevede    la</w:t>
      </w:r>
    </w:p>
    <w:p w14:paraId="51564482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rideterminazione  delle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aliquote  relative  alla   compartecipazione</w:t>
      </w:r>
    </w:p>
    <w:p w14:paraId="758F0E02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all'imposta  sul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valore  aggiunto  e  all'accisa  sulle  benzine   e</w:t>
      </w:r>
    </w:p>
    <w:p w14:paraId="0C195A51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dell'aliquota dell'addizionale regionale IRPEF; </w:t>
      </w:r>
    </w:p>
    <w:p w14:paraId="43AA8501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1, comma 59, della legge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2004,  n.  311,</w:t>
      </w:r>
    </w:p>
    <w:p w14:paraId="7FBD5E50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che, nel disporre la soppressione del fondo di cui all'art.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70  della</w:t>
      </w:r>
      <w:proofErr w:type="gramEnd"/>
    </w:p>
    <w:p w14:paraId="1ED812EF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28 dicembre 2001, n.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448,  prevede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l'ammontare  di  detto</w:t>
      </w:r>
    </w:p>
    <w:p w14:paraId="625B15A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fondo  sia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 nella  determinazione  della   aliquota   di</w:t>
      </w:r>
    </w:p>
    <w:p w14:paraId="5B5A24F8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compartecipazione; </w:t>
      </w:r>
    </w:p>
    <w:p w14:paraId="2C49299E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 dell'ammontare dei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trasferimenti  soppressi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</w:t>
      </w:r>
    </w:p>
    <w:p w14:paraId="0DCE5EF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dell'art. 1, comma 1, del decreto legislativo 18 febbraio 2000, n. 56</w:t>
      </w:r>
    </w:p>
    <w:p w14:paraId="411E68B9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dell'art. 1, comma 59 della legge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2004,  n. 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311  (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si</w:t>
      </w:r>
    </w:p>
    <w:p w14:paraId="46A45B1F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rinvia alla Tabella 1 allegata); </w:t>
      </w:r>
    </w:p>
    <w:p w14:paraId="2A488CE7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l'art. 28, comma 1,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-legge  6  dicembre</w:t>
      </w:r>
    </w:p>
    <w:p w14:paraId="3C524F30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2011, n. 201, convertito con modificazioni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22  dicembre</w:t>
      </w:r>
    </w:p>
    <w:p w14:paraId="3CB4B30A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2011, n. 214 ha incrementato, a decorrere dall'anno di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imposta  2011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B454EDC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0,33 per cento l'addizionale regionale all'IRPEF; </w:t>
      </w:r>
    </w:p>
    <w:p w14:paraId="2CEF5206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16-bis del decreto-legge 6 luglio 2012, n.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95  che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742A6CA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2, lettera a), prevede l'abrogazione del comma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12  dell'art.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</w:t>
      </w:r>
    </w:p>
    <w:p w14:paraId="1A96E630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della  legge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28  dicembre  1995,  n. 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549,  concernente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la   quota</w:t>
      </w:r>
    </w:p>
    <w:p w14:paraId="2A0976D0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dell'accisa  sulla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benzina  e  sulla  benzina   senza   piombo   per</w:t>
      </w:r>
    </w:p>
    <w:p w14:paraId="481FC5F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autotrazione attribuita alle regioni a statuto ordinario; </w:t>
      </w:r>
    </w:p>
    <w:p w14:paraId="05FA0AE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31-sexies del decreto-legge 28 ottobre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137,</w:t>
      </w:r>
    </w:p>
    <w:p w14:paraId="648194B6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 con modificazioni dalla legge 18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dicembre  2020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,  n.  176,</w:t>
      </w:r>
    </w:p>
    <w:p w14:paraId="5A3304EC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che, nel rinviare all'anno 2023 i meccanismi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di  finanziamento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7250C6C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funzioni regionali come disciplinati dal decreto legislativo 6 maggio</w:t>
      </w:r>
    </w:p>
    <w:p w14:paraId="1FE66922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2011,  n.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68,  ha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confermato  fino  all'anno  2022  i  criteri   di</w:t>
      </w:r>
    </w:p>
    <w:p w14:paraId="655BF0AD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determinazione  dell'aliquota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compartecipazione   all'IVA   come</w:t>
      </w:r>
    </w:p>
    <w:p w14:paraId="132D06F3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disciplinati dal decreto legislativo n. 56 del 2000; </w:t>
      </w:r>
    </w:p>
    <w:p w14:paraId="4170538C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 CIPE n. 20 del 14 maggio 2020 che ha ripartito il</w:t>
      </w:r>
    </w:p>
    <w:p w14:paraId="0D41EF57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 del fabbisogno sanitario nazionale per l'anno 2020; </w:t>
      </w:r>
    </w:p>
    <w:p w14:paraId="3587890A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successiva delibera CIPE n. 35 del 29 aprile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2021  che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ha</w:t>
      </w:r>
    </w:p>
    <w:p w14:paraId="2BA1137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previsto un'integrazione al riparto delle </w:t>
      </w:r>
      <w:proofErr w:type="spell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disponibilita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finanziarie</w:t>
      </w:r>
      <w:proofErr w:type="gramEnd"/>
    </w:p>
    <w:p w14:paraId="5D744CA3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finanziamento del fabbisogno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sanitario  nazionale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l'anno</w:t>
      </w:r>
    </w:p>
    <w:p w14:paraId="51AD00F3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  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stabilendo,   nella   tabella   D,   un   incremento    della</w:t>
      </w:r>
    </w:p>
    <w:p w14:paraId="750A4E27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compartecipazione IVA per le regioni a statuto ordinario di: </w:t>
      </w:r>
    </w:p>
    <w:p w14:paraId="2765333E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 1.061.507.512   euro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(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1.256.633.983   euro   incluso    il</w:t>
      </w:r>
    </w:p>
    <w:p w14:paraId="706B9BC6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 destinato alle Autonomie speciali)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ai  sensi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dell'art.</w:t>
      </w:r>
    </w:p>
    <w:p w14:paraId="6B43FB5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comma 11, del decreto-legge n. 34 del 2020; </w:t>
      </w:r>
    </w:p>
    <w:p w14:paraId="2A0EB8C9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366.637.876 euro (430.975.000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euro  incluso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finanziamento</w:t>
      </w:r>
    </w:p>
    <w:p w14:paraId="11D3D210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destinato alle Autonomie speciali) ai sensi dell'art. 2, comma 10 del</w:t>
      </w:r>
    </w:p>
    <w:p w14:paraId="062E5787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34 del 2020 (si rinvia alla Tabella 2 allegata); </w:t>
      </w:r>
    </w:p>
    <w:p w14:paraId="3AE093DC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Vista l'intesa raggiunta in Conferenza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permanente  per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rapporti</w:t>
      </w:r>
    </w:p>
    <w:p w14:paraId="5495332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lo Stato, le regioni e le Province autonome di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Bolzano</w:t>
      </w:r>
    </w:p>
    <w:p w14:paraId="7AD7CC3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seduta del 7 ottobre 2021; </w:t>
      </w:r>
    </w:p>
    <w:p w14:paraId="43C20F2E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 proposta del Ministro dell'economia e delle finanze; </w:t>
      </w:r>
    </w:p>
    <w:p w14:paraId="06CD305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C4C1F8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7F51EF5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557581D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2DC07E9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E283209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L'aliquota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della  compartecipazione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regionale  all'imposta  sul</w:t>
      </w:r>
    </w:p>
    <w:p w14:paraId="77146C8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valore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aggiunto,  di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2  del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  18</w:t>
      </w:r>
    </w:p>
    <w:p w14:paraId="6595093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2000, n. 56, </w:t>
      </w:r>
      <w:proofErr w:type="spell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rideterminata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nella  misura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70,14  per</w:t>
      </w:r>
    </w:p>
    <w:p w14:paraId="218F01B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 per l'anno 2020. </w:t>
      </w:r>
    </w:p>
    <w:p w14:paraId="0641533A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L'aliquota di cui al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  commisurata  al  gettito  IVA</w:t>
      </w:r>
    </w:p>
    <w:p w14:paraId="13227CB7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complessivo, di cui all'art.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2,  comma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del  decreto  legislativo</w:t>
      </w:r>
    </w:p>
    <w:p w14:paraId="2D17252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citato, desunto dal Rendiconto generale dello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Stato,  capitolo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1203,</w:t>
      </w:r>
    </w:p>
    <w:p w14:paraId="6BF89371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articoli 01 e 02, in conto competenza per l'anno 2018. </w:t>
      </w:r>
    </w:p>
    <w:p w14:paraId="3A3D4D30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inviato agli organi di controllo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in  base</w:t>
      </w:r>
      <w:proofErr w:type="gramEnd"/>
    </w:p>
    <w:p w14:paraId="5CC6FD1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vigenti  norme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pubblicato  nella  Gazzetta  Ufficiale  della</w:t>
      </w:r>
    </w:p>
    <w:p w14:paraId="58E7F5E1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italiana. </w:t>
      </w:r>
    </w:p>
    <w:p w14:paraId="55D09E1E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10 dicembre 2021 </w:t>
      </w:r>
    </w:p>
    <w:p w14:paraId="3F4EB586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969A3D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Il Presidente       </w:t>
      </w:r>
    </w:p>
    <w:p w14:paraId="31A7F7B8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del Consiglio dei ministri </w:t>
      </w:r>
    </w:p>
    <w:p w14:paraId="13D7145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Draghi           </w:t>
      </w:r>
    </w:p>
    <w:p w14:paraId="3D34979D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5A9307D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Il Ministro dell'economia </w:t>
      </w:r>
    </w:p>
    <w:p w14:paraId="66B5E5B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e delle finanze      </w:t>
      </w:r>
    </w:p>
    <w:p w14:paraId="6B3A105E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Franco          </w:t>
      </w:r>
    </w:p>
    <w:p w14:paraId="2D92C828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315707C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10 gennaio 2022 </w:t>
      </w:r>
    </w:p>
    <w:p w14:paraId="1889299A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della Presidenza </w:t>
      </w:r>
      <w:proofErr w:type="gramStart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>,  del</w:t>
      </w:r>
    </w:p>
    <w:p w14:paraId="610DC9CB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giustizia e del Ministero degli affari esteri, n. 17 </w:t>
      </w:r>
    </w:p>
    <w:p w14:paraId="69034A35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Tabella 1 </w:t>
      </w:r>
    </w:p>
    <w:p w14:paraId="3E42CED0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404C932" w14:textId="1F93E4D9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630FE9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66A74F84" w14:textId="77777777" w:rsidR="00630FE9" w:rsidRPr="00630FE9" w:rsidRDefault="00630FE9" w:rsidP="00630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30FE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30FE9" w:rsidRPr="00630FE9" w14:paraId="7A45701E" w14:textId="77777777" w:rsidTr="00630F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25850" w14:textId="77777777" w:rsidR="00630FE9" w:rsidRPr="00630FE9" w:rsidRDefault="00630FE9" w:rsidP="0063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E22DB57" w14:textId="77777777" w:rsidR="00630FE9" w:rsidRPr="00630FE9" w:rsidRDefault="00630FE9" w:rsidP="00630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B3D2D13" w14:textId="38AD689C" w:rsidR="00076009" w:rsidRDefault="00630FE9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FE9"/>
    <w:rsid w:val="001A5978"/>
    <w:rsid w:val="00630FE9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4AB0F"/>
  <w15:chartTrackingRefBased/>
  <w15:docId w15:val="{8DD88DEB-74CB-435B-9BAC-F6EE676C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630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30F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30FE9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630FE9"/>
  </w:style>
  <w:style w:type="character" w:styleId="Collegamentoipertestuale">
    <w:name w:val="Hyperlink"/>
    <w:basedOn w:val="Carpredefinitoparagrafo"/>
    <w:uiPriority w:val="99"/>
    <w:unhideWhenUsed/>
    <w:rsid w:val="00630FE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30F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0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1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2A0031800100010110001&amp;dgu=2022-01-22&amp;art.dataPubblicazioneGazzetta=2022-01-22&amp;art.codiceRedazionale=22A00318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839</Words>
  <Characters>4786</Characters>
  <Application>Microsoft Office Word</Application>
  <DocSecurity>0</DocSecurity>
  <Lines>39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2022-01-23T06:26:00Z</dcterms:created>
  <dcterms:modified xsi:type="dcterms:W3CDTF">2022-01-23T06:28:00Z</dcterms:modified>
</cp:coreProperties>
</file>